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tasks/documenttasks1.xml" ContentType="application/vnd.ms-office.documenttasks+xml"/>
  <Override PartName="/word/intelligence2.xml" ContentType="application/vnd.ms-office.intelligence2+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FF85273" w14:textId="419C5E48" w:rsidR="00F809FD" w:rsidRDefault="006E33A5" w:rsidP="006E33A5">
      <w:pPr>
        <w:pStyle w:val="Pagedecouverture"/>
      </w:pPr>
      <w:bookmarkStart w:id="0" w:name="LW_BM_COVERPAGE"/>
      <w:r>
        <w:pict w14:anchorId="4F7BDD9A">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2" type="#_x0000_t75" alt="BA78598F-C7FE-483C-A5E4-63797C4D2CBB" style="width:455.25pt;height:572.75pt">
            <v:imagedata r:id="rId11" o:title=""/>
          </v:shape>
        </w:pict>
      </w:r>
    </w:p>
    <w:bookmarkEnd w:id="0"/>
    <w:p w14:paraId="74E2AE16" w14:textId="77777777" w:rsidR="00F809FD" w:rsidRDefault="00F809FD" w:rsidP="00F809FD">
      <w:pPr>
        <w:sectPr w:rsidR="00F809FD" w:rsidSect="006E33A5">
          <w:headerReference w:type="even" r:id="rId12"/>
          <w:headerReference w:type="default" r:id="rId13"/>
          <w:footerReference w:type="even" r:id="rId14"/>
          <w:footerReference w:type="default" r:id="rId15"/>
          <w:headerReference w:type="first" r:id="rId16"/>
          <w:footerReference w:type="first" r:id="rId17"/>
          <w:pgSz w:w="11906" w:h="16838"/>
          <w:pgMar w:top="1134" w:right="1417" w:bottom="1134" w:left="1417" w:header="709" w:footer="709" w:gutter="0"/>
          <w:pgNumType w:start="0"/>
          <w:cols w:space="720"/>
          <w:docGrid w:linePitch="326"/>
        </w:sectPr>
      </w:pPr>
    </w:p>
    <w:p w14:paraId="79CDB1AC" w14:textId="0F252B3C" w:rsidR="006B087E" w:rsidRPr="00DD0CE5" w:rsidRDefault="006B087E" w:rsidP="00B47DD4">
      <w:pPr>
        <w:pStyle w:val="Pagedecouverture"/>
      </w:pPr>
    </w:p>
    <w:p w14:paraId="45D12411" w14:textId="77777777" w:rsidR="006B087E" w:rsidRDefault="006B087E" w:rsidP="000E3086">
      <w:pPr>
        <w:pStyle w:val="TOCHeading"/>
      </w:pPr>
      <w:r w:rsidRPr="00DD0CE5">
        <w:t>Table of contents</w:t>
      </w:r>
    </w:p>
    <w:p w14:paraId="7BB09145" w14:textId="6C018A8D" w:rsidR="00D3707E" w:rsidRPr="00121829" w:rsidRDefault="00D3707E">
      <w:pPr>
        <w:pStyle w:val="TOC1"/>
        <w:rPr>
          <w:rFonts w:asciiTheme="minorHAnsi" w:eastAsiaTheme="minorEastAsia" w:hAnsiTheme="minorHAnsi" w:cstheme="minorBidi"/>
          <w:caps w:val="0"/>
          <w:noProof/>
          <w:kern w:val="2"/>
          <w:lang w:val="en-IE" w:eastAsia="en-IE"/>
          <w14:ligatures w14:val="standardContextual"/>
        </w:rPr>
      </w:pPr>
      <w:r w:rsidRPr="00121829">
        <w:fldChar w:fldCharType="begin"/>
      </w:r>
      <w:r w:rsidRPr="00121829">
        <w:instrText xml:space="preserve"> TOC \o "1-2" \h \z \u </w:instrText>
      </w:r>
      <w:r w:rsidRPr="00121829">
        <w:fldChar w:fldCharType="separate"/>
      </w:r>
      <w:hyperlink w:anchor="_Toc227941832" w:history="1">
        <w:r w:rsidRPr="00121829">
          <w:rPr>
            <w:rStyle w:val="Hyperlink"/>
            <w:noProof/>
          </w:rPr>
          <w:t>1</w:t>
        </w:r>
        <w:r w:rsidRPr="00121829">
          <w:rPr>
            <w:rFonts w:asciiTheme="minorHAnsi" w:eastAsiaTheme="minorEastAsia" w:hAnsiTheme="minorHAnsi" w:cstheme="minorBidi"/>
            <w:caps w:val="0"/>
            <w:noProof/>
            <w:kern w:val="2"/>
            <w:lang w:val="en-IE" w:eastAsia="en-IE"/>
            <w14:ligatures w14:val="standardContextual"/>
          </w:rPr>
          <w:tab/>
        </w:r>
        <w:r w:rsidRPr="00121829">
          <w:rPr>
            <w:rStyle w:val="Hyperlink"/>
            <w:noProof/>
          </w:rPr>
          <w:t>Introduction</w:t>
        </w:r>
        <w:r w:rsidRPr="00121829">
          <w:rPr>
            <w:noProof/>
            <w:webHidden/>
          </w:rPr>
          <w:tab/>
        </w:r>
        <w:r w:rsidRPr="00121829">
          <w:rPr>
            <w:noProof/>
            <w:webHidden/>
          </w:rPr>
          <w:fldChar w:fldCharType="begin"/>
        </w:r>
        <w:r w:rsidRPr="00121829">
          <w:rPr>
            <w:noProof/>
            <w:webHidden/>
          </w:rPr>
          <w:instrText xml:space="preserve"> PAGEREF _Toc227941832 \h </w:instrText>
        </w:r>
        <w:r w:rsidRPr="00121829">
          <w:rPr>
            <w:noProof/>
            <w:webHidden/>
          </w:rPr>
        </w:r>
        <w:r w:rsidRPr="00121829">
          <w:rPr>
            <w:noProof/>
            <w:webHidden/>
          </w:rPr>
          <w:fldChar w:fldCharType="separate"/>
        </w:r>
        <w:r w:rsidR="00855EA3">
          <w:rPr>
            <w:noProof/>
            <w:webHidden/>
          </w:rPr>
          <w:t>5</w:t>
        </w:r>
        <w:r w:rsidRPr="00121829">
          <w:rPr>
            <w:noProof/>
            <w:webHidden/>
          </w:rPr>
          <w:fldChar w:fldCharType="end"/>
        </w:r>
      </w:hyperlink>
    </w:p>
    <w:p w14:paraId="3FC2065E" w14:textId="148F5DC6" w:rsidR="00D3707E" w:rsidRPr="00121829" w:rsidRDefault="00D3707E">
      <w:pPr>
        <w:pStyle w:val="TOC1"/>
        <w:rPr>
          <w:rFonts w:asciiTheme="minorHAnsi" w:eastAsiaTheme="minorEastAsia" w:hAnsiTheme="minorHAnsi" w:cstheme="minorBidi"/>
          <w:caps w:val="0"/>
          <w:noProof/>
          <w:kern w:val="2"/>
          <w:lang w:val="en-IE" w:eastAsia="en-IE"/>
          <w14:ligatures w14:val="standardContextual"/>
        </w:rPr>
      </w:pPr>
      <w:hyperlink w:anchor="_Toc227941833" w:history="1">
        <w:r w:rsidRPr="00121829">
          <w:rPr>
            <w:rStyle w:val="Hyperlink"/>
            <w:noProof/>
          </w:rPr>
          <w:t>2</w:t>
        </w:r>
        <w:r w:rsidRPr="00121829">
          <w:rPr>
            <w:rFonts w:asciiTheme="minorHAnsi" w:eastAsiaTheme="minorEastAsia" w:hAnsiTheme="minorHAnsi" w:cstheme="minorBidi"/>
            <w:caps w:val="0"/>
            <w:noProof/>
            <w:kern w:val="2"/>
            <w:lang w:val="en-IE" w:eastAsia="en-IE"/>
            <w14:ligatures w14:val="standardContextual"/>
          </w:rPr>
          <w:tab/>
        </w:r>
        <w:r w:rsidRPr="00121829">
          <w:rPr>
            <w:rStyle w:val="Hyperlink"/>
            <w:noProof/>
          </w:rPr>
          <w:t>Background</w:t>
        </w:r>
        <w:r w:rsidRPr="00121829">
          <w:rPr>
            <w:noProof/>
            <w:webHidden/>
          </w:rPr>
          <w:tab/>
        </w:r>
        <w:r w:rsidRPr="00121829">
          <w:rPr>
            <w:noProof/>
            <w:webHidden/>
          </w:rPr>
          <w:fldChar w:fldCharType="begin"/>
        </w:r>
        <w:r w:rsidRPr="00121829">
          <w:rPr>
            <w:noProof/>
            <w:webHidden/>
          </w:rPr>
          <w:instrText xml:space="preserve"> PAGEREF _Toc227941833 \h </w:instrText>
        </w:r>
        <w:r w:rsidRPr="00121829">
          <w:rPr>
            <w:noProof/>
            <w:webHidden/>
          </w:rPr>
        </w:r>
        <w:r w:rsidRPr="00121829">
          <w:rPr>
            <w:noProof/>
            <w:webHidden/>
          </w:rPr>
          <w:fldChar w:fldCharType="separate"/>
        </w:r>
        <w:r w:rsidR="00855EA3">
          <w:rPr>
            <w:noProof/>
            <w:webHidden/>
          </w:rPr>
          <w:t>6</w:t>
        </w:r>
        <w:r w:rsidRPr="00121829">
          <w:rPr>
            <w:noProof/>
            <w:webHidden/>
          </w:rPr>
          <w:fldChar w:fldCharType="end"/>
        </w:r>
      </w:hyperlink>
    </w:p>
    <w:p w14:paraId="117B1932" w14:textId="761EAAF5" w:rsidR="00D3707E" w:rsidRPr="00121829" w:rsidRDefault="00D3707E">
      <w:pPr>
        <w:pStyle w:val="TOC2"/>
        <w:tabs>
          <w:tab w:val="left" w:pos="1077"/>
        </w:tabs>
        <w:rPr>
          <w:rFonts w:asciiTheme="minorHAnsi" w:eastAsiaTheme="minorEastAsia" w:hAnsiTheme="minorHAnsi" w:cstheme="minorBidi"/>
          <w:noProof/>
          <w:kern w:val="2"/>
          <w:sz w:val="20"/>
          <w:lang w:val="en-IE" w:eastAsia="en-IE"/>
          <w14:ligatures w14:val="standardContextual"/>
        </w:rPr>
      </w:pPr>
      <w:hyperlink w:anchor="_Toc227941834" w:history="1">
        <w:r w:rsidRPr="00121829">
          <w:rPr>
            <w:rStyle w:val="Hyperlink"/>
            <w:noProof/>
            <w:sz w:val="20"/>
          </w:rPr>
          <w:t>2.1</w:t>
        </w:r>
        <w:r w:rsidRPr="00121829">
          <w:rPr>
            <w:rFonts w:asciiTheme="minorHAnsi" w:eastAsiaTheme="minorEastAsia" w:hAnsiTheme="minorHAnsi" w:cstheme="minorBidi"/>
            <w:noProof/>
            <w:kern w:val="2"/>
            <w:sz w:val="20"/>
            <w:lang w:val="en-IE" w:eastAsia="en-IE"/>
            <w14:ligatures w14:val="standardContextual"/>
          </w:rPr>
          <w:tab/>
        </w:r>
        <w:r w:rsidRPr="00121829">
          <w:rPr>
            <w:rStyle w:val="Hyperlink"/>
            <w:noProof/>
            <w:sz w:val="20"/>
          </w:rPr>
          <w:t>Political and legal context</w:t>
        </w:r>
        <w:r w:rsidRPr="00121829">
          <w:rPr>
            <w:noProof/>
            <w:webHidden/>
            <w:sz w:val="20"/>
          </w:rPr>
          <w:tab/>
        </w:r>
        <w:r w:rsidRPr="00121829">
          <w:rPr>
            <w:noProof/>
            <w:webHidden/>
            <w:sz w:val="20"/>
          </w:rPr>
          <w:fldChar w:fldCharType="begin"/>
        </w:r>
        <w:r w:rsidRPr="00121829">
          <w:rPr>
            <w:noProof/>
            <w:webHidden/>
            <w:sz w:val="20"/>
          </w:rPr>
          <w:instrText xml:space="preserve"> PAGEREF _Toc227941834 \h </w:instrText>
        </w:r>
        <w:r w:rsidRPr="00121829">
          <w:rPr>
            <w:noProof/>
            <w:webHidden/>
            <w:sz w:val="20"/>
          </w:rPr>
        </w:r>
        <w:r w:rsidRPr="00121829">
          <w:rPr>
            <w:noProof/>
            <w:webHidden/>
            <w:sz w:val="20"/>
          </w:rPr>
          <w:fldChar w:fldCharType="separate"/>
        </w:r>
        <w:r w:rsidR="00855EA3">
          <w:rPr>
            <w:noProof/>
            <w:webHidden/>
            <w:sz w:val="20"/>
          </w:rPr>
          <w:t>6</w:t>
        </w:r>
        <w:r w:rsidRPr="00121829">
          <w:rPr>
            <w:noProof/>
            <w:webHidden/>
            <w:sz w:val="20"/>
          </w:rPr>
          <w:fldChar w:fldCharType="end"/>
        </w:r>
      </w:hyperlink>
    </w:p>
    <w:p w14:paraId="3A824CDC" w14:textId="074EA30B" w:rsidR="00D3707E" w:rsidRPr="00121829" w:rsidRDefault="00D3707E">
      <w:pPr>
        <w:pStyle w:val="TOC2"/>
        <w:tabs>
          <w:tab w:val="left" w:pos="1077"/>
        </w:tabs>
        <w:rPr>
          <w:rFonts w:asciiTheme="minorHAnsi" w:eastAsiaTheme="minorEastAsia" w:hAnsiTheme="minorHAnsi" w:cstheme="minorBidi"/>
          <w:noProof/>
          <w:kern w:val="2"/>
          <w:sz w:val="20"/>
          <w:lang w:val="en-IE" w:eastAsia="en-IE"/>
          <w14:ligatures w14:val="standardContextual"/>
        </w:rPr>
      </w:pPr>
      <w:hyperlink w:anchor="_Toc227941835" w:history="1">
        <w:r w:rsidRPr="00121829">
          <w:rPr>
            <w:rStyle w:val="Hyperlink"/>
            <w:noProof/>
            <w:sz w:val="20"/>
            <w:lang w:val="en-IE"/>
          </w:rPr>
          <w:t>2.2</w:t>
        </w:r>
        <w:r w:rsidRPr="00121829">
          <w:rPr>
            <w:rFonts w:asciiTheme="minorHAnsi" w:eastAsiaTheme="minorEastAsia" w:hAnsiTheme="minorHAnsi" w:cstheme="minorBidi"/>
            <w:noProof/>
            <w:kern w:val="2"/>
            <w:sz w:val="20"/>
            <w:lang w:val="en-IE" w:eastAsia="en-IE"/>
            <w14:ligatures w14:val="standardContextual"/>
          </w:rPr>
          <w:tab/>
        </w:r>
        <w:r w:rsidRPr="00121829">
          <w:rPr>
            <w:rStyle w:val="Hyperlink"/>
            <w:noProof/>
            <w:sz w:val="20"/>
            <w:lang w:val="en-IE"/>
          </w:rPr>
          <w:t>Related  EU legislation</w:t>
        </w:r>
        <w:r w:rsidRPr="00121829">
          <w:rPr>
            <w:noProof/>
            <w:webHidden/>
            <w:sz w:val="20"/>
          </w:rPr>
          <w:tab/>
        </w:r>
        <w:r w:rsidRPr="00121829">
          <w:rPr>
            <w:noProof/>
            <w:webHidden/>
            <w:sz w:val="20"/>
          </w:rPr>
          <w:fldChar w:fldCharType="begin"/>
        </w:r>
        <w:r w:rsidRPr="00121829">
          <w:rPr>
            <w:noProof/>
            <w:webHidden/>
            <w:sz w:val="20"/>
          </w:rPr>
          <w:instrText xml:space="preserve"> PAGEREF _Toc227941835 \h </w:instrText>
        </w:r>
        <w:r w:rsidRPr="00121829">
          <w:rPr>
            <w:noProof/>
            <w:webHidden/>
            <w:sz w:val="20"/>
          </w:rPr>
        </w:r>
        <w:r w:rsidRPr="00121829">
          <w:rPr>
            <w:noProof/>
            <w:webHidden/>
            <w:sz w:val="20"/>
          </w:rPr>
          <w:fldChar w:fldCharType="separate"/>
        </w:r>
        <w:r w:rsidR="00855EA3">
          <w:rPr>
            <w:noProof/>
            <w:webHidden/>
            <w:sz w:val="20"/>
          </w:rPr>
          <w:t>7</w:t>
        </w:r>
        <w:r w:rsidRPr="00121829">
          <w:rPr>
            <w:noProof/>
            <w:webHidden/>
            <w:sz w:val="20"/>
          </w:rPr>
          <w:fldChar w:fldCharType="end"/>
        </w:r>
      </w:hyperlink>
    </w:p>
    <w:p w14:paraId="33CB6884" w14:textId="54C53C57" w:rsidR="00D3707E" w:rsidRPr="00121829" w:rsidRDefault="00D3707E">
      <w:pPr>
        <w:pStyle w:val="TOC2"/>
        <w:tabs>
          <w:tab w:val="left" w:pos="1077"/>
        </w:tabs>
        <w:rPr>
          <w:rFonts w:asciiTheme="minorHAnsi" w:eastAsiaTheme="minorEastAsia" w:hAnsiTheme="minorHAnsi" w:cstheme="minorBidi"/>
          <w:noProof/>
          <w:kern w:val="2"/>
          <w:sz w:val="20"/>
          <w:lang w:val="en-IE" w:eastAsia="en-IE"/>
          <w14:ligatures w14:val="standardContextual"/>
        </w:rPr>
      </w:pPr>
      <w:hyperlink w:anchor="_Toc227941836" w:history="1">
        <w:r w:rsidRPr="00121829">
          <w:rPr>
            <w:rStyle w:val="Hyperlink"/>
            <w:noProof/>
            <w:sz w:val="20"/>
            <w:lang w:val="en-IE"/>
          </w:rPr>
          <w:t>2.3</w:t>
        </w:r>
        <w:r w:rsidRPr="00121829">
          <w:rPr>
            <w:rFonts w:asciiTheme="minorHAnsi" w:eastAsiaTheme="minorEastAsia" w:hAnsiTheme="minorHAnsi" w:cstheme="minorBidi"/>
            <w:noProof/>
            <w:kern w:val="2"/>
            <w:sz w:val="20"/>
            <w:lang w:val="en-IE" w:eastAsia="en-IE"/>
            <w14:ligatures w14:val="standardContextual"/>
          </w:rPr>
          <w:tab/>
        </w:r>
        <w:r w:rsidRPr="00121829">
          <w:rPr>
            <w:rStyle w:val="Hyperlink"/>
            <w:noProof/>
            <w:sz w:val="20"/>
            <w:lang w:val="en-IE"/>
          </w:rPr>
          <w:t>Background on the sector</w:t>
        </w:r>
        <w:r w:rsidRPr="00121829">
          <w:rPr>
            <w:noProof/>
            <w:webHidden/>
            <w:sz w:val="20"/>
          </w:rPr>
          <w:tab/>
        </w:r>
        <w:r w:rsidRPr="00121829">
          <w:rPr>
            <w:noProof/>
            <w:webHidden/>
            <w:sz w:val="20"/>
          </w:rPr>
          <w:fldChar w:fldCharType="begin"/>
        </w:r>
        <w:r w:rsidRPr="00121829">
          <w:rPr>
            <w:noProof/>
            <w:webHidden/>
            <w:sz w:val="20"/>
          </w:rPr>
          <w:instrText xml:space="preserve"> PAGEREF _Toc227941836 \h </w:instrText>
        </w:r>
        <w:r w:rsidRPr="00121829">
          <w:rPr>
            <w:noProof/>
            <w:webHidden/>
            <w:sz w:val="20"/>
          </w:rPr>
        </w:r>
        <w:r w:rsidRPr="00121829">
          <w:rPr>
            <w:noProof/>
            <w:webHidden/>
            <w:sz w:val="20"/>
          </w:rPr>
          <w:fldChar w:fldCharType="separate"/>
        </w:r>
        <w:r w:rsidR="00855EA3">
          <w:rPr>
            <w:noProof/>
            <w:webHidden/>
            <w:sz w:val="20"/>
          </w:rPr>
          <w:t>11</w:t>
        </w:r>
        <w:r w:rsidRPr="00121829">
          <w:rPr>
            <w:noProof/>
            <w:webHidden/>
            <w:sz w:val="20"/>
          </w:rPr>
          <w:fldChar w:fldCharType="end"/>
        </w:r>
      </w:hyperlink>
    </w:p>
    <w:p w14:paraId="1D756C91" w14:textId="6DAFFF5E" w:rsidR="00D3707E" w:rsidRPr="00121829" w:rsidRDefault="00D3707E">
      <w:pPr>
        <w:pStyle w:val="TOC1"/>
        <w:rPr>
          <w:rFonts w:asciiTheme="minorHAnsi" w:eastAsiaTheme="minorEastAsia" w:hAnsiTheme="minorHAnsi" w:cstheme="minorBidi"/>
          <w:caps w:val="0"/>
          <w:noProof/>
          <w:kern w:val="2"/>
          <w:lang w:val="en-IE" w:eastAsia="en-IE"/>
          <w14:ligatures w14:val="standardContextual"/>
        </w:rPr>
      </w:pPr>
      <w:hyperlink w:anchor="_Toc227941837" w:history="1">
        <w:r w:rsidRPr="00121829">
          <w:rPr>
            <w:rStyle w:val="Hyperlink"/>
            <w:noProof/>
          </w:rPr>
          <w:t>3</w:t>
        </w:r>
        <w:r w:rsidRPr="00121829">
          <w:rPr>
            <w:rFonts w:asciiTheme="minorHAnsi" w:eastAsiaTheme="minorEastAsia" w:hAnsiTheme="minorHAnsi" w:cstheme="minorBidi"/>
            <w:caps w:val="0"/>
            <w:noProof/>
            <w:kern w:val="2"/>
            <w:lang w:val="en-IE" w:eastAsia="en-IE"/>
            <w14:ligatures w14:val="standardContextual"/>
          </w:rPr>
          <w:tab/>
        </w:r>
        <w:r w:rsidRPr="00121829">
          <w:rPr>
            <w:rStyle w:val="Hyperlink"/>
            <w:noProof/>
          </w:rPr>
          <w:t>Problem definition</w:t>
        </w:r>
        <w:r w:rsidRPr="00121829">
          <w:rPr>
            <w:noProof/>
            <w:webHidden/>
          </w:rPr>
          <w:tab/>
        </w:r>
        <w:r w:rsidRPr="00121829">
          <w:rPr>
            <w:noProof/>
            <w:webHidden/>
          </w:rPr>
          <w:fldChar w:fldCharType="begin"/>
        </w:r>
        <w:r w:rsidRPr="00121829">
          <w:rPr>
            <w:noProof/>
            <w:webHidden/>
          </w:rPr>
          <w:instrText xml:space="preserve"> PAGEREF _Toc227941837 \h </w:instrText>
        </w:r>
        <w:r w:rsidRPr="00121829">
          <w:rPr>
            <w:noProof/>
            <w:webHidden/>
          </w:rPr>
        </w:r>
        <w:r w:rsidRPr="00121829">
          <w:rPr>
            <w:noProof/>
            <w:webHidden/>
          </w:rPr>
          <w:fldChar w:fldCharType="separate"/>
        </w:r>
        <w:r w:rsidR="00855EA3">
          <w:rPr>
            <w:noProof/>
            <w:webHidden/>
          </w:rPr>
          <w:t>13</w:t>
        </w:r>
        <w:r w:rsidRPr="00121829">
          <w:rPr>
            <w:noProof/>
            <w:webHidden/>
          </w:rPr>
          <w:fldChar w:fldCharType="end"/>
        </w:r>
      </w:hyperlink>
    </w:p>
    <w:p w14:paraId="3CD2BDA2" w14:textId="01637414" w:rsidR="00D3707E" w:rsidRPr="00121829" w:rsidRDefault="00D3707E">
      <w:pPr>
        <w:pStyle w:val="TOC2"/>
        <w:tabs>
          <w:tab w:val="left" w:pos="1077"/>
        </w:tabs>
        <w:rPr>
          <w:rFonts w:asciiTheme="minorHAnsi" w:eastAsiaTheme="minorEastAsia" w:hAnsiTheme="minorHAnsi" w:cstheme="minorBidi"/>
          <w:noProof/>
          <w:kern w:val="2"/>
          <w:sz w:val="20"/>
          <w:lang w:val="en-IE" w:eastAsia="en-IE"/>
          <w14:ligatures w14:val="standardContextual"/>
        </w:rPr>
      </w:pPr>
      <w:hyperlink w:anchor="_Toc227941838" w:history="1">
        <w:r w:rsidRPr="00121829">
          <w:rPr>
            <w:rStyle w:val="Hyperlink"/>
            <w:noProof/>
            <w:sz w:val="20"/>
            <w:lang w:eastAsia="en-GB"/>
          </w:rPr>
          <w:t>3.1</w:t>
        </w:r>
        <w:r w:rsidRPr="00121829">
          <w:rPr>
            <w:rFonts w:asciiTheme="minorHAnsi" w:eastAsiaTheme="minorEastAsia" w:hAnsiTheme="minorHAnsi" w:cstheme="minorBidi"/>
            <w:noProof/>
            <w:kern w:val="2"/>
            <w:sz w:val="20"/>
            <w:lang w:val="en-IE" w:eastAsia="en-IE"/>
            <w14:ligatures w14:val="standardContextual"/>
          </w:rPr>
          <w:tab/>
        </w:r>
        <w:r w:rsidRPr="00121829">
          <w:rPr>
            <w:rStyle w:val="Hyperlink"/>
            <w:noProof/>
            <w:sz w:val="20"/>
          </w:rPr>
          <w:t>Problem: biotech companies struggle to innovate, raise capital, bring innovations to market, produce and grow in the EU, while maintaining high level of protection and safety</w:t>
        </w:r>
        <w:r w:rsidRPr="00121829">
          <w:rPr>
            <w:noProof/>
            <w:webHidden/>
            <w:sz w:val="20"/>
          </w:rPr>
          <w:tab/>
        </w:r>
        <w:r w:rsidRPr="00121829">
          <w:rPr>
            <w:noProof/>
            <w:webHidden/>
            <w:sz w:val="20"/>
          </w:rPr>
          <w:fldChar w:fldCharType="begin"/>
        </w:r>
        <w:r w:rsidRPr="00121829">
          <w:rPr>
            <w:noProof/>
            <w:webHidden/>
            <w:sz w:val="20"/>
          </w:rPr>
          <w:instrText xml:space="preserve"> PAGEREF _Toc227941838 \h </w:instrText>
        </w:r>
        <w:r w:rsidRPr="00121829">
          <w:rPr>
            <w:noProof/>
            <w:webHidden/>
            <w:sz w:val="20"/>
          </w:rPr>
        </w:r>
        <w:r w:rsidRPr="00121829">
          <w:rPr>
            <w:noProof/>
            <w:webHidden/>
            <w:sz w:val="20"/>
          </w:rPr>
          <w:fldChar w:fldCharType="separate"/>
        </w:r>
        <w:r w:rsidR="00855EA3">
          <w:rPr>
            <w:noProof/>
            <w:webHidden/>
            <w:sz w:val="20"/>
          </w:rPr>
          <w:t>13</w:t>
        </w:r>
        <w:r w:rsidRPr="00121829">
          <w:rPr>
            <w:noProof/>
            <w:webHidden/>
            <w:sz w:val="20"/>
          </w:rPr>
          <w:fldChar w:fldCharType="end"/>
        </w:r>
      </w:hyperlink>
    </w:p>
    <w:p w14:paraId="7BC1CA36" w14:textId="46D476CD" w:rsidR="00D3707E" w:rsidRPr="00121829" w:rsidRDefault="00D3707E">
      <w:pPr>
        <w:pStyle w:val="TOC2"/>
        <w:tabs>
          <w:tab w:val="left" w:pos="1077"/>
        </w:tabs>
        <w:rPr>
          <w:rFonts w:asciiTheme="minorHAnsi" w:eastAsiaTheme="minorEastAsia" w:hAnsiTheme="minorHAnsi" w:cstheme="minorBidi"/>
          <w:noProof/>
          <w:kern w:val="2"/>
          <w:sz w:val="20"/>
          <w:lang w:val="en-IE" w:eastAsia="en-IE"/>
          <w14:ligatures w14:val="standardContextual"/>
        </w:rPr>
      </w:pPr>
      <w:hyperlink w:anchor="_Toc227941839" w:history="1">
        <w:r w:rsidRPr="00121829">
          <w:rPr>
            <w:rStyle w:val="Hyperlink"/>
            <w:noProof/>
            <w:sz w:val="20"/>
          </w:rPr>
          <w:t>3.2</w:t>
        </w:r>
        <w:r w:rsidRPr="00121829">
          <w:rPr>
            <w:rFonts w:asciiTheme="minorHAnsi" w:eastAsiaTheme="minorEastAsia" w:hAnsiTheme="minorHAnsi" w:cstheme="minorBidi"/>
            <w:noProof/>
            <w:kern w:val="2"/>
            <w:sz w:val="20"/>
            <w:lang w:val="en-IE" w:eastAsia="en-IE"/>
            <w14:ligatures w14:val="standardContextual"/>
          </w:rPr>
          <w:tab/>
        </w:r>
        <w:r w:rsidRPr="00121829">
          <w:rPr>
            <w:rStyle w:val="Hyperlink"/>
            <w:noProof/>
            <w:sz w:val="20"/>
          </w:rPr>
          <w:t>What are the problem drivers?</w:t>
        </w:r>
        <w:r w:rsidRPr="00121829">
          <w:rPr>
            <w:noProof/>
            <w:webHidden/>
            <w:sz w:val="20"/>
          </w:rPr>
          <w:tab/>
        </w:r>
        <w:r w:rsidRPr="00121829">
          <w:rPr>
            <w:noProof/>
            <w:webHidden/>
            <w:sz w:val="20"/>
          </w:rPr>
          <w:fldChar w:fldCharType="begin"/>
        </w:r>
        <w:r w:rsidRPr="00121829">
          <w:rPr>
            <w:noProof/>
            <w:webHidden/>
            <w:sz w:val="20"/>
          </w:rPr>
          <w:instrText xml:space="preserve"> PAGEREF _Toc227941839 \h </w:instrText>
        </w:r>
        <w:r w:rsidRPr="00121829">
          <w:rPr>
            <w:noProof/>
            <w:webHidden/>
            <w:sz w:val="20"/>
          </w:rPr>
        </w:r>
        <w:r w:rsidRPr="00121829">
          <w:rPr>
            <w:noProof/>
            <w:webHidden/>
            <w:sz w:val="20"/>
          </w:rPr>
          <w:fldChar w:fldCharType="separate"/>
        </w:r>
        <w:r w:rsidR="00855EA3">
          <w:rPr>
            <w:noProof/>
            <w:webHidden/>
            <w:sz w:val="20"/>
          </w:rPr>
          <w:t>14</w:t>
        </w:r>
        <w:r w:rsidRPr="00121829">
          <w:rPr>
            <w:noProof/>
            <w:webHidden/>
            <w:sz w:val="20"/>
          </w:rPr>
          <w:fldChar w:fldCharType="end"/>
        </w:r>
      </w:hyperlink>
    </w:p>
    <w:p w14:paraId="54777C11" w14:textId="3AF50CDA" w:rsidR="00D3707E" w:rsidRPr="00121829" w:rsidRDefault="00D3707E">
      <w:pPr>
        <w:pStyle w:val="TOC2"/>
        <w:tabs>
          <w:tab w:val="left" w:pos="1077"/>
        </w:tabs>
        <w:rPr>
          <w:rFonts w:asciiTheme="minorHAnsi" w:eastAsiaTheme="minorEastAsia" w:hAnsiTheme="minorHAnsi" w:cstheme="minorBidi"/>
          <w:noProof/>
          <w:kern w:val="2"/>
          <w:sz w:val="20"/>
          <w:lang w:val="en-IE" w:eastAsia="en-IE"/>
          <w14:ligatures w14:val="standardContextual"/>
        </w:rPr>
      </w:pPr>
      <w:hyperlink w:anchor="_Toc227941840" w:history="1">
        <w:r w:rsidRPr="00121829">
          <w:rPr>
            <w:rStyle w:val="Hyperlink"/>
            <w:noProof/>
            <w:sz w:val="20"/>
          </w:rPr>
          <w:t>3.3</w:t>
        </w:r>
        <w:r w:rsidRPr="00121829">
          <w:rPr>
            <w:rFonts w:asciiTheme="minorHAnsi" w:eastAsiaTheme="minorEastAsia" w:hAnsiTheme="minorHAnsi" w:cstheme="minorBidi"/>
            <w:noProof/>
            <w:kern w:val="2"/>
            <w:sz w:val="20"/>
            <w:lang w:val="en-IE" w:eastAsia="en-IE"/>
            <w14:ligatures w14:val="standardContextual"/>
          </w:rPr>
          <w:tab/>
        </w:r>
        <w:r w:rsidRPr="00121829">
          <w:rPr>
            <w:rStyle w:val="Hyperlink"/>
            <w:noProof/>
            <w:sz w:val="20"/>
          </w:rPr>
          <w:t>Consequences</w:t>
        </w:r>
        <w:r w:rsidRPr="00121829">
          <w:rPr>
            <w:noProof/>
            <w:webHidden/>
            <w:sz w:val="20"/>
          </w:rPr>
          <w:tab/>
        </w:r>
        <w:r w:rsidRPr="00121829">
          <w:rPr>
            <w:noProof/>
            <w:webHidden/>
            <w:sz w:val="20"/>
          </w:rPr>
          <w:fldChar w:fldCharType="begin"/>
        </w:r>
        <w:r w:rsidRPr="00121829">
          <w:rPr>
            <w:noProof/>
            <w:webHidden/>
            <w:sz w:val="20"/>
          </w:rPr>
          <w:instrText xml:space="preserve"> PAGEREF _Toc227941840 \h </w:instrText>
        </w:r>
        <w:r w:rsidRPr="00121829">
          <w:rPr>
            <w:noProof/>
            <w:webHidden/>
            <w:sz w:val="20"/>
          </w:rPr>
        </w:r>
        <w:r w:rsidRPr="00121829">
          <w:rPr>
            <w:noProof/>
            <w:webHidden/>
            <w:sz w:val="20"/>
          </w:rPr>
          <w:fldChar w:fldCharType="separate"/>
        </w:r>
        <w:r w:rsidR="00855EA3">
          <w:rPr>
            <w:noProof/>
            <w:webHidden/>
            <w:sz w:val="20"/>
          </w:rPr>
          <w:t>22</w:t>
        </w:r>
        <w:r w:rsidRPr="00121829">
          <w:rPr>
            <w:noProof/>
            <w:webHidden/>
            <w:sz w:val="20"/>
          </w:rPr>
          <w:fldChar w:fldCharType="end"/>
        </w:r>
      </w:hyperlink>
    </w:p>
    <w:p w14:paraId="06DF7B29" w14:textId="4D775216" w:rsidR="00D3707E" w:rsidRPr="00121829" w:rsidRDefault="00D3707E">
      <w:pPr>
        <w:pStyle w:val="TOC2"/>
        <w:tabs>
          <w:tab w:val="left" w:pos="1077"/>
        </w:tabs>
        <w:rPr>
          <w:rFonts w:asciiTheme="minorHAnsi" w:eastAsiaTheme="minorEastAsia" w:hAnsiTheme="minorHAnsi" w:cstheme="minorBidi"/>
          <w:noProof/>
          <w:kern w:val="2"/>
          <w:sz w:val="20"/>
          <w:lang w:val="en-IE" w:eastAsia="en-IE"/>
          <w14:ligatures w14:val="standardContextual"/>
        </w:rPr>
      </w:pPr>
      <w:hyperlink w:anchor="_Toc227941841" w:history="1">
        <w:r w:rsidRPr="00121829">
          <w:rPr>
            <w:rStyle w:val="Hyperlink"/>
            <w:noProof/>
            <w:sz w:val="20"/>
          </w:rPr>
          <w:t>3.4</w:t>
        </w:r>
        <w:r w:rsidRPr="00121829">
          <w:rPr>
            <w:rFonts w:asciiTheme="minorHAnsi" w:eastAsiaTheme="minorEastAsia" w:hAnsiTheme="minorHAnsi" w:cstheme="minorBidi"/>
            <w:noProof/>
            <w:kern w:val="2"/>
            <w:sz w:val="20"/>
            <w:lang w:val="en-IE" w:eastAsia="en-IE"/>
            <w14:ligatures w14:val="standardContextual"/>
          </w:rPr>
          <w:tab/>
        </w:r>
        <w:r w:rsidRPr="00121829">
          <w:rPr>
            <w:rStyle w:val="Hyperlink"/>
            <w:noProof/>
            <w:sz w:val="20"/>
          </w:rPr>
          <w:t>What is the baseline from which measures are assessed?</w:t>
        </w:r>
        <w:r w:rsidRPr="00121829">
          <w:rPr>
            <w:noProof/>
            <w:webHidden/>
            <w:sz w:val="20"/>
          </w:rPr>
          <w:tab/>
        </w:r>
        <w:r w:rsidRPr="00121829">
          <w:rPr>
            <w:noProof/>
            <w:webHidden/>
            <w:sz w:val="20"/>
          </w:rPr>
          <w:fldChar w:fldCharType="begin"/>
        </w:r>
        <w:r w:rsidRPr="00121829">
          <w:rPr>
            <w:noProof/>
            <w:webHidden/>
            <w:sz w:val="20"/>
          </w:rPr>
          <w:instrText xml:space="preserve"> PAGEREF _Toc227941841 \h </w:instrText>
        </w:r>
        <w:r w:rsidRPr="00121829">
          <w:rPr>
            <w:noProof/>
            <w:webHidden/>
            <w:sz w:val="20"/>
          </w:rPr>
        </w:r>
        <w:r w:rsidRPr="00121829">
          <w:rPr>
            <w:noProof/>
            <w:webHidden/>
            <w:sz w:val="20"/>
          </w:rPr>
          <w:fldChar w:fldCharType="separate"/>
        </w:r>
        <w:r w:rsidR="00855EA3">
          <w:rPr>
            <w:noProof/>
            <w:webHidden/>
            <w:sz w:val="20"/>
          </w:rPr>
          <w:t>29</w:t>
        </w:r>
        <w:r w:rsidRPr="00121829">
          <w:rPr>
            <w:noProof/>
            <w:webHidden/>
            <w:sz w:val="20"/>
          </w:rPr>
          <w:fldChar w:fldCharType="end"/>
        </w:r>
      </w:hyperlink>
    </w:p>
    <w:p w14:paraId="46848559" w14:textId="6EC32FB3" w:rsidR="00D3707E" w:rsidRPr="00121829" w:rsidRDefault="00D3707E">
      <w:pPr>
        <w:pStyle w:val="TOC1"/>
        <w:rPr>
          <w:rFonts w:asciiTheme="minorHAnsi" w:eastAsiaTheme="minorEastAsia" w:hAnsiTheme="minorHAnsi" w:cstheme="minorBidi"/>
          <w:caps w:val="0"/>
          <w:noProof/>
          <w:kern w:val="2"/>
          <w:lang w:val="en-IE" w:eastAsia="en-IE"/>
          <w14:ligatures w14:val="standardContextual"/>
        </w:rPr>
      </w:pPr>
      <w:hyperlink w:anchor="_Toc227941842" w:history="1">
        <w:r w:rsidRPr="00121829">
          <w:rPr>
            <w:rStyle w:val="Hyperlink"/>
            <w:noProof/>
          </w:rPr>
          <w:t>4</w:t>
        </w:r>
        <w:r w:rsidRPr="00121829">
          <w:rPr>
            <w:rFonts w:asciiTheme="minorHAnsi" w:eastAsiaTheme="minorEastAsia" w:hAnsiTheme="minorHAnsi" w:cstheme="minorBidi"/>
            <w:caps w:val="0"/>
            <w:noProof/>
            <w:kern w:val="2"/>
            <w:lang w:val="en-IE" w:eastAsia="en-IE"/>
            <w14:ligatures w14:val="standardContextual"/>
          </w:rPr>
          <w:tab/>
        </w:r>
        <w:r w:rsidRPr="00121829">
          <w:rPr>
            <w:rStyle w:val="Hyperlink"/>
            <w:noProof/>
          </w:rPr>
          <w:t>Approach to the Biotech Act</w:t>
        </w:r>
        <w:r w:rsidRPr="00121829">
          <w:rPr>
            <w:noProof/>
            <w:webHidden/>
          </w:rPr>
          <w:tab/>
        </w:r>
        <w:r w:rsidRPr="00121829">
          <w:rPr>
            <w:noProof/>
            <w:webHidden/>
          </w:rPr>
          <w:fldChar w:fldCharType="begin"/>
        </w:r>
        <w:r w:rsidRPr="00121829">
          <w:rPr>
            <w:noProof/>
            <w:webHidden/>
          </w:rPr>
          <w:instrText xml:space="preserve"> PAGEREF _Toc227941842 \h </w:instrText>
        </w:r>
        <w:r w:rsidRPr="00121829">
          <w:rPr>
            <w:noProof/>
            <w:webHidden/>
          </w:rPr>
        </w:r>
        <w:r w:rsidRPr="00121829">
          <w:rPr>
            <w:noProof/>
            <w:webHidden/>
          </w:rPr>
          <w:fldChar w:fldCharType="separate"/>
        </w:r>
        <w:r w:rsidR="00855EA3">
          <w:rPr>
            <w:noProof/>
            <w:webHidden/>
          </w:rPr>
          <w:t>38</w:t>
        </w:r>
        <w:r w:rsidRPr="00121829">
          <w:rPr>
            <w:noProof/>
            <w:webHidden/>
          </w:rPr>
          <w:fldChar w:fldCharType="end"/>
        </w:r>
      </w:hyperlink>
    </w:p>
    <w:p w14:paraId="64FC7CAC" w14:textId="021C9713" w:rsidR="00D3707E" w:rsidRPr="00121829" w:rsidRDefault="00D3707E">
      <w:pPr>
        <w:pStyle w:val="TOC2"/>
        <w:tabs>
          <w:tab w:val="left" w:pos="1077"/>
        </w:tabs>
        <w:rPr>
          <w:rFonts w:asciiTheme="minorHAnsi" w:eastAsiaTheme="minorEastAsia" w:hAnsiTheme="minorHAnsi" w:cstheme="minorBidi"/>
          <w:noProof/>
          <w:kern w:val="2"/>
          <w:sz w:val="20"/>
          <w:lang w:val="en-IE" w:eastAsia="en-IE"/>
          <w14:ligatures w14:val="standardContextual"/>
        </w:rPr>
      </w:pPr>
      <w:hyperlink w:anchor="_Toc227941843" w:history="1">
        <w:r w:rsidRPr="00121829">
          <w:rPr>
            <w:rStyle w:val="Hyperlink"/>
            <w:noProof/>
            <w:sz w:val="20"/>
          </w:rPr>
          <w:t>4.1</w:t>
        </w:r>
        <w:r w:rsidRPr="00121829">
          <w:rPr>
            <w:rFonts w:asciiTheme="minorHAnsi" w:eastAsiaTheme="minorEastAsia" w:hAnsiTheme="minorHAnsi" w:cstheme="minorBidi"/>
            <w:noProof/>
            <w:kern w:val="2"/>
            <w:sz w:val="20"/>
            <w:lang w:val="en-IE" w:eastAsia="en-IE"/>
            <w14:ligatures w14:val="standardContextual"/>
          </w:rPr>
          <w:tab/>
        </w:r>
        <w:r w:rsidRPr="00121829">
          <w:rPr>
            <w:rStyle w:val="Hyperlink"/>
            <w:noProof/>
            <w:sz w:val="20"/>
          </w:rPr>
          <w:t>Objectives of the proposal</w:t>
        </w:r>
        <w:r w:rsidRPr="00121829">
          <w:rPr>
            <w:noProof/>
            <w:webHidden/>
            <w:sz w:val="20"/>
          </w:rPr>
          <w:tab/>
        </w:r>
        <w:r w:rsidRPr="00121829">
          <w:rPr>
            <w:noProof/>
            <w:webHidden/>
            <w:sz w:val="20"/>
          </w:rPr>
          <w:fldChar w:fldCharType="begin"/>
        </w:r>
        <w:r w:rsidRPr="00121829">
          <w:rPr>
            <w:noProof/>
            <w:webHidden/>
            <w:sz w:val="20"/>
          </w:rPr>
          <w:instrText xml:space="preserve"> PAGEREF _Toc227941843 \h </w:instrText>
        </w:r>
        <w:r w:rsidRPr="00121829">
          <w:rPr>
            <w:noProof/>
            <w:webHidden/>
            <w:sz w:val="20"/>
          </w:rPr>
        </w:r>
        <w:r w:rsidRPr="00121829">
          <w:rPr>
            <w:noProof/>
            <w:webHidden/>
            <w:sz w:val="20"/>
          </w:rPr>
          <w:fldChar w:fldCharType="separate"/>
        </w:r>
        <w:r w:rsidR="00855EA3">
          <w:rPr>
            <w:noProof/>
            <w:webHidden/>
            <w:sz w:val="20"/>
          </w:rPr>
          <w:t>38</w:t>
        </w:r>
        <w:r w:rsidRPr="00121829">
          <w:rPr>
            <w:noProof/>
            <w:webHidden/>
            <w:sz w:val="20"/>
          </w:rPr>
          <w:fldChar w:fldCharType="end"/>
        </w:r>
      </w:hyperlink>
    </w:p>
    <w:p w14:paraId="4547CE6A" w14:textId="4AF9F7DA" w:rsidR="00D3707E" w:rsidRPr="00121829" w:rsidRDefault="00D3707E">
      <w:pPr>
        <w:pStyle w:val="TOC2"/>
        <w:tabs>
          <w:tab w:val="left" w:pos="1077"/>
        </w:tabs>
        <w:rPr>
          <w:rFonts w:asciiTheme="minorHAnsi" w:eastAsiaTheme="minorEastAsia" w:hAnsiTheme="minorHAnsi" w:cstheme="minorBidi"/>
          <w:noProof/>
          <w:kern w:val="2"/>
          <w:sz w:val="20"/>
          <w:lang w:val="en-IE" w:eastAsia="en-IE"/>
          <w14:ligatures w14:val="standardContextual"/>
        </w:rPr>
      </w:pPr>
      <w:hyperlink w:anchor="_Toc227941844" w:history="1">
        <w:r w:rsidRPr="00121829">
          <w:rPr>
            <w:rStyle w:val="Hyperlink"/>
            <w:noProof/>
            <w:sz w:val="20"/>
          </w:rPr>
          <w:t>4.2</w:t>
        </w:r>
        <w:r w:rsidRPr="00121829">
          <w:rPr>
            <w:rFonts w:asciiTheme="minorHAnsi" w:eastAsiaTheme="minorEastAsia" w:hAnsiTheme="minorHAnsi" w:cstheme="minorBidi"/>
            <w:noProof/>
            <w:kern w:val="2"/>
            <w:sz w:val="20"/>
            <w:lang w:val="en-IE" w:eastAsia="en-IE"/>
            <w14:ligatures w14:val="standardContextual"/>
          </w:rPr>
          <w:tab/>
        </w:r>
        <w:r w:rsidRPr="00121829">
          <w:rPr>
            <w:rStyle w:val="Hyperlink"/>
            <w:noProof/>
            <w:sz w:val="20"/>
          </w:rPr>
          <w:t>Choice of the legal instruments and legal basis</w:t>
        </w:r>
        <w:r w:rsidRPr="00121829">
          <w:rPr>
            <w:noProof/>
            <w:webHidden/>
            <w:sz w:val="20"/>
          </w:rPr>
          <w:tab/>
        </w:r>
        <w:r w:rsidRPr="00121829">
          <w:rPr>
            <w:noProof/>
            <w:webHidden/>
            <w:sz w:val="20"/>
          </w:rPr>
          <w:fldChar w:fldCharType="begin"/>
        </w:r>
        <w:r w:rsidRPr="00121829">
          <w:rPr>
            <w:noProof/>
            <w:webHidden/>
            <w:sz w:val="20"/>
          </w:rPr>
          <w:instrText xml:space="preserve"> PAGEREF _Toc227941844 \h </w:instrText>
        </w:r>
        <w:r w:rsidRPr="00121829">
          <w:rPr>
            <w:noProof/>
            <w:webHidden/>
            <w:sz w:val="20"/>
          </w:rPr>
        </w:r>
        <w:r w:rsidRPr="00121829">
          <w:rPr>
            <w:noProof/>
            <w:webHidden/>
            <w:sz w:val="20"/>
          </w:rPr>
          <w:fldChar w:fldCharType="separate"/>
        </w:r>
        <w:r w:rsidR="00855EA3">
          <w:rPr>
            <w:noProof/>
            <w:webHidden/>
            <w:sz w:val="20"/>
          </w:rPr>
          <w:t>38</w:t>
        </w:r>
        <w:r w:rsidRPr="00121829">
          <w:rPr>
            <w:noProof/>
            <w:webHidden/>
            <w:sz w:val="20"/>
          </w:rPr>
          <w:fldChar w:fldCharType="end"/>
        </w:r>
      </w:hyperlink>
    </w:p>
    <w:p w14:paraId="6EC6A2FA" w14:textId="4C8B7DEA" w:rsidR="00D3707E" w:rsidRPr="00121829" w:rsidRDefault="00D3707E">
      <w:pPr>
        <w:pStyle w:val="TOC2"/>
        <w:tabs>
          <w:tab w:val="left" w:pos="1077"/>
        </w:tabs>
        <w:rPr>
          <w:rFonts w:asciiTheme="minorHAnsi" w:eastAsiaTheme="minorEastAsia" w:hAnsiTheme="minorHAnsi" w:cstheme="minorBidi"/>
          <w:noProof/>
          <w:kern w:val="2"/>
          <w:sz w:val="20"/>
          <w:lang w:val="en-IE" w:eastAsia="en-IE"/>
          <w14:ligatures w14:val="standardContextual"/>
        </w:rPr>
      </w:pPr>
      <w:hyperlink w:anchor="_Toc227941845" w:history="1">
        <w:r w:rsidRPr="00121829">
          <w:rPr>
            <w:rStyle w:val="Hyperlink"/>
            <w:noProof/>
            <w:sz w:val="20"/>
          </w:rPr>
          <w:t>4.3</w:t>
        </w:r>
        <w:r w:rsidRPr="00121829">
          <w:rPr>
            <w:rFonts w:asciiTheme="minorHAnsi" w:eastAsiaTheme="minorEastAsia" w:hAnsiTheme="minorHAnsi" w:cstheme="minorBidi"/>
            <w:noProof/>
            <w:kern w:val="2"/>
            <w:sz w:val="20"/>
            <w:lang w:val="en-IE" w:eastAsia="en-IE"/>
            <w14:ligatures w14:val="standardContextual"/>
          </w:rPr>
          <w:tab/>
        </w:r>
        <w:r w:rsidRPr="00121829">
          <w:rPr>
            <w:rStyle w:val="Hyperlink"/>
            <w:noProof/>
            <w:sz w:val="20"/>
          </w:rPr>
          <w:t>Subsidiarity: necessity for EU action and EU added value</w:t>
        </w:r>
        <w:r w:rsidRPr="00121829">
          <w:rPr>
            <w:noProof/>
            <w:webHidden/>
            <w:sz w:val="20"/>
          </w:rPr>
          <w:tab/>
        </w:r>
        <w:r w:rsidRPr="00121829">
          <w:rPr>
            <w:noProof/>
            <w:webHidden/>
            <w:sz w:val="20"/>
          </w:rPr>
          <w:fldChar w:fldCharType="begin"/>
        </w:r>
        <w:r w:rsidRPr="00121829">
          <w:rPr>
            <w:noProof/>
            <w:webHidden/>
            <w:sz w:val="20"/>
          </w:rPr>
          <w:instrText xml:space="preserve"> PAGEREF _Toc227941845 \h </w:instrText>
        </w:r>
        <w:r w:rsidRPr="00121829">
          <w:rPr>
            <w:noProof/>
            <w:webHidden/>
            <w:sz w:val="20"/>
          </w:rPr>
        </w:r>
        <w:r w:rsidRPr="00121829">
          <w:rPr>
            <w:noProof/>
            <w:webHidden/>
            <w:sz w:val="20"/>
          </w:rPr>
          <w:fldChar w:fldCharType="separate"/>
        </w:r>
        <w:r w:rsidR="00855EA3">
          <w:rPr>
            <w:noProof/>
            <w:webHidden/>
            <w:sz w:val="20"/>
          </w:rPr>
          <w:t>39</w:t>
        </w:r>
        <w:r w:rsidRPr="00121829">
          <w:rPr>
            <w:noProof/>
            <w:webHidden/>
            <w:sz w:val="20"/>
          </w:rPr>
          <w:fldChar w:fldCharType="end"/>
        </w:r>
      </w:hyperlink>
    </w:p>
    <w:p w14:paraId="5567554B" w14:textId="69D8F8C1" w:rsidR="00D3707E" w:rsidRPr="00121829" w:rsidRDefault="00D3707E">
      <w:pPr>
        <w:pStyle w:val="TOC2"/>
        <w:tabs>
          <w:tab w:val="left" w:pos="1077"/>
        </w:tabs>
        <w:rPr>
          <w:rFonts w:asciiTheme="minorHAnsi" w:eastAsiaTheme="minorEastAsia" w:hAnsiTheme="minorHAnsi" w:cstheme="minorBidi"/>
          <w:noProof/>
          <w:kern w:val="2"/>
          <w:sz w:val="20"/>
          <w:lang w:val="en-IE" w:eastAsia="en-IE"/>
          <w14:ligatures w14:val="standardContextual"/>
        </w:rPr>
      </w:pPr>
      <w:hyperlink w:anchor="_Toc227941846" w:history="1">
        <w:r w:rsidRPr="00121829">
          <w:rPr>
            <w:rStyle w:val="Hyperlink"/>
            <w:noProof/>
            <w:sz w:val="20"/>
          </w:rPr>
          <w:t>4.4</w:t>
        </w:r>
        <w:r w:rsidRPr="00121829">
          <w:rPr>
            <w:rFonts w:asciiTheme="minorHAnsi" w:eastAsiaTheme="minorEastAsia" w:hAnsiTheme="minorHAnsi" w:cstheme="minorBidi"/>
            <w:noProof/>
            <w:kern w:val="2"/>
            <w:sz w:val="20"/>
            <w:lang w:val="en-IE" w:eastAsia="en-IE"/>
            <w14:ligatures w14:val="standardContextual"/>
          </w:rPr>
          <w:tab/>
        </w:r>
        <w:r w:rsidRPr="00121829">
          <w:rPr>
            <w:rStyle w:val="Hyperlink"/>
            <w:noProof/>
            <w:sz w:val="20"/>
          </w:rPr>
          <w:t>Intervention logic of the proposal</w:t>
        </w:r>
        <w:r w:rsidRPr="00121829">
          <w:rPr>
            <w:noProof/>
            <w:webHidden/>
            <w:sz w:val="20"/>
          </w:rPr>
          <w:tab/>
        </w:r>
        <w:r w:rsidRPr="00121829">
          <w:rPr>
            <w:noProof/>
            <w:webHidden/>
            <w:sz w:val="20"/>
          </w:rPr>
          <w:fldChar w:fldCharType="begin"/>
        </w:r>
        <w:r w:rsidRPr="00121829">
          <w:rPr>
            <w:noProof/>
            <w:webHidden/>
            <w:sz w:val="20"/>
          </w:rPr>
          <w:instrText xml:space="preserve"> PAGEREF _Toc227941846 \h </w:instrText>
        </w:r>
        <w:r w:rsidRPr="00121829">
          <w:rPr>
            <w:noProof/>
            <w:webHidden/>
            <w:sz w:val="20"/>
          </w:rPr>
        </w:r>
        <w:r w:rsidRPr="00121829">
          <w:rPr>
            <w:noProof/>
            <w:webHidden/>
            <w:sz w:val="20"/>
          </w:rPr>
          <w:fldChar w:fldCharType="separate"/>
        </w:r>
        <w:r w:rsidR="00855EA3">
          <w:rPr>
            <w:noProof/>
            <w:webHidden/>
            <w:sz w:val="20"/>
          </w:rPr>
          <w:t>40</w:t>
        </w:r>
        <w:r w:rsidRPr="00121829">
          <w:rPr>
            <w:noProof/>
            <w:webHidden/>
            <w:sz w:val="20"/>
          </w:rPr>
          <w:fldChar w:fldCharType="end"/>
        </w:r>
      </w:hyperlink>
    </w:p>
    <w:p w14:paraId="783FFD7A" w14:textId="2D599E04" w:rsidR="00D3707E" w:rsidRPr="00121829" w:rsidRDefault="00D3707E">
      <w:pPr>
        <w:pStyle w:val="TOC1"/>
        <w:rPr>
          <w:rFonts w:asciiTheme="minorHAnsi" w:eastAsiaTheme="minorEastAsia" w:hAnsiTheme="minorHAnsi" w:cstheme="minorBidi"/>
          <w:caps w:val="0"/>
          <w:noProof/>
          <w:kern w:val="2"/>
          <w:lang w:val="en-IE" w:eastAsia="en-IE"/>
          <w14:ligatures w14:val="standardContextual"/>
        </w:rPr>
      </w:pPr>
      <w:hyperlink w:anchor="_Toc227941847" w:history="1">
        <w:r w:rsidRPr="00121829">
          <w:rPr>
            <w:rStyle w:val="Hyperlink"/>
            <w:noProof/>
          </w:rPr>
          <w:t>5</w:t>
        </w:r>
        <w:r w:rsidRPr="00121829">
          <w:rPr>
            <w:rFonts w:asciiTheme="minorHAnsi" w:eastAsiaTheme="minorEastAsia" w:hAnsiTheme="minorHAnsi" w:cstheme="minorBidi"/>
            <w:caps w:val="0"/>
            <w:noProof/>
            <w:kern w:val="2"/>
            <w:lang w:val="en-IE" w:eastAsia="en-IE"/>
            <w14:ligatures w14:val="standardContextual"/>
          </w:rPr>
          <w:tab/>
        </w:r>
        <w:r w:rsidRPr="00121829">
          <w:rPr>
            <w:rStyle w:val="Hyperlink"/>
            <w:noProof/>
          </w:rPr>
          <w:t>Description of the proposed measures and analysis of their main impacts</w:t>
        </w:r>
        <w:r w:rsidRPr="00121829">
          <w:rPr>
            <w:noProof/>
            <w:webHidden/>
          </w:rPr>
          <w:tab/>
        </w:r>
        <w:r w:rsidRPr="00121829">
          <w:rPr>
            <w:noProof/>
            <w:webHidden/>
          </w:rPr>
          <w:fldChar w:fldCharType="begin"/>
        </w:r>
        <w:r w:rsidRPr="00121829">
          <w:rPr>
            <w:noProof/>
            <w:webHidden/>
          </w:rPr>
          <w:instrText xml:space="preserve"> PAGEREF _Toc227941847 \h </w:instrText>
        </w:r>
        <w:r w:rsidRPr="00121829">
          <w:rPr>
            <w:noProof/>
            <w:webHidden/>
          </w:rPr>
        </w:r>
        <w:r w:rsidRPr="00121829">
          <w:rPr>
            <w:noProof/>
            <w:webHidden/>
          </w:rPr>
          <w:fldChar w:fldCharType="separate"/>
        </w:r>
        <w:r w:rsidR="00855EA3">
          <w:rPr>
            <w:noProof/>
            <w:webHidden/>
          </w:rPr>
          <w:t>41</w:t>
        </w:r>
        <w:r w:rsidRPr="00121829">
          <w:rPr>
            <w:noProof/>
            <w:webHidden/>
          </w:rPr>
          <w:fldChar w:fldCharType="end"/>
        </w:r>
      </w:hyperlink>
    </w:p>
    <w:p w14:paraId="49EC2C5A" w14:textId="2AD1319B" w:rsidR="00D3707E" w:rsidRPr="00121829" w:rsidRDefault="00D3707E">
      <w:pPr>
        <w:pStyle w:val="TOC2"/>
        <w:tabs>
          <w:tab w:val="left" w:pos="1077"/>
        </w:tabs>
        <w:rPr>
          <w:rFonts w:asciiTheme="minorHAnsi" w:eastAsiaTheme="minorEastAsia" w:hAnsiTheme="minorHAnsi" w:cstheme="minorBidi"/>
          <w:noProof/>
          <w:kern w:val="2"/>
          <w:sz w:val="20"/>
          <w:lang w:val="en-IE" w:eastAsia="en-IE"/>
          <w14:ligatures w14:val="standardContextual"/>
        </w:rPr>
      </w:pPr>
      <w:hyperlink w:anchor="_Toc227941848" w:history="1">
        <w:r w:rsidRPr="00121829">
          <w:rPr>
            <w:rStyle w:val="Hyperlink"/>
            <w:noProof/>
            <w:sz w:val="20"/>
          </w:rPr>
          <w:t>5.1</w:t>
        </w:r>
        <w:r w:rsidRPr="00121829">
          <w:rPr>
            <w:rFonts w:asciiTheme="minorHAnsi" w:eastAsiaTheme="minorEastAsia" w:hAnsiTheme="minorHAnsi" w:cstheme="minorBidi"/>
            <w:noProof/>
            <w:kern w:val="2"/>
            <w:sz w:val="20"/>
            <w:lang w:val="en-IE" w:eastAsia="en-IE"/>
            <w14:ligatures w14:val="standardContextual"/>
          </w:rPr>
          <w:tab/>
        </w:r>
        <w:r w:rsidRPr="00121829">
          <w:rPr>
            <w:rStyle w:val="Hyperlink"/>
            <w:noProof/>
            <w:sz w:val="20"/>
          </w:rPr>
          <w:t>Interventions for regulatory simplification: measures and expected impacts</w:t>
        </w:r>
        <w:r w:rsidRPr="00121829">
          <w:rPr>
            <w:noProof/>
            <w:webHidden/>
            <w:sz w:val="20"/>
          </w:rPr>
          <w:tab/>
        </w:r>
        <w:r w:rsidRPr="00121829">
          <w:rPr>
            <w:noProof/>
            <w:webHidden/>
            <w:sz w:val="20"/>
          </w:rPr>
          <w:fldChar w:fldCharType="begin"/>
        </w:r>
        <w:r w:rsidRPr="00121829">
          <w:rPr>
            <w:noProof/>
            <w:webHidden/>
            <w:sz w:val="20"/>
          </w:rPr>
          <w:instrText xml:space="preserve"> PAGEREF _Toc227941848 \h </w:instrText>
        </w:r>
        <w:r w:rsidRPr="00121829">
          <w:rPr>
            <w:noProof/>
            <w:webHidden/>
            <w:sz w:val="20"/>
          </w:rPr>
        </w:r>
        <w:r w:rsidRPr="00121829">
          <w:rPr>
            <w:noProof/>
            <w:webHidden/>
            <w:sz w:val="20"/>
          </w:rPr>
          <w:fldChar w:fldCharType="separate"/>
        </w:r>
        <w:r w:rsidR="00855EA3">
          <w:rPr>
            <w:noProof/>
            <w:webHidden/>
            <w:sz w:val="20"/>
          </w:rPr>
          <w:t>41</w:t>
        </w:r>
        <w:r w:rsidRPr="00121829">
          <w:rPr>
            <w:noProof/>
            <w:webHidden/>
            <w:sz w:val="20"/>
          </w:rPr>
          <w:fldChar w:fldCharType="end"/>
        </w:r>
      </w:hyperlink>
    </w:p>
    <w:p w14:paraId="046E5C6E" w14:textId="5E28B516" w:rsidR="00D3707E" w:rsidRPr="00121829" w:rsidRDefault="00D3707E">
      <w:pPr>
        <w:pStyle w:val="TOC2"/>
        <w:tabs>
          <w:tab w:val="left" w:pos="1077"/>
        </w:tabs>
        <w:rPr>
          <w:rFonts w:asciiTheme="minorHAnsi" w:eastAsiaTheme="minorEastAsia" w:hAnsiTheme="minorHAnsi" w:cstheme="minorBidi"/>
          <w:noProof/>
          <w:kern w:val="2"/>
          <w:sz w:val="20"/>
          <w:lang w:val="en-IE" w:eastAsia="en-IE"/>
          <w14:ligatures w14:val="standardContextual"/>
        </w:rPr>
      </w:pPr>
      <w:hyperlink w:anchor="_Toc227941849" w:history="1">
        <w:r w:rsidRPr="00121829">
          <w:rPr>
            <w:rStyle w:val="Hyperlink"/>
            <w:noProof/>
            <w:sz w:val="20"/>
          </w:rPr>
          <w:t>5.2</w:t>
        </w:r>
        <w:r w:rsidRPr="00121829">
          <w:rPr>
            <w:rFonts w:asciiTheme="minorHAnsi" w:eastAsiaTheme="minorEastAsia" w:hAnsiTheme="minorHAnsi" w:cstheme="minorBidi"/>
            <w:noProof/>
            <w:kern w:val="2"/>
            <w:sz w:val="20"/>
            <w:lang w:val="en-IE" w:eastAsia="en-IE"/>
            <w14:ligatures w14:val="standardContextual"/>
          </w:rPr>
          <w:tab/>
        </w:r>
        <w:r w:rsidRPr="00121829">
          <w:rPr>
            <w:rStyle w:val="Hyperlink"/>
            <w:noProof/>
            <w:sz w:val="20"/>
          </w:rPr>
          <w:t>Interventions on industrial enablers: measures and expected impacts</w:t>
        </w:r>
        <w:r w:rsidRPr="00121829">
          <w:rPr>
            <w:noProof/>
            <w:webHidden/>
            <w:sz w:val="20"/>
          </w:rPr>
          <w:tab/>
        </w:r>
        <w:r w:rsidRPr="00121829">
          <w:rPr>
            <w:noProof/>
            <w:webHidden/>
            <w:sz w:val="20"/>
          </w:rPr>
          <w:fldChar w:fldCharType="begin"/>
        </w:r>
        <w:r w:rsidRPr="00121829">
          <w:rPr>
            <w:noProof/>
            <w:webHidden/>
            <w:sz w:val="20"/>
          </w:rPr>
          <w:instrText xml:space="preserve"> PAGEREF _Toc227941849 \h </w:instrText>
        </w:r>
        <w:r w:rsidRPr="00121829">
          <w:rPr>
            <w:noProof/>
            <w:webHidden/>
            <w:sz w:val="20"/>
          </w:rPr>
        </w:r>
        <w:r w:rsidRPr="00121829">
          <w:rPr>
            <w:noProof/>
            <w:webHidden/>
            <w:sz w:val="20"/>
          </w:rPr>
          <w:fldChar w:fldCharType="separate"/>
        </w:r>
        <w:r w:rsidR="00855EA3">
          <w:rPr>
            <w:noProof/>
            <w:webHidden/>
            <w:sz w:val="20"/>
          </w:rPr>
          <w:t>73</w:t>
        </w:r>
        <w:r w:rsidRPr="00121829">
          <w:rPr>
            <w:noProof/>
            <w:webHidden/>
            <w:sz w:val="20"/>
          </w:rPr>
          <w:fldChar w:fldCharType="end"/>
        </w:r>
      </w:hyperlink>
    </w:p>
    <w:p w14:paraId="18DC9260" w14:textId="2DDE201A" w:rsidR="00D3707E" w:rsidRPr="00121829" w:rsidRDefault="00D3707E">
      <w:pPr>
        <w:pStyle w:val="TOC1"/>
        <w:rPr>
          <w:rFonts w:asciiTheme="minorHAnsi" w:eastAsiaTheme="minorEastAsia" w:hAnsiTheme="minorHAnsi" w:cstheme="minorBidi"/>
          <w:caps w:val="0"/>
          <w:noProof/>
          <w:kern w:val="2"/>
          <w:lang w:val="en-IE" w:eastAsia="en-IE"/>
          <w14:ligatures w14:val="standardContextual"/>
        </w:rPr>
      </w:pPr>
      <w:hyperlink w:anchor="_Toc227941850" w:history="1">
        <w:r w:rsidRPr="00121829">
          <w:rPr>
            <w:rStyle w:val="Hyperlink"/>
            <w:noProof/>
          </w:rPr>
          <w:t>6</w:t>
        </w:r>
        <w:r w:rsidRPr="00121829">
          <w:rPr>
            <w:rFonts w:asciiTheme="minorHAnsi" w:eastAsiaTheme="minorEastAsia" w:hAnsiTheme="minorHAnsi" w:cstheme="minorBidi"/>
            <w:caps w:val="0"/>
            <w:noProof/>
            <w:kern w:val="2"/>
            <w:lang w:val="en-IE" w:eastAsia="en-IE"/>
            <w14:ligatures w14:val="standardContextual"/>
          </w:rPr>
          <w:tab/>
        </w:r>
        <w:r w:rsidRPr="00121829">
          <w:rPr>
            <w:rStyle w:val="Hyperlink"/>
            <w:noProof/>
          </w:rPr>
          <w:t>Cumulative Economic, social, environmental and other impacts of the proposal</w:t>
        </w:r>
        <w:r w:rsidRPr="00121829">
          <w:rPr>
            <w:noProof/>
            <w:webHidden/>
          </w:rPr>
          <w:tab/>
        </w:r>
        <w:r w:rsidRPr="00121829">
          <w:rPr>
            <w:noProof/>
            <w:webHidden/>
          </w:rPr>
          <w:fldChar w:fldCharType="begin"/>
        </w:r>
        <w:r w:rsidRPr="00121829">
          <w:rPr>
            <w:noProof/>
            <w:webHidden/>
          </w:rPr>
          <w:instrText xml:space="preserve"> PAGEREF _Toc227941850 \h </w:instrText>
        </w:r>
        <w:r w:rsidRPr="00121829">
          <w:rPr>
            <w:noProof/>
            <w:webHidden/>
          </w:rPr>
        </w:r>
        <w:r w:rsidRPr="00121829">
          <w:rPr>
            <w:noProof/>
            <w:webHidden/>
          </w:rPr>
          <w:fldChar w:fldCharType="separate"/>
        </w:r>
        <w:r w:rsidR="00855EA3">
          <w:rPr>
            <w:noProof/>
            <w:webHidden/>
          </w:rPr>
          <w:t>107</w:t>
        </w:r>
        <w:r w:rsidRPr="00121829">
          <w:rPr>
            <w:noProof/>
            <w:webHidden/>
          </w:rPr>
          <w:fldChar w:fldCharType="end"/>
        </w:r>
      </w:hyperlink>
    </w:p>
    <w:p w14:paraId="60E81902" w14:textId="06E14AF6" w:rsidR="00D3707E" w:rsidRPr="00121829" w:rsidRDefault="00D3707E">
      <w:pPr>
        <w:pStyle w:val="TOC2"/>
        <w:tabs>
          <w:tab w:val="left" w:pos="1077"/>
        </w:tabs>
        <w:rPr>
          <w:rFonts w:asciiTheme="minorHAnsi" w:eastAsiaTheme="minorEastAsia" w:hAnsiTheme="minorHAnsi" w:cstheme="minorBidi"/>
          <w:noProof/>
          <w:kern w:val="2"/>
          <w:sz w:val="20"/>
          <w:lang w:val="en-IE" w:eastAsia="en-IE"/>
          <w14:ligatures w14:val="standardContextual"/>
        </w:rPr>
      </w:pPr>
      <w:hyperlink w:anchor="_Toc227941851" w:history="1">
        <w:r w:rsidRPr="00121829">
          <w:rPr>
            <w:rStyle w:val="Hyperlink"/>
            <w:noProof/>
            <w:sz w:val="20"/>
          </w:rPr>
          <w:t>6.1</w:t>
        </w:r>
        <w:r w:rsidRPr="00121829">
          <w:rPr>
            <w:rFonts w:asciiTheme="minorHAnsi" w:eastAsiaTheme="minorEastAsia" w:hAnsiTheme="minorHAnsi" w:cstheme="minorBidi"/>
            <w:noProof/>
            <w:kern w:val="2"/>
            <w:sz w:val="20"/>
            <w:lang w:val="en-IE" w:eastAsia="en-IE"/>
            <w14:ligatures w14:val="standardContextual"/>
          </w:rPr>
          <w:tab/>
        </w:r>
        <w:r w:rsidRPr="00121829">
          <w:rPr>
            <w:rStyle w:val="Hyperlink"/>
            <w:noProof/>
            <w:sz w:val="20"/>
          </w:rPr>
          <w:t>Regulatory simplification and administrative burden</w:t>
        </w:r>
        <w:r w:rsidRPr="00121829">
          <w:rPr>
            <w:noProof/>
            <w:webHidden/>
            <w:sz w:val="20"/>
          </w:rPr>
          <w:tab/>
        </w:r>
        <w:r w:rsidRPr="00121829">
          <w:rPr>
            <w:noProof/>
            <w:webHidden/>
            <w:sz w:val="20"/>
          </w:rPr>
          <w:fldChar w:fldCharType="begin"/>
        </w:r>
        <w:r w:rsidRPr="00121829">
          <w:rPr>
            <w:noProof/>
            <w:webHidden/>
            <w:sz w:val="20"/>
          </w:rPr>
          <w:instrText xml:space="preserve"> PAGEREF _Toc227941851 \h </w:instrText>
        </w:r>
        <w:r w:rsidRPr="00121829">
          <w:rPr>
            <w:noProof/>
            <w:webHidden/>
            <w:sz w:val="20"/>
          </w:rPr>
        </w:r>
        <w:r w:rsidRPr="00121829">
          <w:rPr>
            <w:noProof/>
            <w:webHidden/>
            <w:sz w:val="20"/>
          </w:rPr>
          <w:fldChar w:fldCharType="separate"/>
        </w:r>
        <w:r w:rsidR="00855EA3">
          <w:rPr>
            <w:noProof/>
            <w:webHidden/>
            <w:sz w:val="20"/>
          </w:rPr>
          <w:t>108</w:t>
        </w:r>
        <w:r w:rsidRPr="00121829">
          <w:rPr>
            <w:noProof/>
            <w:webHidden/>
            <w:sz w:val="20"/>
          </w:rPr>
          <w:fldChar w:fldCharType="end"/>
        </w:r>
      </w:hyperlink>
    </w:p>
    <w:p w14:paraId="43143B0B" w14:textId="2201A252" w:rsidR="00D3707E" w:rsidRPr="00121829" w:rsidRDefault="00D3707E">
      <w:pPr>
        <w:pStyle w:val="TOC2"/>
        <w:tabs>
          <w:tab w:val="left" w:pos="1077"/>
        </w:tabs>
        <w:rPr>
          <w:rFonts w:asciiTheme="minorHAnsi" w:eastAsiaTheme="minorEastAsia" w:hAnsiTheme="minorHAnsi" w:cstheme="minorBidi"/>
          <w:noProof/>
          <w:kern w:val="2"/>
          <w:sz w:val="20"/>
          <w:lang w:val="en-IE" w:eastAsia="en-IE"/>
          <w14:ligatures w14:val="standardContextual"/>
        </w:rPr>
      </w:pPr>
      <w:hyperlink w:anchor="_Toc227941853" w:history="1">
        <w:r w:rsidRPr="00121829">
          <w:rPr>
            <w:rStyle w:val="Hyperlink"/>
            <w:noProof/>
            <w:sz w:val="20"/>
          </w:rPr>
          <w:t>6.2</w:t>
        </w:r>
        <w:r w:rsidRPr="00121829">
          <w:rPr>
            <w:rFonts w:asciiTheme="minorHAnsi" w:eastAsiaTheme="minorEastAsia" w:hAnsiTheme="minorHAnsi" w:cstheme="minorBidi"/>
            <w:noProof/>
            <w:kern w:val="2"/>
            <w:sz w:val="20"/>
            <w:lang w:val="en-IE" w:eastAsia="en-IE"/>
            <w14:ligatures w14:val="standardContextual"/>
          </w:rPr>
          <w:tab/>
        </w:r>
        <w:r w:rsidRPr="00121829">
          <w:rPr>
            <w:rStyle w:val="Hyperlink"/>
            <w:noProof/>
            <w:sz w:val="20"/>
          </w:rPr>
          <w:t>Competitiveness and investment attractiveness</w:t>
        </w:r>
        <w:r w:rsidRPr="00121829">
          <w:rPr>
            <w:noProof/>
            <w:webHidden/>
            <w:sz w:val="20"/>
          </w:rPr>
          <w:tab/>
        </w:r>
        <w:r w:rsidRPr="00121829">
          <w:rPr>
            <w:noProof/>
            <w:webHidden/>
            <w:sz w:val="20"/>
          </w:rPr>
          <w:fldChar w:fldCharType="begin"/>
        </w:r>
        <w:r w:rsidRPr="00121829">
          <w:rPr>
            <w:noProof/>
            <w:webHidden/>
            <w:sz w:val="20"/>
          </w:rPr>
          <w:instrText xml:space="preserve"> PAGEREF _Toc227941853 \h </w:instrText>
        </w:r>
        <w:r w:rsidRPr="00121829">
          <w:rPr>
            <w:noProof/>
            <w:webHidden/>
            <w:sz w:val="20"/>
          </w:rPr>
        </w:r>
        <w:r w:rsidRPr="00121829">
          <w:rPr>
            <w:noProof/>
            <w:webHidden/>
            <w:sz w:val="20"/>
          </w:rPr>
          <w:fldChar w:fldCharType="separate"/>
        </w:r>
        <w:r w:rsidR="00855EA3">
          <w:rPr>
            <w:noProof/>
            <w:webHidden/>
            <w:sz w:val="20"/>
          </w:rPr>
          <w:t>111</w:t>
        </w:r>
        <w:r w:rsidRPr="00121829">
          <w:rPr>
            <w:noProof/>
            <w:webHidden/>
            <w:sz w:val="20"/>
          </w:rPr>
          <w:fldChar w:fldCharType="end"/>
        </w:r>
      </w:hyperlink>
    </w:p>
    <w:p w14:paraId="7A29DC40" w14:textId="2F8F42F9" w:rsidR="00D3707E" w:rsidRPr="00121829" w:rsidRDefault="00D3707E">
      <w:pPr>
        <w:pStyle w:val="TOC2"/>
        <w:tabs>
          <w:tab w:val="left" w:pos="1077"/>
        </w:tabs>
        <w:rPr>
          <w:rFonts w:asciiTheme="minorHAnsi" w:eastAsiaTheme="minorEastAsia" w:hAnsiTheme="minorHAnsi" w:cstheme="minorBidi"/>
          <w:noProof/>
          <w:kern w:val="2"/>
          <w:sz w:val="20"/>
          <w:lang w:val="en-IE" w:eastAsia="en-IE"/>
          <w14:ligatures w14:val="standardContextual"/>
        </w:rPr>
      </w:pPr>
      <w:hyperlink w:anchor="_Toc227941854" w:history="1">
        <w:r w:rsidRPr="00121829">
          <w:rPr>
            <w:rStyle w:val="Hyperlink"/>
            <w:noProof/>
            <w:sz w:val="20"/>
          </w:rPr>
          <w:t>6.3</w:t>
        </w:r>
        <w:r w:rsidRPr="00121829">
          <w:rPr>
            <w:rFonts w:asciiTheme="minorHAnsi" w:eastAsiaTheme="minorEastAsia" w:hAnsiTheme="minorHAnsi" w:cstheme="minorBidi"/>
            <w:noProof/>
            <w:kern w:val="2"/>
            <w:sz w:val="20"/>
            <w:lang w:val="en-IE" w:eastAsia="en-IE"/>
            <w14:ligatures w14:val="standardContextual"/>
          </w:rPr>
          <w:tab/>
        </w:r>
        <w:r w:rsidRPr="00121829">
          <w:rPr>
            <w:rStyle w:val="Hyperlink"/>
            <w:noProof/>
            <w:sz w:val="20"/>
          </w:rPr>
          <w:t>Innovation and research</w:t>
        </w:r>
        <w:r w:rsidRPr="00121829">
          <w:rPr>
            <w:noProof/>
            <w:webHidden/>
            <w:sz w:val="20"/>
          </w:rPr>
          <w:tab/>
        </w:r>
        <w:r w:rsidRPr="00121829">
          <w:rPr>
            <w:noProof/>
            <w:webHidden/>
            <w:sz w:val="20"/>
          </w:rPr>
          <w:fldChar w:fldCharType="begin"/>
        </w:r>
        <w:r w:rsidRPr="00121829">
          <w:rPr>
            <w:noProof/>
            <w:webHidden/>
            <w:sz w:val="20"/>
          </w:rPr>
          <w:instrText xml:space="preserve"> PAGEREF _Toc227941854 \h </w:instrText>
        </w:r>
        <w:r w:rsidRPr="00121829">
          <w:rPr>
            <w:noProof/>
            <w:webHidden/>
            <w:sz w:val="20"/>
          </w:rPr>
        </w:r>
        <w:r w:rsidRPr="00121829">
          <w:rPr>
            <w:noProof/>
            <w:webHidden/>
            <w:sz w:val="20"/>
          </w:rPr>
          <w:fldChar w:fldCharType="separate"/>
        </w:r>
        <w:r w:rsidR="00855EA3">
          <w:rPr>
            <w:noProof/>
            <w:webHidden/>
            <w:sz w:val="20"/>
          </w:rPr>
          <w:t>113</w:t>
        </w:r>
        <w:r w:rsidRPr="00121829">
          <w:rPr>
            <w:noProof/>
            <w:webHidden/>
            <w:sz w:val="20"/>
          </w:rPr>
          <w:fldChar w:fldCharType="end"/>
        </w:r>
      </w:hyperlink>
    </w:p>
    <w:p w14:paraId="32F3797D" w14:textId="4AC6F3D5" w:rsidR="00D3707E" w:rsidRPr="00121829" w:rsidRDefault="00D3707E">
      <w:pPr>
        <w:pStyle w:val="TOC2"/>
        <w:tabs>
          <w:tab w:val="left" w:pos="1077"/>
        </w:tabs>
        <w:rPr>
          <w:rFonts w:asciiTheme="minorHAnsi" w:eastAsiaTheme="minorEastAsia" w:hAnsiTheme="minorHAnsi" w:cstheme="minorBidi"/>
          <w:noProof/>
          <w:kern w:val="2"/>
          <w:sz w:val="20"/>
          <w:lang w:val="en-IE" w:eastAsia="en-IE"/>
          <w14:ligatures w14:val="standardContextual"/>
        </w:rPr>
      </w:pPr>
      <w:hyperlink w:anchor="_Toc227941855" w:history="1">
        <w:r w:rsidRPr="00121829">
          <w:rPr>
            <w:rStyle w:val="Hyperlink"/>
            <w:noProof/>
            <w:sz w:val="20"/>
          </w:rPr>
          <w:t>6.4</w:t>
        </w:r>
        <w:r w:rsidRPr="00121829">
          <w:rPr>
            <w:rFonts w:asciiTheme="minorHAnsi" w:eastAsiaTheme="minorEastAsia" w:hAnsiTheme="minorHAnsi" w:cstheme="minorBidi"/>
            <w:noProof/>
            <w:kern w:val="2"/>
            <w:sz w:val="20"/>
            <w:lang w:val="en-IE" w:eastAsia="en-IE"/>
            <w14:ligatures w14:val="standardContextual"/>
          </w:rPr>
          <w:tab/>
        </w:r>
        <w:r w:rsidRPr="00121829">
          <w:rPr>
            <w:rStyle w:val="Hyperlink"/>
            <w:noProof/>
            <w:sz w:val="20"/>
          </w:rPr>
          <w:t>Public health and safety</w:t>
        </w:r>
        <w:r w:rsidRPr="00121829">
          <w:rPr>
            <w:noProof/>
            <w:webHidden/>
            <w:sz w:val="20"/>
          </w:rPr>
          <w:tab/>
        </w:r>
        <w:r w:rsidRPr="00121829">
          <w:rPr>
            <w:noProof/>
            <w:webHidden/>
            <w:sz w:val="20"/>
          </w:rPr>
          <w:fldChar w:fldCharType="begin"/>
        </w:r>
        <w:r w:rsidRPr="00121829">
          <w:rPr>
            <w:noProof/>
            <w:webHidden/>
            <w:sz w:val="20"/>
          </w:rPr>
          <w:instrText xml:space="preserve"> PAGEREF _Toc227941855 \h </w:instrText>
        </w:r>
        <w:r w:rsidRPr="00121829">
          <w:rPr>
            <w:noProof/>
            <w:webHidden/>
            <w:sz w:val="20"/>
          </w:rPr>
        </w:r>
        <w:r w:rsidRPr="00121829">
          <w:rPr>
            <w:noProof/>
            <w:webHidden/>
            <w:sz w:val="20"/>
          </w:rPr>
          <w:fldChar w:fldCharType="separate"/>
        </w:r>
        <w:r w:rsidR="00855EA3">
          <w:rPr>
            <w:noProof/>
            <w:webHidden/>
            <w:sz w:val="20"/>
          </w:rPr>
          <w:t>115</w:t>
        </w:r>
        <w:r w:rsidRPr="00121829">
          <w:rPr>
            <w:noProof/>
            <w:webHidden/>
            <w:sz w:val="20"/>
          </w:rPr>
          <w:fldChar w:fldCharType="end"/>
        </w:r>
      </w:hyperlink>
    </w:p>
    <w:p w14:paraId="41887C2A" w14:textId="668F3FF0" w:rsidR="00D3707E" w:rsidRPr="00121829" w:rsidRDefault="00D3707E">
      <w:pPr>
        <w:pStyle w:val="TOC2"/>
        <w:tabs>
          <w:tab w:val="left" w:pos="1077"/>
        </w:tabs>
        <w:rPr>
          <w:rFonts w:asciiTheme="minorHAnsi" w:eastAsiaTheme="minorEastAsia" w:hAnsiTheme="minorHAnsi" w:cstheme="minorBidi"/>
          <w:noProof/>
          <w:kern w:val="2"/>
          <w:sz w:val="20"/>
          <w:lang w:val="en-IE" w:eastAsia="en-IE"/>
          <w14:ligatures w14:val="standardContextual"/>
        </w:rPr>
      </w:pPr>
      <w:hyperlink w:anchor="_Toc227941856" w:history="1">
        <w:r w:rsidRPr="00121829">
          <w:rPr>
            <w:rStyle w:val="Hyperlink"/>
            <w:noProof/>
            <w:sz w:val="20"/>
          </w:rPr>
          <w:t>6.5</w:t>
        </w:r>
        <w:r w:rsidRPr="00121829">
          <w:rPr>
            <w:rFonts w:asciiTheme="minorHAnsi" w:eastAsiaTheme="minorEastAsia" w:hAnsiTheme="minorHAnsi" w:cstheme="minorBidi"/>
            <w:noProof/>
            <w:kern w:val="2"/>
            <w:sz w:val="20"/>
            <w:lang w:val="en-IE" w:eastAsia="en-IE"/>
            <w14:ligatures w14:val="standardContextual"/>
          </w:rPr>
          <w:tab/>
        </w:r>
        <w:r w:rsidRPr="00121829">
          <w:rPr>
            <w:rStyle w:val="Hyperlink"/>
            <w:noProof/>
            <w:sz w:val="20"/>
          </w:rPr>
          <w:t>Environmental impacts</w:t>
        </w:r>
        <w:r w:rsidRPr="00121829">
          <w:rPr>
            <w:noProof/>
            <w:webHidden/>
            <w:sz w:val="20"/>
          </w:rPr>
          <w:tab/>
        </w:r>
        <w:r w:rsidRPr="00121829">
          <w:rPr>
            <w:noProof/>
            <w:webHidden/>
            <w:sz w:val="20"/>
          </w:rPr>
          <w:fldChar w:fldCharType="begin"/>
        </w:r>
        <w:r w:rsidRPr="00121829">
          <w:rPr>
            <w:noProof/>
            <w:webHidden/>
            <w:sz w:val="20"/>
          </w:rPr>
          <w:instrText xml:space="preserve"> PAGEREF _Toc227941856 \h </w:instrText>
        </w:r>
        <w:r w:rsidRPr="00121829">
          <w:rPr>
            <w:noProof/>
            <w:webHidden/>
            <w:sz w:val="20"/>
          </w:rPr>
        </w:r>
        <w:r w:rsidRPr="00121829">
          <w:rPr>
            <w:noProof/>
            <w:webHidden/>
            <w:sz w:val="20"/>
          </w:rPr>
          <w:fldChar w:fldCharType="separate"/>
        </w:r>
        <w:r w:rsidR="00855EA3">
          <w:rPr>
            <w:noProof/>
            <w:webHidden/>
            <w:sz w:val="20"/>
          </w:rPr>
          <w:t>116</w:t>
        </w:r>
        <w:r w:rsidRPr="00121829">
          <w:rPr>
            <w:noProof/>
            <w:webHidden/>
            <w:sz w:val="20"/>
          </w:rPr>
          <w:fldChar w:fldCharType="end"/>
        </w:r>
      </w:hyperlink>
    </w:p>
    <w:p w14:paraId="2C10233D" w14:textId="5DD4DEB4" w:rsidR="00D3707E" w:rsidRPr="00121829" w:rsidRDefault="00D3707E">
      <w:pPr>
        <w:pStyle w:val="TOC2"/>
        <w:tabs>
          <w:tab w:val="left" w:pos="1077"/>
        </w:tabs>
        <w:rPr>
          <w:rFonts w:asciiTheme="minorHAnsi" w:eastAsiaTheme="minorEastAsia" w:hAnsiTheme="minorHAnsi" w:cstheme="minorBidi"/>
          <w:noProof/>
          <w:kern w:val="2"/>
          <w:sz w:val="20"/>
          <w:lang w:val="en-IE" w:eastAsia="en-IE"/>
          <w14:ligatures w14:val="standardContextual"/>
        </w:rPr>
      </w:pPr>
      <w:hyperlink w:anchor="_Toc227941857" w:history="1">
        <w:r w:rsidRPr="00121829">
          <w:rPr>
            <w:rStyle w:val="Hyperlink"/>
            <w:noProof/>
            <w:sz w:val="20"/>
          </w:rPr>
          <w:t>6.6</w:t>
        </w:r>
        <w:r w:rsidRPr="00121829">
          <w:rPr>
            <w:rFonts w:asciiTheme="minorHAnsi" w:eastAsiaTheme="minorEastAsia" w:hAnsiTheme="minorHAnsi" w:cstheme="minorBidi"/>
            <w:noProof/>
            <w:kern w:val="2"/>
            <w:sz w:val="20"/>
            <w:lang w:val="en-IE" w:eastAsia="en-IE"/>
            <w14:ligatures w14:val="standardContextual"/>
          </w:rPr>
          <w:tab/>
        </w:r>
        <w:r w:rsidRPr="00121829">
          <w:rPr>
            <w:rStyle w:val="Hyperlink"/>
            <w:noProof/>
            <w:sz w:val="20"/>
          </w:rPr>
          <w:t>Digital by default principle</w:t>
        </w:r>
        <w:r w:rsidRPr="00121829">
          <w:rPr>
            <w:noProof/>
            <w:webHidden/>
            <w:sz w:val="20"/>
          </w:rPr>
          <w:tab/>
        </w:r>
        <w:r w:rsidRPr="00121829">
          <w:rPr>
            <w:noProof/>
            <w:webHidden/>
            <w:sz w:val="20"/>
          </w:rPr>
          <w:fldChar w:fldCharType="begin"/>
        </w:r>
        <w:r w:rsidRPr="00121829">
          <w:rPr>
            <w:noProof/>
            <w:webHidden/>
            <w:sz w:val="20"/>
          </w:rPr>
          <w:instrText xml:space="preserve"> PAGEREF _Toc227941857 \h </w:instrText>
        </w:r>
        <w:r w:rsidRPr="00121829">
          <w:rPr>
            <w:noProof/>
            <w:webHidden/>
            <w:sz w:val="20"/>
          </w:rPr>
        </w:r>
        <w:r w:rsidRPr="00121829">
          <w:rPr>
            <w:noProof/>
            <w:webHidden/>
            <w:sz w:val="20"/>
          </w:rPr>
          <w:fldChar w:fldCharType="separate"/>
        </w:r>
        <w:r w:rsidR="00855EA3">
          <w:rPr>
            <w:noProof/>
            <w:webHidden/>
            <w:sz w:val="20"/>
          </w:rPr>
          <w:t>117</w:t>
        </w:r>
        <w:r w:rsidRPr="00121829">
          <w:rPr>
            <w:noProof/>
            <w:webHidden/>
            <w:sz w:val="20"/>
          </w:rPr>
          <w:fldChar w:fldCharType="end"/>
        </w:r>
      </w:hyperlink>
    </w:p>
    <w:p w14:paraId="022495AF" w14:textId="32382679" w:rsidR="00D3707E" w:rsidRPr="00121829" w:rsidRDefault="00D3707E">
      <w:pPr>
        <w:pStyle w:val="TOC1"/>
        <w:rPr>
          <w:rStyle w:val="Hyperlink"/>
          <w:noProof/>
        </w:rPr>
      </w:pPr>
      <w:hyperlink w:anchor="_Toc227941859" w:history="1">
        <w:r w:rsidRPr="00121829">
          <w:rPr>
            <w:rStyle w:val="Hyperlink"/>
            <w:rFonts w:eastAsiaTheme="minorHAnsi"/>
            <w:noProof/>
          </w:rPr>
          <w:t>7</w:t>
        </w:r>
        <w:r w:rsidRPr="00121829">
          <w:rPr>
            <w:rFonts w:asciiTheme="minorHAnsi" w:eastAsiaTheme="minorEastAsia" w:hAnsiTheme="minorHAnsi" w:cstheme="minorBidi"/>
            <w:caps w:val="0"/>
            <w:noProof/>
            <w:kern w:val="2"/>
            <w:lang w:val="en-IE" w:eastAsia="en-IE"/>
            <w14:ligatures w14:val="standardContextual"/>
          </w:rPr>
          <w:tab/>
        </w:r>
        <w:r w:rsidRPr="00121829">
          <w:rPr>
            <w:rStyle w:val="Hyperlink"/>
            <w:rFonts w:eastAsiaTheme="minorHAnsi"/>
            <w:noProof/>
          </w:rPr>
          <w:t>Monitoring and evaluation</w:t>
        </w:r>
        <w:r w:rsidRPr="00121829">
          <w:rPr>
            <w:noProof/>
            <w:webHidden/>
          </w:rPr>
          <w:tab/>
        </w:r>
        <w:r w:rsidRPr="00121829">
          <w:rPr>
            <w:noProof/>
            <w:webHidden/>
          </w:rPr>
          <w:fldChar w:fldCharType="begin"/>
        </w:r>
        <w:r w:rsidRPr="00121829">
          <w:rPr>
            <w:noProof/>
            <w:webHidden/>
          </w:rPr>
          <w:instrText xml:space="preserve"> PAGEREF _Toc227941859 \h </w:instrText>
        </w:r>
        <w:r w:rsidRPr="00121829">
          <w:rPr>
            <w:noProof/>
            <w:webHidden/>
          </w:rPr>
        </w:r>
        <w:r w:rsidRPr="00121829">
          <w:rPr>
            <w:noProof/>
            <w:webHidden/>
          </w:rPr>
          <w:fldChar w:fldCharType="separate"/>
        </w:r>
        <w:r w:rsidR="00855EA3">
          <w:rPr>
            <w:noProof/>
            <w:webHidden/>
          </w:rPr>
          <w:t>117</w:t>
        </w:r>
        <w:r w:rsidRPr="00121829">
          <w:rPr>
            <w:noProof/>
            <w:webHidden/>
          </w:rPr>
          <w:fldChar w:fldCharType="end"/>
        </w:r>
      </w:hyperlink>
    </w:p>
    <w:p w14:paraId="63587BF9" w14:textId="530DDE4F" w:rsidR="00D21D8A" w:rsidRPr="00121829" w:rsidRDefault="00D21D8A" w:rsidP="00D21D8A">
      <w:pPr>
        <w:rPr>
          <w:noProof/>
          <w:sz w:val="20"/>
          <w:szCs w:val="20"/>
        </w:rPr>
      </w:pPr>
      <w:r w:rsidRPr="00137F71">
        <w:rPr>
          <w:b/>
          <w:bCs/>
          <w:noProof/>
          <w:sz w:val="20"/>
          <w:szCs w:val="20"/>
        </w:rPr>
        <w:t>ANNEXES</w:t>
      </w:r>
      <w:r w:rsidRPr="00121829">
        <w:rPr>
          <w:noProof/>
          <w:sz w:val="20"/>
          <w:szCs w:val="20"/>
        </w:rPr>
        <w:t xml:space="preserve">: </w:t>
      </w:r>
    </w:p>
    <w:p w14:paraId="35DCD87B" w14:textId="43AC9E46" w:rsidR="00232DDD" w:rsidRPr="00CD4A81" w:rsidRDefault="00D3707E" w:rsidP="00232DDD">
      <w:pPr>
        <w:pStyle w:val="TOC1"/>
        <w:rPr>
          <w:rFonts w:asciiTheme="minorHAnsi" w:eastAsiaTheme="minorEastAsia" w:hAnsiTheme="minorHAnsi" w:cstheme="minorBidi"/>
          <w:caps w:val="0"/>
          <w:noProof/>
          <w:kern w:val="2"/>
          <w:sz w:val="18"/>
          <w:szCs w:val="18"/>
          <w:lang w:val="en-IE" w:eastAsia="en-IE"/>
          <w14:ligatures w14:val="standardContextual"/>
        </w:rPr>
      </w:pPr>
      <w:r w:rsidRPr="00121829">
        <w:fldChar w:fldCharType="end"/>
      </w:r>
      <w:r w:rsidR="00232DDD" w:rsidRPr="00CD4A81">
        <w:rPr>
          <w:sz w:val="18"/>
          <w:szCs w:val="18"/>
        </w:rPr>
        <w:fldChar w:fldCharType="begin"/>
      </w:r>
      <w:r w:rsidR="00232DDD" w:rsidRPr="00CD4A81">
        <w:rPr>
          <w:sz w:val="18"/>
          <w:szCs w:val="18"/>
        </w:rPr>
        <w:instrText xml:space="preserve"> TOC \o "1-1" \h \z \t "Heading 2;2;Heading 3;3;Annex Title;1" </w:instrText>
      </w:r>
      <w:r w:rsidR="00232DDD" w:rsidRPr="00CD4A81">
        <w:rPr>
          <w:sz w:val="18"/>
          <w:szCs w:val="18"/>
        </w:rPr>
        <w:fldChar w:fldCharType="separate"/>
      </w:r>
      <w:hyperlink w:anchor="_Toc225979060" w:history="1">
        <w:r w:rsidR="00232DDD" w:rsidRPr="00CD4A81">
          <w:rPr>
            <w:rStyle w:val="Hyperlink"/>
            <w:noProof/>
            <w:sz w:val="18"/>
            <w:szCs w:val="18"/>
          </w:rPr>
          <w:t>Annex 1: Procedural information</w:t>
        </w:r>
      </w:hyperlink>
    </w:p>
    <w:p w14:paraId="7469B3B5" w14:textId="5040AA16" w:rsidR="00232DDD" w:rsidRPr="00CD4A81" w:rsidRDefault="00232DDD" w:rsidP="00232DDD">
      <w:pPr>
        <w:pStyle w:val="TOC1"/>
        <w:rPr>
          <w:rFonts w:asciiTheme="minorHAnsi" w:eastAsiaTheme="minorEastAsia" w:hAnsiTheme="minorHAnsi" w:cstheme="minorBidi"/>
          <w:caps w:val="0"/>
          <w:noProof/>
          <w:kern w:val="2"/>
          <w:sz w:val="18"/>
          <w:szCs w:val="18"/>
          <w:lang w:val="en-IE" w:eastAsia="en-IE"/>
          <w14:ligatures w14:val="standardContextual"/>
        </w:rPr>
      </w:pPr>
      <w:hyperlink w:anchor="_Toc225979065" w:history="1">
        <w:r w:rsidRPr="00CD4A81">
          <w:rPr>
            <w:rStyle w:val="Hyperlink"/>
            <w:noProof/>
            <w:sz w:val="18"/>
            <w:szCs w:val="18"/>
          </w:rPr>
          <w:t>Annex 2: Stakeholder consultation</w:t>
        </w:r>
      </w:hyperlink>
    </w:p>
    <w:p w14:paraId="16201C78" w14:textId="77C17CCA" w:rsidR="00232DDD" w:rsidRPr="00CD4A81" w:rsidRDefault="00232DDD" w:rsidP="00232DDD">
      <w:pPr>
        <w:pStyle w:val="TOC1"/>
        <w:rPr>
          <w:rFonts w:asciiTheme="minorHAnsi" w:eastAsiaTheme="minorEastAsia" w:hAnsiTheme="minorHAnsi" w:cstheme="minorBidi"/>
          <w:caps w:val="0"/>
          <w:noProof/>
          <w:kern w:val="2"/>
          <w:sz w:val="18"/>
          <w:szCs w:val="18"/>
          <w:lang w:val="en-IE" w:eastAsia="en-IE"/>
          <w14:ligatures w14:val="standardContextual"/>
        </w:rPr>
      </w:pPr>
      <w:hyperlink w:anchor="_Toc225979079" w:history="1">
        <w:r w:rsidRPr="00CD4A81">
          <w:rPr>
            <w:rStyle w:val="Hyperlink"/>
            <w:noProof/>
            <w:sz w:val="18"/>
            <w:szCs w:val="18"/>
          </w:rPr>
          <w:t>Annex 3: Who is affected and how?</w:t>
        </w:r>
      </w:hyperlink>
      <w:r w:rsidRPr="00CD4A81">
        <w:rPr>
          <w:rFonts w:asciiTheme="minorHAnsi" w:eastAsiaTheme="minorEastAsia" w:hAnsiTheme="minorHAnsi" w:cstheme="minorBidi"/>
          <w:caps w:val="0"/>
          <w:noProof/>
          <w:kern w:val="2"/>
          <w:sz w:val="18"/>
          <w:szCs w:val="18"/>
          <w:lang w:val="en-IE" w:eastAsia="en-IE"/>
          <w14:ligatures w14:val="standardContextual"/>
        </w:rPr>
        <w:t xml:space="preserve"> </w:t>
      </w:r>
    </w:p>
    <w:p w14:paraId="68F0E8DB" w14:textId="54DD4885" w:rsidR="00232DDD" w:rsidRPr="00CD4A81" w:rsidRDefault="00232DDD" w:rsidP="00232DDD">
      <w:pPr>
        <w:pStyle w:val="TOC1"/>
        <w:rPr>
          <w:rFonts w:asciiTheme="minorHAnsi" w:eastAsiaTheme="minorEastAsia" w:hAnsiTheme="minorHAnsi" w:cstheme="minorBidi"/>
          <w:caps w:val="0"/>
          <w:noProof/>
          <w:kern w:val="2"/>
          <w:sz w:val="18"/>
          <w:szCs w:val="18"/>
          <w:lang w:val="en-IE" w:eastAsia="en-IE"/>
          <w14:ligatures w14:val="standardContextual"/>
        </w:rPr>
      </w:pPr>
      <w:hyperlink w:anchor="_Toc225979083" w:history="1">
        <w:r w:rsidRPr="00CD4A81">
          <w:rPr>
            <w:rStyle w:val="Hyperlink"/>
            <w:noProof/>
            <w:sz w:val="18"/>
            <w:szCs w:val="18"/>
          </w:rPr>
          <w:t>Annex 4: Analytical methods</w:t>
        </w:r>
      </w:hyperlink>
    </w:p>
    <w:p w14:paraId="7D21FB69" w14:textId="4833E8F6" w:rsidR="00232DDD" w:rsidRPr="00CD4A81" w:rsidRDefault="00232DDD" w:rsidP="00232DDD">
      <w:pPr>
        <w:pStyle w:val="TOC1"/>
        <w:rPr>
          <w:rFonts w:asciiTheme="minorHAnsi" w:eastAsiaTheme="minorEastAsia" w:hAnsiTheme="minorHAnsi" w:cstheme="minorBidi"/>
          <w:caps w:val="0"/>
          <w:noProof/>
          <w:kern w:val="2"/>
          <w:sz w:val="18"/>
          <w:szCs w:val="18"/>
          <w:lang w:val="en-IE" w:eastAsia="en-IE"/>
          <w14:ligatures w14:val="standardContextual"/>
        </w:rPr>
      </w:pPr>
      <w:hyperlink w:anchor="_Toc225979109" w:history="1">
        <w:r w:rsidRPr="00CD4A81">
          <w:rPr>
            <w:rStyle w:val="Hyperlink"/>
            <w:noProof/>
            <w:sz w:val="18"/>
            <w:szCs w:val="18"/>
          </w:rPr>
          <w:t>Annex 5: Additional information on background on the sector and problem definition</w:t>
        </w:r>
      </w:hyperlink>
    </w:p>
    <w:p w14:paraId="1BB6F3E4" w14:textId="0A7D0C9F" w:rsidR="00232DDD" w:rsidRPr="00CD4A81" w:rsidRDefault="00232DDD" w:rsidP="00232DDD">
      <w:pPr>
        <w:pStyle w:val="TOC1"/>
        <w:rPr>
          <w:rFonts w:asciiTheme="minorHAnsi" w:eastAsiaTheme="minorEastAsia" w:hAnsiTheme="minorHAnsi" w:cstheme="minorBidi"/>
          <w:caps w:val="0"/>
          <w:noProof/>
          <w:kern w:val="2"/>
          <w:sz w:val="18"/>
          <w:szCs w:val="18"/>
          <w:lang w:val="en-IE" w:eastAsia="en-IE"/>
          <w14:ligatures w14:val="standardContextual"/>
        </w:rPr>
      </w:pPr>
      <w:hyperlink w:anchor="_Toc225979122" w:history="1">
        <w:r w:rsidRPr="00CD4A81">
          <w:rPr>
            <w:rStyle w:val="Hyperlink"/>
            <w:noProof/>
            <w:sz w:val="18"/>
            <w:szCs w:val="18"/>
          </w:rPr>
          <w:t>Annex 6: Overview of the proposed measures and articles of the proposed regulation and directive</w:t>
        </w:r>
      </w:hyperlink>
    </w:p>
    <w:p w14:paraId="54B73856" w14:textId="2B5DAA92" w:rsidR="00232DDD" w:rsidRPr="00CD4A81" w:rsidRDefault="00232DDD" w:rsidP="00232DDD">
      <w:pPr>
        <w:pStyle w:val="TOC1"/>
        <w:rPr>
          <w:sz w:val="18"/>
          <w:szCs w:val="18"/>
        </w:rPr>
      </w:pPr>
      <w:hyperlink w:anchor="_Toc225979123" w:history="1">
        <w:r w:rsidRPr="00CD4A81">
          <w:rPr>
            <w:rStyle w:val="Hyperlink"/>
            <w:noProof/>
            <w:sz w:val="18"/>
            <w:szCs w:val="18"/>
          </w:rPr>
          <w:t>Annex 7: Additional information on measures and expected impacts</w:t>
        </w:r>
      </w:hyperlink>
    </w:p>
    <w:p w14:paraId="67EA956F" w14:textId="2E35BFC8" w:rsidR="00730C25" w:rsidRPr="00CD4A81" w:rsidRDefault="00730C25" w:rsidP="00730C25">
      <w:pPr>
        <w:pStyle w:val="TOC1"/>
        <w:rPr>
          <w:sz w:val="18"/>
          <w:szCs w:val="18"/>
        </w:rPr>
      </w:pPr>
      <w:hyperlink w:anchor="_Toc225979123" w:history="1">
        <w:r w:rsidRPr="00CD4A81">
          <w:rPr>
            <w:rStyle w:val="Hyperlink"/>
            <w:noProof/>
            <w:sz w:val="18"/>
            <w:szCs w:val="18"/>
          </w:rPr>
          <w:t xml:space="preserve">Annex 8: </w:t>
        </w:r>
        <w:r w:rsidR="007B0EC5" w:rsidRPr="00CD4A81">
          <w:rPr>
            <w:rStyle w:val="Hyperlink"/>
            <w:noProof/>
            <w:sz w:val="18"/>
            <w:szCs w:val="18"/>
          </w:rPr>
          <w:t>COMPETITIVENESS CHECK</w:t>
        </w:r>
      </w:hyperlink>
    </w:p>
    <w:p w14:paraId="553A7D58" w14:textId="315AE648" w:rsidR="00232DDD" w:rsidRPr="00CD4A81" w:rsidRDefault="00232DDD" w:rsidP="00232DDD">
      <w:pPr>
        <w:pStyle w:val="TOC1"/>
        <w:rPr>
          <w:rFonts w:asciiTheme="minorHAnsi" w:eastAsiaTheme="minorEastAsia" w:hAnsiTheme="minorHAnsi" w:cstheme="minorBidi"/>
          <w:caps w:val="0"/>
          <w:noProof/>
          <w:kern w:val="2"/>
          <w:sz w:val="18"/>
          <w:szCs w:val="18"/>
          <w:lang w:val="en-IE" w:eastAsia="en-IE"/>
          <w14:ligatures w14:val="standardContextual"/>
        </w:rPr>
      </w:pPr>
      <w:hyperlink w:anchor="_Toc225979176" w:history="1">
        <w:r w:rsidRPr="00CD4A81">
          <w:rPr>
            <w:rStyle w:val="Hyperlink"/>
            <w:noProof/>
            <w:sz w:val="18"/>
            <w:szCs w:val="18"/>
          </w:rPr>
          <w:t>Annex 9: SME check</w:t>
        </w:r>
      </w:hyperlink>
    </w:p>
    <w:p w14:paraId="6F8771C2" w14:textId="2F853FFC" w:rsidR="006B087E" w:rsidRPr="00CF1AA5" w:rsidRDefault="00232DDD" w:rsidP="000E3086">
      <w:pPr>
        <w:rPr>
          <w:b/>
        </w:rPr>
      </w:pPr>
      <w:r w:rsidRPr="00CD4A81">
        <w:rPr>
          <w:sz w:val="18"/>
          <w:szCs w:val="18"/>
        </w:rPr>
        <w:lastRenderedPageBreak/>
        <w:fldChar w:fldCharType="end"/>
      </w:r>
      <w:r w:rsidR="006B087E" w:rsidRPr="00CF1AA5">
        <w:rPr>
          <w:b/>
        </w:rPr>
        <w:t>Glossary</w:t>
      </w:r>
    </w:p>
    <w:tbl>
      <w:tblPr>
        <w:tblStyle w:val="TableGrid"/>
        <w:tblW w:w="9722" w:type="dxa"/>
        <w:tblLook w:val="04A0" w:firstRow="1" w:lastRow="0" w:firstColumn="1" w:lastColumn="0" w:noHBand="0" w:noVBand="1"/>
      </w:tblPr>
      <w:tblGrid>
        <w:gridCol w:w="3212"/>
        <w:gridCol w:w="6510"/>
      </w:tblGrid>
      <w:tr w:rsidR="000D4D33" w:rsidRPr="00DD0CE5" w14:paraId="48A84B8A" w14:textId="77777777" w:rsidTr="0BC6AA8E">
        <w:tc>
          <w:tcPr>
            <w:tcW w:w="3212" w:type="dxa"/>
            <w:tcBorders>
              <w:top w:val="double" w:sz="4" w:space="0" w:color="auto"/>
            </w:tcBorders>
            <w:tcMar>
              <w:top w:w="85" w:type="dxa"/>
              <w:left w:w="57" w:type="dxa"/>
              <w:bottom w:w="85" w:type="dxa"/>
              <w:right w:w="57" w:type="dxa"/>
            </w:tcMar>
            <w:vAlign w:val="center"/>
          </w:tcPr>
          <w:p w14:paraId="3B564040" w14:textId="22EEBA62" w:rsidR="000D4D33" w:rsidRPr="00CF1AA5" w:rsidRDefault="00006AD9" w:rsidP="000E3086">
            <w:pPr>
              <w:rPr>
                <w:b/>
              </w:rPr>
            </w:pPr>
            <w:r w:rsidRPr="00CF1AA5">
              <w:rPr>
                <w:b/>
              </w:rPr>
              <w:t>Term or acronym</w:t>
            </w:r>
          </w:p>
        </w:tc>
        <w:tc>
          <w:tcPr>
            <w:tcW w:w="6510" w:type="dxa"/>
            <w:tcBorders>
              <w:top w:val="double" w:sz="4" w:space="0" w:color="auto"/>
            </w:tcBorders>
            <w:tcMar>
              <w:top w:w="85" w:type="dxa"/>
              <w:left w:w="57" w:type="dxa"/>
              <w:bottom w:w="85" w:type="dxa"/>
              <w:right w:w="57" w:type="dxa"/>
            </w:tcMar>
            <w:vAlign w:val="center"/>
          </w:tcPr>
          <w:p w14:paraId="76EBA1BA" w14:textId="79093FD4" w:rsidR="000D4D33" w:rsidRPr="00CF1AA5" w:rsidRDefault="00006AD9" w:rsidP="000E3086">
            <w:pPr>
              <w:rPr>
                <w:b/>
                <w:color w:val="000000" w:themeColor="text1"/>
              </w:rPr>
            </w:pPr>
            <w:r w:rsidRPr="00CF1AA5">
              <w:rPr>
                <w:b/>
              </w:rPr>
              <w:t>Meaning or definition</w:t>
            </w:r>
          </w:p>
        </w:tc>
      </w:tr>
      <w:tr w:rsidR="00006AD9" w:rsidRPr="00DD0CE5" w14:paraId="14EB5C2D" w14:textId="77777777" w:rsidTr="0BC6AA8E">
        <w:tc>
          <w:tcPr>
            <w:tcW w:w="3212" w:type="dxa"/>
            <w:tcBorders>
              <w:top w:val="double" w:sz="4" w:space="0" w:color="auto"/>
            </w:tcBorders>
            <w:tcMar>
              <w:top w:w="85" w:type="dxa"/>
              <w:left w:w="57" w:type="dxa"/>
              <w:bottom w:w="85" w:type="dxa"/>
              <w:right w:w="57" w:type="dxa"/>
            </w:tcMar>
          </w:tcPr>
          <w:p w14:paraId="2E60066E" w14:textId="646667C1" w:rsidR="00006AD9" w:rsidRPr="00DD0CE5" w:rsidRDefault="00006AD9" w:rsidP="0093174F">
            <w:r w:rsidRPr="00DD0CE5">
              <w:t>AI</w:t>
            </w:r>
          </w:p>
        </w:tc>
        <w:tc>
          <w:tcPr>
            <w:tcW w:w="6510" w:type="dxa"/>
            <w:tcBorders>
              <w:top w:val="double" w:sz="4" w:space="0" w:color="auto"/>
            </w:tcBorders>
            <w:tcMar>
              <w:top w:w="85" w:type="dxa"/>
              <w:left w:w="57" w:type="dxa"/>
              <w:bottom w:w="85" w:type="dxa"/>
              <w:right w:w="57" w:type="dxa"/>
            </w:tcMar>
          </w:tcPr>
          <w:p w14:paraId="34E37424" w14:textId="47A73290" w:rsidR="00006AD9" w:rsidRPr="0093174F" w:rsidRDefault="00006AD9" w:rsidP="0093174F">
            <w:r w:rsidRPr="00DD0CE5">
              <w:t>Artificial Intelligence</w:t>
            </w:r>
          </w:p>
        </w:tc>
      </w:tr>
      <w:tr w:rsidR="00006AD9" w:rsidRPr="00DD0CE5" w14:paraId="5FD2B5D2" w14:textId="77777777" w:rsidTr="0BC6AA8E">
        <w:tc>
          <w:tcPr>
            <w:tcW w:w="3212" w:type="dxa"/>
            <w:tcMar>
              <w:top w:w="85" w:type="dxa"/>
              <w:left w:w="57" w:type="dxa"/>
              <w:bottom w:w="85" w:type="dxa"/>
              <w:right w:w="57" w:type="dxa"/>
            </w:tcMar>
          </w:tcPr>
          <w:p w14:paraId="5E0F3CA3" w14:textId="744B9F91" w:rsidR="00006AD9" w:rsidRPr="00DD0CE5" w:rsidRDefault="00006AD9" w:rsidP="0093174F">
            <w:r w:rsidRPr="00DD0CE5">
              <w:t>ATMP</w:t>
            </w:r>
          </w:p>
        </w:tc>
        <w:tc>
          <w:tcPr>
            <w:tcW w:w="6510" w:type="dxa"/>
            <w:tcMar>
              <w:top w:w="85" w:type="dxa"/>
              <w:left w:w="57" w:type="dxa"/>
              <w:bottom w:w="85" w:type="dxa"/>
              <w:right w:w="57" w:type="dxa"/>
            </w:tcMar>
          </w:tcPr>
          <w:p w14:paraId="0996233E" w14:textId="1435750A" w:rsidR="00006AD9" w:rsidRPr="00006AD9" w:rsidRDefault="00006AD9" w:rsidP="0093174F">
            <w:r w:rsidRPr="0093174F">
              <w:t>Advanced Therapy Medicinal Product</w:t>
            </w:r>
          </w:p>
        </w:tc>
      </w:tr>
      <w:tr w:rsidR="1DC0D1A2" w14:paraId="681D14DF" w14:textId="77777777" w:rsidTr="1DC0D1A2">
        <w:trPr>
          <w:trHeight w:val="300"/>
        </w:trPr>
        <w:tc>
          <w:tcPr>
            <w:tcW w:w="3212" w:type="dxa"/>
            <w:tcMar>
              <w:top w:w="85" w:type="dxa"/>
              <w:left w:w="57" w:type="dxa"/>
              <w:bottom w:w="85" w:type="dxa"/>
              <w:right w:w="57" w:type="dxa"/>
            </w:tcMar>
          </w:tcPr>
          <w:p w14:paraId="35B67BAD" w14:textId="32013F30" w:rsidR="69CB139A" w:rsidRDefault="69CB139A" w:rsidP="1DC0D1A2">
            <w:r>
              <w:t>BMWP</w:t>
            </w:r>
          </w:p>
        </w:tc>
        <w:tc>
          <w:tcPr>
            <w:tcW w:w="6510" w:type="dxa"/>
            <w:tcMar>
              <w:top w:w="85" w:type="dxa"/>
              <w:left w:w="57" w:type="dxa"/>
              <w:bottom w:w="85" w:type="dxa"/>
              <w:right w:w="57" w:type="dxa"/>
            </w:tcMar>
          </w:tcPr>
          <w:p w14:paraId="48FF5469" w14:textId="12687D28" w:rsidR="69CB139A" w:rsidRPr="0093174F" w:rsidRDefault="69CB139A" w:rsidP="1DC0D1A2">
            <w:r w:rsidRPr="0093174F">
              <w:t>Biosimilar Medicinal Products Working Party</w:t>
            </w:r>
          </w:p>
        </w:tc>
      </w:tr>
      <w:tr w:rsidR="4FA02E44" w14:paraId="1BC960CA" w14:textId="77777777" w:rsidTr="0BC6AA8E">
        <w:trPr>
          <w:trHeight w:val="300"/>
        </w:trPr>
        <w:tc>
          <w:tcPr>
            <w:tcW w:w="3212" w:type="dxa"/>
            <w:tcMar>
              <w:top w:w="85" w:type="dxa"/>
              <w:left w:w="57" w:type="dxa"/>
              <w:bottom w:w="85" w:type="dxa"/>
              <w:right w:w="57" w:type="dxa"/>
            </w:tcMar>
          </w:tcPr>
          <w:p w14:paraId="4B254D63" w14:textId="126526AE" w:rsidR="46CE9EF9" w:rsidRDefault="46CE9EF9" w:rsidP="0093174F">
            <w:r>
              <w:t>CAGR</w:t>
            </w:r>
          </w:p>
        </w:tc>
        <w:tc>
          <w:tcPr>
            <w:tcW w:w="6510" w:type="dxa"/>
            <w:tcMar>
              <w:top w:w="85" w:type="dxa"/>
              <w:left w:w="57" w:type="dxa"/>
              <w:bottom w:w="85" w:type="dxa"/>
              <w:right w:w="57" w:type="dxa"/>
            </w:tcMar>
          </w:tcPr>
          <w:p w14:paraId="025EA39C" w14:textId="72359F9C" w:rsidR="46CE9EF9" w:rsidRPr="0093174F" w:rsidRDefault="46CE9EF9" w:rsidP="0093174F">
            <w:r w:rsidRPr="0093174F">
              <w:t>Compound Annual Growth Rate</w:t>
            </w:r>
          </w:p>
        </w:tc>
      </w:tr>
      <w:tr w:rsidR="1A906330" w14:paraId="073AB017" w14:textId="77777777" w:rsidTr="0BC6AA8E">
        <w:trPr>
          <w:trHeight w:val="300"/>
        </w:trPr>
        <w:tc>
          <w:tcPr>
            <w:tcW w:w="3212" w:type="dxa"/>
            <w:tcMar>
              <w:top w:w="85" w:type="dxa"/>
              <w:left w:w="57" w:type="dxa"/>
              <w:bottom w:w="85" w:type="dxa"/>
              <w:right w:w="57" w:type="dxa"/>
            </w:tcMar>
          </w:tcPr>
          <w:p w14:paraId="65DDE357" w14:textId="67BA1A68" w:rsidR="6439D2FC" w:rsidRDefault="6439D2FC" w:rsidP="0093174F">
            <w:r>
              <w:t>CAPEX</w:t>
            </w:r>
          </w:p>
        </w:tc>
        <w:tc>
          <w:tcPr>
            <w:tcW w:w="6510" w:type="dxa"/>
            <w:tcMar>
              <w:top w:w="85" w:type="dxa"/>
              <w:left w:w="57" w:type="dxa"/>
              <w:bottom w:w="85" w:type="dxa"/>
              <w:right w:w="57" w:type="dxa"/>
            </w:tcMar>
          </w:tcPr>
          <w:p w14:paraId="047E7C7F" w14:textId="2C2661AA" w:rsidR="6439D2FC" w:rsidRPr="0093174F" w:rsidRDefault="6439D2FC" w:rsidP="0093174F">
            <w:r w:rsidRPr="0093174F">
              <w:t>Capital Expenditure</w:t>
            </w:r>
          </w:p>
        </w:tc>
      </w:tr>
      <w:tr w:rsidR="005362FB" w14:paraId="4061DDC1" w14:textId="77777777" w:rsidTr="0BC6AA8E">
        <w:trPr>
          <w:trHeight w:val="300"/>
        </w:trPr>
        <w:tc>
          <w:tcPr>
            <w:tcW w:w="3212" w:type="dxa"/>
            <w:tcMar>
              <w:top w:w="85" w:type="dxa"/>
              <w:left w:w="57" w:type="dxa"/>
              <w:bottom w:w="85" w:type="dxa"/>
              <w:right w:w="57" w:type="dxa"/>
            </w:tcMar>
          </w:tcPr>
          <w:p w14:paraId="60A610B1" w14:textId="7456CECF" w:rsidR="005362FB" w:rsidRDefault="005362FB" w:rsidP="0093174F">
            <w:r>
              <w:t>CES</w:t>
            </w:r>
          </w:p>
        </w:tc>
        <w:tc>
          <w:tcPr>
            <w:tcW w:w="6510" w:type="dxa"/>
            <w:tcMar>
              <w:top w:w="85" w:type="dxa"/>
              <w:left w:w="57" w:type="dxa"/>
              <w:bottom w:w="85" w:type="dxa"/>
              <w:right w:w="57" w:type="dxa"/>
            </w:tcMar>
          </w:tcPr>
          <w:p w14:paraId="5DDB47E4" w14:textId="2504F682" w:rsidR="005362FB" w:rsidRPr="0093174F" w:rsidRDefault="005362FB" w:rsidP="0093174F">
            <w:r w:rsidRPr="0093174F">
              <w:t>Comparative effic</w:t>
            </w:r>
            <w:r w:rsidR="31FF5103" w:rsidRPr="0093174F">
              <w:t>acy</w:t>
            </w:r>
            <w:r w:rsidRPr="0093174F">
              <w:t xml:space="preserve"> </w:t>
            </w:r>
            <w:r w:rsidR="0095708B" w:rsidRPr="0093174F">
              <w:t>study</w:t>
            </w:r>
          </w:p>
        </w:tc>
      </w:tr>
      <w:tr w:rsidR="415B928D" w14:paraId="5ABF6337" w14:textId="77777777" w:rsidTr="0BC6AA8E">
        <w:trPr>
          <w:trHeight w:val="300"/>
        </w:trPr>
        <w:tc>
          <w:tcPr>
            <w:tcW w:w="3212" w:type="dxa"/>
            <w:tcMar>
              <w:top w:w="85" w:type="dxa"/>
              <w:left w:w="57" w:type="dxa"/>
              <w:bottom w:w="85" w:type="dxa"/>
              <w:right w:w="57" w:type="dxa"/>
            </w:tcMar>
          </w:tcPr>
          <w:p w14:paraId="6B995E11" w14:textId="0535D2D7" w:rsidR="415B928D" w:rsidRDefault="410CF933" w:rsidP="0093174F">
            <w:r>
              <w:t>CfE</w:t>
            </w:r>
          </w:p>
        </w:tc>
        <w:tc>
          <w:tcPr>
            <w:tcW w:w="6510" w:type="dxa"/>
            <w:tcMar>
              <w:top w:w="85" w:type="dxa"/>
              <w:left w:w="57" w:type="dxa"/>
              <w:bottom w:w="85" w:type="dxa"/>
              <w:right w:w="57" w:type="dxa"/>
            </w:tcMar>
          </w:tcPr>
          <w:p w14:paraId="1A840955" w14:textId="2EFB4915" w:rsidR="415B928D" w:rsidRPr="0093174F" w:rsidRDefault="410CF933" w:rsidP="0093174F">
            <w:r w:rsidRPr="0093174F">
              <w:t>Call for Evidence</w:t>
            </w:r>
          </w:p>
        </w:tc>
      </w:tr>
      <w:tr w:rsidR="32EB8848" w14:paraId="0E4FB6BE" w14:textId="77777777" w:rsidTr="32EB8848">
        <w:trPr>
          <w:trHeight w:val="300"/>
        </w:trPr>
        <w:tc>
          <w:tcPr>
            <w:tcW w:w="3212" w:type="dxa"/>
            <w:tcMar>
              <w:top w:w="85" w:type="dxa"/>
              <w:left w:w="57" w:type="dxa"/>
              <w:bottom w:w="85" w:type="dxa"/>
              <w:right w:w="57" w:type="dxa"/>
            </w:tcMar>
          </w:tcPr>
          <w:p w14:paraId="4A3A3D47" w14:textId="72D5A0C4" w:rsidR="32EB8848" w:rsidRDefault="4903256C" w:rsidP="32EB8848">
            <w:r>
              <w:t>CHMP</w:t>
            </w:r>
          </w:p>
        </w:tc>
        <w:tc>
          <w:tcPr>
            <w:tcW w:w="6510" w:type="dxa"/>
            <w:tcMar>
              <w:top w:w="85" w:type="dxa"/>
              <w:left w:w="57" w:type="dxa"/>
              <w:bottom w:w="85" w:type="dxa"/>
              <w:right w:w="57" w:type="dxa"/>
            </w:tcMar>
          </w:tcPr>
          <w:p w14:paraId="5A72D14C" w14:textId="32F8FD58" w:rsidR="32EB8848" w:rsidRPr="0093174F" w:rsidRDefault="4903256C" w:rsidP="32EB8848">
            <w:r w:rsidRPr="0093174F">
              <w:t>Committee for Medicinal Products for Human Use</w:t>
            </w:r>
          </w:p>
        </w:tc>
      </w:tr>
      <w:tr w:rsidR="18BB89D4" w14:paraId="59BB149C" w14:textId="77777777" w:rsidTr="0BC6AA8E">
        <w:trPr>
          <w:trHeight w:val="300"/>
        </w:trPr>
        <w:tc>
          <w:tcPr>
            <w:tcW w:w="3212" w:type="dxa"/>
            <w:tcMar>
              <w:top w:w="85" w:type="dxa"/>
              <w:left w:w="57" w:type="dxa"/>
              <w:bottom w:w="85" w:type="dxa"/>
              <w:right w:w="57" w:type="dxa"/>
            </w:tcMar>
          </w:tcPr>
          <w:p w14:paraId="7544FC78" w14:textId="00791C0B" w:rsidR="2D38F78F" w:rsidRDefault="2D38F78F" w:rsidP="0093174F">
            <w:r>
              <w:t>CMA</w:t>
            </w:r>
          </w:p>
        </w:tc>
        <w:tc>
          <w:tcPr>
            <w:tcW w:w="6510" w:type="dxa"/>
            <w:tcMar>
              <w:top w:w="85" w:type="dxa"/>
              <w:left w:w="57" w:type="dxa"/>
              <w:bottom w:w="85" w:type="dxa"/>
              <w:right w:w="57" w:type="dxa"/>
            </w:tcMar>
          </w:tcPr>
          <w:p w14:paraId="3D5E075D" w14:textId="3C3E4F88" w:rsidR="2D38F78F" w:rsidRPr="0093174F" w:rsidRDefault="2D38F78F" w:rsidP="0093174F">
            <w:r w:rsidRPr="0093174F">
              <w:t>Critical Medicines Act</w:t>
            </w:r>
          </w:p>
        </w:tc>
      </w:tr>
      <w:tr w:rsidR="6817B0DE" w14:paraId="20873E5F" w14:textId="77777777" w:rsidTr="0BC6AA8E">
        <w:trPr>
          <w:trHeight w:val="300"/>
        </w:trPr>
        <w:tc>
          <w:tcPr>
            <w:tcW w:w="3212" w:type="dxa"/>
            <w:tcMar>
              <w:top w:w="85" w:type="dxa"/>
              <w:left w:w="57" w:type="dxa"/>
              <w:bottom w:w="85" w:type="dxa"/>
              <w:right w:w="57" w:type="dxa"/>
            </w:tcMar>
          </w:tcPr>
          <w:p w14:paraId="787D26A5" w14:textId="7B6D9C1E" w:rsidR="6601BD3C" w:rsidRDefault="6601BD3C" w:rsidP="0093174F">
            <w:r>
              <w:t>CRO</w:t>
            </w:r>
          </w:p>
        </w:tc>
        <w:tc>
          <w:tcPr>
            <w:tcW w:w="6510" w:type="dxa"/>
            <w:tcMar>
              <w:top w:w="85" w:type="dxa"/>
              <w:left w:w="57" w:type="dxa"/>
              <w:bottom w:w="85" w:type="dxa"/>
              <w:right w:w="57" w:type="dxa"/>
            </w:tcMar>
          </w:tcPr>
          <w:p w14:paraId="06C729F3" w14:textId="578821ED" w:rsidR="6601BD3C" w:rsidRPr="0093174F" w:rsidRDefault="6601BD3C" w:rsidP="0093174F">
            <w:r w:rsidRPr="0093174F">
              <w:t>Contract Research Organization</w:t>
            </w:r>
          </w:p>
        </w:tc>
      </w:tr>
      <w:tr w:rsidR="00006AD9" w:rsidRPr="00DD0CE5" w14:paraId="5AE12437" w14:textId="77777777" w:rsidTr="0BC6AA8E">
        <w:tc>
          <w:tcPr>
            <w:tcW w:w="3212" w:type="dxa"/>
            <w:tcMar>
              <w:top w:w="85" w:type="dxa"/>
              <w:left w:w="57" w:type="dxa"/>
              <w:bottom w:w="85" w:type="dxa"/>
              <w:right w:w="57" w:type="dxa"/>
            </w:tcMar>
          </w:tcPr>
          <w:p w14:paraId="1905BF5F" w14:textId="61D7C1BE" w:rsidR="00006AD9" w:rsidRPr="00DD0CE5" w:rsidRDefault="00006AD9" w:rsidP="0093174F">
            <w:r w:rsidRPr="00DD0CE5">
              <w:t>CT</w:t>
            </w:r>
          </w:p>
        </w:tc>
        <w:tc>
          <w:tcPr>
            <w:tcW w:w="6510" w:type="dxa"/>
            <w:tcMar>
              <w:top w:w="85" w:type="dxa"/>
              <w:left w:w="57" w:type="dxa"/>
              <w:bottom w:w="85" w:type="dxa"/>
              <w:right w:w="57" w:type="dxa"/>
            </w:tcMar>
          </w:tcPr>
          <w:p w14:paraId="0C8B6653" w14:textId="2D30904F" w:rsidR="00006AD9" w:rsidRPr="00006AD9" w:rsidRDefault="00006AD9" w:rsidP="0093174F">
            <w:r w:rsidRPr="0093174F">
              <w:t>Clinical Trial</w:t>
            </w:r>
          </w:p>
        </w:tc>
      </w:tr>
      <w:tr w:rsidR="1DD1E0BF" w14:paraId="087634BE" w14:textId="77777777" w:rsidTr="0BC6AA8E">
        <w:trPr>
          <w:trHeight w:val="300"/>
        </w:trPr>
        <w:tc>
          <w:tcPr>
            <w:tcW w:w="3212" w:type="dxa"/>
            <w:tcMar>
              <w:top w:w="85" w:type="dxa"/>
              <w:left w:w="57" w:type="dxa"/>
              <w:bottom w:w="85" w:type="dxa"/>
              <w:right w:w="57" w:type="dxa"/>
            </w:tcMar>
          </w:tcPr>
          <w:p w14:paraId="1090BB0B" w14:textId="4C242911" w:rsidR="1DD1E0BF" w:rsidRDefault="233E31C1" w:rsidP="0093174F">
            <w:r>
              <w:t>CTR</w:t>
            </w:r>
          </w:p>
        </w:tc>
        <w:tc>
          <w:tcPr>
            <w:tcW w:w="6510" w:type="dxa"/>
            <w:tcMar>
              <w:top w:w="85" w:type="dxa"/>
              <w:left w:w="57" w:type="dxa"/>
              <w:bottom w:w="85" w:type="dxa"/>
              <w:right w:w="57" w:type="dxa"/>
            </w:tcMar>
          </w:tcPr>
          <w:p w14:paraId="7056C974" w14:textId="363FC44C" w:rsidR="1DD1E0BF" w:rsidRPr="0093174F" w:rsidRDefault="233E31C1" w:rsidP="0093174F">
            <w:r w:rsidRPr="0093174F">
              <w:t>Clinical Trials Regulation</w:t>
            </w:r>
          </w:p>
        </w:tc>
      </w:tr>
      <w:tr w:rsidR="4873F971" w14:paraId="265040CC" w14:textId="77777777" w:rsidTr="0BC6AA8E">
        <w:trPr>
          <w:trHeight w:val="300"/>
        </w:trPr>
        <w:tc>
          <w:tcPr>
            <w:tcW w:w="3212" w:type="dxa"/>
            <w:tcMar>
              <w:top w:w="85" w:type="dxa"/>
              <w:left w:w="57" w:type="dxa"/>
              <w:bottom w:w="85" w:type="dxa"/>
              <w:right w:w="57" w:type="dxa"/>
            </w:tcMar>
          </w:tcPr>
          <w:p w14:paraId="36293066" w14:textId="73ACD283" w:rsidR="4873F971" w:rsidRDefault="30EC2128" w:rsidP="0093174F">
            <w:r>
              <w:t>DNA</w:t>
            </w:r>
          </w:p>
        </w:tc>
        <w:tc>
          <w:tcPr>
            <w:tcW w:w="6510" w:type="dxa"/>
            <w:tcMar>
              <w:top w:w="85" w:type="dxa"/>
              <w:left w:w="57" w:type="dxa"/>
              <w:bottom w:w="85" w:type="dxa"/>
              <w:right w:w="57" w:type="dxa"/>
            </w:tcMar>
          </w:tcPr>
          <w:p w14:paraId="4D06A425" w14:textId="5BE5989E" w:rsidR="4873F971" w:rsidRPr="0093174F" w:rsidRDefault="30EC2128" w:rsidP="0093174F">
            <w:r w:rsidRPr="0093174F">
              <w:t>Deoxyribonucleic acid</w:t>
            </w:r>
          </w:p>
        </w:tc>
      </w:tr>
      <w:tr w:rsidR="345D0736" w14:paraId="2576613B" w14:textId="77777777" w:rsidTr="0BC6AA8E">
        <w:trPr>
          <w:trHeight w:val="300"/>
        </w:trPr>
        <w:tc>
          <w:tcPr>
            <w:tcW w:w="3212" w:type="dxa"/>
            <w:tcMar>
              <w:top w:w="85" w:type="dxa"/>
              <w:left w:w="57" w:type="dxa"/>
              <w:bottom w:w="85" w:type="dxa"/>
              <w:right w:w="57" w:type="dxa"/>
            </w:tcMar>
          </w:tcPr>
          <w:p w14:paraId="7254F2C8" w14:textId="3F6E9132" w:rsidR="71E08213" w:rsidRDefault="71E08213" w:rsidP="0093174F">
            <w:r>
              <w:t>EEA</w:t>
            </w:r>
          </w:p>
        </w:tc>
        <w:tc>
          <w:tcPr>
            <w:tcW w:w="6510" w:type="dxa"/>
            <w:tcMar>
              <w:top w:w="85" w:type="dxa"/>
              <w:left w:w="57" w:type="dxa"/>
              <w:bottom w:w="85" w:type="dxa"/>
              <w:right w:w="57" w:type="dxa"/>
            </w:tcMar>
          </w:tcPr>
          <w:p w14:paraId="019E2D35" w14:textId="7AB823D3" w:rsidR="71E08213" w:rsidRPr="0093174F" w:rsidRDefault="71E08213" w:rsidP="0093174F">
            <w:r w:rsidRPr="0093174F">
              <w:t>European Economic Area</w:t>
            </w:r>
          </w:p>
        </w:tc>
      </w:tr>
      <w:tr w:rsidR="006A3277" w:rsidRPr="00DD0CE5" w14:paraId="0C4DC4EB" w14:textId="77777777" w:rsidTr="0BC6AA8E">
        <w:tc>
          <w:tcPr>
            <w:tcW w:w="3212" w:type="dxa"/>
            <w:tcMar>
              <w:top w:w="85" w:type="dxa"/>
              <w:left w:w="57" w:type="dxa"/>
              <w:bottom w:w="85" w:type="dxa"/>
              <w:right w:w="57" w:type="dxa"/>
            </w:tcMar>
          </w:tcPr>
          <w:p w14:paraId="47B0AA4A" w14:textId="1DCE3642" w:rsidR="006A3277" w:rsidRPr="00DD0CE5" w:rsidRDefault="00006AD9" w:rsidP="0093174F">
            <w:r w:rsidRPr="00DD0CE5">
              <w:t>EFSA</w:t>
            </w:r>
          </w:p>
        </w:tc>
        <w:tc>
          <w:tcPr>
            <w:tcW w:w="6510" w:type="dxa"/>
            <w:tcMar>
              <w:top w:w="85" w:type="dxa"/>
              <w:left w:w="57" w:type="dxa"/>
              <w:bottom w:w="85" w:type="dxa"/>
              <w:right w:w="57" w:type="dxa"/>
            </w:tcMar>
          </w:tcPr>
          <w:p w14:paraId="5F81A96E" w14:textId="72E2A644" w:rsidR="006A3277" w:rsidRPr="00DD0CE5" w:rsidRDefault="00006AD9" w:rsidP="0093174F">
            <w:r w:rsidRPr="0093174F">
              <w:t>European Food Safety Authority</w:t>
            </w:r>
          </w:p>
        </w:tc>
      </w:tr>
      <w:tr w:rsidR="00326546" w14:paraId="0B5B9055" w14:textId="77777777" w:rsidTr="0BC6AA8E">
        <w:trPr>
          <w:trHeight w:val="300"/>
        </w:trPr>
        <w:tc>
          <w:tcPr>
            <w:tcW w:w="3212" w:type="dxa"/>
            <w:tcMar>
              <w:top w:w="85" w:type="dxa"/>
              <w:left w:w="57" w:type="dxa"/>
              <w:bottom w:w="85" w:type="dxa"/>
              <w:right w:w="57" w:type="dxa"/>
            </w:tcMar>
          </w:tcPr>
          <w:p w14:paraId="389A16D0" w14:textId="0B67B492" w:rsidR="329EC477" w:rsidRDefault="329EC477" w:rsidP="0093174F">
            <w:r>
              <w:t>EIB</w:t>
            </w:r>
          </w:p>
        </w:tc>
        <w:tc>
          <w:tcPr>
            <w:tcW w:w="6510" w:type="dxa"/>
            <w:tcMar>
              <w:top w:w="85" w:type="dxa"/>
              <w:left w:w="57" w:type="dxa"/>
              <w:bottom w:w="85" w:type="dxa"/>
              <w:right w:w="57" w:type="dxa"/>
            </w:tcMar>
          </w:tcPr>
          <w:p w14:paraId="21F7C6BD" w14:textId="7F52AC9F" w:rsidR="329EC477" w:rsidRDefault="329EC477" w:rsidP="0093174F">
            <w:r>
              <w:t>European Investment Bank</w:t>
            </w:r>
          </w:p>
        </w:tc>
      </w:tr>
      <w:tr w:rsidR="006A3277" w:rsidRPr="00DD0CE5" w14:paraId="386BB04D" w14:textId="77777777" w:rsidTr="0BC6AA8E">
        <w:tc>
          <w:tcPr>
            <w:tcW w:w="3212" w:type="dxa"/>
            <w:tcMar>
              <w:top w:w="85" w:type="dxa"/>
              <w:left w:w="57" w:type="dxa"/>
              <w:bottom w:w="85" w:type="dxa"/>
              <w:right w:w="57" w:type="dxa"/>
            </w:tcMar>
          </w:tcPr>
          <w:p w14:paraId="79AB3D3E" w14:textId="7C118173" w:rsidR="006A3277" w:rsidRPr="00DD0CE5" w:rsidRDefault="00006AD9" w:rsidP="0093174F">
            <w:r w:rsidRPr="00DD0CE5">
              <w:t>EMA</w:t>
            </w:r>
          </w:p>
        </w:tc>
        <w:tc>
          <w:tcPr>
            <w:tcW w:w="6510" w:type="dxa"/>
            <w:tcMar>
              <w:top w:w="85" w:type="dxa"/>
              <w:left w:w="57" w:type="dxa"/>
              <w:bottom w:w="85" w:type="dxa"/>
              <w:right w:w="57" w:type="dxa"/>
            </w:tcMar>
          </w:tcPr>
          <w:p w14:paraId="3959785F" w14:textId="46A017A2" w:rsidR="006A3277" w:rsidRPr="00DD0CE5" w:rsidRDefault="00006AD9" w:rsidP="0093174F">
            <w:r w:rsidRPr="00DD0CE5">
              <w:t>European Medicines Agency</w:t>
            </w:r>
          </w:p>
        </w:tc>
      </w:tr>
      <w:tr w:rsidR="765172C0" w14:paraId="2A02D075" w14:textId="77777777" w:rsidTr="0BC6AA8E">
        <w:trPr>
          <w:trHeight w:val="300"/>
        </w:trPr>
        <w:tc>
          <w:tcPr>
            <w:tcW w:w="3212" w:type="dxa"/>
            <w:tcMar>
              <w:top w:w="85" w:type="dxa"/>
              <w:left w:w="57" w:type="dxa"/>
              <w:bottom w:w="85" w:type="dxa"/>
              <w:right w:w="57" w:type="dxa"/>
            </w:tcMar>
          </w:tcPr>
          <w:p w14:paraId="6CA57AB8" w14:textId="0D173AB9" w:rsidR="56CA5D88" w:rsidRDefault="56CA5D88" w:rsidP="0093174F">
            <w:r>
              <w:t>ERA</w:t>
            </w:r>
          </w:p>
        </w:tc>
        <w:tc>
          <w:tcPr>
            <w:tcW w:w="6510" w:type="dxa"/>
            <w:tcMar>
              <w:top w:w="85" w:type="dxa"/>
              <w:left w:w="57" w:type="dxa"/>
              <w:bottom w:w="85" w:type="dxa"/>
              <w:right w:w="57" w:type="dxa"/>
            </w:tcMar>
          </w:tcPr>
          <w:p w14:paraId="65BFBCCB" w14:textId="012C9DAD" w:rsidR="765172C0" w:rsidRDefault="56CA5D88" w:rsidP="0093174F">
            <w:r>
              <w:t>Environmental Risk Assessment</w:t>
            </w:r>
          </w:p>
        </w:tc>
      </w:tr>
      <w:tr w:rsidR="006A3277" w:rsidRPr="00DD0CE5" w14:paraId="37A803B9" w14:textId="77777777" w:rsidTr="0BC6AA8E">
        <w:tc>
          <w:tcPr>
            <w:tcW w:w="3212" w:type="dxa"/>
            <w:tcMar>
              <w:top w:w="85" w:type="dxa"/>
              <w:left w:w="57" w:type="dxa"/>
              <w:bottom w:w="85" w:type="dxa"/>
              <w:right w:w="57" w:type="dxa"/>
            </w:tcMar>
          </w:tcPr>
          <w:p w14:paraId="78723BC6" w14:textId="2C560D90" w:rsidR="006A3277" w:rsidRPr="00DD0CE5" w:rsidRDefault="00006AD9" w:rsidP="0093174F">
            <w:r w:rsidRPr="00DD0CE5">
              <w:t>EU</w:t>
            </w:r>
          </w:p>
        </w:tc>
        <w:tc>
          <w:tcPr>
            <w:tcW w:w="6510" w:type="dxa"/>
            <w:tcMar>
              <w:top w:w="85" w:type="dxa"/>
              <w:left w:w="57" w:type="dxa"/>
              <w:bottom w:w="85" w:type="dxa"/>
              <w:right w:w="57" w:type="dxa"/>
            </w:tcMar>
          </w:tcPr>
          <w:p w14:paraId="516C027B" w14:textId="7C53153E" w:rsidR="006A3277" w:rsidRPr="00DD0CE5" w:rsidRDefault="00006AD9" w:rsidP="0093174F">
            <w:r w:rsidRPr="00DD0CE5">
              <w:t>European Union</w:t>
            </w:r>
          </w:p>
        </w:tc>
      </w:tr>
      <w:tr w:rsidR="703C46B1" w14:paraId="17F83EBE" w14:textId="77777777" w:rsidTr="0BC6AA8E">
        <w:trPr>
          <w:trHeight w:val="300"/>
        </w:trPr>
        <w:tc>
          <w:tcPr>
            <w:tcW w:w="3212" w:type="dxa"/>
            <w:tcMar>
              <w:top w:w="85" w:type="dxa"/>
              <w:left w:w="57" w:type="dxa"/>
              <w:bottom w:w="85" w:type="dxa"/>
              <w:right w:w="57" w:type="dxa"/>
            </w:tcMar>
          </w:tcPr>
          <w:p w14:paraId="00E91DE3" w14:textId="4031F2CD" w:rsidR="703C46B1" w:rsidRDefault="2ADEF036" w:rsidP="0093174F">
            <w:r>
              <w:t>FTE</w:t>
            </w:r>
          </w:p>
        </w:tc>
        <w:tc>
          <w:tcPr>
            <w:tcW w:w="6510" w:type="dxa"/>
            <w:tcMar>
              <w:top w:w="85" w:type="dxa"/>
              <w:left w:w="57" w:type="dxa"/>
              <w:bottom w:w="85" w:type="dxa"/>
              <w:right w:w="57" w:type="dxa"/>
            </w:tcMar>
          </w:tcPr>
          <w:p w14:paraId="0505B511" w14:textId="38949533" w:rsidR="703C46B1" w:rsidRDefault="2ADEF036" w:rsidP="0093174F">
            <w:r>
              <w:t>Full-Time Equivalent</w:t>
            </w:r>
          </w:p>
        </w:tc>
      </w:tr>
      <w:tr w:rsidR="0C8777B1" w14:paraId="0C0EE9DD" w14:textId="77777777" w:rsidTr="0BC6AA8E">
        <w:trPr>
          <w:trHeight w:val="300"/>
        </w:trPr>
        <w:tc>
          <w:tcPr>
            <w:tcW w:w="3212" w:type="dxa"/>
            <w:tcMar>
              <w:top w:w="85" w:type="dxa"/>
              <w:left w:w="57" w:type="dxa"/>
              <w:bottom w:w="85" w:type="dxa"/>
              <w:right w:w="57" w:type="dxa"/>
            </w:tcMar>
          </w:tcPr>
          <w:p w14:paraId="07D9CD20" w14:textId="625AD197" w:rsidR="0C8777B1" w:rsidRDefault="020D7A24" w:rsidP="0093174F">
            <w:r>
              <w:t>GDP</w:t>
            </w:r>
          </w:p>
        </w:tc>
        <w:tc>
          <w:tcPr>
            <w:tcW w:w="6510" w:type="dxa"/>
            <w:tcMar>
              <w:top w:w="85" w:type="dxa"/>
              <w:left w:w="57" w:type="dxa"/>
              <w:bottom w:w="85" w:type="dxa"/>
              <w:right w:w="57" w:type="dxa"/>
            </w:tcMar>
          </w:tcPr>
          <w:p w14:paraId="767EE78F" w14:textId="71AD1C66" w:rsidR="0C8777B1" w:rsidRDefault="020D7A24" w:rsidP="0093174F">
            <w:r>
              <w:t>Gross Domestic Product</w:t>
            </w:r>
          </w:p>
        </w:tc>
      </w:tr>
      <w:tr w:rsidR="6817B0DE" w14:paraId="164FBB3E" w14:textId="77777777" w:rsidTr="0BC6AA8E">
        <w:trPr>
          <w:trHeight w:val="300"/>
        </w:trPr>
        <w:tc>
          <w:tcPr>
            <w:tcW w:w="3212" w:type="dxa"/>
            <w:tcMar>
              <w:top w:w="85" w:type="dxa"/>
              <w:left w:w="57" w:type="dxa"/>
              <w:bottom w:w="85" w:type="dxa"/>
              <w:right w:w="57" w:type="dxa"/>
            </w:tcMar>
          </w:tcPr>
          <w:p w14:paraId="23334210" w14:textId="04CB2E4A" w:rsidR="72808881" w:rsidRDefault="72808881" w:rsidP="0093174F">
            <w:r>
              <w:t>GDPR</w:t>
            </w:r>
          </w:p>
        </w:tc>
        <w:tc>
          <w:tcPr>
            <w:tcW w:w="6510" w:type="dxa"/>
            <w:tcMar>
              <w:top w:w="85" w:type="dxa"/>
              <w:left w:w="57" w:type="dxa"/>
              <w:bottom w:w="85" w:type="dxa"/>
              <w:right w:w="57" w:type="dxa"/>
            </w:tcMar>
          </w:tcPr>
          <w:p w14:paraId="3795AEEE" w14:textId="2253AA93" w:rsidR="72808881" w:rsidRDefault="72808881" w:rsidP="0093174F">
            <w:r>
              <w:t>General Data Protection Regulation</w:t>
            </w:r>
          </w:p>
        </w:tc>
      </w:tr>
      <w:tr w:rsidR="006A3277" w:rsidRPr="00DD0CE5" w14:paraId="6F4EEC14" w14:textId="77777777" w:rsidTr="0BC6AA8E">
        <w:tc>
          <w:tcPr>
            <w:tcW w:w="3212" w:type="dxa"/>
            <w:tcMar>
              <w:top w:w="85" w:type="dxa"/>
              <w:left w:w="57" w:type="dxa"/>
              <w:bottom w:w="85" w:type="dxa"/>
              <w:right w:w="57" w:type="dxa"/>
            </w:tcMar>
          </w:tcPr>
          <w:p w14:paraId="346F0FA7" w14:textId="564DEAA6" w:rsidR="006A3277" w:rsidRPr="00DD0CE5" w:rsidRDefault="006A3277" w:rsidP="0093174F">
            <w:r w:rsidRPr="00DD0CE5">
              <w:t>GMM</w:t>
            </w:r>
          </w:p>
        </w:tc>
        <w:tc>
          <w:tcPr>
            <w:tcW w:w="6510" w:type="dxa"/>
            <w:tcMar>
              <w:top w:w="85" w:type="dxa"/>
              <w:left w:w="57" w:type="dxa"/>
              <w:bottom w:w="85" w:type="dxa"/>
              <w:right w:w="57" w:type="dxa"/>
            </w:tcMar>
          </w:tcPr>
          <w:p w14:paraId="23B8457F" w14:textId="1976F06D" w:rsidR="006A3277" w:rsidRPr="00DD0CE5" w:rsidRDefault="006A3277" w:rsidP="0093174F">
            <w:r w:rsidRPr="00DD0CE5">
              <w:t>Genetically Modified Micro</w:t>
            </w:r>
            <w:r w:rsidR="17C40D06" w:rsidRPr="00DD0CE5">
              <w:t>-</w:t>
            </w:r>
            <w:r w:rsidRPr="00DD0CE5">
              <w:t>organism</w:t>
            </w:r>
          </w:p>
        </w:tc>
      </w:tr>
      <w:tr w:rsidR="0E3E5180" w14:paraId="5A45D67F" w14:textId="77777777" w:rsidTr="0BC6AA8E">
        <w:trPr>
          <w:trHeight w:val="300"/>
        </w:trPr>
        <w:tc>
          <w:tcPr>
            <w:tcW w:w="3212" w:type="dxa"/>
            <w:tcMar>
              <w:top w:w="85" w:type="dxa"/>
              <w:left w:w="57" w:type="dxa"/>
              <w:bottom w:w="85" w:type="dxa"/>
              <w:right w:w="57" w:type="dxa"/>
            </w:tcMar>
          </w:tcPr>
          <w:p w14:paraId="26DE061A" w14:textId="322BE664" w:rsidR="3B3394C4" w:rsidRDefault="3B3394C4" w:rsidP="0093174F">
            <w:r>
              <w:t>GMO</w:t>
            </w:r>
          </w:p>
        </w:tc>
        <w:tc>
          <w:tcPr>
            <w:tcW w:w="6510" w:type="dxa"/>
            <w:tcMar>
              <w:top w:w="85" w:type="dxa"/>
              <w:left w:w="57" w:type="dxa"/>
              <w:bottom w:w="85" w:type="dxa"/>
              <w:right w:w="57" w:type="dxa"/>
            </w:tcMar>
          </w:tcPr>
          <w:p w14:paraId="143F204B" w14:textId="1262E3A3" w:rsidR="3B3394C4" w:rsidRDefault="3B3394C4" w:rsidP="0093174F">
            <w:r>
              <w:t>Genetically Modified Organism</w:t>
            </w:r>
          </w:p>
        </w:tc>
      </w:tr>
      <w:tr w:rsidR="6817B0DE" w14:paraId="5BCD5102" w14:textId="77777777" w:rsidTr="0BC6AA8E">
        <w:trPr>
          <w:trHeight w:val="300"/>
        </w:trPr>
        <w:tc>
          <w:tcPr>
            <w:tcW w:w="3212" w:type="dxa"/>
            <w:tcMar>
              <w:top w:w="85" w:type="dxa"/>
              <w:left w:w="57" w:type="dxa"/>
              <w:bottom w:w="85" w:type="dxa"/>
              <w:right w:w="57" w:type="dxa"/>
            </w:tcMar>
          </w:tcPr>
          <w:p w14:paraId="203CC4F0" w14:textId="0C943678" w:rsidR="50341990" w:rsidRDefault="50341990" w:rsidP="0093174F">
            <w:r>
              <w:t>GMP</w:t>
            </w:r>
          </w:p>
        </w:tc>
        <w:tc>
          <w:tcPr>
            <w:tcW w:w="6510" w:type="dxa"/>
            <w:tcMar>
              <w:top w:w="85" w:type="dxa"/>
              <w:left w:w="57" w:type="dxa"/>
              <w:bottom w:w="85" w:type="dxa"/>
              <w:right w:w="57" w:type="dxa"/>
            </w:tcMar>
          </w:tcPr>
          <w:p w14:paraId="09338275" w14:textId="0963AB09" w:rsidR="50341990" w:rsidRDefault="50341990" w:rsidP="0093174F">
            <w:r>
              <w:t>Good Manufacturing Practice</w:t>
            </w:r>
            <w:r w:rsidR="2DE36B2A">
              <w:t>s</w:t>
            </w:r>
          </w:p>
        </w:tc>
      </w:tr>
      <w:tr w:rsidR="00F610BA" w14:paraId="53D95CC3" w14:textId="77777777" w:rsidTr="0BC6AA8E">
        <w:trPr>
          <w:trHeight w:val="300"/>
        </w:trPr>
        <w:tc>
          <w:tcPr>
            <w:tcW w:w="3212" w:type="dxa"/>
            <w:tcMar>
              <w:top w:w="85" w:type="dxa"/>
              <w:left w:w="57" w:type="dxa"/>
              <w:bottom w:w="85" w:type="dxa"/>
              <w:right w:w="57" w:type="dxa"/>
            </w:tcMar>
          </w:tcPr>
          <w:p w14:paraId="72CE1622" w14:textId="5DF84A2B" w:rsidR="00F610BA" w:rsidRDefault="00F610BA" w:rsidP="0093174F">
            <w:r>
              <w:t>GVA</w:t>
            </w:r>
          </w:p>
        </w:tc>
        <w:tc>
          <w:tcPr>
            <w:tcW w:w="6510" w:type="dxa"/>
            <w:tcMar>
              <w:top w:w="85" w:type="dxa"/>
              <w:left w:w="57" w:type="dxa"/>
              <w:bottom w:w="85" w:type="dxa"/>
              <w:right w:w="57" w:type="dxa"/>
            </w:tcMar>
          </w:tcPr>
          <w:p w14:paraId="67341368" w14:textId="05295D1E" w:rsidR="00F610BA" w:rsidRDefault="00F610BA" w:rsidP="0093174F">
            <w:r>
              <w:t xml:space="preserve">Gross </w:t>
            </w:r>
            <w:r w:rsidR="009D330A">
              <w:t>Value Added</w:t>
            </w:r>
          </w:p>
        </w:tc>
      </w:tr>
      <w:tr w:rsidR="5C91E0ED" w14:paraId="2E412012" w14:textId="77777777" w:rsidTr="0BC6AA8E">
        <w:trPr>
          <w:trHeight w:val="300"/>
        </w:trPr>
        <w:tc>
          <w:tcPr>
            <w:tcW w:w="3212" w:type="dxa"/>
            <w:tcMar>
              <w:top w:w="85" w:type="dxa"/>
              <w:left w:w="57" w:type="dxa"/>
              <w:bottom w:w="85" w:type="dxa"/>
              <w:right w:w="57" w:type="dxa"/>
            </w:tcMar>
          </w:tcPr>
          <w:p w14:paraId="24715CD1" w14:textId="542B5536" w:rsidR="5C91E0ED" w:rsidRDefault="58E84288" w:rsidP="0093174F">
            <w:r>
              <w:t>HTA</w:t>
            </w:r>
          </w:p>
        </w:tc>
        <w:tc>
          <w:tcPr>
            <w:tcW w:w="6510" w:type="dxa"/>
            <w:tcMar>
              <w:top w:w="85" w:type="dxa"/>
              <w:left w:w="57" w:type="dxa"/>
              <w:bottom w:w="85" w:type="dxa"/>
              <w:right w:w="57" w:type="dxa"/>
            </w:tcMar>
          </w:tcPr>
          <w:p w14:paraId="63AC94AE" w14:textId="52C1DFB0" w:rsidR="5C91E0ED" w:rsidRDefault="58E84288" w:rsidP="0093174F">
            <w:r>
              <w:t>Health Technology Assessment</w:t>
            </w:r>
          </w:p>
        </w:tc>
      </w:tr>
      <w:tr w:rsidR="6817B0DE" w14:paraId="2AC9AFFA" w14:textId="77777777" w:rsidTr="0BC6AA8E">
        <w:trPr>
          <w:trHeight w:val="300"/>
        </w:trPr>
        <w:tc>
          <w:tcPr>
            <w:tcW w:w="3212" w:type="dxa"/>
            <w:tcMar>
              <w:top w:w="85" w:type="dxa"/>
              <w:left w:w="57" w:type="dxa"/>
              <w:bottom w:w="85" w:type="dxa"/>
              <w:right w:w="57" w:type="dxa"/>
            </w:tcMar>
          </w:tcPr>
          <w:p w14:paraId="53E3F73D" w14:textId="1E16C447" w:rsidR="371BD1C2" w:rsidRDefault="371BD1C2" w:rsidP="0093174F">
            <w:r>
              <w:t>IMP</w:t>
            </w:r>
          </w:p>
        </w:tc>
        <w:tc>
          <w:tcPr>
            <w:tcW w:w="6510" w:type="dxa"/>
            <w:tcMar>
              <w:top w:w="85" w:type="dxa"/>
              <w:left w:w="57" w:type="dxa"/>
              <w:bottom w:w="85" w:type="dxa"/>
              <w:right w:w="57" w:type="dxa"/>
            </w:tcMar>
          </w:tcPr>
          <w:p w14:paraId="685C51EF" w14:textId="110F3E88" w:rsidR="371BD1C2" w:rsidRDefault="371BD1C2" w:rsidP="0093174F">
            <w:r>
              <w:t>Investigational Medic</w:t>
            </w:r>
            <w:r w:rsidR="3C52EFBF">
              <w:t>in</w:t>
            </w:r>
            <w:r>
              <w:t>al Product</w:t>
            </w:r>
          </w:p>
        </w:tc>
      </w:tr>
      <w:tr w:rsidR="5B2396EB" w14:paraId="47E0542E" w14:textId="77777777" w:rsidTr="0BC6AA8E">
        <w:trPr>
          <w:trHeight w:val="300"/>
        </w:trPr>
        <w:tc>
          <w:tcPr>
            <w:tcW w:w="3212" w:type="dxa"/>
            <w:tcMar>
              <w:top w:w="85" w:type="dxa"/>
              <w:left w:w="57" w:type="dxa"/>
              <w:bottom w:w="85" w:type="dxa"/>
              <w:right w:w="57" w:type="dxa"/>
            </w:tcMar>
          </w:tcPr>
          <w:p w14:paraId="7E8BA726" w14:textId="623327B5" w:rsidR="5B2396EB" w:rsidRDefault="38134373" w:rsidP="0093174F">
            <w:r>
              <w:t>IP</w:t>
            </w:r>
          </w:p>
        </w:tc>
        <w:tc>
          <w:tcPr>
            <w:tcW w:w="6510" w:type="dxa"/>
            <w:tcMar>
              <w:top w:w="85" w:type="dxa"/>
              <w:left w:w="57" w:type="dxa"/>
              <w:bottom w:w="85" w:type="dxa"/>
              <w:right w:w="57" w:type="dxa"/>
            </w:tcMar>
          </w:tcPr>
          <w:p w14:paraId="67F10E29" w14:textId="419A6CCA" w:rsidR="5B2396EB" w:rsidRDefault="38134373" w:rsidP="0093174F">
            <w:r>
              <w:t>Intellectual Property</w:t>
            </w:r>
          </w:p>
        </w:tc>
      </w:tr>
      <w:tr w:rsidR="61B289BA" w14:paraId="20BD314D" w14:textId="77777777" w:rsidTr="0BC6AA8E">
        <w:trPr>
          <w:trHeight w:val="300"/>
        </w:trPr>
        <w:tc>
          <w:tcPr>
            <w:tcW w:w="3212" w:type="dxa"/>
            <w:tcMar>
              <w:top w:w="85" w:type="dxa"/>
              <w:left w:w="57" w:type="dxa"/>
              <w:bottom w:w="85" w:type="dxa"/>
              <w:right w:w="57" w:type="dxa"/>
            </w:tcMar>
          </w:tcPr>
          <w:p w14:paraId="099D0181" w14:textId="1992236E" w:rsidR="61B289BA" w:rsidRDefault="1534A11C" w:rsidP="0093174F">
            <w:r>
              <w:t>IVDR</w:t>
            </w:r>
          </w:p>
        </w:tc>
        <w:tc>
          <w:tcPr>
            <w:tcW w:w="6510" w:type="dxa"/>
            <w:tcMar>
              <w:top w:w="85" w:type="dxa"/>
              <w:left w:w="57" w:type="dxa"/>
              <w:bottom w:w="85" w:type="dxa"/>
              <w:right w:w="57" w:type="dxa"/>
            </w:tcMar>
          </w:tcPr>
          <w:p w14:paraId="12D135FE" w14:textId="5371C99B" w:rsidR="61B289BA" w:rsidRDefault="1534A11C" w:rsidP="0093174F">
            <w:r>
              <w:t>Regulation</w:t>
            </w:r>
            <w:r w:rsidR="00FE4BA2">
              <w:t xml:space="preserve"> (EU)</w:t>
            </w:r>
            <w:r w:rsidR="00E6718D">
              <w:t xml:space="preserve"> 2017/746 on </w:t>
            </w:r>
            <w:r w:rsidR="00E6718D" w:rsidRPr="0093174F">
              <w:t xml:space="preserve">in </w:t>
            </w:r>
            <w:r w:rsidR="00056E0D" w:rsidRPr="0093174F">
              <w:t>vitro</w:t>
            </w:r>
            <w:r w:rsidR="00056E0D">
              <w:t xml:space="preserve"> diagnostic medical devices</w:t>
            </w:r>
          </w:p>
        </w:tc>
      </w:tr>
      <w:tr w:rsidR="53457BA1" w14:paraId="3702FB7D" w14:textId="77777777" w:rsidTr="0BC6AA8E">
        <w:trPr>
          <w:trHeight w:val="300"/>
        </w:trPr>
        <w:tc>
          <w:tcPr>
            <w:tcW w:w="3212" w:type="dxa"/>
            <w:tcMar>
              <w:top w:w="85" w:type="dxa"/>
              <w:left w:w="57" w:type="dxa"/>
              <w:bottom w:w="85" w:type="dxa"/>
              <w:right w:w="57" w:type="dxa"/>
            </w:tcMar>
          </w:tcPr>
          <w:p w14:paraId="7226149C" w14:textId="323B6786" w:rsidR="1594C827" w:rsidRDefault="233BE9AF" w:rsidP="0093174F">
            <w:r>
              <w:t>MA</w:t>
            </w:r>
            <w:r w:rsidR="3F7A81FA">
              <w:t>A</w:t>
            </w:r>
          </w:p>
        </w:tc>
        <w:tc>
          <w:tcPr>
            <w:tcW w:w="6510" w:type="dxa"/>
            <w:tcMar>
              <w:top w:w="85" w:type="dxa"/>
              <w:left w:w="57" w:type="dxa"/>
              <w:bottom w:w="85" w:type="dxa"/>
              <w:right w:w="57" w:type="dxa"/>
            </w:tcMar>
          </w:tcPr>
          <w:p w14:paraId="73CAC22D" w14:textId="78FC3A61" w:rsidR="1594C827" w:rsidRPr="0093174F" w:rsidRDefault="1594C827" w:rsidP="0093174F">
            <w:r>
              <w:t>Marketing Authorisation</w:t>
            </w:r>
            <w:r w:rsidR="2A8CF244">
              <w:t xml:space="preserve"> A</w:t>
            </w:r>
            <w:r w:rsidR="2A8CF244" w:rsidRPr="0093174F">
              <w:t>pplication</w:t>
            </w:r>
          </w:p>
        </w:tc>
      </w:tr>
      <w:tr w:rsidR="00AE34D5" w14:paraId="36387516" w14:textId="77777777" w:rsidTr="00AE34D5">
        <w:trPr>
          <w:trHeight w:val="300"/>
        </w:trPr>
        <w:tc>
          <w:tcPr>
            <w:tcW w:w="3212" w:type="dxa"/>
            <w:tcMar>
              <w:top w:w="85" w:type="dxa"/>
              <w:left w:w="57" w:type="dxa"/>
              <w:bottom w:w="85" w:type="dxa"/>
              <w:right w:w="57" w:type="dxa"/>
            </w:tcMar>
          </w:tcPr>
          <w:p w14:paraId="782A6EA1" w14:textId="104FC8D6" w:rsidR="00AE34D5" w:rsidRDefault="00AE34D5" w:rsidP="0093174F">
            <w:r w:rsidRPr="00AE34D5">
              <w:t>mAB</w:t>
            </w:r>
          </w:p>
        </w:tc>
        <w:tc>
          <w:tcPr>
            <w:tcW w:w="6510" w:type="dxa"/>
            <w:tcMar>
              <w:top w:w="85" w:type="dxa"/>
              <w:left w:w="57" w:type="dxa"/>
              <w:bottom w:w="85" w:type="dxa"/>
              <w:right w:w="57" w:type="dxa"/>
            </w:tcMar>
          </w:tcPr>
          <w:p w14:paraId="0EE304B6" w14:textId="01670027" w:rsidR="00AE34D5" w:rsidRPr="0093174F" w:rsidRDefault="052E72DA" w:rsidP="0093174F">
            <w:r w:rsidRPr="0093174F">
              <w:t>Mon</w:t>
            </w:r>
            <w:r w:rsidR="6CEF101D" w:rsidRPr="0093174F">
              <w:t>oclonal</w:t>
            </w:r>
            <w:r w:rsidR="00AE34D5" w:rsidRPr="0093174F">
              <w:t xml:space="preserve"> antibody</w:t>
            </w:r>
          </w:p>
        </w:tc>
      </w:tr>
      <w:tr w:rsidR="42F65793" w14:paraId="6A2FA898" w14:textId="77777777" w:rsidTr="0BC6AA8E">
        <w:trPr>
          <w:trHeight w:val="300"/>
        </w:trPr>
        <w:tc>
          <w:tcPr>
            <w:tcW w:w="3212" w:type="dxa"/>
            <w:tcMar>
              <w:top w:w="85" w:type="dxa"/>
              <w:left w:w="57" w:type="dxa"/>
              <w:bottom w:w="85" w:type="dxa"/>
              <w:right w:w="57" w:type="dxa"/>
            </w:tcMar>
          </w:tcPr>
          <w:p w14:paraId="6AE219B4" w14:textId="6E5F25D6" w:rsidR="42F65793" w:rsidRDefault="1534A11C" w:rsidP="0093174F">
            <w:r>
              <w:t>MDR</w:t>
            </w:r>
          </w:p>
        </w:tc>
        <w:tc>
          <w:tcPr>
            <w:tcW w:w="6510" w:type="dxa"/>
            <w:tcMar>
              <w:top w:w="85" w:type="dxa"/>
              <w:left w:w="57" w:type="dxa"/>
              <w:bottom w:w="85" w:type="dxa"/>
              <w:right w:w="57" w:type="dxa"/>
            </w:tcMar>
          </w:tcPr>
          <w:p w14:paraId="57B7C6B8" w14:textId="4D700A95" w:rsidR="42F65793" w:rsidRDefault="1534A11C" w:rsidP="0093174F">
            <w:r>
              <w:t>Regulation</w:t>
            </w:r>
            <w:r w:rsidR="00FE4BA2">
              <w:t xml:space="preserve"> (EU) 2017/745 on medical devices</w:t>
            </w:r>
          </w:p>
        </w:tc>
      </w:tr>
      <w:tr w:rsidR="43738419" w14:paraId="4E410E58" w14:textId="77777777" w:rsidTr="0BC6AA8E">
        <w:trPr>
          <w:trHeight w:val="300"/>
        </w:trPr>
        <w:tc>
          <w:tcPr>
            <w:tcW w:w="3212" w:type="dxa"/>
            <w:tcMar>
              <w:top w:w="85" w:type="dxa"/>
              <w:left w:w="57" w:type="dxa"/>
              <w:bottom w:w="85" w:type="dxa"/>
              <w:right w:w="57" w:type="dxa"/>
            </w:tcMar>
          </w:tcPr>
          <w:p w14:paraId="373BFC49" w14:textId="0E972468" w:rsidR="43738419" w:rsidRDefault="3F82707B" w:rsidP="0093174F">
            <w:r>
              <w:t>MFF</w:t>
            </w:r>
          </w:p>
        </w:tc>
        <w:tc>
          <w:tcPr>
            <w:tcW w:w="6510" w:type="dxa"/>
            <w:tcMar>
              <w:top w:w="85" w:type="dxa"/>
              <w:left w:w="57" w:type="dxa"/>
              <w:bottom w:w="85" w:type="dxa"/>
              <w:right w:w="57" w:type="dxa"/>
            </w:tcMar>
          </w:tcPr>
          <w:p w14:paraId="7D1E43EF" w14:textId="17BFC3D6" w:rsidR="43738419" w:rsidRPr="0093174F" w:rsidRDefault="3F82707B" w:rsidP="0093174F">
            <w:pPr>
              <w:pBdr>
                <w:bar w:val="nil"/>
              </w:pBdr>
            </w:pPr>
            <w:r w:rsidRPr="0093174F">
              <w:t>Multiannual Financial Framework</w:t>
            </w:r>
          </w:p>
        </w:tc>
      </w:tr>
      <w:tr w:rsidR="6817B0DE" w14:paraId="77474BA5" w14:textId="77777777" w:rsidTr="0BC6AA8E">
        <w:trPr>
          <w:trHeight w:val="300"/>
        </w:trPr>
        <w:tc>
          <w:tcPr>
            <w:tcW w:w="3212" w:type="dxa"/>
            <w:tcMar>
              <w:top w:w="85" w:type="dxa"/>
              <w:left w:w="57" w:type="dxa"/>
              <w:bottom w:w="85" w:type="dxa"/>
              <w:right w:w="57" w:type="dxa"/>
            </w:tcMar>
          </w:tcPr>
          <w:p w14:paraId="212BDAC0" w14:textId="5A86AC59" w:rsidR="4515874F" w:rsidRDefault="4515874F" w:rsidP="0093174F">
            <w:r>
              <w:t>MSC</w:t>
            </w:r>
          </w:p>
        </w:tc>
        <w:tc>
          <w:tcPr>
            <w:tcW w:w="6510" w:type="dxa"/>
            <w:tcMar>
              <w:top w:w="85" w:type="dxa"/>
              <w:left w:w="57" w:type="dxa"/>
              <w:bottom w:w="85" w:type="dxa"/>
              <w:right w:w="57" w:type="dxa"/>
            </w:tcMar>
          </w:tcPr>
          <w:p w14:paraId="2019BF28" w14:textId="270CB4FE" w:rsidR="4515874F" w:rsidRDefault="4515874F" w:rsidP="0093174F">
            <w:r>
              <w:t>Member State Concerned</w:t>
            </w:r>
          </w:p>
        </w:tc>
      </w:tr>
      <w:tr w:rsidR="7FA7C266" w14:paraId="0CE55C8A" w14:textId="77777777" w:rsidTr="0BC6AA8E">
        <w:trPr>
          <w:trHeight w:val="300"/>
        </w:trPr>
        <w:tc>
          <w:tcPr>
            <w:tcW w:w="3212" w:type="dxa"/>
            <w:tcMar>
              <w:top w:w="85" w:type="dxa"/>
              <w:left w:w="57" w:type="dxa"/>
              <w:bottom w:w="85" w:type="dxa"/>
              <w:right w:w="57" w:type="dxa"/>
            </w:tcMar>
          </w:tcPr>
          <w:p w14:paraId="3D086C42" w14:textId="2100F692" w:rsidR="55F436CF" w:rsidRDefault="55F436CF" w:rsidP="0093174F">
            <w:r>
              <w:t>NGOs</w:t>
            </w:r>
          </w:p>
        </w:tc>
        <w:tc>
          <w:tcPr>
            <w:tcW w:w="6510" w:type="dxa"/>
            <w:tcMar>
              <w:top w:w="85" w:type="dxa"/>
              <w:left w:w="57" w:type="dxa"/>
              <w:bottom w:w="85" w:type="dxa"/>
              <w:right w:w="57" w:type="dxa"/>
            </w:tcMar>
          </w:tcPr>
          <w:p w14:paraId="7731D3A6" w14:textId="66D8F2E8" w:rsidR="55F436CF" w:rsidRDefault="55F436CF" w:rsidP="0093174F">
            <w:r>
              <w:t>Non-Governmental Organi</w:t>
            </w:r>
            <w:r w:rsidR="00432391">
              <w:t>s</w:t>
            </w:r>
            <w:r>
              <w:t>ations</w:t>
            </w:r>
          </w:p>
        </w:tc>
      </w:tr>
      <w:tr w:rsidR="1A906330" w14:paraId="192BDD4E" w14:textId="77777777" w:rsidTr="0BC6AA8E">
        <w:trPr>
          <w:trHeight w:val="300"/>
        </w:trPr>
        <w:tc>
          <w:tcPr>
            <w:tcW w:w="3212" w:type="dxa"/>
            <w:tcMar>
              <w:top w:w="85" w:type="dxa"/>
              <w:left w:w="57" w:type="dxa"/>
              <w:bottom w:w="85" w:type="dxa"/>
              <w:right w:w="57" w:type="dxa"/>
            </w:tcMar>
          </w:tcPr>
          <w:p w14:paraId="3D3FABCD" w14:textId="270FD0CC" w:rsidR="2705D32B" w:rsidRDefault="2705D32B" w:rsidP="0093174F">
            <w:r>
              <w:t>OPEX</w:t>
            </w:r>
          </w:p>
        </w:tc>
        <w:tc>
          <w:tcPr>
            <w:tcW w:w="6510" w:type="dxa"/>
            <w:tcMar>
              <w:top w:w="85" w:type="dxa"/>
              <w:left w:w="57" w:type="dxa"/>
              <w:bottom w:w="85" w:type="dxa"/>
              <w:right w:w="57" w:type="dxa"/>
            </w:tcMar>
          </w:tcPr>
          <w:p w14:paraId="25378FAC" w14:textId="6129AE5E" w:rsidR="2705D32B" w:rsidRDefault="2705D32B" w:rsidP="0093174F">
            <w:r>
              <w:t>Operating Expenses</w:t>
            </w:r>
          </w:p>
        </w:tc>
      </w:tr>
      <w:tr w:rsidR="006A3277" w:rsidRPr="00DD0CE5" w14:paraId="0F952927" w14:textId="77777777" w:rsidTr="0BC6AA8E">
        <w:tc>
          <w:tcPr>
            <w:tcW w:w="3212" w:type="dxa"/>
            <w:tcMar>
              <w:top w:w="85" w:type="dxa"/>
              <w:left w:w="57" w:type="dxa"/>
              <w:bottom w:w="85" w:type="dxa"/>
              <w:right w:w="57" w:type="dxa"/>
            </w:tcMar>
          </w:tcPr>
          <w:p w14:paraId="140B4F36" w14:textId="26CD39E0" w:rsidR="006A3277" w:rsidRPr="00DD0CE5" w:rsidRDefault="006A3277" w:rsidP="0093174F">
            <w:r w:rsidRPr="00DD0CE5">
              <w:t>R&amp;D</w:t>
            </w:r>
          </w:p>
        </w:tc>
        <w:tc>
          <w:tcPr>
            <w:tcW w:w="6510" w:type="dxa"/>
            <w:tcMar>
              <w:top w:w="85" w:type="dxa"/>
              <w:left w:w="57" w:type="dxa"/>
              <w:bottom w:w="85" w:type="dxa"/>
              <w:right w:w="57" w:type="dxa"/>
            </w:tcMar>
          </w:tcPr>
          <w:p w14:paraId="10EA824B" w14:textId="6EEF470D" w:rsidR="006A3277" w:rsidRPr="00DD0CE5" w:rsidRDefault="006A3277" w:rsidP="0093174F">
            <w:r w:rsidRPr="00DD0CE5">
              <w:t>Research and Development</w:t>
            </w:r>
          </w:p>
        </w:tc>
      </w:tr>
      <w:tr w:rsidR="1C339DEF" w14:paraId="2699CB14" w14:textId="77777777" w:rsidTr="0BC6AA8E">
        <w:trPr>
          <w:trHeight w:val="300"/>
        </w:trPr>
        <w:tc>
          <w:tcPr>
            <w:tcW w:w="3212" w:type="dxa"/>
            <w:tcMar>
              <w:top w:w="85" w:type="dxa"/>
              <w:left w:w="57" w:type="dxa"/>
              <w:bottom w:w="85" w:type="dxa"/>
              <w:right w:w="57" w:type="dxa"/>
            </w:tcMar>
          </w:tcPr>
          <w:p w14:paraId="2BE882F9" w14:textId="5FE75845" w:rsidR="708D6395" w:rsidRDefault="708D6395" w:rsidP="0093174F">
            <w:r>
              <w:t>R&amp;I</w:t>
            </w:r>
          </w:p>
        </w:tc>
        <w:tc>
          <w:tcPr>
            <w:tcW w:w="6510" w:type="dxa"/>
            <w:tcMar>
              <w:top w:w="85" w:type="dxa"/>
              <w:left w:w="57" w:type="dxa"/>
              <w:bottom w:w="85" w:type="dxa"/>
              <w:right w:w="57" w:type="dxa"/>
            </w:tcMar>
          </w:tcPr>
          <w:p w14:paraId="6CD06C82" w14:textId="32ABCE92" w:rsidR="708D6395" w:rsidRDefault="708D6395" w:rsidP="0093174F">
            <w:r>
              <w:t>Research and Innovation</w:t>
            </w:r>
          </w:p>
        </w:tc>
      </w:tr>
      <w:tr w:rsidR="6817B0DE" w14:paraId="1F422942" w14:textId="77777777" w:rsidTr="0BC6AA8E">
        <w:trPr>
          <w:trHeight w:val="300"/>
        </w:trPr>
        <w:tc>
          <w:tcPr>
            <w:tcW w:w="3212" w:type="dxa"/>
            <w:tcMar>
              <w:top w:w="85" w:type="dxa"/>
              <w:left w:w="57" w:type="dxa"/>
              <w:bottom w:w="85" w:type="dxa"/>
              <w:right w:w="57" w:type="dxa"/>
            </w:tcMar>
          </w:tcPr>
          <w:p w14:paraId="78FB87BC" w14:textId="13082409" w:rsidR="346E2B12" w:rsidRDefault="346E2B12" w:rsidP="0093174F">
            <w:r>
              <w:t>RMS</w:t>
            </w:r>
          </w:p>
        </w:tc>
        <w:tc>
          <w:tcPr>
            <w:tcW w:w="6510" w:type="dxa"/>
            <w:tcMar>
              <w:top w:w="85" w:type="dxa"/>
              <w:left w:w="57" w:type="dxa"/>
              <w:bottom w:w="85" w:type="dxa"/>
              <w:right w:w="57" w:type="dxa"/>
            </w:tcMar>
          </w:tcPr>
          <w:p w14:paraId="09654295" w14:textId="2EF711E0" w:rsidR="346E2B12" w:rsidRDefault="346E2B12" w:rsidP="0093174F">
            <w:r>
              <w:t>Reporting Member State</w:t>
            </w:r>
          </w:p>
        </w:tc>
      </w:tr>
      <w:tr w:rsidR="006A3277" w:rsidRPr="00DD0CE5" w14:paraId="526C18A1" w14:textId="77777777" w:rsidTr="0BC6AA8E">
        <w:tc>
          <w:tcPr>
            <w:tcW w:w="3212" w:type="dxa"/>
            <w:tcMar>
              <w:top w:w="85" w:type="dxa"/>
              <w:left w:w="57" w:type="dxa"/>
              <w:bottom w:w="85" w:type="dxa"/>
              <w:right w:w="57" w:type="dxa"/>
            </w:tcMar>
          </w:tcPr>
          <w:p w14:paraId="16574102" w14:textId="527CFFCF" w:rsidR="006A3277" w:rsidRPr="00DD0CE5" w:rsidRDefault="006A3277" w:rsidP="0093174F">
            <w:r w:rsidRPr="00DD0CE5">
              <w:t>SDG</w:t>
            </w:r>
          </w:p>
        </w:tc>
        <w:tc>
          <w:tcPr>
            <w:tcW w:w="6510" w:type="dxa"/>
            <w:tcMar>
              <w:top w:w="85" w:type="dxa"/>
              <w:left w:w="57" w:type="dxa"/>
              <w:bottom w:w="85" w:type="dxa"/>
              <w:right w:w="57" w:type="dxa"/>
            </w:tcMar>
          </w:tcPr>
          <w:p w14:paraId="2C65A4B2" w14:textId="6C9B0402" w:rsidR="006A3277" w:rsidRPr="00DD0CE5" w:rsidRDefault="006A3277" w:rsidP="0093174F">
            <w:r w:rsidRPr="00DD0CE5">
              <w:t>Sustainable Development Goal</w:t>
            </w:r>
          </w:p>
        </w:tc>
      </w:tr>
      <w:tr w:rsidR="007C9B0A" w14:paraId="58292950" w14:textId="77777777" w:rsidTr="0BC6AA8E">
        <w:trPr>
          <w:trHeight w:val="300"/>
        </w:trPr>
        <w:tc>
          <w:tcPr>
            <w:tcW w:w="3212" w:type="dxa"/>
            <w:tcMar>
              <w:top w:w="85" w:type="dxa"/>
              <w:left w:w="57" w:type="dxa"/>
              <w:bottom w:w="85" w:type="dxa"/>
              <w:right w:w="57" w:type="dxa"/>
            </w:tcMar>
          </w:tcPr>
          <w:p w14:paraId="69926828" w14:textId="75E6AC86" w:rsidR="4EC764F9" w:rsidRDefault="4EC764F9" w:rsidP="0093174F">
            <w:r>
              <w:t>SMEs</w:t>
            </w:r>
          </w:p>
        </w:tc>
        <w:tc>
          <w:tcPr>
            <w:tcW w:w="6510" w:type="dxa"/>
            <w:tcMar>
              <w:top w:w="85" w:type="dxa"/>
              <w:left w:w="57" w:type="dxa"/>
              <w:bottom w:w="85" w:type="dxa"/>
              <w:right w:w="57" w:type="dxa"/>
            </w:tcMar>
          </w:tcPr>
          <w:p w14:paraId="3C42D3CE" w14:textId="1A1353A2" w:rsidR="4EC764F9" w:rsidRDefault="4EC764F9" w:rsidP="0093174F">
            <w:r>
              <w:t>Small and Medium-</w:t>
            </w:r>
            <w:r w:rsidR="6BD9977B">
              <w:t>sized</w:t>
            </w:r>
            <w:r>
              <w:t xml:space="preserve"> Enterprises</w:t>
            </w:r>
          </w:p>
        </w:tc>
      </w:tr>
      <w:tr w:rsidR="648CC642" w14:paraId="531A0BF9" w14:textId="77777777" w:rsidTr="0BC6AA8E">
        <w:trPr>
          <w:trHeight w:val="300"/>
        </w:trPr>
        <w:tc>
          <w:tcPr>
            <w:tcW w:w="3212" w:type="dxa"/>
            <w:tcMar>
              <w:top w:w="85" w:type="dxa"/>
              <w:left w:w="57" w:type="dxa"/>
              <w:bottom w:w="85" w:type="dxa"/>
              <w:right w:w="57" w:type="dxa"/>
            </w:tcMar>
          </w:tcPr>
          <w:p w14:paraId="5C9C1C00" w14:textId="36AA335E" w:rsidR="648CC642" w:rsidRDefault="7E3954EA" w:rsidP="0093174F">
            <w:r>
              <w:t>SoHO</w:t>
            </w:r>
          </w:p>
        </w:tc>
        <w:tc>
          <w:tcPr>
            <w:tcW w:w="6510" w:type="dxa"/>
            <w:tcMar>
              <w:top w:w="85" w:type="dxa"/>
              <w:left w:w="57" w:type="dxa"/>
              <w:bottom w:w="85" w:type="dxa"/>
              <w:right w:w="57" w:type="dxa"/>
            </w:tcMar>
          </w:tcPr>
          <w:p w14:paraId="487586A1" w14:textId="327821D1" w:rsidR="648CC642" w:rsidRPr="0093174F" w:rsidRDefault="1FA670A7" w:rsidP="0093174F">
            <w:r w:rsidRPr="0093174F">
              <w:t>Substances of Human Origin</w:t>
            </w:r>
          </w:p>
        </w:tc>
      </w:tr>
      <w:tr w:rsidR="00D375B3" w:rsidRPr="00DD0CE5" w14:paraId="5876A7F5" w14:textId="77777777" w:rsidTr="0BC6AA8E">
        <w:tc>
          <w:tcPr>
            <w:tcW w:w="3212" w:type="dxa"/>
            <w:tcMar>
              <w:top w:w="85" w:type="dxa"/>
              <w:left w:w="57" w:type="dxa"/>
              <w:bottom w:w="85" w:type="dxa"/>
              <w:right w:w="57" w:type="dxa"/>
            </w:tcMar>
          </w:tcPr>
          <w:p w14:paraId="31627859" w14:textId="1ABA2CC7" w:rsidR="00D375B3" w:rsidRPr="00DD0CE5" w:rsidRDefault="00D375B3" w:rsidP="0093174F">
            <w:r w:rsidRPr="00DD0CE5">
              <w:t>SPC</w:t>
            </w:r>
          </w:p>
        </w:tc>
        <w:tc>
          <w:tcPr>
            <w:tcW w:w="6510" w:type="dxa"/>
            <w:tcMar>
              <w:top w:w="85" w:type="dxa"/>
              <w:left w:w="57" w:type="dxa"/>
              <w:bottom w:w="85" w:type="dxa"/>
              <w:right w:w="57" w:type="dxa"/>
            </w:tcMar>
          </w:tcPr>
          <w:p w14:paraId="29AFCDCB" w14:textId="21B04A5A" w:rsidR="00D375B3" w:rsidRPr="00DD0CE5" w:rsidRDefault="00D375B3" w:rsidP="0093174F">
            <w:r w:rsidRPr="0093174F">
              <w:t>Supplementary Protection Certificate</w:t>
            </w:r>
          </w:p>
        </w:tc>
      </w:tr>
      <w:tr w:rsidR="5B1F521F" w14:paraId="2081D111" w14:textId="77777777" w:rsidTr="0BC6AA8E">
        <w:trPr>
          <w:trHeight w:val="300"/>
        </w:trPr>
        <w:tc>
          <w:tcPr>
            <w:tcW w:w="3212" w:type="dxa"/>
            <w:tcMar>
              <w:top w:w="85" w:type="dxa"/>
              <w:left w:w="57" w:type="dxa"/>
              <w:bottom w:w="85" w:type="dxa"/>
              <w:right w:w="57" w:type="dxa"/>
            </w:tcMar>
          </w:tcPr>
          <w:p w14:paraId="34978881" w14:textId="3F3CE619" w:rsidR="5B1F521F" w:rsidRDefault="0C0961EC" w:rsidP="0093174F">
            <w:r>
              <w:t>STEP</w:t>
            </w:r>
          </w:p>
        </w:tc>
        <w:tc>
          <w:tcPr>
            <w:tcW w:w="6510" w:type="dxa"/>
            <w:tcMar>
              <w:top w:w="85" w:type="dxa"/>
              <w:left w:w="57" w:type="dxa"/>
              <w:bottom w:w="85" w:type="dxa"/>
              <w:right w:w="57" w:type="dxa"/>
            </w:tcMar>
          </w:tcPr>
          <w:p w14:paraId="5BB79D10" w14:textId="477D1E32" w:rsidR="5B1F521F" w:rsidRPr="0093174F" w:rsidRDefault="0C0961EC" w:rsidP="0093174F">
            <w:r w:rsidRPr="0093174F">
              <w:t>Strategic Technologies for Europe Platform</w:t>
            </w:r>
          </w:p>
        </w:tc>
      </w:tr>
      <w:tr w:rsidR="30D2E341" w14:paraId="15F9D0D5" w14:textId="77777777" w:rsidTr="0BC6AA8E">
        <w:trPr>
          <w:trHeight w:val="300"/>
        </w:trPr>
        <w:tc>
          <w:tcPr>
            <w:tcW w:w="3212" w:type="dxa"/>
            <w:tcMar>
              <w:top w:w="85" w:type="dxa"/>
              <w:left w:w="57" w:type="dxa"/>
              <w:bottom w:w="85" w:type="dxa"/>
              <w:right w:w="57" w:type="dxa"/>
            </w:tcMar>
          </w:tcPr>
          <w:p w14:paraId="7E8792BA" w14:textId="23646EDC" w:rsidR="44645566" w:rsidRPr="0093174F" w:rsidRDefault="44645566" w:rsidP="0093174F">
            <w:r w:rsidRPr="0093174F">
              <w:t>TEP</w:t>
            </w:r>
          </w:p>
        </w:tc>
        <w:tc>
          <w:tcPr>
            <w:tcW w:w="6510" w:type="dxa"/>
            <w:tcMar>
              <w:top w:w="85" w:type="dxa"/>
              <w:left w:w="57" w:type="dxa"/>
              <w:bottom w:w="85" w:type="dxa"/>
              <w:right w:w="57" w:type="dxa"/>
            </w:tcMar>
          </w:tcPr>
          <w:p w14:paraId="63F6A238" w14:textId="385ABFC6" w:rsidR="44645566" w:rsidRDefault="44645566" w:rsidP="0093174F">
            <w:r>
              <w:t>Tissue Engineered Product</w:t>
            </w:r>
          </w:p>
        </w:tc>
      </w:tr>
      <w:tr w:rsidR="00006AD9" w:rsidRPr="00DD0CE5" w14:paraId="544599FA" w14:textId="77777777" w:rsidTr="0BC6AA8E">
        <w:tc>
          <w:tcPr>
            <w:tcW w:w="3212" w:type="dxa"/>
            <w:tcMar>
              <w:top w:w="85" w:type="dxa"/>
              <w:left w:w="57" w:type="dxa"/>
              <w:bottom w:w="85" w:type="dxa"/>
              <w:right w:w="57" w:type="dxa"/>
            </w:tcMar>
          </w:tcPr>
          <w:p w14:paraId="32B4AD36" w14:textId="6B9949F2" w:rsidR="00006AD9" w:rsidRPr="00DD0CE5" w:rsidRDefault="00006AD9" w:rsidP="0093174F">
            <w:r w:rsidRPr="0093174F">
              <w:t>TFEU</w:t>
            </w:r>
          </w:p>
        </w:tc>
        <w:tc>
          <w:tcPr>
            <w:tcW w:w="6510" w:type="dxa"/>
            <w:tcMar>
              <w:top w:w="85" w:type="dxa"/>
              <w:left w:w="57" w:type="dxa"/>
              <w:bottom w:w="85" w:type="dxa"/>
              <w:right w:w="57" w:type="dxa"/>
            </w:tcMar>
          </w:tcPr>
          <w:p w14:paraId="5865CBBB" w14:textId="72B6C5BE" w:rsidR="00006AD9" w:rsidRPr="00DD0CE5" w:rsidRDefault="00006AD9" w:rsidP="0093174F">
            <w:r w:rsidRPr="00DD0CE5">
              <w:t>Treaty on the Functioning of the European Union</w:t>
            </w:r>
          </w:p>
        </w:tc>
      </w:tr>
      <w:tr w:rsidR="0C629FC3" w14:paraId="71268AD0" w14:textId="77777777" w:rsidTr="0BC6AA8E">
        <w:trPr>
          <w:trHeight w:val="300"/>
        </w:trPr>
        <w:tc>
          <w:tcPr>
            <w:tcW w:w="3212" w:type="dxa"/>
            <w:tcMar>
              <w:top w:w="85" w:type="dxa"/>
              <w:left w:w="57" w:type="dxa"/>
              <w:bottom w:w="85" w:type="dxa"/>
              <w:right w:w="57" w:type="dxa"/>
            </w:tcMar>
          </w:tcPr>
          <w:p w14:paraId="24F23310" w14:textId="0952B696" w:rsidR="4732C604" w:rsidRPr="0093174F" w:rsidRDefault="4732C604" w:rsidP="0093174F">
            <w:r w:rsidRPr="0093174F">
              <w:t>VMP</w:t>
            </w:r>
          </w:p>
        </w:tc>
        <w:tc>
          <w:tcPr>
            <w:tcW w:w="6510" w:type="dxa"/>
            <w:tcMar>
              <w:top w:w="85" w:type="dxa"/>
              <w:left w:w="57" w:type="dxa"/>
              <w:bottom w:w="85" w:type="dxa"/>
              <w:right w:w="57" w:type="dxa"/>
            </w:tcMar>
          </w:tcPr>
          <w:p w14:paraId="113124BB" w14:textId="45335E1A" w:rsidR="0C629FC3" w:rsidRDefault="4732C604" w:rsidP="0093174F">
            <w:r>
              <w:t>Veterinary Medicinal Product</w:t>
            </w:r>
          </w:p>
        </w:tc>
      </w:tr>
      <w:tr w:rsidR="3F51D79D" w14:paraId="6FEAD814" w14:textId="77777777" w:rsidTr="0BC6AA8E">
        <w:trPr>
          <w:trHeight w:val="300"/>
        </w:trPr>
        <w:tc>
          <w:tcPr>
            <w:tcW w:w="3212" w:type="dxa"/>
            <w:tcMar>
              <w:top w:w="85" w:type="dxa"/>
              <w:left w:w="57" w:type="dxa"/>
              <w:bottom w:w="85" w:type="dxa"/>
              <w:right w:w="57" w:type="dxa"/>
            </w:tcMar>
          </w:tcPr>
          <w:p w14:paraId="7BDC8CD0" w14:textId="7823FCB3" w:rsidR="3F51D79D" w:rsidRPr="0093174F" w:rsidRDefault="18901E79" w:rsidP="0093174F">
            <w:r w:rsidRPr="0093174F">
              <w:t>VNRAs</w:t>
            </w:r>
          </w:p>
        </w:tc>
        <w:tc>
          <w:tcPr>
            <w:tcW w:w="6510" w:type="dxa"/>
            <w:tcMar>
              <w:top w:w="85" w:type="dxa"/>
              <w:left w:w="57" w:type="dxa"/>
              <w:bottom w:w="85" w:type="dxa"/>
              <w:right w:w="57" w:type="dxa"/>
            </w:tcMar>
          </w:tcPr>
          <w:p w14:paraId="6DE15B16" w14:textId="4F3A7689" w:rsidR="18901E79" w:rsidRDefault="53B4D789" w:rsidP="0093174F">
            <w:r>
              <w:t>Variations Not Requiring Assessment</w:t>
            </w:r>
          </w:p>
        </w:tc>
      </w:tr>
    </w:tbl>
    <w:p w14:paraId="45396DD4" w14:textId="3474D13D" w:rsidR="006B087E" w:rsidRPr="00DD0CE5" w:rsidRDefault="006B087E" w:rsidP="000E3086">
      <w:r w:rsidRPr="00DD0CE5">
        <w:br w:type="page"/>
      </w:r>
    </w:p>
    <w:p w14:paraId="09F816A1" w14:textId="6D8A9218" w:rsidR="00F31593" w:rsidRPr="00DD0CE5" w:rsidRDefault="006B087E" w:rsidP="00F31593">
      <w:pPr>
        <w:pStyle w:val="Heading1"/>
      </w:pPr>
      <w:bookmarkStart w:id="1" w:name="_Toc227941512"/>
      <w:bookmarkStart w:id="2" w:name="_Toc227941832"/>
      <w:r w:rsidRPr="00DD0CE5">
        <w:t>Introduction</w:t>
      </w:r>
      <w:bookmarkEnd w:id="1"/>
      <w:bookmarkEnd w:id="2"/>
    </w:p>
    <w:p w14:paraId="2770571D" w14:textId="28918064" w:rsidR="00942D7B" w:rsidRPr="00C40D5A" w:rsidRDefault="34C4B3E7" w:rsidP="00512AE7">
      <w:pPr>
        <w:pStyle w:val="Text1"/>
        <w:ind w:left="0"/>
        <w:rPr>
          <w:color w:val="000000" w:themeColor="text1"/>
          <w:lang w:val="en-US" w:eastAsia="en-GB"/>
        </w:rPr>
      </w:pPr>
      <w:r w:rsidRPr="00DD0CE5">
        <w:t xml:space="preserve">This </w:t>
      </w:r>
      <w:r w:rsidR="0535835D">
        <w:t>s</w:t>
      </w:r>
      <w:r w:rsidRPr="00DD0CE5">
        <w:t xml:space="preserve">taff </w:t>
      </w:r>
      <w:r w:rsidR="0535835D">
        <w:t>w</w:t>
      </w:r>
      <w:r w:rsidRPr="00DD0CE5">
        <w:t xml:space="preserve">orking </w:t>
      </w:r>
      <w:r w:rsidR="0535835D">
        <w:t>d</w:t>
      </w:r>
      <w:r w:rsidRPr="00DD0CE5">
        <w:t xml:space="preserve">ocument summarises the analysis supporting the </w:t>
      </w:r>
      <w:r w:rsidR="458D6599">
        <w:t xml:space="preserve">proposal for </w:t>
      </w:r>
      <w:r w:rsidR="7A032CDA">
        <w:t xml:space="preserve">a </w:t>
      </w:r>
      <w:r w:rsidR="2D0019A8">
        <w:t>Regulation</w:t>
      </w:r>
      <w:r w:rsidR="00B5066C">
        <w:rPr>
          <w:rStyle w:val="FootnoteReference"/>
        </w:rPr>
        <w:footnoteReference w:id="2"/>
      </w:r>
      <w:r w:rsidR="12C460AD">
        <w:t xml:space="preserve"> </w:t>
      </w:r>
      <w:r w:rsidR="346A3313">
        <w:t>(the ‘proposed Regulation’)</w:t>
      </w:r>
      <w:r w:rsidR="1593110D">
        <w:t xml:space="preserve"> and the proposal for a Directive</w:t>
      </w:r>
      <w:r w:rsidR="000E770A">
        <w:rPr>
          <w:rStyle w:val="FootnoteReference"/>
        </w:rPr>
        <w:footnoteReference w:id="3"/>
      </w:r>
      <w:r w:rsidR="346A3313">
        <w:t xml:space="preserve"> (the ‘proposed Directive’)</w:t>
      </w:r>
      <w:r w:rsidR="5CC3A475" w:rsidRPr="00DD0CE5">
        <w:t xml:space="preserve"> which </w:t>
      </w:r>
      <w:r w:rsidR="3C16230F">
        <w:t>w</w:t>
      </w:r>
      <w:r w:rsidR="3FB9C170">
        <w:t xml:space="preserve">ere </w:t>
      </w:r>
      <w:r w:rsidR="547A0052">
        <w:t>adopted by the Commission on 16 December 2025</w:t>
      </w:r>
      <w:r w:rsidR="51A11A53" w:rsidRPr="00DD0CE5">
        <w:t>.</w:t>
      </w:r>
      <w:r w:rsidR="5CC3A475" w:rsidRPr="00DD0CE5">
        <w:t xml:space="preserve"> </w:t>
      </w:r>
      <w:r w:rsidR="0D882CB6">
        <w:t>The</w:t>
      </w:r>
      <w:r w:rsidR="3FB9C170">
        <w:t>se two</w:t>
      </w:r>
      <w:r w:rsidR="0D882CB6">
        <w:t xml:space="preserve"> proposal</w:t>
      </w:r>
      <w:r w:rsidR="3FB9C170">
        <w:t>s</w:t>
      </w:r>
      <w:r w:rsidR="0D882CB6">
        <w:t xml:space="preserve"> </w:t>
      </w:r>
      <w:r w:rsidR="3FB9C170">
        <w:t xml:space="preserve">(collectively referred to </w:t>
      </w:r>
      <w:r w:rsidR="3FB9C170" w:rsidRPr="004E3906">
        <w:t xml:space="preserve">as </w:t>
      </w:r>
      <w:r w:rsidR="5E195BE5" w:rsidRPr="004E3906">
        <w:t>the ‘</w:t>
      </w:r>
      <w:r w:rsidR="0DC3E6B1" w:rsidRPr="004E3906">
        <w:t>Biotech Act</w:t>
      </w:r>
      <w:r w:rsidR="5E195BE5" w:rsidRPr="004E3906">
        <w:t>’)</w:t>
      </w:r>
      <w:r w:rsidR="5E195BE5">
        <w:t xml:space="preserve"> </w:t>
      </w:r>
      <w:r w:rsidR="0D882CB6">
        <w:t xml:space="preserve">aim </w:t>
      </w:r>
      <w:r w:rsidR="3C16230F">
        <w:t xml:space="preserve">to </w:t>
      </w:r>
      <w:r w:rsidR="0D882CB6" w:rsidRPr="00DD0CE5">
        <w:t xml:space="preserve">strengthen the </w:t>
      </w:r>
      <w:r w:rsidR="32F650CD">
        <w:t>EU’s</w:t>
      </w:r>
      <w:r w:rsidR="0D882CB6" w:rsidRPr="00DD0CE5">
        <w:t xml:space="preserve"> biotechnology and </w:t>
      </w:r>
      <w:r w:rsidR="31199171">
        <w:t>b</w:t>
      </w:r>
      <w:r w:rsidR="0D882CB6" w:rsidRPr="00DD0CE5">
        <w:t>iomanufacturing sectors</w:t>
      </w:r>
      <w:r w:rsidR="5BB18E01">
        <w:t>,</w:t>
      </w:r>
      <w:r w:rsidR="0D882CB6" w:rsidRPr="00DD0CE5">
        <w:t xml:space="preserve"> particularly in the area of health</w:t>
      </w:r>
      <w:r w:rsidR="5BB18E01">
        <w:t xml:space="preserve">. </w:t>
      </w:r>
      <w:r w:rsidR="5E195BE5">
        <w:t xml:space="preserve">They </w:t>
      </w:r>
      <w:r w:rsidR="0D882CB6" w:rsidRPr="00DD0CE5">
        <w:t>amend key legislation relevant to the</w:t>
      </w:r>
      <w:r w:rsidR="50CB7550">
        <w:t>se</w:t>
      </w:r>
      <w:r w:rsidR="0D882CB6" w:rsidRPr="00DD0CE5">
        <w:t xml:space="preserve"> sector</w:t>
      </w:r>
      <w:r w:rsidR="50CB7550">
        <w:t>s</w:t>
      </w:r>
      <w:r w:rsidR="74B37A47" w:rsidRPr="00DD0CE5">
        <w:t>.</w:t>
      </w:r>
    </w:p>
    <w:p w14:paraId="41FED699" w14:textId="7E1FBF3B" w:rsidR="009655F2" w:rsidRPr="00DD0CE5" w:rsidRDefault="007926A2" w:rsidP="00C40D5A">
      <w:r w:rsidRPr="00DD0CE5">
        <w:t xml:space="preserve">Biotechnology and biomanufacturing, supported by </w:t>
      </w:r>
      <w:r w:rsidR="000A463E">
        <w:t>a</w:t>
      </w:r>
      <w:r w:rsidRPr="00DD0CE5">
        <w:t xml:space="preserve">rtificial </w:t>
      </w:r>
      <w:r w:rsidR="000A463E">
        <w:t>i</w:t>
      </w:r>
      <w:r w:rsidRPr="00DD0CE5">
        <w:t xml:space="preserve">ntelligence (AI) and digital tools, </w:t>
      </w:r>
      <w:r w:rsidR="00153EAC">
        <w:t>could</w:t>
      </w:r>
      <w:r w:rsidR="7783D5B9">
        <w:t xml:space="preserve"> </w:t>
      </w:r>
      <w:r w:rsidRPr="00DD0CE5">
        <w:t xml:space="preserve">help modernise entire parts of </w:t>
      </w:r>
      <w:r w:rsidR="00586CC1">
        <w:t>the EU</w:t>
      </w:r>
      <w:r w:rsidR="00586CC1" w:rsidRPr="00DD0CE5">
        <w:t xml:space="preserve"> </w:t>
      </w:r>
      <w:r w:rsidRPr="00DD0CE5">
        <w:t xml:space="preserve">economy. They hold </w:t>
      </w:r>
      <w:r w:rsidR="00166B85">
        <w:t>huge</w:t>
      </w:r>
      <w:r w:rsidR="00166B85" w:rsidRPr="00DD0CE5">
        <w:t xml:space="preserve"> </w:t>
      </w:r>
      <w:r w:rsidR="00C130D2">
        <w:t>potential</w:t>
      </w:r>
      <w:r w:rsidR="00C130D2" w:rsidRPr="00DD0CE5">
        <w:t xml:space="preserve"> </w:t>
      </w:r>
      <w:r w:rsidR="002727B7">
        <w:t>to boost</w:t>
      </w:r>
      <w:r w:rsidRPr="00DD0CE5">
        <w:t xml:space="preserve"> competitiveness and innovation</w:t>
      </w:r>
      <w:r w:rsidR="00B127ED" w:rsidRPr="00DD0CE5">
        <w:t xml:space="preserve">, </w:t>
      </w:r>
      <w:r w:rsidR="00720909" w:rsidRPr="00DD0CE5">
        <w:t xml:space="preserve">while </w:t>
      </w:r>
      <w:r w:rsidR="00E3514D">
        <w:t>delivering for</w:t>
      </w:r>
      <w:r w:rsidR="002001B8" w:rsidRPr="00DD0CE5">
        <w:t xml:space="preserve"> patients</w:t>
      </w:r>
      <w:r w:rsidR="00505559">
        <w:t xml:space="preserve">, </w:t>
      </w:r>
      <w:r w:rsidR="002001B8" w:rsidRPr="00DD0CE5">
        <w:t>public health</w:t>
      </w:r>
      <w:r w:rsidR="00FC48FF" w:rsidRPr="00DD0CE5">
        <w:t xml:space="preserve">, food </w:t>
      </w:r>
      <w:r w:rsidR="00E1487D" w:rsidRPr="00DD0CE5">
        <w:t>safety</w:t>
      </w:r>
      <w:r w:rsidR="0FC2020E">
        <w:t>,</w:t>
      </w:r>
      <w:r w:rsidR="00E1487D" w:rsidRPr="00DD0CE5">
        <w:t xml:space="preserve"> </w:t>
      </w:r>
      <w:r w:rsidR="00FC48FF" w:rsidRPr="00DD0CE5">
        <w:t>security</w:t>
      </w:r>
      <w:r w:rsidR="00AF45AB" w:rsidRPr="00DD0CE5">
        <w:t xml:space="preserve"> and </w:t>
      </w:r>
      <w:r w:rsidR="00106B61" w:rsidRPr="00DD0CE5">
        <w:t>other</w:t>
      </w:r>
      <w:r w:rsidR="00AF45AB" w:rsidRPr="00DD0CE5">
        <w:t xml:space="preserve"> </w:t>
      </w:r>
      <w:r w:rsidR="007331C6">
        <w:t>areas</w:t>
      </w:r>
      <w:r w:rsidR="00FC48FF" w:rsidRPr="00DD0CE5">
        <w:t>.</w:t>
      </w:r>
      <w:r w:rsidR="009655F2" w:rsidRPr="00DD0CE5">
        <w:t xml:space="preserve"> Despite its </w:t>
      </w:r>
      <w:r w:rsidR="64DC9877" w:rsidRPr="00DD0CE5">
        <w:t xml:space="preserve">world-class </w:t>
      </w:r>
      <w:r w:rsidR="009655F2" w:rsidRPr="00DD0CE5">
        <w:t xml:space="preserve">scientific base, the EU is trailing its competitors when it comes to </w:t>
      </w:r>
      <w:r w:rsidR="004E6508" w:rsidRPr="00DD0CE5">
        <w:t xml:space="preserve">translating biotechnology research into development, market deployment </w:t>
      </w:r>
      <w:r w:rsidR="000C13A1">
        <w:t xml:space="preserve">and </w:t>
      </w:r>
      <w:r w:rsidR="000C13A1" w:rsidRPr="00DD0CE5">
        <w:t xml:space="preserve">manufacturing </w:t>
      </w:r>
      <w:r w:rsidR="004E6508" w:rsidRPr="00DD0CE5">
        <w:t>at scale</w:t>
      </w:r>
      <w:r w:rsidR="009655F2" w:rsidRPr="00DD0CE5">
        <w:t>.</w:t>
      </w:r>
      <w:r w:rsidR="00E6642C">
        <w:t xml:space="preserve"> </w:t>
      </w:r>
      <w:r w:rsidR="00E34937">
        <w:t>F</w:t>
      </w:r>
      <w:r w:rsidR="005A6D94" w:rsidRPr="00DD0CE5">
        <w:t>ragment</w:t>
      </w:r>
      <w:r w:rsidR="005A03CE">
        <w:t>ed ecosystems</w:t>
      </w:r>
      <w:r w:rsidR="00DB503A">
        <w:t xml:space="preserve">, </w:t>
      </w:r>
      <w:r w:rsidR="004B03BC">
        <w:t>financing constraints, complex</w:t>
      </w:r>
      <w:r w:rsidR="00A06D49" w:rsidRPr="00DD0CE5">
        <w:t xml:space="preserve"> regulatory </w:t>
      </w:r>
      <w:r w:rsidR="004B03BC">
        <w:t>pathways</w:t>
      </w:r>
      <w:r w:rsidR="00880008">
        <w:t>, and a lag in</w:t>
      </w:r>
      <w:r w:rsidR="00BB3DC7">
        <w:t xml:space="preserve"> </w:t>
      </w:r>
      <w:r w:rsidR="000758E9" w:rsidRPr="00DD0CE5">
        <w:t>adapt</w:t>
      </w:r>
      <w:r w:rsidR="00A53CBB">
        <w:t xml:space="preserve">ing </w:t>
      </w:r>
      <w:r w:rsidR="00BB3DC7">
        <w:t>regulatory frameworks to</w:t>
      </w:r>
      <w:r w:rsidR="0087176E" w:rsidRPr="00DD0CE5">
        <w:t xml:space="preserve"> </w:t>
      </w:r>
      <w:r w:rsidR="00EE2405">
        <w:t>technological advances</w:t>
      </w:r>
      <w:r w:rsidR="00FF1DCB">
        <w:t xml:space="preserve">, </w:t>
      </w:r>
      <w:r w:rsidR="00062933">
        <w:t xml:space="preserve">hinder </w:t>
      </w:r>
      <w:r w:rsidR="00A82452">
        <w:t xml:space="preserve">EU </w:t>
      </w:r>
      <w:r w:rsidR="00A82452" w:rsidRPr="0BC6AA8E">
        <w:rPr>
          <w:lang w:val="en-IE"/>
        </w:rPr>
        <w:t>b</w:t>
      </w:r>
      <w:r w:rsidR="00E34937" w:rsidRPr="00E6642C">
        <w:rPr>
          <w:lang w:val="en-IE"/>
        </w:rPr>
        <w:t>iotech</w:t>
      </w:r>
      <w:r w:rsidR="00A82452">
        <w:rPr>
          <w:lang w:val="en-IE"/>
        </w:rPr>
        <w:t>nology</w:t>
      </w:r>
      <w:r w:rsidR="00E34937" w:rsidRPr="00E6642C">
        <w:rPr>
          <w:lang w:val="en-IE"/>
        </w:rPr>
        <w:t xml:space="preserve"> companies</w:t>
      </w:r>
      <w:r w:rsidR="00A82452">
        <w:rPr>
          <w:lang w:val="en-IE"/>
        </w:rPr>
        <w:t>’</w:t>
      </w:r>
      <w:r w:rsidR="00E34937" w:rsidRPr="00E6642C">
        <w:rPr>
          <w:lang w:val="en-IE"/>
        </w:rPr>
        <w:t xml:space="preserve"> </w:t>
      </w:r>
      <w:r w:rsidR="00A82452">
        <w:rPr>
          <w:lang w:val="en-IE"/>
        </w:rPr>
        <w:t>potential</w:t>
      </w:r>
      <w:r w:rsidR="00E34937" w:rsidRPr="00E6642C">
        <w:rPr>
          <w:lang w:val="en-IE"/>
        </w:rPr>
        <w:t xml:space="preserve"> to innovate</w:t>
      </w:r>
      <w:r w:rsidR="004D3621">
        <w:rPr>
          <w:lang w:val="en-IE"/>
        </w:rPr>
        <w:t>,</w:t>
      </w:r>
      <w:r w:rsidR="00E34937" w:rsidRPr="00E6642C">
        <w:rPr>
          <w:lang w:val="en-IE"/>
        </w:rPr>
        <w:t xml:space="preserve"> bring innovation to market, produce and grow in the EU.</w:t>
      </w:r>
      <w:r w:rsidR="00E34937" w:rsidRPr="00DD0CE5">
        <w:t xml:space="preserve"> </w:t>
      </w:r>
      <w:r w:rsidR="00172ED1" w:rsidRPr="00DD0CE5">
        <w:t>As a r</w:t>
      </w:r>
      <w:r w:rsidR="00A1200F" w:rsidRPr="00DD0CE5">
        <w:t>esult</w:t>
      </w:r>
      <w:r w:rsidR="00AA4CA1" w:rsidRPr="00DD0CE5">
        <w:t>, the EU</w:t>
      </w:r>
      <w:r w:rsidR="00D818D0">
        <w:t>’s biotechnology sector does not meet its full potential</w:t>
      </w:r>
      <w:r w:rsidR="00AA4CA1" w:rsidRPr="00DD0CE5">
        <w:t xml:space="preserve"> </w:t>
      </w:r>
      <w:r w:rsidR="00D818D0">
        <w:t>to tackle</w:t>
      </w:r>
      <w:r w:rsidR="00DB6EDD" w:rsidRPr="00DB6EDD" w:rsidDel="00D818D0">
        <w:t xml:space="preserve"> </w:t>
      </w:r>
      <w:r w:rsidR="00DB6EDD" w:rsidRPr="00DB6EDD">
        <w:t>major societal challenges and faces a widening global competitiveness gap</w:t>
      </w:r>
      <w:r w:rsidR="00AD4E0C" w:rsidRPr="00DD0CE5" w:rsidDel="00DB6EDD">
        <w:t>.</w:t>
      </w:r>
    </w:p>
    <w:p w14:paraId="72F341B6" w14:textId="1A3C42EC" w:rsidR="006B0672" w:rsidRPr="00AE0833" w:rsidRDefault="6E090A2B" w:rsidP="00C40D5A">
      <w:pPr>
        <w:rPr>
          <w:color w:val="000000" w:themeColor="text1"/>
        </w:rPr>
      </w:pPr>
      <w:r w:rsidRPr="00DD0CE5">
        <w:t>The proposed Regulation and Directive</w:t>
      </w:r>
      <w:r w:rsidR="5B94132E" w:rsidRPr="00DD0CE5">
        <w:t xml:space="preserve"> </w:t>
      </w:r>
      <w:r w:rsidR="746AB2CE" w:rsidRPr="00DD0CE5">
        <w:t xml:space="preserve">present a series of measures </w:t>
      </w:r>
      <w:r w:rsidR="24B7CDB9" w:rsidRPr="00DD0CE5">
        <w:rPr>
          <w:noProof/>
          <w:color w:val="000000" w:themeColor="text1"/>
        </w:rPr>
        <w:t xml:space="preserve">primarily </w:t>
      </w:r>
      <w:r w:rsidR="5DCA063E">
        <w:rPr>
          <w:noProof/>
          <w:color w:val="000000" w:themeColor="text1"/>
        </w:rPr>
        <w:t xml:space="preserve">for </w:t>
      </w:r>
      <w:r w:rsidR="294597C4" w:rsidRPr="00DD0CE5">
        <w:rPr>
          <w:noProof/>
          <w:color w:val="000000" w:themeColor="text1"/>
        </w:rPr>
        <w:t xml:space="preserve">the </w:t>
      </w:r>
      <w:r w:rsidR="2CB23B37" w:rsidRPr="00DD0CE5">
        <w:rPr>
          <w:noProof/>
          <w:color w:val="000000" w:themeColor="text1"/>
        </w:rPr>
        <w:t>health</w:t>
      </w:r>
      <w:r w:rsidR="294597C4" w:rsidRPr="00DD0CE5">
        <w:rPr>
          <w:noProof/>
          <w:color w:val="000000" w:themeColor="text1"/>
        </w:rPr>
        <w:t xml:space="preserve"> </w:t>
      </w:r>
      <w:r w:rsidR="2689330C">
        <w:rPr>
          <w:noProof/>
          <w:color w:val="000000" w:themeColor="text1"/>
        </w:rPr>
        <w:t>biotechnology</w:t>
      </w:r>
      <w:r w:rsidR="6F12CA4D">
        <w:rPr>
          <w:noProof/>
          <w:color w:val="000000" w:themeColor="text1"/>
        </w:rPr>
        <w:t xml:space="preserve"> sector</w:t>
      </w:r>
      <w:r w:rsidR="2689330C">
        <w:rPr>
          <w:noProof/>
          <w:color w:val="000000" w:themeColor="text1"/>
        </w:rPr>
        <w:t>,</w:t>
      </w:r>
      <w:r w:rsidR="6F12CA4D">
        <w:rPr>
          <w:noProof/>
          <w:color w:val="000000" w:themeColor="text1"/>
        </w:rPr>
        <w:t xml:space="preserve"> </w:t>
      </w:r>
      <w:r w:rsidR="1BB2EC77">
        <w:rPr>
          <w:noProof/>
          <w:color w:val="000000" w:themeColor="text1"/>
        </w:rPr>
        <w:t xml:space="preserve">with targeted </w:t>
      </w:r>
      <w:r w:rsidR="6DD91061">
        <w:rPr>
          <w:noProof/>
          <w:color w:val="000000" w:themeColor="text1"/>
        </w:rPr>
        <w:t>actions</w:t>
      </w:r>
      <w:r w:rsidR="1BB2EC77">
        <w:rPr>
          <w:noProof/>
          <w:color w:val="000000" w:themeColor="text1"/>
        </w:rPr>
        <w:t xml:space="preserve"> </w:t>
      </w:r>
      <w:r w:rsidR="2CE928B6">
        <w:rPr>
          <w:noProof/>
          <w:color w:val="000000" w:themeColor="text1"/>
        </w:rPr>
        <w:t>addressing</w:t>
      </w:r>
      <w:r w:rsidR="294597C4" w:rsidRPr="00DD0CE5">
        <w:rPr>
          <w:noProof/>
          <w:color w:val="000000" w:themeColor="text1"/>
        </w:rPr>
        <w:t xml:space="preserve"> </w:t>
      </w:r>
      <w:r w:rsidR="0966E208" w:rsidRPr="00DD0CE5">
        <w:rPr>
          <w:noProof/>
          <w:color w:val="000000" w:themeColor="text1"/>
        </w:rPr>
        <w:t>other</w:t>
      </w:r>
      <w:r w:rsidR="339B23C8">
        <w:rPr>
          <w:noProof/>
          <w:color w:val="000000" w:themeColor="text1"/>
        </w:rPr>
        <w:t xml:space="preserve"> biotechnology area</w:t>
      </w:r>
      <w:r w:rsidR="5D512128" w:rsidRPr="00DD0CE5">
        <w:rPr>
          <w:noProof/>
          <w:color w:val="000000" w:themeColor="text1"/>
        </w:rPr>
        <w:t>s</w:t>
      </w:r>
      <w:r w:rsidR="55EBA3A2" w:rsidRPr="00DD0CE5">
        <w:rPr>
          <w:noProof/>
          <w:color w:val="000000" w:themeColor="text1"/>
        </w:rPr>
        <w:t xml:space="preserve"> </w:t>
      </w:r>
      <w:r w:rsidR="57091FA6">
        <w:rPr>
          <w:noProof/>
          <w:color w:val="000000" w:themeColor="text1"/>
        </w:rPr>
        <w:t>(</w:t>
      </w:r>
      <w:r w:rsidR="61B6E222">
        <w:rPr>
          <w:noProof/>
          <w:color w:val="000000" w:themeColor="text1"/>
        </w:rPr>
        <w:t>food</w:t>
      </w:r>
      <w:r w:rsidR="048241A1">
        <w:rPr>
          <w:noProof/>
          <w:color w:val="000000" w:themeColor="text1"/>
        </w:rPr>
        <w:t xml:space="preserve"> and</w:t>
      </w:r>
      <w:r w:rsidR="61B6E222">
        <w:rPr>
          <w:noProof/>
          <w:color w:val="000000" w:themeColor="text1"/>
        </w:rPr>
        <w:t xml:space="preserve"> feed</w:t>
      </w:r>
      <w:r w:rsidR="1BB2EC77">
        <w:rPr>
          <w:noProof/>
          <w:color w:val="000000" w:themeColor="text1"/>
        </w:rPr>
        <w:t xml:space="preserve">, </w:t>
      </w:r>
      <w:r w:rsidR="61B6E222" w:rsidDel="00C7187B">
        <w:rPr>
          <w:noProof/>
          <w:color w:val="000000" w:themeColor="text1"/>
        </w:rPr>
        <w:t xml:space="preserve">industrial </w:t>
      </w:r>
      <w:r w:rsidR="1BB2EC77">
        <w:rPr>
          <w:noProof/>
          <w:color w:val="000000" w:themeColor="text1"/>
        </w:rPr>
        <w:t xml:space="preserve">and </w:t>
      </w:r>
      <w:r w:rsidR="51630D27" w:rsidRPr="77FB2CEF">
        <w:rPr>
          <w:noProof/>
          <w:color w:val="000000" w:themeColor="text1"/>
        </w:rPr>
        <w:t xml:space="preserve">agricultural </w:t>
      </w:r>
      <w:r w:rsidR="61B6E222">
        <w:rPr>
          <w:noProof/>
          <w:color w:val="000000" w:themeColor="text1"/>
        </w:rPr>
        <w:t>biotechnologies</w:t>
      </w:r>
      <w:r w:rsidR="57091FA6">
        <w:rPr>
          <w:noProof/>
          <w:color w:val="000000" w:themeColor="text1"/>
        </w:rPr>
        <w:t>)</w:t>
      </w:r>
      <w:r w:rsidR="2D27CB9A" w:rsidRPr="00DD0CE5">
        <w:rPr>
          <w:noProof/>
          <w:color w:val="000000" w:themeColor="text1"/>
        </w:rPr>
        <w:t>. The</w:t>
      </w:r>
      <w:r w:rsidR="1C81014B">
        <w:rPr>
          <w:noProof/>
          <w:color w:val="000000" w:themeColor="text1"/>
        </w:rPr>
        <w:t xml:space="preserve"> two proposals</w:t>
      </w:r>
      <w:r w:rsidR="2D27CB9A" w:rsidRPr="00DD0CE5">
        <w:rPr>
          <w:noProof/>
          <w:color w:val="000000" w:themeColor="text1"/>
        </w:rPr>
        <w:t xml:space="preserve"> </w:t>
      </w:r>
      <w:r w:rsidR="2E5C0828">
        <w:rPr>
          <w:noProof/>
          <w:color w:val="000000" w:themeColor="text1"/>
        </w:rPr>
        <w:t>aim</w:t>
      </w:r>
      <w:r w:rsidR="2D27CB9A" w:rsidRPr="00DD0CE5">
        <w:rPr>
          <w:noProof/>
          <w:color w:val="000000" w:themeColor="text1"/>
        </w:rPr>
        <w:t xml:space="preserve"> to</w:t>
      </w:r>
      <w:r w:rsidR="3D610DA2" w:rsidRPr="00DD0CE5">
        <w:rPr>
          <w:noProof/>
          <w:color w:val="000000" w:themeColor="text1"/>
        </w:rPr>
        <w:t xml:space="preserve"> </w:t>
      </w:r>
      <w:r w:rsidR="076F104E">
        <w:rPr>
          <w:noProof/>
          <w:color w:val="000000" w:themeColor="text1"/>
        </w:rPr>
        <w:t xml:space="preserve">accelerate </w:t>
      </w:r>
      <w:r w:rsidR="6F7E8327">
        <w:rPr>
          <w:noProof/>
          <w:color w:val="000000" w:themeColor="text1"/>
        </w:rPr>
        <w:t>the way</w:t>
      </w:r>
      <w:r w:rsidR="52ADC657">
        <w:rPr>
          <w:noProof/>
          <w:color w:val="000000" w:themeColor="text1"/>
        </w:rPr>
        <w:t xml:space="preserve"> </w:t>
      </w:r>
      <w:r w:rsidR="402321A8" w:rsidRPr="00DD0CE5">
        <w:rPr>
          <w:noProof/>
          <w:color w:val="000000" w:themeColor="text1"/>
        </w:rPr>
        <w:t xml:space="preserve">biotechnology innovations, products and services </w:t>
      </w:r>
      <w:r w:rsidR="52ADC657">
        <w:rPr>
          <w:noProof/>
          <w:color w:val="000000" w:themeColor="text1"/>
        </w:rPr>
        <w:t xml:space="preserve">are developed and placed </w:t>
      </w:r>
      <w:r w:rsidR="3D610DA2" w:rsidRPr="00DD0CE5">
        <w:rPr>
          <w:noProof/>
          <w:color w:val="000000" w:themeColor="text1"/>
        </w:rPr>
        <w:t xml:space="preserve">on the </w:t>
      </w:r>
      <w:r w:rsidR="4F9E0888" w:rsidRPr="00DD0CE5">
        <w:rPr>
          <w:noProof/>
          <w:color w:val="000000" w:themeColor="text1"/>
        </w:rPr>
        <w:t>single</w:t>
      </w:r>
      <w:r w:rsidR="2C08375C">
        <w:rPr>
          <w:noProof/>
          <w:color w:val="000000" w:themeColor="text1"/>
        </w:rPr>
        <w:t xml:space="preserve"> </w:t>
      </w:r>
      <w:r w:rsidR="3D610DA2" w:rsidRPr="00DD0CE5">
        <w:rPr>
          <w:noProof/>
          <w:color w:val="000000" w:themeColor="text1"/>
        </w:rPr>
        <w:t xml:space="preserve">market, while </w:t>
      </w:r>
      <w:r w:rsidR="3FA9530D" w:rsidRPr="00DD0CE5">
        <w:rPr>
          <w:noProof/>
          <w:color w:val="000000" w:themeColor="text1"/>
        </w:rPr>
        <w:t>maintai</w:t>
      </w:r>
      <w:r w:rsidR="5F6FE1EB">
        <w:rPr>
          <w:noProof/>
          <w:color w:val="000000" w:themeColor="text1"/>
        </w:rPr>
        <w:t>ni</w:t>
      </w:r>
      <w:r w:rsidR="3FA9530D" w:rsidRPr="00DD0CE5">
        <w:rPr>
          <w:noProof/>
          <w:color w:val="000000" w:themeColor="text1"/>
        </w:rPr>
        <w:t>ng the highest safety</w:t>
      </w:r>
      <w:r w:rsidR="3D610DA2" w:rsidRPr="00DD0CE5">
        <w:rPr>
          <w:noProof/>
          <w:color w:val="000000" w:themeColor="text1"/>
        </w:rPr>
        <w:t xml:space="preserve"> standards.</w:t>
      </w:r>
      <w:r w:rsidR="50639167" w:rsidRPr="00DD0CE5">
        <w:rPr>
          <w:noProof/>
          <w:color w:val="000000" w:themeColor="text1"/>
        </w:rPr>
        <w:t xml:space="preserve"> </w:t>
      </w:r>
      <w:r w:rsidR="3D730162">
        <w:rPr>
          <w:noProof/>
          <w:color w:val="000000" w:themeColor="text1"/>
        </w:rPr>
        <w:t>T</w:t>
      </w:r>
      <w:r w:rsidR="76497CD2" w:rsidRPr="00DD0CE5">
        <w:rPr>
          <w:noProof/>
          <w:color w:val="000000" w:themeColor="text1"/>
        </w:rPr>
        <w:t xml:space="preserve">he proposed Biotech Act is one of the flagship initiatives </w:t>
      </w:r>
      <w:r w:rsidR="76497CD2" w:rsidRPr="009E2FE1">
        <w:rPr>
          <w:noProof/>
          <w:color w:val="000000" w:themeColor="text1"/>
        </w:rPr>
        <w:t xml:space="preserve">of the </w:t>
      </w:r>
      <w:r w:rsidR="76497CD2" w:rsidRPr="009E2FE1">
        <w:rPr>
          <w:color w:val="000000" w:themeColor="text1"/>
        </w:rPr>
        <w:t>Competitiveness Compass</w:t>
      </w:r>
      <w:r w:rsidR="00F928C0" w:rsidRPr="009E2FE1">
        <w:rPr>
          <w:rStyle w:val="FootnoteReference"/>
          <w:noProof/>
        </w:rPr>
        <w:footnoteReference w:id="4"/>
      </w:r>
      <w:r w:rsidR="09E7BA54" w:rsidRPr="009E2FE1">
        <w:rPr>
          <w:color w:val="000000" w:themeColor="text1"/>
        </w:rPr>
        <w:t>,</w:t>
      </w:r>
      <w:r w:rsidR="76497CD2" w:rsidRPr="009E2FE1">
        <w:rPr>
          <w:noProof/>
          <w:color w:val="000000" w:themeColor="text1"/>
        </w:rPr>
        <w:t xml:space="preserve"> </w:t>
      </w:r>
      <w:r w:rsidR="084EBD80" w:rsidRPr="009E2FE1">
        <w:rPr>
          <w:noProof/>
          <w:color w:val="000000" w:themeColor="text1"/>
        </w:rPr>
        <w:t>designed to unleash the EU’s innovation</w:t>
      </w:r>
      <w:r w:rsidR="07824471" w:rsidRPr="009E2FE1">
        <w:rPr>
          <w:noProof/>
          <w:color w:val="000000" w:themeColor="text1"/>
        </w:rPr>
        <w:t xml:space="preserve"> potential</w:t>
      </w:r>
      <w:r w:rsidR="7DE85068" w:rsidRPr="009E2FE1">
        <w:rPr>
          <w:color w:val="000000" w:themeColor="text1"/>
        </w:rPr>
        <w:t xml:space="preserve">. It </w:t>
      </w:r>
      <w:r w:rsidR="53F1CF72" w:rsidRPr="009E2FE1">
        <w:rPr>
          <w:color w:val="000000" w:themeColor="text1"/>
        </w:rPr>
        <w:t xml:space="preserve">also contributes to </w:t>
      </w:r>
      <w:r w:rsidR="2C26131E" w:rsidRPr="009E2FE1">
        <w:rPr>
          <w:color w:val="000000" w:themeColor="text1"/>
        </w:rPr>
        <w:t>regulatory simplification and administ</w:t>
      </w:r>
      <w:r w:rsidR="71C191F2" w:rsidRPr="009E2FE1">
        <w:rPr>
          <w:color w:val="000000" w:themeColor="text1"/>
        </w:rPr>
        <w:t>r</w:t>
      </w:r>
      <w:r w:rsidR="2C26131E" w:rsidRPr="009E2FE1">
        <w:rPr>
          <w:color w:val="000000" w:themeColor="text1"/>
        </w:rPr>
        <w:t xml:space="preserve">ative burden reduction </w:t>
      </w:r>
      <w:r w:rsidR="56C6EEE8" w:rsidRPr="009E2FE1">
        <w:rPr>
          <w:color w:val="000000" w:themeColor="text1"/>
        </w:rPr>
        <w:t>goals</w:t>
      </w:r>
      <w:r w:rsidR="2C26131E" w:rsidRPr="009E2FE1">
        <w:rPr>
          <w:color w:val="000000" w:themeColor="text1"/>
        </w:rPr>
        <w:t xml:space="preserve">. </w:t>
      </w:r>
    </w:p>
    <w:p w14:paraId="43CA7E53" w14:textId="224A13CF" w:rsidR="00836942" w:rsidRPr="00DD0CE5" w:rsidRDefault="0A2A9AB7" w:rsidP="00C40D5A">
      <w:r w:rsidRPr="00DD0CE5">
        <w:t xml:space="preserve">The </w:t>
      </w:r>
      <w:r w:rsidRPr="00033F56">
        <w:t>Biotech Act</w:t>
      </w:r>
      <w:r w:rsidR="50CB7550" w:rsidRPr="00033F56">
        <w:t xml:space="preserve"> </w:t>
      </w:r>
      <w:r w:rsidRPr="00DD0CE5">
        <w:t xml:space="preserve">is in line with the </w:t>
      </w:r>
      <w:r w:rsidR="7996DC2E">
        <w:t>United Nations</w:t>
      </w:r>
      <w:r w:rsidR="2DF39B55">
        <w:t>’</w:t>
      </w:r>
      <w:r w:rsidR="7996DC2E">
        <w:t xml:space="preserve"> </w:t>
      </w:r>
      <w:r w:rsidRPr="00DD0CE5">
        <w:t xml:space="preserve">Sustainable Development Goals </w:t>
      </w:r>
      <w:r w:rsidR="58C75C4A" w:rsidRPr="00DD0CE5">
        <w:t>(SDG</w:t>
      </w:r>
      <w:r w:rsidR="218112B1">
        <w:t>s</w:t>
      </w:r>
      <w:r w:rsidR="7996DC2E">
        <w:t>)</w:t>
      </w:r>
      <w:r w:rsidRPr="00DD0CE5">
        <w:t>, in particular SDG 3 ‘Good health and well-being: Ensure healthy lives and promote well-being for all at all ages’</w:t>
      </w:r>
      <w:r w:rsidR="5E6447BD">
        <w:t>;</w:t>
      </w:r>
      <w:r w:rsidRPr="00DD0CE5">
        <w:t xml:space="preserve"> SDG 9 ‘Industry, innovation and infrastructure: Build resilient infrastructure, promote inclusive and sustainable industrialisation and foster innovation’</w:t>
      </w:r>
      <w:r w:rsidR="5E6447BD">
        <w:t>;</w:t>
      </w:r>
      <w:r w:rsidRPr="00DD0CE5">
        <w:t xml:space="preserve"> and SDG 12 ‘Responsible consumption and production: Ensure sustainable consumption and production patterns’. More details on the relevant SDG targets and indicators </w:t>
      </w:r>
      <w:r w:rsidR="393ADA95" w:rsidRPr="00DD0CE5">
        <w:t>are</w:t>
      </w:r>
      <w:r w:rsidRPr="00DD0CE5">
        <w:t xml:space="preserve"> available in Annex </w:t>
      </w:r>
      <w:r w:rsidR="09E6EDD5">
        <w:t>3</w:t>
      </w:r>
      <w:r w:rsidRPr="00DD0CE5">
        <w:t xml:space="preserve">. Regarding specialisation in terms of scientific output, the EU leads </w:t>
      </w:r>
      <w:r w:rsidRPr="4DAF1ACB">
        <w:rPr>
          <w:i/>
          <w:iCs/>
        </w:rPr>
        <w:t xml:space="preserve">inter alia </w:t>
      </w:r>
      <w:r w:rsidRPr="00DD0CE5">
        <w:t>in SDGs 9 and 12.</w:t>
      </w:r>
      <w:r w:rsidR="00836942" w:rsidRPr="00DD0CE5">
        <w:rPr>
          <w:rStyle w:val="FootnoteReference"/>
        </w:rPr>
        <w:footnoteReference w:id="5"/>
      </w:r>
    </w:p>
    <w:p w14:paraId="7AB3C9F4" w14:textId="77777777" w:rsidR="00D72262" w:rsidRPr="00DD0CE5" w:rsidRDefault="00D72262" w:rsidP="00D72262">
      <w:pPr>
        <w:pStyle w:val="Heading1"/>
      </w:pPr>
      <w:bookmarkStart w:id="3" w:name="_Toc227941513"/>
      <w:bookmarkStart w:id="4" w:name="_Toc227941833"/>
      <w:r w:rsidRPr="00DD0CE5">
        <w:t>Background</w:t>
      </w:r>
      <w:bookmarkEnd w:id="3"/>
      <w:bookmarkEnd w:id="4"/>
    </w:p>
    <w:p w14:paraId="5E57953E" w14:textId="7C75D4DA" w:rsidR="00D72262" w:rsidRPr="00DD0CE5" w:rsidRDefault="00D72262" w:rsidP="007F6C26">
      <w:pPr>
        <w:pStyle w:val="Heading2"/>
      </w:pPr>
      <w:bookmarkStart w:id="5" w:name="_Toc224747190"/>
      <w:bookmarkStart w:id="6" w:name="_Toc224749660"/>
      <w:bookmarkStart w:id="7" w:name="_Toc225974538"/>
      <w:bookmarkStart w:id="8" w:name="_Toc225975211"/>
      <w:bookmarkStart w:id="9" w:name="_Toc225975268"/>
      <w:bookmarkStart w:id="10" w:name="_Toc227941834"/>
      <w:r w:rsidRPr="00DD0CE5">
        <w:t>Political and legal context</w:t>
      </w:r>
      <w:bookmarkEnd w:id="5"/>
      <w:bookmarkEnd w:id="6"/>
      <w:bookmarkEnd w:id="7"/>
      <w:bookmarkEnd w:id="8"/>
      <w:bookmarkEnd w:id="9"/>
      <w:bookmarkEnd w:id="10"/>
    </w:p>
    <w:p w14:paraId="25C1AAB9" w14:textId="28465304" w:rsidR="003A6A9C" w:rsidRPr="00DD0CE5" w:rsidRDefault="006870AA" w:rsidP="00F10A65">
      <w:pPr>
        <w:rPr>
          <w:noProof/>
          <w:lang w:val="en-US" w:eastAsia="en-GB"/>
        </w:rPr>
      </w:pPr>
      <w:r>
        <w:rPr>
          <w:lang w:val="en-US" w:eastAsia="en-GB"/>
        </w:rPr>
        <w:t>A</w:t>
      </w:r>
      <w:r w:rsidRPr="00DD0CE5">
        <w:rPr>
          <w:lang w:val="en-US" w:eastAsia="en-GB"/>
        </w:rPr>
        <w:t xml:space="preserve"> </w:t>
      </w:r>
      <w:r w:rsidR="00586769" w:rsidRPr="00DD0CE5">
        <w:rPr>
          <w:lang w:val="en-US" w:eastAsia="en-GB"/>
        </w:rPr>
        <w:t>‘</w:t>
      </w:r>
      <w:r w:rsidR="00026F24" w:rsidRPr="00DD0CE5">
        <w:rPr>
          <w:lang w:val="en-US" w:eastAsia="en-GB"/>
        </w:rPr>
        <w:t>European Biotech Act</w:t>
      </w:r>
      <w:r>
        <w:rPr>
          <w:rFonts w:ascii="Aptos Narrow" w:hAnsi="Aptos Narrow"/>
          <w:lang w:val="en-US" w:eastAsia="en-GB"/>
        </w:rPr>
        <w:t>’</w:t>
      </w:r>
      <w:r w:rsidR="00026F24" w:rsidRPr="00DD0CE5">
        <w:rPr>
          <w:lang w:val="en-US" w:eastAsia="en-GB"/>
        </w:rPr>
        <w:t xml:space="preserve"> was announced by the President of the Commission in the</w:t>
      </w:r>
      <w:r w:rsidR="00026F24" w:rsidRPr="00DD0CE5">
        <w:rPr>
          <w:b/>
          <w:noProof/>
          <w:lang w:val="en-US" w:eastAsia="en-GB"/>
        </w:rPr>
        <w:t xml:space="preserve"> 2024 - 2029 Political Guidelines </w:t>
      </w:r>
      <w:r w:rsidR="00026F24" w:rsidRPr="00DD0CE5" w:rsidDel="009265A8">
        <w:rPr>
          <w:b/>
          <w:noProof/>
          <w:lang w:val="en-US" w:eastAsia="en-GB"/>
        </w:rPr>
        <w:t>of the</w:t>
      </w:r>
      <w:r w:rsidR="00026F24" w:rsidRPr="00DD0CE5">
        <w:rPr>
          <w:b/>
          <w:noProof/>
          <w:lang w:val="en-US" w:eastAsia="en-GB"/>
        </w:rPr>
        <w:t xml:space="preserve"> </w:t>
      </w:r>
      <w:r w:rsidR="0B62348B" w:rsidRPr="00DD0CE5">
        <w:rPr>
          <w:b/>
          <w:lang w:val="en-US" w:eastAsia="en-GB"/>
        </w:rPr>
        <w:t xml:space="preserve">European </w:t>
      </w:r>
      <w:r w:rsidR="00026F24" w:rsidRPr="00DD0CE5">
        <w:rPr>
          <w:b/>
          <w:lang w:val="en-US" w:eastAsia="en-GB"/>
        </w:rPr>
        <w:t>Commission</w:t>
      </w:r>
      <w:r w:rsidR="00026F24" w:rsidRPr="00DD0CE5">
        <w:rPr>
          <w:rStyle w:val="FootnoteReference"/>
          <w:noProof/>
          <w:color w:val="000000" w:themeColor="text1"/>
        </w:rPr>
        <w:footnoteReference w:id="6"/>
      </w:r>
      <w:r w:rsidR="00026F24" w:rsidRPr="00DD0CE5">
        <w:rPr>
          <w:lang w:val="en-US" w:eastAsia="en-GB"/>
        </w:rPr>
        <w:t>,</w:t>
      </w:r>
      <w:r w:rsidR="00F516D1">
        <w:rPr>
          <w:noProof/>
          <w:lang w:val="en-US" w:eastAsia="en-GB"/>
        </w:rPr>
        <w:t xml:space="preserve"> </w:t>
      </w:r>
      <w:r w:rsidR="00026F24" w:rsidRPr="00DD0CE5">
        <w:rPr>
          <w:noProof/>
          <w:lang w:val="en-US" w:eastAsia="en-GB"/>
        </w:rPr>
        <w:t xml:space="preserve">to make it easier to bring biotechnology products from the laboratory to the factory and then onto the market, while maintaining high safety standards. </w:t>
      </w:r>
      <w:r w:rsidR="00D95338" w:rsidRPr="00D95338">
        <w:rPr>
          <w:noProof/>
          <w:lang w:eastAsia="en-GB"/>
        </w:rPr>
        <w:t>It was further reflected in the mission letter of Commissioner Várhelyi</w:t>
      </w:r>
      <w:r w:rsidR="006253D2">
        <w:rPr>
          <w:rStyle w:val="FootnoteReference"/>
          <w:noProof/>
          <w:lang w:eastAsia="en-GB"/>
        </w:rPr>
        <w:footnoteReference w:id="7"/>
      </w:r>
      <w:r w:rsidR="00D95338">
        <w:rPr>
          <w:noProof/>
          <w:lang w:eastAsia="en-GB"/>
        </w:rPr>
        <w:t>.</w:t>
      </w:r>
    </w:p>
    <w:p w14:paraId="4419C292" w14:textId="47B7F5C0" w:rsidR="00241FCF" w:rsidRPr="00DD0CE5" w:rsidRDefault="00404D11" w:rsidP="00F10A65">
      <w:pPr>
        <w:rPr>
          <w:noProof/>
          <w:lang w:val="en-US" w:eastAsia="en-GB"/>
        </w:rPr>
      </w:pPr>
      <w:r w:rsidRPr="00DD0CE5">
        <w:rPr>
          <w:noProof/>
          <w:lang w:val="en-US" w:eastAsia="en-GB"/>
        </w:rPr>
        <w:t xml:space="preserve">In </w:t>
      </w:r>
      <w:r w:rsidR="003E5EC6">
        <w:rPr>
          <w:noProof/>
          <w:lang w:val="en-US" w:eastAsia="en-GB"/>
        </w:rPr>
        <w:t xml:space="preserve">the </w:t>
      </w:r>
      <w:r w:rsidRPr="00DD0CE5">
        <w:rPr>
          <w:b/>
          <w:lang w:val="en-US" w:eastAsia="en-GB"/>
        </w:rPr>
        <w:t>Commission Recommendation</w:t>
      </w:r>
      <w:r w:rsidR="00CE0241" w:rsidRPr="00CE0241">
        <w:rPr>
          <w:b/>
          <w:bCs/>
          <w:lang w:val="en-US" w:eastAsia="en-GB"/>
        </w:rPr>
        <w:t xml:space="preserve"> </w:t>
      </w:r>
      <w:r w:rsidR="00CE0241" w:rsidRPr="0DE085E8">
        <w:rPr>
          <w:b/>
          <w:bCs/>
          <w:lang w:val="en-US" w:eastAsia="en-GB"/>
        </w:rPr>
        <w:t>on critical technology areas for the EU’s economic security</w:t>
      </w:r>
      <w:r w:rsidRPr="00DD0CE5">
        <w:rPr>
          <w:rStyle w:val="FootnoteReference"/>
        </w:rPr>
        <w:footnoteReference w:id="8"/>
      </w:r>
      <w:r w:rsidRPr="00DD0CE5">
        <w:rPr>
          <w:noProof/>
          <w:lang w:val="en-US" w:eastAsia="en-GB"/>
        </w:rPr>
        <w:t xml:space="preserve">, </w:t>
      </w:r>
      <w:r w:rsidR="00B504DA" w:rsidRPr="00DD0CE5">
        <w:rPr>
          <w:noProof/>
          <w:lang w:val="en-US" w:eastAsia="en-GB"/>
        </w:rPr>
        <w:t>b</w:t>
      </w:r>
      <w:r w:rsidR="003F0B6A" w:rsidRPr="00DD0CE5">
        <w:rPr>
          <w:noProof/>
          <w:lang w:eastAsia="en-GB"/>
        </w:rPr>
        <w:t xml:space="preserve">iotechnology </w:t>
      </w:r>
      <w:r w:rsidR="74917365" w:rsidRPr="00DD0CE5">
        <w:rPr>
          <w:noProof/>
          <w:lang w:eastAsia="en-GB"/>
        </w:rPr>
        <w:t>was</w:t>
      </w:r>
      <w:r w:rsidR="003F0B6A" w:rsidRPr="00DD0CE5">
        <w:rPr>
          <w:noProof/>
          <w:lang w:eastAsia="en-GB"/>
        </w:rPr>
        <w:t xml:space="preserve"> recogni</w:t>
      </w:r>
      <w:r w:rsidR="00A65A34" w:rsidRPr="00DD0CE5">
        <w:rPr>
          <w:noProof/>
          <w:lang w:eastAsia="en-GB"/>
        </w:rPr>
        <w:t>s</w:t>
      </w:r>
      <w:r w:rsidR="003F0B6A" w:rsidRPr="00DD0CE5">
        <w:rPr>
          <w:noProof/>
          <w:lang w:eastAsia="en-GB"/>
        </w:rPr>
        <w:t xml:space="preserve">ed as </w:t>
      </w:r>
      <w:r w:rsidR="00123F9D" w:rsidRPr="00DD0CE5">
        <w:rPr>
          <w:noProof/>
          <w:lang w:eastAsia="en-GB"/>
        </w:rPr>
        <w:t>having “</w:t>
      </w:r>
      <w:r w:rsidR="003F0B6A" w:rsidRPr="00DD0CE5">
        <w:rPr>
          <w:noProof/>
          <w:lang w:eastAsia="en-GB"/>
        </w:rPr>
        <w:t xml:space="preserve">an </w:t>
      </w:r>
      <w:r w:rsidR="003F0B6A" w:rsidRPr="00750819">
        <w:rPr>
          <w:b/>
          <w:lang w:eastAsia="en-GB"/>
        </w:rPr>
        <w:t>enabling and transformative nature</w:t>
      </w:r>
      <w:r w:rsidR="003F0B6A" w:rsidRPr="00DD0CE5">
        <w:rPr>
          <w:noProof/>
          <w:lang w:eastAsia="en-GB"/>
        </w:rPr>
        <w:t xml:space="preserve"> in areas such as agriculture, environment, healthcare, life science</w:t>
      </w:r>
      <w:r w:rsidR="008E3FC2">
        <w:rPr>
          <w:noProof/>
          <w:lang w:eastAsia="en-GB"/>
        </w:rPr>
        <w:t>s</w:t>
      </w:r>
      <w:r w:rsidR="003F0B6A" w:rsidRPr="00DD0CE5">
        <w:rPr>
          <w:noProof/>
          <w:lang w:eastAsia="en-GB"/>
        </w:rPr>
        <w:t>, food chains or biomanufacturing</w:t>
      </w:r>
      <w:r w:rsidR="00123F9D" w:rsidRPr="00DD0CE5">
        <w:rPr>
          <w:noProof/>
          <w:lang w:eastAsia="en-GB"/>
        </w:rPr>
        <w:t>”</w:t>
      </w:r>
      <w:r w:rsidR="003F0B6A" w:rsidRPr="00DD0CE5">
        <w:rPr>
          <w:noProof/>
          <w:lang w:eastAsia="en-GB"/>
        </w:rPr>
        <w:t xml:space="preserve">. </w:t>
      </w:r>
      <w:r w:rsidR="008E3FC2">
        <w:rPr>
          <w:noProof/>
          <w:lang w:val="en-US" w:eastAsia="en-GB"/>
        </w:rPr>
        <w:t>T</w:t>
      </w:r>
      <w:r w:rsidR="002B6E44" w:rsidRPr="0010075B">
        <w:rPr>
          <w:noProof/>
          <w:lang w:val="en-US" w:eastAsia="en-GB"/>
        </w:rPr>
        <w:t>he</w:t>
      </w:r>
      <w:r w:rsidR="00423CDC" w:rsidRPr="00DD0CE5">
        <w:rPr>
          <w:noProof/>
          <w:lang w:val="en-US" w:eastAsia="en-GB"/>
        </w:rPr>
        <w:t xml:space="preserve"> </w:t>
      </w:r>
      <w:r w:rsidR="00423CDC" w:rsidRPr="00750819">
        <w:rPr>
          <w:lang w:val="en-US" w:eastAsia="en-GB"/>
        </w:rPr>
        <w:t>Commission Communication on Biotechnology and Biomanufacturing</w:t>
      </w:r>
      <w:r w:rsidR="00423CDC" w:rsidRPr="00DD0CE5">
        <w:rPr>
          <w:rStyle w:val="FootnoteReference"/>
          <w:rFonts w:eastAsia="Times New Roman"/>
          <w:noProof/>
          <w:color w:val="000000" w:themeColor="text1"/>
          <w:lang w:val="en-US" w:eastAsia="en-GB"/>
        </w:rPr>
        <w:footnoteReference w:id="9"/>
      </w:r>
      <w:r w:rsidR="00C73631" w:rsidRPr="00DD0CE5">
        <w:rPr>
          <w:noProof/>
          <w:lang w:val="en-US" w:eastAsia="en-GB"/>
        </w:rPr>
        <w:t xml:space="preserve"> </w:t>
      </w:r>
      <w:r w:rsidR="008E3FC2">
        <w:rPr>
          <w:noProof/>
          <w:lang w:val="en-US" w:eastAsia="en-GB"/>
        </w:rPr>
        <w:t xml:space="preserve">highlighted </w:t>
      </w:r>
      <w:r w:rsidR="00663376" w:rsidRPr="00DD0CE5">
        <w:rPr>
          <w:noProof/>
          <w:lang w:val="en-US" w:eastAsia="en-GB"/>
        </w:rPr>
        <w:t>t</w:t>
      </w:r>
      <w:r w:rsidR="00353346" w:rsidRPr="00DD0CE5">
        <w:rPr>
          <w:noProof/>
          <w:lang w:val="en-US" w:eastAsia="en-GB"/>
        </w:rPr>
        <w:t xml:space="preserve">he high </w:t>
      </w:r>
      <w:r w:rsidR="00353346" w:rsidRPr="00750819">
        <w:rPr>
          <w:b/>
          <w:lang w:val="en-US" w:eastAsia="en-GB"/>
        </w:rPr>
        <w:t>growth potential and labour productivity</w:t>
      </w:r>
      <w:r w:rsidR="00353346" w:rsidRPr="00DD0CE5">
        <w:rPr>
          <w:noProof/>
          <w:lang w:val="en-US" w:eastAsia="en-GB"/>
        </w:rPr>
        <w:t xml:space="preserve"> of</w:t>
      </w:r>
      <w:r w:rsidR="00500C88" w:rsidRPr="00DD0CE5">
        <w:rPr>
          <w:noProof/>
          <w:lang w:val="en-US" w:eastAsia="en-GB"/>
        </w:rPr>
        <w:t xml:space="preserve"> biotechnology and biomanufacturing</w:t>
      </w:r>
      <w:r w:rsidR="00E44827">
        <w:rPr>
          <w:noProof/>
          <w:lang w:val="en-US" w:eastAsia="en-GB"/>
        </w:rPr>
        <w:t>. This makes</w:t>
      </w:r>
      <w:r w:rsidR="00353346" w:rsidRPr="00DD0CE5">
        <w:rPr>
          <w:noProof/>
          <w:lang w:val="en-US" w:eastAsia="en-GB"/>
        </w:rPr>
        <w:t xml:space="preserve"> the</w:t>
      </w:r>
      <w:r w:rsidR="007276CB" w:rsidRPr="00DD0CE5">
        <w:rPr>
          <w:noProof/>
          <w:lang w:val="en-US" w:eastAsia="en-GB"/>
        </w:rPr>
        <w:t xml:space="preserve"> sector</w:t>
      </w:r>
      <w:r w:rsidR="00663376" w:rsidRPr="00DD0CE5">
        <w:rPr>
          <w:noProof/>
          <w:lang w:val="en-US" w:eastAsia="en-GB"/>
        </w:rPr>
        <w:t xml:space="preserve"> pivotal to the </w:t>
      </w:r>
      <w:r w:rsidR="00663376" w:rsidRPr="00750819">
        <w:rPr>
          <w:b/>
          <w:lang w:val="en-US" w:eastAsia="en-GB"/>
        </w:rPr>
        <w:t>competitiveness and modernisation</w:t>
      </w:r>
      <w:r w:rsidR="00663376" w:rsidRPr="00DD0CE5">
        <w:rPr>
          <w:noProof/>
          <w:lang w:val="en-US" w:eastAsia="en-GB"/>
        </w:rPr>
        <w:t xml:space="preserve"> of the EU’s econo</w:t>
      </w:r>
      <w:r w:rsidR="0085051F" w:rsidRPr="00DD0CE5">
        <w:rPr>
          <w:noProof/>
          <w:lang w:val="en-US" w:eastAsia="en-GB"/>
        </w:rPr>
        <w:t>my</w:t>
      </w:r>
      <w:r w:rsidR="00E13A0A">
        <w:rPr>
          <w:noProof/>
          <w:lang w:val="en-US" w:eastAsia="en-GB"/>
        </w:rPr>
        <w:t>, as well as conducive to</w:t>
      </w:r>
      <w:r w:rsidR="00F236DB" w:rsidRPr="00DD0CE5">
        <w:rPr>
          <w:noProof/>
          <w:lang w:val="en-US" w:eastAsia="en-GB"/>
        </w:rPr>
        <w:t xml:space="preserve"> </w:t>
      </w:r>
      <w:r w:rsidR="00097EC9">
        <w:rPr>
          <w:noProof/>
          <w:lang w:val="en-US" w:eastAsia="en-GB"/>
        </w:rPr>
        <w:t>its</w:t>
      </w:r>
      <w:r w:rsidR="00097EC9" w:rsidRPr="00DD0CE5">
        <w:rPr>
          <w:noProof/>
          <w:lang w:val="en-US" w:eastAsia="en-GB"/>
        </w:rPr>
        <w:t xml:space="preserve"> </w:t>
      </w:r>
      <w:r w:rsidR="00F236DB" w:rsidRPr="00EF0B97">
        <w:rPr>
          <w:b/>
          <w:lang w:val="en-US" w:eastAsia="en-GB"/>
        </w:rPr>
        <w:t>strategic autonomy and resili</w:t>
      </w:r>
      <w:r w:rsidR="00A95C62" w:rsidRPr="00EF0B97">
        <w:rPr>
          <w:b/>
          <w:lang w:val="en-US" w:eastAsia="en-GB"/>
        </w:rPr>
        <w:t>ence</w:t>
      </w:r>
      <w:r w:rsidR="00092CFF" w:rsidRPr="00DD0CE5">
        <w:rPr>
          <w:noProof/>
          <w:lang w:val="en-US" w:eastAsia="en-GB"/>
        </w:rPr>
        <w:t>.</w:t>
      </w:r>
      <w:r w:rsidR="00956EF1" w:rsidRPr="00DD0CE5">
        <w:rPr>
          <w:noProof/>
          <w:lang w:val="en-US" w:eastAsia="en-GB"/>
        </w:rPr>
        <w:t xml:space="preserve"> </w:t>
      </w:r>
      <w:r w:rsidR="00800C31" w:rsidRPr="00DD0CE5">
        <w:rPr>
          <w:noProof/>
          <w:lang w:val="en-US" w:eastAsia="en-GB"/>
        </w:rPr>
        <w:t>While the EU</w:t>
      </w:r>
      <w:r w:rsidR="00A27BEE">
        <w:rPr>
          <w:noProof/>
          <w:lang w:val="en-US" w:eastAsia="en-GB"/>
        </w:rPr>
        <w:t>’s strengths were recogni</w:t>
      </w:r>
      <w:r w:rsidR="00A11562">
        <w:rPr>
          <w:noProof/>
          <w:lang w:val="en-US" w:eastAsia="en-GB"/>
        </w:rPr>
        <w:t>s</w:t>
      </w:r>
      <w:r w:rsidR="00A27BEE">
        <w:rPr>
          <w:noProof/>
          <w:lang w:val="en-US" w:eastAsia="en-GB"/>
        </w:rPr>
        <w:t xml:space="preserve">ed </w:t>
      </w:r>
      <w:r w:rsidR="00397C01">
        <w:rPr>
          <w:noProof/>
          <w:lang w:val="en-US" w:eastAsia="en-GB"/>
        </w:rPr>
        <w:t>(i.e.</w:t>
      </w:r>
      <w:r w:rsidR="00736CD9" w:rsidRPr="00DD0CE5">
        <w:rPr>
          <w:noProof/>
          <w:lang w:val="en-US" w:eastAsia="en-GB"/>
        </w:rPr>
        <w:t xml:space="preserve"> </w:t>
      </w:r>
      <w:r w:rsidR="00A25C8B" w:rsidRPr="00DD0CE5">
        <w:rPr>
          <w:noProof/>
          <w:lang w:val="en-US" w:eastAsia="en-GB"/>
        </w:rPr>
        <w:t>research</w:t>
      </w:r>
      <w:r w:rsidR="001A5DB3" w:rsidRPr="00DD0CE5">
        <w:rPr>
          <w:noProof/>
          <w:lang w:val="en-US" w:eastAsia="en-GB"/>
        </w:rPr>
        <w:t xml:space="preserve"> and</w:t>
      </w:r>
      <w:r w:rsidR="00A25C8B" w:rsidRPr="00DD0CE5">
        <w:rPr>
          <w:noProof/>
          <w:lang w:val="en-US" w:eastAsia="en-GB"/>
        </w:rPr>
        <w:t xml:space="preserve"> innova</w:t>
      </w:r>
      <w:r w:rsidR="43597515" w:rsidRPr="00DD0CE5">
        <w:rPr>
          <w:noProof/>
          <w:lang w:val="en-US" w:eastAsia="en-GB"/>
        </w:rPr>
        <w:t>t</w:t>
      </w:r>
      <w:r w:rsidR="00A25C8B" w:rsidRPr="00DD0CE5">
        <w:rPr>
          <w:noProof/>
          <w:lang w:val="en-US" w:eastAsia="en-GB"/>
        </w:rPr>
        <w:t>ion</w:t>
      </w:r>
      <w:r w:rsidR="001A5DB3" w:rsidRPr="00DD0CE5">
        <w:rPr>
          <w:noProof/>
          <w:lang w:val="en-US" w:eastAsia="en-GB"/>
        </w:rPr>
        <w:t xml:space="preserve"> base</w:t>
      </w:r>
      <w:r w:rsidR="00716938" w:rsidRPr="00DD0CE5">
        <w:rPr>
          <w:noProof/>
          <w:lang w:val="en-US" w:eastAsia="en-GB"/>
        </w:rPr>
        <w:t xml:space="preserve"> </w:t>
      </w:r>
      <w:r w:rsidR="00A25C8B" w:rsidRPr="00DD0CE5">
        <w:rPr>
          <w:noProof/>
          <w:lang w:val="en-US" w:eastAsia="en-GB"/>
        </w:rPr>
        <w:t xml:space="preserve">and </w:t>
      </w:r>
      <w:r w:rsidR="00E551C3" w:rsidRPr="00DD0CE5">
        <w:rPr>
          <w:noProof/>
          <w:lang w:val="en-US" w:eastAsia="en-GB"/>
        </w:rPr>
        <w:t>capacities</w:t>
      </w:r>
      <w:r w:rsidR="00397C01">
        <w:rPr>
          <w:noProof/>
          <w:lang w:val="en-US" w:eastAsia="en-GB"/>
        </w:rPr>
        <w:t>)</w:t>
      </w:r>
      <w:r w:rsidR="00903FA1" w:rsidRPr="00DD0CE5">
        <w:rPr>
          <w:noProof/>
          <w:lang w:val="en-US" w:eastAsia="en-GB"/>
        </w:rPr>
        <w:t>,</w:t>
      </w:r>
      <w:r w:rsidR="00241FCF" w:rsidRPr="00DD0CE5">
        <w:rPr>
          <w:noProof/>
          <w:lang w:val="en-US" w:eastAsia="en-GB"/>
        </w:rPr>
        <w:t xml:space="preserve"> </w:t>
      </w:r>
      <w:r w:rsidR="00A96671" w:rsidRPr="00DD0CE5">
        <w:rPr>
          <w:noProof/>
          <w:lang w:val="en-US" w:eastAsia="en-GB"/>
        </w:rPr>
        <w:t>the Commission stresse</w:t>
      </w:r>
      <w:r w:rsidR="39E16562" w:rsidRPr="00DD0CE5">
        <w:rPr>
          <w:noProof/>
          <w:lang w:val="en-US" w:eastAsia="en-GB"/>
        </w:rPr>
        <w:t>d</w:t>
      </w:r>
      <w:r w:rsidR="00A96671" w:rsidRPr="00DD0CE5">
        <w:rPr>
          <w:noProof/>
          <w:lang w:val="en-US" w:eastAsia="en-GB"/>
        </w:rPr>
        <w:t xml:space="preserve"> the need </w:t>
      </w:r>
      <w:r w:rsidR="009C03BD" w:rsidRPr="00DD0CE5">
        <w:rPr>
          <w:noProof/>
          <w:lang w:val="en-US" w:eastAsia="en-GB"/>
        </w:rPr>
        <w:t>to address the challenges faced by companies, users and consumers</w:t>
      </w:r>
      <w:r w:rsidR="005972FF" w:rsidRPr="00DD0CE5">
        <w:rPr>
          <w:noProof/>
          <w:lang w:val="en-US" w:eastAsia="en-GB"/>
        </w:rPr>
        <w:t>.</w:t>
      </w:r>
      <w:r w:rsidR="009C03BD" w:rsidRPr="00DD0CE5">
        <w:rPr>
          <w:noProof/>
          <w:lang w:val="en-US" w:eastAsia="en-GB"/>
        </w:rPr>
        <w:t xml:space="preserve"> It </w:t>
      </w:r>
      <w:r w:rsidR="00083F4A" w:rsidRPr="00DD0CE5">
        <w:rPr>
          <w:noProof/>
          <w:lang w:val="en-US" w:eastAsia="en-GB"/>
        </w:rPr>
        <w:t>call</w:t>
      </w:r>
      <w:r w:rsidR="136CD6F7" w:rsidRPr="00DD0CE5">
        <w:rPr>
          <w:noProof/>
          <w:lang w:val="en-US" w:eastAsia="en-GB"/>
        </w:rPr>
        <w:t>ed</w:t>
      </w:r>
      <w:r w:rsidR="00083F4A" w:rsidRPr="00DD0CE5">
        <w:rPr>
          <w:noProof/>
          <w:lang w:val="en-US" w:eastAsia="en-GB"/>
        </w:rPr>
        <w:t xml:space="preserve"> for </w:t>
      </w:r>
      <w:r w:rsidR="005972FF" w:rsidRPr="00DD0CE5">
        <w:rPr>
          <w:noProof/>
          <w:lang w:val="en-US" w:eastAsia="en-GB"/>
        </w:rPr>
        <w:t xml:space="preserve">both </w:t>
      </w:r>
      <w:r w:rsidR="0007750B" w:rsidRPr="00DD0CE5">
        <w:rPr>
          <w:noProof/>
          <w:lang w:val="en-US" w:eastAsia="en-GB"/>
        </w:rPr>
        <w:t xml:space="preserve">a </w:t>
      </w:r>
      <w:r w:rsidR="0007750B" w:rsidRPr="00EF0B97">
        <w:rPr>
          <w:b/>
          <w:lang w:val="en-US" w:eastAsia="en-GB"/>
        </w:rPr>
        <w:t>supportive regulatory environment</w:t>
      </w:r>
      <w:r w:rsidR="006A2B66" w:rsidRPr="00EF0B97">
        <w:rPr>
          <w:b/>
          <w:lang w:val="en-US" w:eastAsia="en-GB"/>
        </w:rPr>
        <w:t xml:space="preserve"> and a </w:t>
      </w:r>
      <w:r w:rsidR="006A2B66" w:rsidRPr="00EF0B97">
        <w:rPr>
          <w:b/>
          <w:lang w:eastAsia="en-GB"/>
        </w:rPr>
        <w:t>coordinated approach</w:t>
      </w:r>
      <w:r w:rsidR="00FC3869" w:rsidRPr="00DD0CE5">
        <w:rPr>
          <w:noProof/>
          <w:lang w:eastAsia="en-GB"/>
        </w:rPr>
        <w:t>, particu</w:t>
      </w:r>
      <w:r w:rsidR="00232431" w:rsidRPr="00DD0CE5">
        <w:rPr>
          <w:noProof/>
          <w:lang w:eastAsia="en-GB"/>
        </w:rPr>
        <w:t>l</w:t>
      </w:r>
      <w:r w:rsidR="00FC3869" w:rsidRPr="00DD0CE5">
        <w:rPr>
          <w:noProof/>
          <w:lang w:eastAsia="en-GB"/>
        </w:rPr>
        <w:t xml:space="preserve">arly </w:t>
      </w:r>
      <w:r w:rsidR="003A0697">
        <w:rPr>
          <w:noProof/>
          <w:lang w:eastAsia="en-GB"/>
        </w:rPr>
        <w:t>for</w:t>
      </w:r>
      <w:r w:rsidR="00FC3869" w:rsidRPr="00DD0CE5">
        <w:rPr>
          <w:noProof/>
          <w:lang w:eastAsia="en-GB"/>
        </w:rPr>
        <w:t xml:space="preserve"> </w:t>
      </w:r>
      <w:r w:rsidR="00152465">
        <w:rPr>
          <w:noProof/>
          <w:lang w:eastAsia="en-GB"/>
        </w:rPr>
        <w:t>deve</w:t>
      </w:r>
      <w:r w:rsidR="00042FBA">
        <w:rPr>
          <w:noProof/>
          <w:lang w:eastAsia="en-GB"/>
        </w:rPr>
        <w:t>loping</w:t>
      </w:r>
      <w:r w:rsidR="00152465" w:rsidRPr="00DD0CE5">
        <w:rPr>
          <w:noProof/>
          <w:lang w:eastAsia="en-GB"/>
        </w:rPr>
        <w:t xml:space="preserve"> </w:t>
      </w:r>
      <w:r w:rsidR="00052715" w:rsidRPr="00DD0CE5">
        <w:rPr>
          <w:noProof/>
          <w:lang w:eastAsia="en-GB"/>
        </w:rPr>
        <w:t>infrastructures</w:t>
      </w:r>
      <w:r w:rsidR="00362364" w:rsidRPr="00DD0CE5">
        <w:rPr>
          <w:noProof/>
          <w:lang w:eastAsia="en-GB"/>
        </w:rPr>
        <w:t xml:space="preserve">, </w:t>
      </w:r>
      <w:r w:rsidR="009C03BD" w:rsidRPr="00DD0CE5">
        <w:rPr>
          <w:noProof/>
          <w:lang w:eastAsia="en-GB"/>
        </w:rPr>
        <w:t>foster</w:t>
      </w:r>
      <w:r w:rsidR="0051407E">
        <w:rPr>
          <w:noProof/>
          <w:lang w:eastAsia="en-GB"/>
        </w:rPr>
        <w:t>ing</w:t>
      </w:r>
      <w:r w:rsidR="009C03BD" w:rsidRPr="00DD0CE5">
        <w:rPr>
          <w:noProof/>
          <w:lang w:eastAsia="en-GB"/>
        </w:rPr>
        <w:t xml:space="preserve"> the use of </w:t>
      </w:r>
      <w:r w:rsidR="001A4550" w:rsidRPr="00DD0CE5">
        <w:rPr>
          <w:noProof/>
          <w:lang w:eastAsia="en-GB"/>
        </w:rPr>
        <w:t xml:space="preserve">AI, </w:t>
      </w:r>
      <w:r w:rsidR="009C03BD" w:rsidRPr="00DD0CE5">
        <w:rPr>
          <w:noProof/>
          <w:lang w:eastAsia="en-GB"/>
        </w:rPr>
        <w:t>and encourag</w:t>
      </w:r>
      <w:r w:rsidR="0051407E">
        <w:rPr>
          <w:noProof/>
          <w:lang w:eastAsia="en-GB"/>
        </w:rPr>
        <w:t>ing</w:t>
      </w:r>
      <w:r w:rsidR="009C03BD" w:rsidRPr="00DD0CE5">
        <w:rPr>
          <w:noProof/>
          <w:lang w:eastAsia="en-GB"/>
        </w:rPr>
        <w:t xml:space="preserve"> </w:t>
      </w:r>
      <w:r w:rsidR="001A4550" w:rsidRPr="00DD0CE5">
        <w:rPr>
          <w:noProof/>
          <w:lang w:eastAsia="en-GB"/>
        </w:rPr>
        <w:t xml:space="preserve">private </w:t>
      </w:r>
      <w:r w:rsidR="009C03BD" w:rsidRPr="00DD0CE5">
        <w:rPr>
          <w:noProof/>
          <w:lang w:eastAsia="en-GB"/>
        </w:rPr>
        <w:t>and</w:t>
      </w:r>
      <w:r w:rsidR="001A4550" w:rsidRPr="00DD0CE5">
        <w:rPr>
          <w:noProof/>
          <w:lang w:eastAsia="en-GB"/>
        </w:rPr>
        <w:t xml:space="preserve"> public inves</w:t>
      </w:r>
      <w:r w:rsidR="003A0697">
        <w:rPr>
          <w:noProof/>
          <w:lang w:eastAsia="en-GB"/>
        </w:rPr>
        <w:t>t</w:t>
      </w:r>
      <w:r w:rsidR="001A4550" w:rsidRPr="00DD0CE5">
        <w:rPr>
          <w:noProof/>
          <w:lang w:eastAsia="en-GB"/>
        </w:rPr>
        <w:t>ments</w:t>
      </w:r>
      <w:r w:rsidR="00052715" w:rsidRPr="00DD0CE5">
        <w:rPr>
          <w:noProof/>
          <w:lang w:eastAsia="en-GB"/>
        </w:rPr>
        <w:t>.</w:t>
      </w:r>
      <w:r w:rsidR="00892C1C" w:rsidRPr="00DD0CE5">
        <w:rPr>
          <w:noProof/>
          <w:lang w:eastAsia="en-GB"/>
        </w:rPr>
        <w:t xml:space="preserve"> </w:t>
      </w:r>
      <w:r w:rsidR="5383E44F" w:rsidRPr="6DF12B06">
        <w:rPr>
          <w:rFonts w:eastAsia="Times New Roman"/>
          <w:noProof/>
        </w:rPr>
        <w:t xml:space="preserve">Additionally, the </w:t>
      </w:r>
      <w:r w:rsidR="5383E44F" w:rsidRPr="6DF12B06">
        <w:rPr>
          <w:rFonts w:eastAsia="Times New Roman"/>
          <w:b/>
          <w:bCs/>
          <w:noProof/>
        </w:rPr>
        <w:t>EU’s Economic Security Strategy</w:t>
      </w:r>
      <w:r w:rsidRPr="00064CB8">
        <w:rPr>
          <w:rFonts w:eastAsia="Times New Roman"/>
          <w:color w:val="000000" w:themeColor="text1"/>
          <w:vertAlign w:val="superscript"/>
        </w:rPr>
        <w:footnoteReference w:id="10"/>
      </w:r>
      <w:r w:rsidR="5383E44F" w:rsidRPr="65DBCA83">
        <w:rPr>
          <w:rFonts w:eastAsia="Times New Roman"/>
          <w:b/>
          <w:color w:val="000000" w:themeColor="text1"/>
          <w:sz w:val="19"/>
          <w:szCs w:val="19"/>
        </w:rPr>
        <w:t xml:space="preserve"> </w:t>
      </w:r>
      <w:r w:rsidR="5383E44F" w:rsidRPr="6DF12B06">
        <w:rPr>
          <w:rFonts w:eastAsia="Times New Roman"/>
          <w:noProof/>
        </w:rPr>
        <w:t xml:space="preserve">identified </w:t>
      </w:r>
      <w:r w:rsidR="00770B56" w:rsidRPr="6DF12B06">
        <w:rPr>
          <w:rFonts w:eastAsia="Times New Roman"/>
        </w:rPr>
        <w:t xml:space="preserve">biotechnology </w:t>
      </w:r>
      <w:r w:rsidR="5383E44F" w:rsidRPr="6DF12B06">
        <w:rPr>
          <w:rFonts w:eastAsia="Times New Roman"/>
          <w:noProof/>
        </w:rPr>
        <w:t>as</w:t>
      </w:r>
      <w:r w:rsidR="00770B56" w:rsidRPr="6DF12B06" w:rsidDel="00B504DA">
        <w:rPr>
          <w:rFonts w:eastAsia="Times New Roman"/>
        </w:rPr>
        <w:t xml:space="preserve"> </w:t>
      </w:r>
      <w:r w:rsidR="00770B56" w:rsidRPr="6DF12B06">
        <w:rPr>
          <w:rFonts w:eastAsia="Times New Roman"/>
        </w:rPr>
        <w:t xml:space="preserve">one of the </w:t>
      </w:r>
      <w:r w:rsidR="5383E44F" w:rsidRPr="6DF12B06">
        <w:rPr>
          <w:rFonts w:eastAsia="Times New Roman"/>
          <w:noProof/>
        </w:rPr>
        <w:t>10</w:t>
      </w:r>
      <w:r w:rsidR="00770B56" w:rsidRPr="6DF12B06">
        <w:rPr>
          <w:rFonts w:eastAsia="Times New Roman"/>
        </w:rPr>
        <w:t xml:space="preserve"> technology areas most likely to present sensitive and immediate risks related to technology security and technology leakage</w:t>
      </w:r>
      <w:r w:rsidR="5383E44F" w:rsidRPr="6DF12B06">
        <w:rPr>
          <w:rFonts w:eastAsia="Times New Roman"/>
          <w:noProof/>
        </w:rPr>
        <w:t xml:space="preserve">. This strategy launched an EU joint </w:t>
      </w:r>
      <w:r w:rsidR="00770B56" w:rsidRPr="6DF12B06">
        <w:rPr>
          <w:rFonts w:eastAsia="Times New Roman"/>
        </w:rPr>
        <w:t xml:space="preserve">risk assessment </w:t>
      </w:r>
      <w:r w:rsidR="5383E44F" w:rsidRPr="6DF12B06">
        <w:rPr>
          <w:rFonts w:eastAsia="Times New Roman"/>
          <w:noProof/>
        </w:rPr>
        <w:t>with Member States</w:t>
      </w:r>
      <w:r w:rsidR="33BE4142" w:rsidRPr="6DF12B06">
        <w:rPr>
          <w:rFonts w:eastAsia="Times New Roman"/>
          <w:noProof/>
        </w:rPr>
        <w:t xml:space="preserve"> </w:t>
      </w:r>
      <w:r w:rsidR="5383E44F" w:rsidRPr="6DF12B06">
        <w:rPr>
          <w:rFonts w:eastAsia="Times New Roman"/>
          <w:noProof/>
        </w:rPr>
        <w:t xml:space="preserve">on biotechnology, which </w:t>
      </w:r>
      <w:r w:rsidR="00770B56" w:rsidRPr="6DF12B06">
        <w:rPr>
          <w:rFonts w:eastAsia="Times New Roman"/>
        </w:rPr>
        <w:t xml:space="preserve">identified </w:t>
      </w:r>
      <w:r w:rsidR="5383E44F" w:rsidRPr="6DF12B06">
        <w:rPr>
          <w:rFonts w:eastAsia="Times New Roman"/>
          <w:noProof/>
        </w:rPr>
        <w:t xml:space="preserve">relevant </w:t>
      </w:r>
      <w:r w:rsidR="00770B56" w:rsidRPr="6DF12B06">
        <w:rPr>
          <w:rFonts w:eastAsia="Times New Roman"/>
        </w:rPr>
        <w:t>biosecurity</w:t>
      </w:r>
      <w:r w:rsidR="5383E44F" w:rsidRPr="6DF12B06">
        <w:rPr>
          <w:rFonts w:eastAsia="Times New Roman"/>
          <w:noProof/>
        </w:rPr>
        <w:t xml:space="preserve"> risks that require mitigation</w:t>
      </w:r>
      <w:r w:rsidR="793278BD" w:rsidRPr="6DF12B06">
        <w:rPr>
          <w:rFonts w:eastAsia="Times New Roman"/>
          <w:noProof/>
        </w:rPr>
        <w:t xml:space="preserve"> measures</w:t>
      </w:r>
      <w:r w:rsidR="00770B56" w:rsidRPr="6DF12B06">
        <w:rPr>
          <w:rFonts w:eastAsia="Times New Roman"/>
        </w:rPr>
        <w:t>.</w:t>
      </w:r>
    </w:p>
    <w:p w14:paraId="3DB1F25A" w14:textId="701849A6" w:rsidR="002C7BE6" w:rsidRPr="00DD0CE5" w:rsidRDefault="00912DC9" w:rsidP="00322170">
      <w:r w:rsidRPr="00DD0CE5">
        <w:rPr>
          <w:noProof/>
          <w:lang w:val="en-US" w:eastAsia="en-GB"/>
        </w:rPr>
        <w:t>T</w:t>
      </w:r>
      <w:r w:rsidR="00946026" w:rsidRPr="00DD0CE5">
        <w:rPr>
          <w:noProof/>
          <w:lang w:val="en-US" w:eastAsia="en-GB"/>
        </w:rPr>
        <w:t>he</w:t>
      </w:r>
      <w:r w:rsidR="00026F24" w:rsidRPr="00DD0CE5">
        <w:rPr>
          <w:noProof/>
          <w:lang w:val="en-US" w:eastAsia="en-GB"/>
        </w:rPr>
        <w:t xml:space="preserve"> </w:t>
      </w:r>
      <w:r w:rsidR="00A869E4">
        <w:rPr>
          <w:noProof/>
          <w:lang w:val="en-US" w:eastAsia="en-GB"/>
        </w:rPr>
        <w:t>seminal</w:t>
      </w:r>
      <w:r w:rsidR="00026F24" w:rsidRPr="00DD0CE5">
        <w:rPr>
          <w:noProof/>
          <w:lang w:val="en-US" w:eastAsia="en-GB"/>
        </w:rPr>
        <w:t xml:space="preserve"> </w:t>
      </w:r>
      <w:r w:rsidR="00026F24" w:rsidRPr="00CD3D37">
        <w:rPr>
          <w:lang w:val="en-US" w:eastAsia="en-GB"/>
        </w:rPr>
        <w:t>reports</w:t>
      </w:r>
      <w:r w:rsidR="00026F24" w:rsidRPr="00DD0CE5">
        <w:rPr>
          <w:noProof/>
          <w:lang w:val="en-US" w:eastAsia="en-GB"/>
        </w:rPr>
        <w:t xml:space="preserve"> by </w:t>
      </w:r>
      <w:r w:rsidR="00026F24" w:rsidRPr="00CD3D37">
        <w:rPr>
          <w:b/>
          <w:lang w:val="en-US" w:eastAsia="en-GB"/>
        </w:rPr>
        <w:t>Enrico Letta</w:t>
      </w:r>
      <w:r w:rsidR="00026F24" w:rsidRPr="00DD0CE5">
        <w:rPr>
          <w:rStyle w:val="FootnoteReference"/>
          <w:rFonts w:eastAsia="Times New Roman"/>
          <w:noProof/>
          <w:color w:val="000000" w:themeColor="text1"/>
          <w:lang w:val="en-US" w:eastAsia="en-GB"/>
        </w:rPr>
        <w:footnoteReference w:id="11"/>
      </w:r>
      <w:r w:rsidR="00026F24" w:rsidRPr="00DD0CE5">
        <w:rPr>
          <w:noProof/>
          <w:lang w:val="en-US" w:eastAsia="en-GB"/>
        </w:rPr>
        <w:t xml:space="preserve"> and </w:t>
      </w:r>
      <w:r w:rsidR="00026F24" w:rsidRPr="00CD3D37">
        <w:rPr>
          <w:b/>
          <w:lang w:val="en-US" w:eastAsia="en-GB"/>
        </w:rPr>
        <w:t>Mario Draghi</w:t>
      </w:r>
      <w:r w:rsidR="00026F24" w:rsidRPr="00DD0CE5">
        <w:rPr>
          <w:rStyle w:val="FootnoteReference"/>
          <w:rFonts w:eastAsia="Times New Roman"/>
          <w:noProof/>
          <w:color w:val="000000" w:themeColor="text1"/>
          <w:lang w:val="en-US" w:eastAsia="en-GB"/>
        </w:rPr>
        <w:footnoteReference w:id="12"/>
      </w:r>
      <w:r>
        <w:rPr>
          <w:lang w:val="en-IE" w:eastAsia="en-GB"/>
        </w:rPr>
        <w:t xml:space="preserve"> </w:t>
      </w:r>
      <w:r w:rsidR="00A869E4">
        <w:rPr>
          <w:noProof/>
          <w:lang w:val="en-IE" w:eastAsia="en-GB"/>
        </w:rPr>
        <w:t>also</w:t>
      </w:r>
      <w:r w:rsidRPr="00DD0CE5">
        <w:rPr>
          <w:noProof/>
          <w:lang w:val="en-US" w:eastAsia="en-GB"/>
        </w:rPr>
        <w:t xml:space="preserve"> underscore</w:t>
      </w:r>
      <w:r w:rsidR="501E795A" w:rsidRPr="3197EAA3">
        <w:rPr>
          <w:noProof/>
          <w:lang w:val="en-US" w:eastAsia="en-GB"/>
        </w:rPr>
        <w:t>d</w:t>
      </w:r>
      <w:r w:rsidRPr="00DD0CE5">
        <w:rPr>
          <w:noProof/>
          <w:lang w:val="en-US" w:eastAsia="en-GB"/>
        </w:rPr>
        <w:t xml:space="preserve"> the need to take action in the biotechnology and biomanufacturing sector</w:t>
      </w:r>
      <w:r w:rsidR="004E74D7">
        <w:rPr>
          <w:noProof/>
          <w:lang w:val="en-US" w:eastAsia="en-GB"/>
        </w:rPr>
        <w:t>s</w:t>
      </w:r>
      <w:r w:rsidRPr="00DD0CE5">
        <w:rPr>
          <w:noProof/>
          <w:lang w:val="en-US" w:eastAsia="en-GB"/>
        </w:rPr>
        <w:t>.</w:t>
      </w:r>
      <w:r w:rsidR="00B504DA" w:rsidRPr="00DD0CE5">
        <w:rPr>
          <w:noProof/>
          <w:lang w:val="en-US" w:eastAsia="en-GB"/>
        </w:rPr>
        <w:t xml:space="preserve"> </w:t>
      </w:r>
      <w:r w:rsidR="00404D11" w:rsidRPr="00DD0CE5">
        <w:t>The</w:t>
      </w:r>
      <w:r w:rsidR="00F5727A">
        <w:t xml:space="preserve">y </w:t>
      </w:r>
      <w:r w:rsidR="005669A9">
        <w:t>identified</w:t>
      </w:r>
      <w:r w:rsidR="001E1D41" w:rsidRPr="00DD0CE5">
        <w:t xml:space="preserve"> the need for</w:t>
      </w:r>
      <w:r w:rsidR="00DA4DBE" w:rsidRPr="00DD0CE5">
        <w:t xml:space="preserve"> </w:t>
      </w:r>
      <w:r w:rsidR="007E314B" w:rsidRPr="00DD0CE5">
        <w:t xml:space="preserve">a </w:t>
      </w:r>
      <w:r w:rsidR="003E66C2">
        <w:t xml:space="preserve">stronger, more </w:t>
      </w:r>
      <w:r w:rsidR="007E314B" w:rsidRPr="00DD0CE5">
        <w:t>dynamic European industrial policy</w:t>
      </w:r>
      <w:r w:rsidR="001D5649" w:rsidRPr="00DD0CE5">
        <w:t xml:space="preserve">, including </w:t>
      </w:r>
      <w:r w:rsidR="001E1D41" w:rsidRPr="00DD0CE5">
        <w:t xml:space="preserve">measures </w:t>
      </w:r>
      <w:r w:rsidR="00BC41FC" w:rsidRPr="00DD0CE5">
        <w:t xml:space="preserve">for the </w:t>
      </w:r>
      <w:r w:rsidR="007F4C3C" w:rsidRPr="00DD0CE5">
        <w:rPr>
          <w:noProof/>
          <w:lang w:val="en-US" w:eastAsia="en-GB"/>
        </w:rPr>
        <w:t>biotechnology and biomanufacturing sector</w:t>
      </w:r>
      <w:r w:rsidR="004E74D7">
        <w:rPr>
          <w:noProof/>
          <w:lang w:val="en-US" w:eastAsia="en-GB"/>
        </w:rPr>
        <w:t>s</w:t>
      </w:r>
      <w:r w:rsidR="007F4C3C" w:rsidRPr="00DD0CE5">
        <w:rPr>
          <w:noProof/>
          <w:lang w:val="en-US" w:eastAsia="en-GB"/>
        </w:rPr>
        <w:t xml:space="preserve"> to </w:t>
      </w:r>
      <w:r w:rsidR="003F0407" w:rsidRPr="00DD0CE5">
        <w:rPr>
          <w:noProof/>
          <w:lang w:val="en-US" w:eastAsia="en-GB"/>
        </w:rPr>
        <w:t>scale</w:t>
      </w:r>
      <w:r w:rsidR="004E74D7">
        <w:rPr>
          <w:noProof/>
          <w:lang w:val="en-US" w:eastAsia="en-GB"/>
        </w:rPr>
        <w:t xml:space="preserve"> </w:t>
      </w:r>
      <w:r w:rsidR="003F0407" w:rsidRPr="00DD0CE5">
        <w:rPr>
          <w:noProof/>
          <w:lang w:val="en-US" w:eastAsia="en-GB"/>
        </w:rPr>
        <w:t>up</w:t>
      </w:r>
      <w:r w:rsidR="005C25BD" w:rsidRPr="00DD0CE5">
        <w:rPr>
          <w:noProof/>
          <w:lang w:val="en-US" w:eastAsia="en-GB"/>
        </w:rPr>
        <w:t xml:space="preserve"> and</w:t>
      </w:r>
      <w:r w:rsidR="00FF586F" w:rsidRPr="00DD0CE5">
        <w:rPr>
          <w:noProof/>
          <w:lang w:val="en-US" w:eastAsia="en-GB"/>
        </w:rPr>
        <w:t xml:space="preserve"> </w:t>
      </w:r>
      <w:r w:rsidR="00433976">
        <w:rPr>
          <w:noProof/>
          <w:lang w:val="en-US" w:eastAsia="en-GB"/>
        </w:rPr>
        <w:t>get</w:t>
      </w:r>
      <w:r w:rsidR="00FF586F" w:rsidRPr="00DD0CE5">
        <w:rPr>
          <w:noProof/>
          <w:lang w:val="en-US" w:eastAsia="en-GB"/>
        </w:rPr>
        <w:t xml:space="preserve"> products </w:t>
      </w:r>
      <w:r w:rsidR="00226E9A">
        <w:rPr>
          <w:noProof/>
          <w:lang w:val="en-US" w:eastAsia="en-GB"/>
        </w:rPr>
        <w:t>on</w:t>
      </w:r>
      <w:r w:rsidR="00FF586F" w:rsidRPr="00DD0CE5">
        <w:rPr>
          <w:noProof/>
          <w:lang w:val="en-US" w:eastAsia="en-GB"/>
        </w:rPr>
        <w:t xml:space="preserve"> the market </w:t>
      </w:r>
      <w:r w:rsidR="77453A3F" w:rsidRPr="00DD0CE5">
        <w:rPr>
          <w:noProof/>
          <w:lang w:val="en-US" w:eastAsia="en-GB"/>
        </w:rPr>
        <w:t>faster</w:t>
      </w:r>
      <w:r w:rsidR="005C25BD" w:rsidRPr="00DD0CE5">
        <w:rPr>
          <w:noProof/>
          <w:lang w:val="en-US" w:eastAsia="en-GB"/>
        </w:rPr>
        <w:t>.</w:t>
      </w:r>
      <w:r w:rsidR="000F3872">
        <w:rPr>
          <w:noProof/>
          <w:lang w:val="en-US" w:eastAsia="en-GB"/>
        </w:rPr>
        <w:t xml:space="preserve"> </w:t>
      </w:r>
      <w:r w:rsidR="000F3872" w:rsidRPr="002F54AB">
        <w:rPr>
          <w:noProof/>
          <w:lang w:val="en-US" w:eastAsia="en-GB"/>
        </w:rPr>
        <w:t xml:space="preserve">The report by </w:t>
      </w:r>
      <w:r w:rsidR="000F3872" w:rsidRPr="004A3263">
        <w:rPr>
          <w:b/>
          <w:bCs/>
          <w:noProof/>
          <w:lang w:val="en-US" w:eastAsia="en-GB"/>
        </w:rPr>
        <w:t>Sauli Niinistö</w:t>
      </w:r>
      <w:r w:rsidR="000F3872">
        <w:rPr>
          <w:rStyle w:val="FootnoteReference"/>
          <w:rFonts w:eastAsia="Times New Roman"/>
          <w:noProof/>
          <w:color w:val="000000" w:themeColor="text1"/>
          <w:lang w:val="en-US" w:eastAsia="en-GB"/>
        </w:rPr>
        <w:footnoteReference w:id="13"/>
      </w:r>
      <w:r w:rsidR="000F3872" w:rsidRPr="002F54AB">
        <w:rPr>
          <w:noProof/>
          <w:lang w:val="en-US" w:eastAsia="en-GB"/>
        </w:rPr>
        <w:t xml:space="preserve"> </w:t>
      </w:r>
      <w:r w:rsidR="000F3872">
        <w:rPr>
          <w:noProof/>
          <w:lang w:val="en-US" w:eastAsia="en-GB"/>
        </w:rPr>
        <w:t>als</w:t>
      </w:r>
      <w:r w:rsidR="00551C5F">
        <w:rPr>
          <w:noProof/>
          <w:lang w:val="en-US" w:eastAsia="en-GB"/>
        </w:rPr>
        <w:t>o</w:t>
      </w:r>
      <w:r w:rsidR="000F3872">
        <w:rPr>
          <w:noProof/>
          <w:lang w:val="en-US" w:eastAsia="en-GB"/>
        </w:rPr>
        <w:t xml:space="preserve"> </w:t>
      </w:r>
      <w:r w:rsidR="00C10ECF">
        <w:rPr>
          <w:noProof/>
          <w:lang w:val="en-US" w:eastAsia="en-GB"/>
        </w:rPr>
        <w:t>pointed to</w:t>
      </w:r>
      <w:r w:rsidR="000F3872" w:rsidRPr="002F54AB">
        <w:rPr>
          <w:noProof/>
          <w:lang w:val="en-US" w:eastAsia="en-GB"/>
        </w:rPr>
        <w:t xml:space="preserve"> the need to strengthen biological defence capabilities and preparedness against emerging biological threats, including synthetic pathogens.</w:t>
      </w:r>
    </w:p>
    <w:p w14:paraId="39170DC4" w14:textId="19481C58" w:rsidR="00050FC6" w:rsidRPr="00DD0CE5" w:rsidRDefault="003A6A9C" w:rsidP="00F10A65">
      <w:pPr>
        <w:rPr>
          <w:noProof/>
          <w:lang w:eastAsia="en-GB"/>
        </w:rPr>
      </w:pPr>
      <w:r w:rsidRPr="00DD0CE5">
        <w:t>In line with this growing political impetus, reduc</w:t>
      </w:r>
      <w:r w:rsidR="00CE7B3A">
        <w:t>ing</w:t>
      </w:r>
      <w:r w:rsidRPr="00DD0CE5">
        <w:t xml:space="preserve"> the </w:t>
      </w:r>
      <w:r w:rsidR="7D2C411E" w:rsidRPr="00030CB2">
        <w:rPr>
          <w:b/>
        </w:rPr>
        <w:t>EU</w:t>
      </w:r>
      <w:r w:rsidR="5A33B3A7" w:rsidRPr="00030CB2">
        <w:rPr>
          <w:b/>
        </w:rPr>
        <w:t>’</w:t>
      </w:r>
      <w:r w:rsidR="20F9918C" w:rsidRPr="00030CB2">
        <w:rPr>
          <w:b/>
        </w:rPr>
        <w:t>s</w:t>
      </w:r>
      <w:r w:rsidRPr="00030CB2">
        <w:rPr>
          <w:b/>
        </w:rPr>
        <w:t xml:space="preserve"> strategic dependencies in sensitive sectors</w:t>
      </w:r>
      <w:r w:rsidR="00BC281A" w:rsidRPr="00030CB2">
        <w:rPr>
          <w:b/>
          <w:bCs/>
        </w:rPr>
        <w:t xml:space="preserve"> has become a priority of the European Council</w:t>
      </w:r>
      <w:r w:rsidR="00BC281A" w:rsidRPr="00DD0CE5">
        <w:rPr>
          <w:rStyle w:val="FootnoteReference"/>
        </w:rPr>
        <w:footnoteReference w:id="14"/>
      </w:r>
      <w:r w:rsidR="002608A1">
        <w:t xml:space="preserve">, including </w:t>
      </w:r>
      <w:r w:rsidR="00821BAF">
        <w:t>in</w:t>
      </w:r>
      <w:r w:rsidR="002608A1">
        <w:t xml:space="preserve"> health and food</w:t>
      </w:r>
      <w:r w:rsidR="00EC4E3F">
        <w:t>,</w:t>
      </w:r>
      <w:r w:rsidR="002608A1">
        <w:t xml:space="preserve"> as</w:t>
      </w:r>
      <w:r w:rsidRPr="00DD0CE5">
        <w:t xml:space="preserve"> identified in the </w:t>
      </w:r>
      <w:r w:rsidRPr="00DD0CE5">
        <w:rPr>
          <w:b/>
          <w:bCs/>
        </w:rPr>
        <w:t>Versailles Declaration</w:t>
      </w:r>
      <w:r w:rsidRPr="00DD0CE5">
        <w:t xml:space="preserve"> of 2022</w:t>
      </w:r>
      <w:r w:rsidRPr="00DD0CE5">
        <w:rPr>
          <w:rStyle w:val="FootnoteReference"/>
        </w:rPr>
        <w:footnoteReference w:id="15"/>
      </w:r>
      <w:r w:rsidRPr="00DD0CE5">
        <w:t xml:space="preserve">. </w:t>
      </w:r>
      <w:r w:rsidR="00DC46DD">
        <w:rPr>
          <w:noProof/>
          <w:lang w:eastAsia="en-GB"/>
        </w:rPr>
        <w:t>T</w:t>
      </w:r>
      <w:r w:rsidR="00D82FE8">
        <w:rPr>
          <w:noProof/>
          <w:lang w:eastAsia="en-GB"/>
        </w:rPr>
        <w:t>he Council</w:t>
      </w:r>
      <w:r w:rsidR="00DC46DD" w:rsidRPr="00DD0CE5">
        <w:rPr>
          <w:rStyle w:val="FootnoteReference"/>
          <w:rFonts w:eastAsia="Times New Roman"/>
          <w:noProof/>
          <w:color w:val="000000" w:themeColor="text1"/>
          <w:lang w:eastAsia="en-GB"/>
        </w:rPr>
        <w:footnoteReference w:id="16"/>
      </w:r>
      <w:r w:rsidR="00136B6D" w:rsidRPr="00DD0CE5">
        <w:rPr>
          <w:noProof/>
          <w:vertAlign w:val="superscript"/>
          <w:lang w:eastAsia="en-GB"/>
        </w:rPr>
        <w:t xml:space="preserve"> </w:t>
      </w:r>
      <w:r w:rsidR="00E00225">
        <w:rPr>
          <w:noProof/>
          <w:lang w:eastAsia="en-GB"/>
        </w:rPr>
        <w:t>has u</w:t>
      </w:r>
      <w:r w:rsidR="00136B6D" w:rsidRPr="00DD0CE5">
        <w:rPr>
          <w:noProof/>
          <w:lang w:eastAsia="en-GB"/>
        </w:rPr>
        <w:t>rged the Commission to unlock the potential of biotechnologies</w:t>
      </w:r>
      <w:r w:rsidR="003C1726" w:rsidRPr="00DD0CE5">
        <w:rPr>
          <w:noProof/>
          <w:lang w:eastAsia="en-GB"/>
        </w:rPr>
        <w:t xml:space="preserve"> </w:t>
      </w:r>
      <w:r w:rsidR="00810778">
        <w:rPr>
          <w:noProof/>
          <w:lang w:eastAsia="en-GB"/>
        </w:rPr>
        <w:t xml:space="preserve">for the </w:t>
      </w:r>
      <w:r w:rsidR="00073476">
        <w:rPr>
          <w:noProof/>
          <w:lang w:eastAsia="en-GB"/>
        </w:rPr>
        <w:t>EU’s</w:t>
      </w:r>
      <w:r w:rsidR="00810778">
        <w:rPr>
          <w:noProof/>
          <w:lang w:eastAsia="en-GB"/>
        </w:rPr>
        <w:t xml:space="preserve"> competitiveness </w:t>
      </w:r>
      <w:r w:rsidR="003C1726" w:rsidRPr="00DD0CE5">
        <w:rPr>
          <w:noProof/>
          <w:lang w:eastAsia="en-GB"/>
        </w:rPr>
        <w:t>through the European Biotech Act</w:t>
      </w:r>
      <w:r w:rsidR="00951969" w:rsidRPr="00DD0CE5">
        <w:rPr>
          <w:noProof/>
          <w:lang w:eastAsia="en-GB"/>
        </w:rPr>
        <w:t xml:space="preserve">, while maintaining environmental </w:t>
      </w:r>
      <w:r w:rsidR="3366451F" w:rsidRPr="021B02CC">
        <w:rPr>
          <w:noProof/>
          <w:lang w:eastAsia="en-GB"/>
        </w:rPr>
        <w:t>and safety</w:t>
      </w:r>
      <w:r w:rsidR="00951969" w:rsidRPr="00DD0CE5">
        <w:rPr>
          <w:noProof/>
          <w:lang w:eastAsia="en-GB"/>
        </w:rPr>
        <w:t xml:space="preserve"> standards</w:t>
      </w:r>
      <w:r w:rsidR="00136B6D" w:rsidRPr="00DD0CE5">
        <w:rPr>
          <w:noProof/>
          <w:lang w:eastAsia="en-GB"/>
        </w:rPr>
        <w:t>.</w:t>
      </w:r>
      <w:r w:rsidR="007355F9" w:rsidRPr="00DD0CE5">
        <w:rPr>
          <w:noProof/>
          <w:lang w:eastAsia="en-GB"/>
        </w:rPr>
        <w:t xml:space="preserve"> </w:t>
      </w:r>
      <w:r w:rsidR="005E3D4A" w:rsidRPr="00DD0CE5">
        <w:rPr>
          <w:noProof/>
          <w:lang w:eastAsia="en-GB"/>
        </w:rPr>
        <w:t xml:space="preserve">In particular, </w:t>
      </w:r>
      <w:r w:rsidR="003B0705">
        <w:rPr>
          <w:noProof/>
          <w:lang w:eastAsia="en-GB"/>
        </w:rPr>
        <w:t>the Council</w:t>
      </w:r>
      <w:r w:rsidR="00765A1D" w:rsidRPr="00DD0CE5">
        <w:rPr>
          <w:noProof/>
          <w:lang w:eastAsia="en-GB"/>
        </w:rPr>
        <w:t xml:space="preserve"> </w:t>
      </w:r>
      <w:r w:rsidR="00015155">
        <w:rPr>
          <w:noProof/>
          <w:lang w:eastAsia="en-GB"/>
        </w:rPr>
        <w:t xml:space="preserve">has </w:t>
      </w:r>
      <w:r w:rsidR="00765A1D" w:rsidRPr="00DD0CE5">
        <w:rPr>
          <w:noProof/>
          <w:lang w:eastAsia="en-GB"/>
        </w:rPr>
        <w:t>en</w:t>
      </w:r>
      <w:r w:rsidR="00A54B7D" w:rsidRPr="00DD0CE5">
        <w:rPr>
          <w:noProof/>
          <w:lang w:eastAsia="en-GB"/>
        </w:rPr>
        <w:t xml:space="preserve">couraged </w:t>
      </w:r>
      <w:r w:rsidR="007355F9" w:rsidRPr="00DD0CE5">
        <w:rPr>
          <w:noProof/>
          <w:lang w:eastAsia="en-GB"/>
        </w:rPr>
        <w:t>action</w:t>
      </w:r>
      <w:r w:rsidR="00A54B7D" w:rsidRPr="00DD0CE5">
        <w:rPr>
          <w:noProof/>
          <w:lang w:eastAsia="en-GB"/>
        </w:rPr>
        <w:t>s</w:t>
      </w:r>
      <w:r w:rsidR="007355F9" w:rsidRPr="00DD0CE5">
        <w:rPr>
          <w:noProof/>
          <w:lang w:eastAsia="en-GB"/>
        </w:rPr>
        <w:t xml:space="preserve"> </w:t>
      </w:r>
      <w:r w:rsidR="005C253F" w:rsidRPr="00DD0CE5">
        <w:rPr>
          <w:noProof/>
          <w:lang w:eastAsia="en-GB"/>
        </w:rPr>
        <w:t>to</w:t>
      </w:r>
      <w:r w:rsidR="00BC3189" w:rsidRPr="00DD0CE5">
        <w:rPr>
          <w:noProof/>
          <w:lang w:eastAsia="en-GB"/>
        </w:rPr>
        <w:t xml:space="preserve"> adv</w:t>
      </w:r>
      <w:r w:rsidR="00006EF8" w:rsidRPr="00DD0CE5">
        <w:rPr>
          <w:noProof/>
          <w:lang w:eastAsia="en-GB"/>
        </w:rPr>
        <w:t>a</w:t>
      </w:r>
      <w:r w:rsidR="00BC3189" w:rsidRPr="00DD0CE5">
        <w:rPr>
          <w:noProof/>
          <w:lang w:eastAsia="en-GB"/>
        </w:rPr>
        <w:t>nce the use of regulatory sandboxes,</w:t>
      </w:r>
      <w:r w:rsidR="00C66107" w:rsidRPr="00DD0CE5">
        <w:rPr>
          <w:noProof/>
          <w:lang w:eastAsia="en-GB"/>
        </w:rPr>
        <w:t xml:space="preserve"> p</w:t>
      </w:r>
      <w:r w:rsidR="00165424" w:rsidRPr="00DD0CE5">
        <w:rPr>
          <w:noProof/>
          <w:lang w:eastAsia="en-GB"/>
        </w:rPr>
        <w:t xml:space="preserve">romote </w:t>
      </w:r>
      <w:r w:rsidR="003B67AD">
        <w:rPr>
          <w:noProof/>
          <w:lang w:eastAsia="en-GB"/>
        </w:rPr>
        <w:t>research and development (</w:t>
      </w:r>
      <w:r w:rsidR="00165424" w:rsidRPr="00DD0CE5">
        <w:rPr>
          <w:noProof/>
          <w:lang w:eastAsia="en-GB"/>
        </w:rPr>
        <w:t>R&amp;D</w:t>
      </w:r>
      <w:r w:rsidR="003B67AD">
        <w:rPr>
          <w:noProof/>
          <w:lang w:eastAsia="en-GB"/>
        </w:rPr>
        <w:t>)</w:t>
      </w:r>
      <w:r w:rsidR="00165424" w:rsidRPr="00DD0CE5">
        <w:rPr>
          <w:noProof/>
          <w:lang w:eastAsia="en-GB"/>
        </w:rPr>
        <w:t xml:space="preserve"> in advanced therapy medicinal products (ATMPs) </w:t>
      </w:r>
      <w:r w:rsidR="005C2079" w:rsidRPr="00DD0CE5">
        <w:rPr>
          <w:noProof/>
          <w:lang w:eastAsia="en-GB"/>
        </w:rPr>
        <w:t xml:space="preserve">and address the </w:t>
      </w:r>
      <w:r w:rsidR="00F55AD1" w:rsidRPr="00DD0CE5">
        <w:rPr>
          <w:noProof/>
          <w:lang w:eastAsia="en-GB"/>
        </w:rPr>
        <w:t>falling</w:t>
      </w:r>
      <w:r w:rsidR="00562137" w:rsidRPr="00DD0CE5">
        <w:rPr>
          <w:noProof/>
          <w:lang w:eastAsia="en-GB"/>
        </w:rPr>
        <w:t xml:space="preserve"> </w:t>
      </w:r>
      <w:r w:rsidR="471E3B76" w:rsidRPr="00DD0CE5">
        <w:rPr>
          <w:noProof/>
          <w:lang w:eastAsia="en-GB"/>
        </w:rPr>
        <w:t xml:space="preserve">global </w:t>
      </w:r>
      <w:r w:rsidR="00F55AD1" w:rsidRPr="00DD0CE5">
        <w:rPr>
          <w:noProof/>
          <w:lang w:eastAsia="en-GB"/>
        </w:rPr>
        <w:t>share</w:t>
      </w:r>
      <w:r w:rsidR="001440C6" w:rsidRPr="00DD0CE5">
        <w:rPr>
          <w:noProof/>
          <w:lang w:eastAsia="en-GB"/>
        </w:rPr>
        <w:t xml:space="preserve"> of </w:t>
      </w:r>
      <w:r w:rsidR="00C14B05" w:rsidRPr="00DD0CE5">
        <w:rPr>
          <w:noProof/>
          <w:lang w:eastAsia="en-GB"/>
        </w:rPr>
        <w:t>EU</w:t>
      </w:r>
      <w:r w:rsidR="001440C6" w:rsidRPr="00DD0CE5">
        <w:rPr>
          <w:noProof/>
          <w:lang w:eastAsia="en-GB"/>
        </w:rPr>
        <w:t xml:space="preserve"> clinical trials (CTs)</w:t>
      </w:r>
      <w:r w:rsidR="00013C64">
        <w:rPr>
          <w:noProof/>
          <w:lang w:eastAsia="en-GB"/>
        </w:rPr>
        <w:t>. It also</w:t>
      </w:r>
      <w:r w:rsidR="0065631D" w:rsidRPr="00DD0CE5">
        <w:rPr>
          <w:noProof/>
          <w:lang w:eastAsia="en-GB"/>
        </w:rPr>
        <w:t xml:space="preserve"> </w:t>
      </w:r>
      <w:r w:rsidR="001B0025" w:rsidRPr="00DD0CE5">
        <w:rPr>
          <w:noProof/>
          <w:lang w:eastAsia="en-GB"/>
        </w:rPr>
        <w:t>support</w:t>
      </w:r>
      <w:r w:rsidR="00015155">
        <w:rPr>
          <w:noProof/>
          <w:lang w:eastAsia="en-GB"/>
        </w:rPr>
        <w:t>s</w:t>
      </w:r>
      <w:r w:rsidR="001B0025" w:rsidRPr="00DD0CE5">
        <w:rPr>
          <w:noProof/>
          <w:lang w:eastAsia="en-GB"/>
        </w:rPr>
        <w:t xml:space="preserve"> </w:t>
      </w:r>
      <w:r w:rsidR="00050FC6" w:rsidRPr="00DD0CE5">
        <w:rPr>
          <w:noProof/>
          <w:lang w:eastAsia="en-GB"/>
        </w:rPr>
        <w:t xml:space="preserve">the greater use of </w:t>
      </w:r>
      <w:r w:rsidR="003A04A1" w:rsidRPr="00DD0CE5">
        <w:rPr>
          <w:noProof/>
          <w:lang w:eastAsia="en-GB"/>
        </w:rPr>
        <w:t>AI</w:t>
      </w:r>
      <w:r w:rsidR="007F41E2" w:rsidRPr="00DD0CE5">
        <w:rPr>
          <w:noProof/>
          <w:lang w:eastAsia="en-GB"/>
        </w:rPr>
        <w:t xml:space="preserve"> </w:t>
      </w:r>
      <w:r w:rsidR="001D3833" w:rsidRPr="00DD0CE5">
        <w:rPr>
          <w:noProof/>
          <w:lang w:eastAsia="en-GB"/>
        </w:rPr>
        <w:t xml:space="preserve">and </w:t>
      </w:r>
      <w:r w:rsidR="00CC1684" w:rsidRPr="00DD0CE5">
        <w:rPr>
          <w:noProof/>
          <w:lang w:eastAsia="en-GB"/>
        </w:rPr>
        <w:t xml:space="preserve">the development of </w:t>
      </w:r>
      <w:r w:rsidR="005E3D4A" w:rsidRPr="00DD0CE5">
        <w:rPr>
          <w:noProof/>
          <w:lang w:eastAsia="en-GB"/>
        </w:rPr>
        <w:t>appropriate skills</w:t>
      </w:r>
      <w:r w:rsidR="00233949" w:rsidRPr="00DD0CE5">
        <w:rPr>
          <w:noProof/>
          <w:lang w:eastAsia="en-GB"/>
        </w:rPr>
        <w:t>.</w:t>
      </w:r>
      <w:r w:rsidR="007779CC" w:rsidRPr="00267959">
        <w:rPr>
          <w:b/>
        </w:rPr>
        <w:t xml:space="preserve"> </w:t>
      </w:r>
      <w:r w:rsidR="00267959" w:rsidRPr="00BA0A07">
        <w:rPr>
          <w:noProof/>
          <w:lang w:eastAsia="en-GB"/>
        </w:rPr>
        <w:t>In parallel, three Important Projects of Common European Interest (IPCEI) in the biotechnology domain are currently under design</w:t>
      </w:r>
      <w:r w:rsidR="008628C5">
        <w:rPr>
          <w:rStyle w:val="FootnoteReference"/>
          <w:noProof/>
          <w:lang w:eastAsia="en-GB"/>
        </w:rPr>
        <w:footnoteReference w:id="17"/>
      </w:r>
      <w:r w:rsidR="00267959" w:rsidRPr="00BA0A07">
        <w:rPr>
          <w:noProof/>
          <w:lang w:eastAsia="en-GB"/>
        </w:rPr>
        <w:t>, reflecting Member States’ interest in coordinated, large-scale investment approaches.</w:t>
      </w:r>
    </w:p>
    <w:p w14:paraId="5C4B440C" w14:textId="2E4EB791" w:rsidR="00B6373C" w:rsidRPr="00E050DA" w:rsidRDefault="004B7819" w:rsidP="00F10A65">
      <w:pPr>
        <w:rPr>
          <w:lang w:val="en-US" w:eastAsia="en-GB"/>
        </w:rPr>
      </w:pPr>
      <w:r>
        <w:rPr>
          <w:noProof/>
          <w:lang w:val="en-US" w:eastAsia="en-GB"/>
        </w:rPr>
        <w:t xml:space="preserve">The </w:t>
      </w:r>
      <w:r w:rsidRPr="00271059">
        <w:rPr>
          <w:b/>
          <w:bCs/>
          <w:noProof/>
          <w:lang w:val="en-US" w:eastAsia="en-GB"/>
        </w:rPr>
        <w:t>European Parliament’s recommendations</w:t>
      </w:r>
      <w:r w:rsidRPr="00A81FB2">
        <w:rPr>
          <w:lang w:val="en-US" w:eastAsia="en-GB"/>
        </w:rPr>
        <w:t xml:space="preserve"> </w:t>
      </w:r>
      <w:r w:rsidR="00A81FB2">
        <w:rPr>
          <w:noProof/>
          <w:lang w:val="en-US" w:eastAsia="en-GB"/>
        </w:rPr>
        <w:t>i</w:t>
      </w:r>
      <w:r w:rsidR="00A81FB2" w:rsidRPr="00DD0CE5">
        <w:rPr>
          <w:noProof/>
          <w:lang w:val="en-US" w:eastAsia="en-GB"/>
        </w:rPr>
        <w:t xml:space="preserve">n its resolution </w:t>
      </w:r>
      <w:r w:rsidR="00A81FB2" w:rsidRPr="0085175C">
        <w:rPr>
          <w:lang w:val="en-US" w:eastAsia="en-GB"/>
        </w:rPr>
        <w:t>‘Future of the EU biotechnology and biomanufacturing sector’</w:t>
      </w:r>
      <w:r w:rsidRPr="00271059">
        <w:rPr>
          <w:b/>
          <w:bCs/>
          <w:noProof/>
          <w:lang w:val="en-US" w:eastAsia="en-GB"/>
        </w:rPr>
        <w:t xml:space="preserve"> are in line with these priorities</w:t>
      </w:r>
      <w:r w:rsidR="001A57C1">
        <w:rPr>
          <w:noProof/>
          <w:lang w:val="en-US" w:eastAsia="en-GB"/>
        </w:rPr>
        <w:t>,</w:t>
      </w:r>
      <w:r w:rsidR="00026F24" w:rsidRPr="00DD0CE5">
        <w:rPr>
          <w:noProof/>
          <w:lang w:val="en-IE" w:eastAsia="en-GB"/>
        </w:rPr>
        <w:t> </w:t>
      </w:r>
      <w:r w:rsidR="004B6280">
        <w:rPr>
          <w:noProof/>
          <w:lang w:val="en-US" w:eastAsia="en-GB"/>
        </w:rPr>
        <w:t>asking to facili</w:t>
      </w:r>
      <w:r w:rsidR="00992772">
        <w:rPr>
          <w:noProof/>
          <w:lang w:val="en-US" w:eastAsia="en-GB"/>
        </w:rPr>
        <w:t>t</w:t>
      </w:r>
      <w:r w:rsidR="004B6280">
        <w:rPr>
          <w:noProof/>
          <w:lang w:val="en-US" w:eastAsia="en-GB"/>
        </w:rPr>
        <w:t xml:space="preserve">ate </w:t>
      </w:r>
      <w:r w:rsidR="00C71D03">
        <w:rPr>
          <w:noProof/>
          <w:lang w:val="en-US" w:eastAsia="en-GB"/>
        </w:rPr>
        <w:t>“</w:t>
      </w:r>
      <w:r w:rsidR="00026F24" w:rsidRPr="00DD0CE5">
        <w:rPr>
          <w:noProof/>
          <w:lang w:eastAsia="en-GB"/>
        </w:rPr>
        <w:t>a fast and efficient uptake of biotechnology and biomanufacturing through clear regulatory frameworks</w:t>
      </w:r>
      <w:r w:rsidR="00C71D03">
        <w:rPr>
          <w:noProof/>
          <w:lang w:eastAsia="en-GB"/>
        </w:rPr>
        <w:t>”</w:t>
      </w:r>
      <w:r w:rsidR="001A57C1" w:rsidRPr="00DD0CE5">
        <w:rPr>
          <w:rStyle w:val="FootnoteReference"/>
          <w:rFonts w:eastAsia="Times New Roman"/>
          <w:noProof/>
          <w:color w:val="000000" w:themeColor="text1"/>
          <w:lang w:val="en-US" w:eastAsia="en-GB"/>
        </w:rPr>
        <w:footnoteReference w:id="18"/>
      </w:r>
      <w:r w:rsidR="00026F24" w:rsidRPr="00DD0CE5">
        <w:rPr>
          <w:noProof/>
          <w:lang w:eastAsia="en-GB"/>
        </w:rPr>
        <w:t xml:space="preserve">. </w:t>
      </w:r>
      <w:r w:rsidR="00CD0FE0" w:rsidRPr="00DD0CE5">
        <w:rPr>
          <w:noProof/>
          <w:lang w:eastAsia="en-GB"/>
        </w:rPr>
        <w:t>Recommendations include</w:t>
      </w:r>
      <w:r w:rsidR="000B3899" w:rsidRPr="00DD0CE5">
        <w:rPr>
          <w:noProof/>
          <w:lang w:eastAsia="en-GB"/>
        </w:rPr>
        <w:t xml:space="preserve"> </w:t>
      </w:r>
      <w:r w:rsidR="00635DC9" w:rsidRPr="00DD0CE5">
        <w:rPr>
          <w:noProof/>
          <w:lang w:val="en-IE" w:eastAsia="en-GB"/>
        </w:rPr>
        <w:t xml:space="preserve">facilitating </w:t>
      </w:r>
      <w:r w:rsidR="000B3899" w:rsidRPr="00DD0CE5">
        <w:rPr>
          <w:noProof/>
          <w:lang w:val="en-IE" w:eastAsia="en-GB"/>
        </w:rPr>
        <w:t>the</w:t>
      </w:r>
      <w:r w:rsidR="00635DC9" w:rsidRPr="00DD0CE5">
        <w:rPr>
          <w:noProof/>
          <w:lang w:val="en-IE" w:eastAsia="en-GB"/>
        </w:rPr>
        <w:t xml:space="preserve"> uptake of biotechnology and biomanufacturing;</w:t>
      </w:r>
      <w:r w:rsidR="009B3E0E" w:rsidRPr="00DD0CE5">
        <w:rPr>
          <w:noProof/>
          <w:lang w:val="en-IE" w:eastAsia="en-GB"/>
        </w:rPr>
        <w:t xml:space="preserve"> </w:t>
      </w:r>
      <w:r w:rsidR="00635DC9" w:rsidRPr="00DD0CE5">
        <w:rPr>
          <w:noProof/>
          <w:lang w:val="en-IE" w:eastAsia="en-GB"/>
        </w:rPr>
        <w:t>enabl</w:t>
      </w:r>
      <w:r w:rsidR="009B3E0E" w:rsidRPr="00DD0CE5">
        <w:rPr>
          <w:noProof/>
          <w:lang w:val="en-IE" w:eastAsia="en-GB"/>
        </w:rPr>
        <w:t>ing</w:t>
      </w:r>
      <w:r w:rsidR="00635DC9" w:rsidRPr="00DD0CE5">
        <w:rPr>
          <w:noProof/>
          <w:lang w:val="en-IE" w:eastAsia="en-GB"/>
        </w:rPr>
        <w:t xml:space="preserve"> more efficient scale-up and commercialisation of </w:t>
      </w:r>
      <w:r w:rsidR="009B3E0E" w:rsidRPr="00DD0CE5">
        <w:rPr>
          <w:noProof/>
          <w:lang w:val="en-IE" w:eastAsia="en-GB"/>
        </w:rPr>
        <w:t>innovations</w:t>
      </w:r>
      <w:r w:rsidR="00635DC9" w:rsidRPr="00DD0CE5">
        <w:rPr>
          <w:noProof/>
          <w:lang w:val="en-IE" w:eastAsia="en-GB"/>
        </w:rPr>
        <w:t>;</w:t>
      </w:r>
      <w:r w:rsidR="00502DCE" w:rsidRPr="00DD0CE5">
        <w:rPr>
          <w:noProof/>
          <w:lang w:val="en-IE" w:eastAsia="en-GB"/>
        </w:rPr>
        <w:t xml:space="preserve"> streamlin</w:t>
      </w:r>
      <w:r w:rsidR="009B3E0E" w:rsidRPr="00DD0CE5">
        <w:rPr>
          <w:noProof/>
          <w:lang w:val="en-IE" w:eastAsia="en-GB"/>
        </w:rPr>
        <w:t>ing and</w:t>
      </w:r>
      <w:r w:rsidR="00502DCE" w:rsidRPr="00DD0CE5">
        <w:rPr>
          <w:noProof/>
          <w:lang w:val="en-IE" w:eastAsia="en-GB"/>
        </w:rPr>
        <w:t xml:space="preserve"> simplify</w:t>
      </w:r>
      <w:r w:rsidR="009B3E0E" w:rsidRPr="00DD0CE5">
        <w:rPr>
          <w:noProof/>
          <w:lang w:val="en-IE" w:eastAsia="en-GB"/>
        </w:rPr>
        <w:t>ing</w:t>
      </w:r>
      <w:r w:rsidR="00502DCE" w:rsidRPr="00DD0CE5">
        <w:rPr>
          <w:noProof/>
          <w:lang w:val="en-IE" w:eastAsia="en-GB"/>
        </w:rPr>
        <w:t xml:space="preserve"> the time</w:t>
      </w:r>
      <w:r w:rsidR="009B3E0E" w:rsidRPr="00DD0CE5">
        <w:rPr>
          <w:noProof/>
          <w:lang w:val="en-IE" w:eastAsia="en-GB"/>
        </w:rPr>
        <w:t>-to-market</w:t>
      </w:r>
      <w:r w:rsidR="00502DCE" w:rsidRPr="00DD0CE5">
        <w:rPr>
          <w:noProof/>
          <w:lang w:val="en-IE" w:eastAsia="en-GB"/>
        </w:rPr>
        <w:t xml:space="preserve"> for biotechnology throughout their life-cycles;</w:t>
      </w:r>
      <w:r w:rsidR="000B3899" w:rsidRPr="00DD0CE5">
        <w:rPr>
          <w:noProof/>
          <w:lang w:val="en-IE" w:eastAsia="en-GB"/>
        </w:rPr>
        <w:t xml:space="preserve"> streamlining the </w:t>
      </w:r>
      <w:r w:rsidR="00A330CE">
        <w:rPr>
          <w:noProof/>
          <w:lang w:eastAsia="en-GB"/>
        </w:rPr>
        <w:t xml:space="preserve"> clinical trial</w:t>
      </w:r>
      <w:r w:rsidR="00130BD3">
        <w:rPr>
          <w:noProof/>
          <w:lang w:eastAsia="en-GB"/>
        </w:rPr>
        <w:t>s</w:t>
      </w:r>
      <w:r w:rsidR="008472F0" w:rsidRPr="00DD0CE5">
        <w:rPr>
          <w:noProof/>
          <w:lang w:eastAsia="en-GB"/>
        </w:rPr>
        <w:t xml:space="preserve"> framework </w:t>
      </w:r>
      <w:r w:rsidR="009622ED">
        <w:rPr>
          <w:noProof/>
          <w:lang w:eastAsia="en-GB"/>
        </w:rPr>
        <w:t>by</w:t>
      </w:r>
      <w:r w:rsidR="008472F0" w:rsidRPr="00DD0CE5">
        <w:rPr>
          <w:noProof/>
          <w:lang w:eastAsia="en-GB"/>
        </w:rPr>
        <w:t xml:space="preserve"> minimis</w:t>
      </w:r>
      <w:r w:rsidR="000B3899" w:rsidRPr="00DD0CE5">
        <w:rPr>
          <w:noProof/>
          <w:lang w:eastAsia="en-GB"/>
        </w:rPr>
        <w:t>ing</w:t>
      </w:r>
      <w:r w:rsidR="008472F0" w:rsidRPr="00DD0CE5">
        <w:rPr>
          <w:noProof/>
          <w:lang w:eastAsia="en-GB"/>
        </w:rPr>
        <w:t xml:space="preserve"> administrative burden</w:t>
      </w:r>
      <w:r w:rsidR="000B3899" w:rsidRPr="00DD0CE5">
        <w:rPr>
          <w:noProof/>
          <w:lang w:eastAsia="en-GB"/>
        </w:rPr>
        <w:t xml:space="preserve"> </w:t>
      </w:r>
      <w:r w:rsidR="008472F0" w:rsidRPr="00DD0CE5">
        <w:rPr>
          <w:noProof/>
          <w:lang w:eastAsia="en-GB"/>
        </w:rPr>
        <w:t>and delays;</w:t>
      </w:r>
      <w:r w:rsidR="000B3899" w:rsidRPr="00DD0CE5">
        <w:rPr>
          <w:noProof/>
          <w:lang w:eastAsia="en-GB"/>
        </w:rPr>
        <w:t xml:space="preserve"> </w:t>
      </w:r>
      <w:r w:rsidR="00872252" w:rsidRPr="00DD0CE5">
        <w:rPr>
          <w:noProof/>
          <w:lang w:eastAsia="en-GB"/>
        </w:rPr>
        <w:t xml:space="preserve">and </w:t>
      </w:r>
      <w:r w:rsidR="000B3899" w:rsidRPr="00DD0CE5">
        <w:rPr>
          <w:noProof/>
          <w:lang w:eastAsia="en-GB"/>
        </w:rPr>
        <w:t xml:space="preserve">using </w:t>
      </w:r>
      <w:r w:rsidR="00550CF7" w:rsidRPr="00DD0CE5">
        <w:rPr>
          <w:noProof/>
          <w:lang w:val="en-IE" w:eastAsia="en-GB"/>
        </w:rPr>
        <w:t>regulatory sandboxes</w:t>
      </w:r>
      <w:r w:rsidR="008766E8" w:rsidRPr="00DD0CE5">
        <w:rPr>
          <w:noProof/>
          <w:lang w:val="en-IE" w:eastAsia="en-GB"/>
        </w:rPr>
        <w:t>.</w:t>
      </w:r>
      <w:r w:rsidR="00073D64" w:rsidRPr="00DD0CE5">
        <w:rPr>
          <w:noProof/>
          <w:lang w:val="en-IE" w:eastAsia="en-GB"/>
        </w:rPr>
        <w:t xml:space="preserve"> </w:t>
      </w:r>
      <w:r w:rsidR="00BF1AE1" w:rsidRPr="00DD0CE5">
        <w:rPr>
          <w:noProof/>
          <w:lang w:val="en-IE" w:eastAsia="en-GB"/>
        </w:rPr>
        <w:t>It also recog</w:t>
      </w:r>
      <w:r w:rsidR="006406BA" w:rsidRPr="00DD0CE5">
        <w:rPr>
          <w:noProof/>
          <w:lang w:val="en-IE" w:eastAsia="en-GB"/>
        </w:rPr>
        <w:t>n</w:t>
      </w:r>
      <w:r w:rsidR="00BF1AE1" w:rsidRPr="00DD0CE5">
        <w:rPr>
          <w:noProof/>
          <w:lang w:val="en-IE" w:eastAsia="en-GB"/>
        </w:rPr>
        <w:t>ise</w:t>
      </w:r>
      <w:r w:rsidR="0092666E">
        <w:rPr>
          <w:noProof/>
          <w:lang w:val="en-IE" w:eastAsia="en-GB"/>
        </w:rPr>
        <w:t>s</w:t>
      </w:r>
      <w:r w:rsidR="00BF1AE1" w:rsidRPr="00DD0CE5">
        <w:rPr>
          <w:noProof/>
          <w:lang w:val="en-IE" w:eastAsia="en-GB"/>
        </w:rPr>
        <w:t xml:space="preserve"> the </w:t>
      </w:r>
      <w:r w:rsidR="008D2C2D" w:rsidRPr="00DD0CE5">
        <w:rPr>
          <w:noProof/>
          <w:lang w:val="en-IE" w:eastAsia="en-GB"/>
        </w:rPr>
        <w:t>need for a skilled workforce</w:t>
      </w:r>
      <w:r w:rsidR="00A21737" w:rsidRPr="00DD0CE5">
        <w:rPr>
          <w:noProof/>
          <w:lang w:val="en-IE" w:eastAsia="en-GB"/>
        </w:rPr>
        <w:t xml:space="preserve">, </w:t>
      </w:r>
      <w:r w:rsidR="00FA62DA">
        <w:rPr>
          <w:noProof/>
          <w:lang w:val="en-IE" w:eastAsia="en-GB"/>
        </w:rPr>
        <w:t>d</w:t>
      </w:r>
      <w:r w:rsidR="008D2C2D" w:rsidRPr="00DD0CE5">
        <w:rPr>
          <w:noProof/>
          <w:lang w:val="en-IE" w:eastAsia="en-GB"/>
        </w:rPr>
        <w:t>edicated support</w:t>
      </w:r>
      <w:r w:rsidR="00FB163A" w:rsidRPr="00DD0CE5">
        <w:rPr>
          <w:noProof/>
          <w:lang w:val="en-IE" w:eastAsia="en-GB"/>
        </w:rPr>
        <w:t xml:space="preserve"> </w:t>
      </w:r>
      <w:r w:rsidR="00C433E4">
        <w:rPr>
          <w:noProof/>
          <w:lang w:val="en-IE" w:eastAsia="en-GB"/>
        </w:rPr>
        <w:t xml:space="preserve">for SMEs to access funding, </w:t>
      </w:r>
      <w:r w:rsidR="00FB163A" w:rsidRPr="00DD0CE5">
        <w:rPr>
          <w:noProof/>
          <w:lang w:val="en-IE" w:eastAsia="en-GB"/>
        </w:rPr>
        <w:t xml:space="preserve">and </w:t>
      </w:r>
      <w:r w:rsidR="00A907D6" w:rsidRPr="00DD0CE5">
        <w:rPr>
          <w:noProof/>
          <w:lang w:val="en-IE" w:eastAsia="en-GB"/>
        </w:rPr>
        <w:t>biosecurity screening standards</w:t>
      </w:r>
      <w:r w:rsidR="00001B43" w:rsidRPr="00DD0CE5">
        <w:rPr>
          <w:noProof/>
          <w:lang w:val="en-IE" w:eastAsia="en-GB"/>
        </w:rPr>
        <w:t>.</w:t>
      </w:r>
      <w:r w:rsidR="0026556E" w:rsidRPr="00DD0CE5">
        <w:rPr>
          <w:noProof/>
          <w:lang w:val="en-IE" w:eastAsia="en-GB"/>
        </w:rPr>
        <w:t xml:space="preserve"> </w:t>
      </w:r>
      <w:r w:rsidR="00B6373C" w:rsidRPr="00DD0CE5">
        <w:rPr>
          <w:noProof/>
          <w:lang w:eastAsia="en-GB"/>
        </w:rPr>
        <w:t xml:space="preserve">The European Parliament </w:t>
      </w:r>
      <w:r w:rsidR="00195796">
        <w:rPr>
          <w:noProof/>
          <w:lang w:eastAsia="en-GB"/>
        </w:rPr>
        <w:t>has also</w:t>
      </w:r>
      <w:r w:rsidR="00B6373C" w:rsidRPr="00DD0CE5">
        <w:rPr>
          <w:noProof/>
          <w:lang w:eastAsia="en-GB"/>
        </w:rPr>
        <w:t xml:space="preserve"> prepar</w:t>
      </w:r>
      <w:r w:rsidR="00195796">
        <w:rPr>
          <w:noProof/>
          <w:lang w:eastAsia="en-GB"/>
        </w:rPr>
        <w:t>ed</w:t>
      </w:r>
      <w:r w:rsidR="00B6373C" w:rsidRPr="00DD0CE5">
        <w:rPr>
          <w:noProof/>
          <w:lang w:eastAsia="en-GB"/>
        </w:rPr>
        <w:t xml:space="preserve"> an own-initiative </w:t>
      </w:r>
      <w:r w:rsidR="00B6373C" w:rsidRPr="00F10A65">
        <w:rPr>
          <w:b/>
          <w:lang w:eastAsia="en-GB"/>
        </w:rPr>
        <w:t xml:space="preserve">report on </w:t>
      </w:r>
      <w:r w:rsidR="003C4DEE">
        <w:rPr>
          <w:b/>
          <w:lang w:eastAsia="en-GB"/>
        </w:rPr>
        <w:t>the</w:t>
      </w:r>
      <w:r w:rsidR="00B6373C" w:rsidRPr="00F10A65">
        <w:rPr>
          <w:b/>
          <w:lang w:eastAsia="en-GB"/>
        </w:rPr>
        <w:t xml:space="preserve"> ‘Public health aspects of biotechnology and life sciences’</w:t>
      </w:r>
      <w:r w:rsidR="00B6373C" w:rsidRPr="00DD0CE5">
        <w:rPr>
          <w:rStyle w:val="FootnoteReference"/>
          <w:rFonts w:eastAsia="Times New Roman"/>
          <w:noProof/>
          <w:color w:val="000000" w:themeColor="text1"/>
          <w:lang w:eastAsia="en-GB"/>
        </w:rPr>
        <w:footnoteReference w:id="19"/>
      </w:r>
      <w:r w:rsidR="00392398" w:rsidRPr="00DD0CE5">
        <w:rPr>
          <w:noProof/>
          <w:lang w:val="en-IE" w:eastAsia="en-GB"/>
        </w:rPr>
        <w:t xml:space="preserve">, </w:t>
      </w:r>
      <w:r w:rsidR="00FA62DA">
        <w:rPr>
          <w:noProof/>
          <w:lang w:val="en-IE" w:eastAsia="en-GB"/>
        </w:rPr>
        <w:t>where</w:t>
      </w:r>
      <w:r w:rsidR="004537BD">
        <w:rPr>
          <w:noProof/>
          <w:lang w:val="en-IE" w:eastAsia="en-GB"/>
        </w:rPr>
        <w:t xml:space="preserve"> it put</w:t>
      </w:r>
      <w:r w:rsidR="00FA62DA">
        <w:rPr>
          <w:noProof/>
          <w:lang w:val="en-IE" w:eastAsia="en-GB"/>
        </w:rPr>
        <w:t>s</w:t>
      </w:r>
      <w:r w:rsidR="004537BD">
        <w:rPr>
          <w:noProof/>
          <w:lang w:val="en-IE" w:eastAsia="en-GB"/>
        </w:rPr>
        <w:t xml:space="preserve"> forward</w:t>
      </w:r>
      <w:r w:rsidR="00392398" w:rsidRPr="00DD0CE5">
        <w:rPr>
          <w:noProof/>
          <w:lang w:val="en-IE" w:eastAsia="en-GB"/>
        </w:rPr>
        <w:t xml:space="preserve"> similar </w:t>
      </w:r>
      <w:r w:rsidR="00392398" w:rsidRPr="004147DB">
        <w:rPr>
          <w:noProof/>
          <w:lang w:val="en-IE" w:eastAsia="en-GB"/>
        </w:rPr>
        <w:t>recommendations</w:t>
      </w:r>
      <w:r w:rsidR="006F09C8" w:rsidRPr="004147DB">
        <w:rPr>
          <w:noProof/>
          <w:lang w:val="en-IE" w:eastAsia="en-GB"/>
        </w:rPr>
        <w:t xml:space="preserve">. It </w:t>
      </w:r>
      <w:r w:rsidR="00FA62DA" w:rsidRPr="004147DB">
        <w:rPr>
          <w:noProof/>
          <w:lang w:val="en-IE" w:eastAsia="en-GB"/>
        </w:rPr>
        <w:t xml:space="preserve">has </w:t>
      </w:r>
      <w:r w:rsidR="006F09C8" w:rsidRPr="004147DB">
        <w:rPr>
          <w:noProof/>
          <w:lang w:val="en-IE" w:eastAsia="en-GB"/>
        </w:rPr>
        <w:t>called for</w:t>
      </w:r>
      <w:r w:rsidR="00392398" w:rsidRPr="004147DB">
        <w:rPr>
          <w:noProof/>
          <w:lang w:eastAsia="en-GB"/>
        </w:rPr>
        <w:t xml:space="preserve"> </w:t>
      </w:r>
      <w:r w:rsidR="000E7EF1" w:rsidRPr="004147DB">
        <w:rPr>
          <w:noProof/>
          <w:lang w:eastAsia="en-GB"/>
        </w:rPr>
        <w:t>the</w:t>
      </w:r>
      <w:r w:rsidR="00392398" w:rsidRPr="004147DB">
        <w:rPr>
          <w:noProof/>
          <w:lang w:eastAsia="en-GB"/>
        </w:rPr>
        <w:t xml:space="preserve"> Biotech Act to</w:t>
      </w:r>
      <w:r w:rsidR="005A6CD2" w:rsidRPr="004147DB">
        <w:rPr>
          <w:noProof/>
          <w:lang w:eastAsia="en-GB"/>
        </w:rPr>
        <w:t xml:space="preserve"> </w:t>
      </w:r>
      <w:r w:rsidR="00392398" w:rsidRPr="004147DB">
        <w:rPr>
          <w:noProof/>
          <w:lang w:eastAsia="en-GB"/>
        </w:rPr>
        <w:t>review, simplify and optimise the regulatory framework for biotechnology</w:t>
      </w:r>
      <w:r w:rsidR="00A33606" w:rsidRPr="004147DB">
        <w:rPr>
          <w:noProof/>
          <w:lang w:eastAsia="en-GB"/>
        </w:rPr>
        <w:t xml:space="preserve"> </w:t>
      </w:r>
      <w:r w:rsidR="00392398" w:rsidRPr="004147DB">
        <w:rPr>
          <w:noProof/>
          <w:lang w:eastAsia="en-GB"/>
        </w:rPr>
        <w:t>in healthcare to foster innovation</w:t>
      </w:r>
      <w:r w:rsidR="000E7EF1" w:rsidRPr="004147DB">
        <w:rPr>
          <w:noProof/>
          <w:lang w:eastAsia="en-GB"/>
        </w:rPr>
        <w:t xml:space="preserve">, </w:t>
      </w:r>
      <w:r w:rsidR="244EB8AD" w:rsidRPr="004147DB">
        <w:rPr>
          <w:noProof/>
          <w:lang w:eastAsia="en-GB"/>
        </w:rPr>
        <w:t>as well as</w:t>
      </w:r>
      <w:r w:rsidR="000E7EF1" w:rsidRPr="004147DB">
        <w:rPr>
          <w:noProof/>
          <w:lang w:eastAsia="en-GB"/>
        </w:rPr>
        <w:t xml:space="preserve"> </w:t>
      </w:r>
      <w:r w:rsidR="00702D9A" w:rsidRPr="004147DB">
        <w:rPr>
          <w:noProof/>
          <w:lang w:eastAsia="en-GB"/>
        </w:rPr>
        <w:t xml:space="preserve">for structured EU support to help excellent biotechnology innovation districts in the EU grow and ensure that they have sufficient capacity, resources and </w:t>
      </w:r>
      <w:r w:rsidR="00F61189" w:rsidRPr="004147DB">
        <w:rPr>
          <w:noProof/>
          <w:lang w:eastAsia="en-GB"/>
        </w:rPr>
        <w:t xml:space="preserve">the </w:t>
      </w:r>
      <w:r w:rsidR="00702D9A" w:rsidRPr="004147DB">
        <w:rPr>
          <w:noProof/>
          <w:lang w:eastAsia="en-GB"/>
        </w:rPr>
        <w:t>scientific edge to promote new groundbreaking biotechnology discoveries, innovation and commercialisation.</w:t>
      </w:r>
    </w:p>
    <w:p w14:paraId="2CC0855F" w14:textId="26A112E9" w:rsidR="00026F24" w:rsidRPr="00DD0CE5" w:rsidRDefault="00B504DA" w:rsidP="007F6C26">
      <w:pPr>
        <w:pStyle w:val="Heading2"/>
        <w:rPr>
          <w:lang w:val="en-IE"/>
        </w:rPr>
      </w:pPr>
      <w:bookmarkStart w:id="11" w:name="_Toc224747191"/>
      <w:bookmarkStart w:id="12" w:name="_Toc224749661"/>
      <w:bookmarkStart w:id="13" w:name="_Toc225974539"/>
      <w:bookmarkStart w:id="14" w:name="_Toc225975212"/>
      <w:bookmarkStart w:id="15" w:name="_Toc225975269"/>
      <w:bookmarkStart w:id="16" w:name="_Toc227941835"/>
      <w:r w:rsidRPr="00DD0CE5">
        <w:rPr>
          <w:lang w:val="en-IE"/>
        </w:rPr>
        <w:t>Rel</w:t>
      </w:r>
      <w:r w:rsidR="004A3436">
        <w:rPr>
          <w:lang w:val="en-IE"/>
        </w:rPr>
        <w:t>ated</w:t>
      </w:r>
      <w:r w:rsidRPr="00DD0CE5">
        <w:rPr>
          <w:lang w:val="en-IE"/>
        </w:rPr>
        <w:t xml:space="preserve"> </w:t>
      </w:r>
      <w:r w:rsidR="009B34F2">
        <w:rPr>
          <w:lang w:val="en-IE"/>
        </w:rPr>
        <w:t>E</w:t>
      </w:r>
      <w:r w:rsidR="00DA0AD4">
        <w:rPr>
          <w:lang w:val="en-IE"/>
        </w:rPr>
        <w:t>U</w:t>
      </w:r>
      <w:r w:rsidR="0703AF7C" w:rsidRPr="2697BE4D">
        <w:rPr>
          <w:lang w:val="en-IE"/>
        </w:rPr>
        <w:t xml:space="preserve"> </w:t>
      </w:r>
      <w:r w:rsidRPr="00DD0CE5">
        <w:rPr>
          <w:lang w:val="en-IE"/>
        </w:rPr>
        <w:t>legislation</w:t>
      </w:r>
      <w:bookmarkEnd w:id="11"/>
      <w:bookmarkEnd w:id="12"/>
      <w:bookmarkEnd w:id="13"/>
      <w:bookmarkEnd w:id="14"/>
      <w:bookmarkEnd w:id="15"/>
      <w:bookmarkEnd w:id="16"/>
    </w:p>
    <w:p w14:paraId="3896F4DF" w14:textId="24E0340F" w:rsidR="00D3678F" w:rsidRPr="00D82915" w:rsidRDefault="2633090B" w:rsidP="007F6C26">
      <w:pPr>
        <w:pStyle w:val="Heading3"/>
      </w:pPr>
      <w:bookmarkStart w:id="17" w:name="_Toc224747192"/>
      <w:bookmarkStart w:id="18" w:name="_Toc224749662"/>
      <w:bookmarkStart w:id="19" w:name="_Toc225974540"/>
      <w:bookmarkStart w:id="20" w:name="_Toc225975213"/>
      <w:bookmarkStart w:id="21" w:name="_Toc225975270"/>
      <w:r w:rsidRPr="00D82915">
        <w:t>E</w:t>
      </w:r>
      <w:r w:rsidR="00D3678F" w:rsidRPr="00D82915">
        <w:t xml:space="preserve">xisting </w:t>
      </w:r>
      <w:r w:rsidR="009B34F2">
        <w:t>E</w:t>
      </w:r>
      <w:r w:rsidR="00DA0AD4">
        <w:t>U</w:t>
      </w:r>
      <w:r w:rsidR="3312E5F2" w:rsidRPr="00D82915">
        <w:t xml:space="preserve"> </w:t>
      </w:r>
      <w:r w:rsidR="00D3678F" w:rsidRPr="00D82915">
        <w:t>legislation</w:t>
      </w:r>
      <w:bookmarkEnd w:id="17"/>
      <w:bookmarkEnd w:id="18"/>
      <w:bookmarkEnd w:id="19"/>
      <w:bookmarkEnd w:id="20"/>
      <w:bookmarkEnd w:id="21"/>
    </w:p>
    <w:p w14:paraId="5D3CF64D" w14:textId="1CE4F3DE" w:rsidR="009B116C" w:rsidRDefault="008E4A2D" w:rsidP="00F10A65">
      <w:pPr>
        <w:rPr>
          <w:rFonts w:eastAsia="Times New Roman"/>
          <w:lang w:eastAsia="en-GB"/>
        </w:rPr>
      </w:pPr>
      <w:r>
        <w:rPr>
          <w:lang w:val="en-US"/>
        </w:rPr>
        <w:t xml:space="preserve">Health biotechnology products </w:t>
      </w:r>
      <w:r w:rsidR="00587814">
        <w:rPr>
          <w:lang w:val="en-US"/>
        </w:rPr>
        <w:t xml:space="preserve">are </w:t>
      </w:r>
      <w:r w:rsidR="00BB6475">
        <w:rPr>
          <w:lang w:val="en-US"/>
        </w:rPr>
        <w:t>subject</w:t>
      </w:r>
      <w:r w:rsidR="00290CE0">
        <w:rPr>
          <w:lang w:val="en-US"/>
        </w:rPr>
        <w:t xml:space="preserve"> </w:t>
      </w:r>
      <w:r w:rsidR="00BB6475">
        <w:rPr>
          <w:lang w:val="en-US"/>
        </w:rPr>
        <w:t>to</w:t>
      </w:r>
      <w:r w:rsidR="00290CE0">
        <w:rPr>
          <w:lang w:val="en-US"/>
        </w:rPr>
        <w:t xml:space="preserve"> </w:t>
      </w:r>
      <w:r w:rsidR="00177F17">
        <w:rPr>
          <w:lang w:val="en-US"/>
        </w:rPr>
        <w:t xml:space="preserve">several </w:t>
      </w:r>
      <w:r w:rsidR="00BB6475">
        <w:rPr>
          <w:lang w:val="en-US"/>
        </w:rPr>
        <w:t>EU</w:t>
      </w:r>
      <w:r w:rsidR="00290CE0">
        <w:rPr>
          <w:lang w:val="en-US"/>
        </w:rPr>
        <w:t xml:space="preserve"> </w:t>
      </w:r>
      <w:r w:rsidR="00C827EE" w:rsidRPr="00DD0CE5">
        <w:rPr>
          <w:lang w:val="en-US"/>
        </w:rPr>
        <w:t>legislative frameworks</w:t>
      </w:r>
      <w:r w:rsidR="00290CE0">
        <w:rPr>
          <w:lang w:val="en-US"/>
        </w:rPr>
        <w:t xml:space="preserve">, </w:t>
      </w:r>
      <w:r w:rsidR="00F52872">
        <w:rPr>
          <w:lang w:val="en-US"/>
        </w:rPr>
        <w:t>in particular</w:t>
      </w:r>
      <w:r w:rsidR="00290CE0">
        <w:rPr>
          <w:lang w:val="en-US"/>
        </w:rPr>
        <w:t xml:space="preserve"> </w:t>
      </w:r>
      <w:r w:rsidR="00C827EE" w:rsidRPr="00DD0CE5">
        <w:rPr>
          <w:b/>
          <w:lang w:val="en-US"/>
        </w:rPr>
        <w:t>Regulation</w:t>
      </w:r>
      <w:r w:rsidR="002B3F80">
        <w:rPr>
          <w:b/>
          <w:lang w:val="en-US"/>
        </w:rPr>
        <w:t xml:space="preserve"> </w:t>
      </w:r>
      <w:r w:rsidR="002B3F80" w:rsidRPr="002B3F80">
        <w:rPr>
          <w:b/>
          <w:lang w:val="en-US"/>
        </w:rPr>
        <w:t xml:space="preserve">(EU) No 536/2014 </w:t>
      </w:r>
      <w:r w:rsidR="00C827EE" w:rsidRPr="00DD0CE5">
        <w:rPr>
          <w:b/>
          <w:lang w:val="en-US"/>
        </w:rPr>
        <w:t xml:space="preserve"> on </w:t>
      </w:r>
      <w:r w:rsidR="001E03DB">
        <w:rPr>
          <w:b/>
          <w:bCs/>
          <w:lang w:val="en-US"/>
        </w:rPr>
        <w:t>clinical trial</w:t>
      </w:r>
      <w:r w:rsidR="00130BD3">
        <w:rPr>
          <w:b/>
          <w:bCs/>
          <w:lang w:val="en-US"/>
        </w:rPr>
        <w:t>s</w:t>
      </w:r>
      <w:r w:rsidR="00C63E2A" w:rsidRPr="17ED760A">
        <w:rPr>
          <w:b/>
          <w:bCs/>
          <w:lang w:val="en-US"/>
        </w:rPr>
        <w:t xml:space="preserve"> </w:t>
      </w:r>
      <w:r w:rsidR="1023B0DB" w:rsidRPr="17ED760A">
        <w:rPr>
          <w:b/>
          <w:bCs/>
          <w:lang w:val="en-US"/>
        </w:rPr>
        <w:t xml:space="preserve">on </w:t>
      </w:r>
      <w:r w:rsidR="1023B0DB" w:rsidRPr="57207E15">
        <w:rPr>
          <w:b/>
          <w:bCs/>
          <w:lang w:val="en-US"/>
        </w:rPr>
        <w:t xml:space="preserve">medicinal products for human </w:t>
      </w:r>
      <w:r w:rsidR="1023B0DB" w:rsidRPr="17ED760A">
        <w:rPr>
          <w:b/>
          <w:bCs/>
          <w:lang w:val="en-US"/>
        </w:rPr>
        <w:t>use</w:t>
      </w:r>
      <w:r w:rsidR="1023B0DB" w:rsidRPr="57207E15">
        <w:rPr>
          <w:b/>
          <w:bCs/>
          <w:lang w:val="en-US"/>
        </w:rPr>
        <w:t xml:space="preserve"> </w:t>
      </w:r>
      <w:r w:rsidR="00C827EE" w:rsidRPr="00DD0CE5">
        <w:rPr>
          <w:rStyle w:val="FootnoteReference"/>
          <w:rFonts w:eastAsia="Times New Roman"/>
          <w:color w:val="000000" w:themeColor="text1"/>
          <w:lang w:eastAsia="en-GB"/>
        </w:rPr>
        <w:footnoteReference w:id="20"/>
      </w:r>
      <w:r w:rsidR="46EDD900" w:rsidRPr="00DD0CE5">
        <w:rPr>
          <w:lang w:val="en-US"/>
        </w:rPr>
        <w:t xml:space="preserve">, </w:t>
      </w:r>
      <w:r w:rsidR="00C827EE" w:rsidRPr="00DD0CE5">
        <w:rPr>
          <w:b/>
          <w:lang w:val="en-US"/>
        </w:rPr>
        <w:t xml:space="preserve">Regulation </w:t>
      </w:r>
      <w:r w:rsidR="000C7A4A" w:rsidRPr="000C7A4A">
        <w:rPr>
          <w:b/>
          <w:lang w:val="en-US"/>
        </w:rPr>
        <w:t xml:space="preserve">(EC) No 1394/2007 </w:t>
      </w:r>
      <w:r w:rsidR="00C827EE" w:rsidRPr="00DD0CE5">
        <w:rPr>
          <w:b/>
          <w:lang w:val="en-US"/>
        </w:rPr>
        <w:t>on ATMPs</w:t>
      </w:r>
      <w:r w:rsidR="00C827EE" w:rsidRPr="00DD0CE5">
        <w:rPr>
          <w:rStyle w:val="FootnoteReference"/>
          <w:rFonts w:eastAsia="Times New Roman"/>
          <w:color w:val="000000" w:themeColor="text1"/>
          <w:lang w:eastAsia="en-GB"/>
        </w:rPr>
        <w:footnoteReference w:id="21"/>
      </w:r>
      <w:r w:rsidR="005C3998">
        <w:rPr>
          <w:lang w:val="en-US"/>
        </w:rPr>
        <w:t>,</w:t>
      </w:r>
      <w:r w:rsidR="00C827EE" w:rsidRPr="00DD0CE5">
        <w:rPr>
          <w:lang w:val="en-US"/>
        </w:rPr>
        <w:t xml:space="preserve"> </w:t>
      </w:r>
      <w:r w:rsidR="00C827EE" w:rsidRPr="00DD0CE5">
        <w:rPr>
          <w:b/>
          <w:lang w:val="en-US"/>
        </w:rPr>
        <w:t xml:space="preserve">Regulation </w:t>
      </w:r>
      <w:r w:rsidR="0038717A" w:rsidRPr="0038717A">
        <w:rPr>
          <w:b/>
          <w:lang w:val="en-US"/>
        </w:rPr>
        <w:t xml:space="preserve">(EU) 2024/1938 </w:t>
      </w:r>
      <w:r w:rsidR="00C827EE" w:rsidRPr="00DD0CE5">
        <w:rPr>
          <w:b/>
          <w:lang w:val="en-US"/>
        </w:rPr>
        <w:t>on standards of quality and safety for substances of human origin intended for human application (SoHO</w:t>
      </w:r>
      <w:r w:rsidR="46EDD900" w:rsidRPr="73E434D0">
        <w:rPr>
          <w:b/>
          <w:bCs/>
          <w:lang w:val="en-US"/>
        </w:rPr>
        <w:t>)</w:t>
      </w:r>
      <w:r w:rsidR="00C827EE" w:rsidRPr="00DD0CE5">
        <w:rPr>
          <w:rStyle w:val="FootnoteReference"/>
          <w:rFonts w:eastAsia="Times New Roman"/>
          <w:color w:val="000000" w:themeColor="text1"/>
          <w:lang w:eastAsia="en-GB"/>
        </w:rPr>
        <w:footnoteReference w:id="22"/>
      </w:r>
      <w:r w:rsidR="005C3998">
        <w:rPr>
          <w:noProof/>
          <w:lang w:eastAsia="en-IE"/>
        </w:rPr>
        <w:t xml:space="preserve">, </w:t>
      </w:r>
      <w:r w:rsidR="00A026FF" w:rsidRPr="01E895AF">
        <w:rPr>
          <w:rFonts w:eastAsia="Times New Roman"/>
          <w:b/>
          <w:bCs/>
          <w:noProof/>
          <w:lang w:eastAsia="en-IE"/>
        </w:rPr>
        <w:t>Directive</w:t>
      </w:r>
      <w:r w:rsidR="00350E2B">
        <w:rPr>
          <w:rFonts w:eastAsia="Times New Roman"/>
          <w:b/>
          <w:bCs/>
          <w:noProof/>
          <w:lang w:eastAsia="en-IE"/>
        </w:rPr>
        <w:t xml:space="preserve"> </w:t>
      </w:r>
      <w:r w:rsidR="00B7668F" w:rsidRPr="00B7668F">
        <w:rPr>
          <w:rFonts w:eastAsia="Times New Roman"/>
          <w:b/>
          <w:bCs/>
          <w:noProof/>
          <w:lang w:eastAsia="en-IE"/>
        </w:rPr>
        <w:t>2010/53/EU</w:t>
      </w:r>
      <w:r w:rsidR="00B7668F">
        <w:rPr>
          <w:rFonts w:eastAsia="Times New Roman"/>
          <w:b/>
          <w:bCs/>
          <w:noProof/>
          <w:lang w:eastAsia="en-IE"/>
        </w:rPr>
        <w:t xml:space="preserve"> </w:t>
      </w:r>
      <w:r w:rsidR="00A026FF">
        <w:rPr>
          <w:rFonts w:eastAsia="Times New Roman"/>
          <w:b/>
          <w:bCs/>
          <w:noProof/>
          <w:lang w:eastAsia="en-IE"/>
        </w:rPr>
        <w:t>on</w:t>
      </w:r>
      <w:r w:rsidR="00A026FF" w:rsidRPr="0ADE83EE">
        <w:rPr>
          <w:b/>
          <w:lang w:eastAsia="en-IE"/>
        </w:rPr>
        <w:t xml:space="preserve"> quality and safety of human organs intended for transplantation</w:t>
      </w:r>
      <w:r w:rsidR="00A026FF" w:rsidRPr="00CE7A4F">
        <w:rPr>
          <w:rStyle w:val="FootnoteReference"/>
          <w:noProof/>
        </w:rPr>
        <w:footnoteReference w:id="23"/>
      </w:r>
      <w:r w:rsidR="005C3998">
        <w:rPr>
          <w:noProof/>
        </w:rPr>
        <w:t xml:space="preserve">, </w:t>
      </w:r>
      <w:r w:rsidR="00A026FF" w:rsidRPr="3259C710">
        <w:rPr>
          <w:lang w:val="en-US"/>
        </w:rPr>
        <w:t>and</w:t>
      </w:r>
      <w:r w:rsidR="00C827EE" w:rsidRPr="00DD0CE5">
        <w:rPr>
          <w:lang w:val="en-US"/>
        </w:rPr>
        <w:t xml:space="preserve"> </w:t>
      </w:r>
      <w:r w:rsidR="00C827EE" w:rsidRPr="00DD0CE5">
        <w:rPr>
          <w:b/>
          <w:lang w:val="en-US"/>
        </w:rPr>
        <w:t>Regulation</w:t>
      </w:r>
      <w:r w:rsidR="007148EA">
        <w:rPr>
          <w:b/>
          <w:lang w:val="en-US"/>
        </w:rPr>
        <w:t xml:space="preserve"> </w:t>
      </w:r>
      <w:r w:rsidR="007148EA" w:rsidRPr="007148EA">
        <w:rPr>
          <w:b/>
          <w:lang w:val="en-US"/>
        </w:rPr>
        <w:t xml:space="preserve">(EU) 2019/6 </w:t>
      </w:r>
      <w:r w:rsidR="00C827EE" w:rsidRPr="00DD0CE5">
        <w:rPr>
          <w:b/>
          <w:lang w:val="en-US"/>
        </w:rPr>
        <w:t xml:space="preserve"> on veterinary medicinal products (VMPs)</w:t>
      </w:r>
      <w:r w:rsidR="00C827EE" w:rsidRPr="00DD0CE5">
        <w:rPr>
          <w:rStyle w:val="FootnoteReference"/>
          <w:rFonts w:eastAsia="Times New Roman"/>
          <w:color w:val="000000" w:themeColor="text1"/>
          <w:lang w:eastAsia="en-GB"/>
        </w:rPr>
        <w:footnoteReference w:id="24"/>
      </w:r>
      <w:r w:rsidR="005C3998" w:rsidRPr="00BA1375">
        <w:rPr>
          <w:bCs/>
          <w:lang w:val="en-US"/>
        </w:rPr>
        <w:t>.</w:t>
      </w:r>
      <w:r w:rsidR="00C827EE" w:rsidRPr="00DD0CE5">
        <w:rPr>
          <w:rStyle w:val="FootnoteReference"/>
          <w:rFonts w:eastAsia="Times New Roman"/>
          <w:color w:val="000000" w:themeColor="text1"/>
          <w:lang w:eastAsia="en-GB"/>
        </w:rPr>
        <w:t xml:space="preserve"> </w:t>
      </w:r>
      <w:r w:rsidR="009B116C" w:rsidRPr="009B116C">
        <w:rPr>
          <w:rFonts w:eastAsia="Times New Roman"/>
          <w:lang w:eastAsia="en-GB"/>
        </w:rPr>
        <w:t xml:space="preserve">These </w:t>
      </w:r>
      <w:r w:rsidR="00C93340">
        <w:rPr>
          <w:rFonts w:eastAsia="Times New Roman"/>
          <w:lang w:eastAsia="en-GB"/>
        </w:rPr>
        <w:t xml:space="preserve">legislative </w:t>
      </w:r>
      <w:r w:rsidR="009B116C" w:rsidRPr="009B116C">
        <w:rPr>
          <w:rFonts w:eastAsia="Times New Roman"/>
          <w:lang w:eastAsia="en-GB"/>
        </w:rPr>
        <w:t xml:space="preserve">frameworks </w:t>
      </w:r>
      <w:r w:rsidR="00402DBF">
        <w:rPr>
          <w:rFonts w:eastAsia="Times New Roman"/>
          <w:lang w:eastAsia="en-GB"/>
        </w:rPr>
        <w:t>govern</w:t>
      </w:r>
      <w:r w:rsidR="00144C2C" w:rsidRPr="0ADE83EE">
        <w:rPr>
          <w:lang w:eastAsia="en-GB"/>
        </w:rPr>
        <w:t xml:space="preserve"> different stages of the product</w:t>
      </w:r>
      <w:r w:rsidR="00BA1375">
        <w:rPr>
          <w:lang w:eastAsia="en-GB"/>
        </w:rPr>
        <w:t>’s</w:t>
      </w:r>
      <w:r w:rsidR="00144C2C" w:rsidRPr="0ADE83EE">
        <w:rPr>
          <w:lang w:eastAsia="en-GB"/>
        </w:rPr>
        <w:t xml:space="preserve"> lifecycle, including research, clinical development, </w:t>
      </w:r>
      <w:r w:rsidR="00144C2C" w:rsidRPr="73E434D0">
        <w:rPr>
          <w:lang w:eastAsia="en-GB"/>
        </w:rPr>
        <w:t xml:space="preserve">authorisation and </w:t>
      </w:r>
      <w:r w:rsidR="009B34F2">
        <w:rPr>
          <w:lang w:eastAsia="en-GB"/>
        </w:rPr>
        <w:t xml:space="preserve">the </w:t>
      </w:r>
      <w:r w:rsidR="00144C2C" w:rsidRPr="73E434D0">
        <w:rPr>
          <w:lang w:eastAsia="en-GB"/>
        </w:rPr>
        <w:t>placing on the market</w:t>
      </w:r>
      <w:r w:rsidR="009B116C" w:rsidRPr="009B116C">
        <w:rPr>
          <w:rFonts w:eastAsia="Times New Roman"/>
          <w:lang w:eastAsia="en-GB"/>
        </w:rPr>
        <w:t xml:space="preserve"> of biotechnology products</w:t>
      </w:r>
      <w:r w:rsidR="74957650" w:rsidRPr="2C12A1B8">
        <w:rPr>
          <w:rFonts w:eastAsia="Times New Roman"/>
          <w:lang w:eastAsia="en-GB"/>
        </w:rPr>
        <w:t xml:space="preserve"> and therapie</w:t>
      </w:r>
      <w:r w:rsidR="00C63E2A">
        <w:rPr>
          <w:rFonts w:eastAsia="Times New Roman"/>
          <w:lang w:eastAsia="en-GB"/>
        </w:rPr>
        <w:t>s</w:t>
      </w:r>
      <w:r w:rsidR="009B116C" w:rsidRPr="2C12A1B8">
        <w:rPr>
          <w:rFonts w:eastAsia="Times New Roman"/>
          <w:lang w:eastAsia="en-GB"/>
        </w:rPr>
        <w:t>.</w:t>
      </w:r>
      <w:r w:rsidR="009B116C" w:rsidRPr="009B116C">
        <w:rPr>
          <w:rFonts w:eastAsia="Times New Roman"/>
          <w:lang w:eastAsia="en-GB"/>
        </w:rPr>
        <w:t xml:space="preserve"> </w:t>
      </w:r>
      <w:r w:rsidR="00A50829">
        <w:rPr>
          <w:rFonts w:eastAsia="Times New Roman"/>
          <w:lang w:eastAsia="en-GB"/>
        </w:rPr>
        <w:t>Accordingly, t</w:t>
      </w:r>
      <w:r w:rsidR="004116CA">
        <w:rPr>
          <w:rFonts w:eastAsia="Times New Roman"/>
          <w:lang w:eastAsia="en-GB"/>
        </w:rPr>
        <w:t>he</w:t>
      </w:r>
      <w:r w:rsidR="004F02E7">
        <w:rPr>
          <w:rFonts w:eastAsia="Times New Roman"/>
          <w:lang w:eastAsia="en-GB"/>
        </w:rPr>
        <w:t xml:space="preserve"> </w:t>
      </w:r>
      <w:r w:rsidR="00F016C1">
        <w:rPr>
          <w:rFonts w:eastAsia="Times New Roman"/>
          <w:lang w:eastAsia="en-GB"/>
        </w:rPr>
        <w:t xml:space="preserve">EU </w:t>
      </w:r>
      <w:r w:rsidR="004F02E7">
        <w:rPr>
          <w:rFonts w:eastAsia="Times New Roman"/>
          <w:lang w:eastAsia="en-GB"/>
        </w:rPr>
        <w:t xml:space="preserve">biotechnology sector </w:t>
      </w:r>
      <w:r w:rsidR="00F016C1">
        <w:rPr>
          <w:rFonts w:eastAsia="Times New Roman"/>
          <w:lang w:eastAsia="en-GB"/>
        </w:rPr>
        <w:t xml:space="preserve">can only </w:t>
      </w:r>
      <w:r w:rsidR="00F17B97">
        <w:rPr>
          <w:rFonts w:eastAsia="Times New Roman"/>
          <w:lang w:eastAsia="en-GB"/>
        </w:rPr>
        <w:t xml:space="preserve">flourish </w:t>
      </w:r>
      <w:r w:rsidR="004116CA">
        <w:rPr>
          <w:rFonts w:eastAsia="Times New Roman"/>
          <w:lang w:eastAsia="en-GB"/>
        </w:rPr>
        <w:t xml:space="preserve">if </w:t>
      </w:r>
      <w:r w:rsidR="0016558F">
        <w:rPr>
          <w:rFonts w:eastAsia="Times New Roman"/>
          <w:lang w:eastAsia="en-GB"/>
        </w:rPr>
        <w:t>the</w:t>
      </w:r>
      <w:r w:rsidR="00C63E2A">
        <w:rPr>
          <w:rFonts w:eastAsia="Times New Roman"/>
          <w:lang w:eastAsia="en-GB"/>
        </w:rPr>
        <w:t>y</w:t>
      </w:r>
      <w:r w:rsidR="0016558F">
        <w:rPr>
          <w:rFonts w:eastAsia="Times New Roman"/>
          <w:lang w:eastAsia="en-GB"/>
        </w:rPr>
        <w:t xml:space="preserve"> are efficient</w:t>
      </w:r>
      <w:r w:rsidR="00AE4476">
        <w:rPr>
          <w:rFonts w:eastAsia="Times New Roman"/>
          <w:lang w:eastAsia="en-GB"/>
        </w:rPr>
        <w:t xml:space="preserve">, </w:t>
      </w:r>
      <w:r w:rsidR="00177F17">
        <w:rPr>
          <w:rFonts w:eastAsia="Times New Roman"/>
          <w:lang w:eastAsia="en-GB"/>
        </w:rPr>
        <w:t xml:space="preserve">coherent and </w:t>
      </w:r>
      <w:r w:rsidR="00AE4476">
        <w:rPr>
          <w:rFonts w:eastAsia="Times New Roman"/>
          <w:lang w:eastAsia="en-GB"/>
        </w:rPr>
        <w:t>innovation</w:t>
      </w:r>
      <w:r w:rsidR="00177F17">
        <w:rPr>
          <w:rFonts w:eastAsia="Times New Roman"/>
          <w:lang w:eastAsia="en-GB"/>
        </w:rPr>
        <w:t>-</w:t>
      </w:r>
      <w:r w:rsidR="00AE4476">
        <w:rPr>
          <w:rFonts w:eastAsia="Times New Roman"/>
          <w:lang w:eastAsia="en-GB"/>
        </w:rPr>
        <w:t>friendly</w:t>
      </w:r>
      <w:r w:rsidR="00B823F0">
        <w:rPr>
          <w:rFonts w:eastAsia="Times New Roman"/>
          <w:lang w:eastAsia="en-GB"/>
        </w:rPr>
        <w:t>.</w:t>
      </w:r>
      <w:r w:rsidR="00033D03">
        <w:rPr>
          <w:rFonts w:eastAsia="Times New Roman"/>
          <w:lang w:eastAsia="en-GB"/>
        </w:rPr>
        <w:t xml:space="preserve"> </w:t>
      </w:r>
    </w:p>
    <w:p w14:paraId="6B2B00BB" w14:textId="285B35E8" w:rsidR="00C827EE" w:rsidRPr="002D531C" w:rsidDel="00760B51" w:rsidRDefault="00D221F1" w:rsidP="00B70E0A">
      <w:pPr>
        <w:rPr>
          <w:rFonts w:eastAsia="Times New Roman"/>
          <w:lang w:val="en-US" w:eastAsia="en-GB"/>
        </w:rPr>
      </w:pPr>
      <w:r>
        <w:rPr>
          <w:lang w:val="en-US"/>
        </w:rPr>
        <w:t>For</w:t>
      </w:r>
      <w:r w:rsidRPr="00DD0CE5">
        <w:rPr>
          <w:lang w:val="en-US"/>
        </w:rPr>
        <w:t xml:space="preserve"> </w:t>
      </w:r>
      <w:r w:rsidR="00C827EE" w:rsidRPr="00DD0CE5">
        <w:rPr>
          <w:lang w:val="en-US"/>
        </w:rPr>
        <w:t xml:space="preserve">food </w:t>
      </w:r>
      <w:r w:rsidR="00290CE0">
        <w:rPr>
          <w:lang w:val="en-US"/>
        </w:rPr>
        <w:t xml:space="preserve">and feed </w:t>
      </w:r>
      <w:r w:rsidR="00C827EE" w:rsidRPr="00DD0CE5">
        <w:rPr>
          <w:lang w:val="en-US"/>
        </w:rPr>
        <w:t xml:space="preserve">safety, </w:t>
      </w:r>
      <w:r w:rsidR="000B0E7C">
        <w:rPr>
          <w:lang w:val="en-US"/>
        </w:rPr>
        <w:t xml:space="preserve">the placing on the market of </w:t>
      </w:r>
      <w:r w:rsidR="00290CE0">
        <w:rPr>
          <w:lang w:val="en-US"/>
        </w:rPr>
        <w:t xml:space="preserve">biotechnology products </w:t>
      </w:r>
      <w:r w:rsidR="00BB6475">
        <w:rPr>
          <w:lang w:val="en-US"/>
        </w:rPr>
        <w:t>must</w:t>
      </w:r>
      <w:r w:rsidR="00290CE0">
        <w:rPr>
          <w:lang w:val="en-US"/>
        </w:rPr>
        <w:t xml:space="preserve"> comply with requirements set out in the </w:t>
      </w:r>
      <w:r w:rsidR="00C827EE" w:rsidRPr="00DD0CE5">
        <w:rPr>
          <w:b/>
          <w:lang w:val="en-US"/>
        </w:rPr>
        <w:t>General Food Law</w:t>
      </w:r>
      <w:r w:rsidR="00C827EE" w:rsidRPr="00DD0CE5">
        <w:rPr>
          <w:rStyle w:val="FootnoteReference"/>
          <w:color w:val="000000" w:themeColor="text1"/>
        </w:rPr>
        <w:footnoteReference w:id="25"/>
      </w:r>
      <w:r w:rsidR="00D20986" w:rsidRPr="00DD0CE5">
        <w:rPr>
          <w:lang w:val="en-US"/>
        </w:rPr>
        <w:t xml:space="preserve"> </w:t>
      </w:r>
      <w:r w:rsidR="0AA59770" w:rsidRPr="3BDBB5C3">
        <w:rPr>
          <w:lang w:val="en-US"/>
        </w:rPr>
        <w:t xml:space="preserve">and with </w:t>
      </w:r>
      <w:r w:rsidR="0AA59770" w:rsidRPr="6AF43877">
        <w:rPr>
          <w:lang w:val="en-US"/>
        </w:rPr>
        <w:t>s</w:t>
      </w:r>
      <w:r w:rsidR="0845AEEF" w:rsidRPr="6AF43877">
        <w:rPr>
          <w:lang w:val="en-US"/>
        </w:rPr>
        <w:t xml:space="preserve">pecific </w:t>
      </w:r>
      <w:r w:rsidR="0845AEEF" w:rsidRPr="39E85B71">
        <w:rPr>
          <w:lang w:val="en-US"/>
        </w:rPr>
        <w:t>legal frameworks</w:t>
      </w:r>
      <w:r w:rsidR="00C63E2A">
        <w:rPr>
          <w:lang w:val="en-US"/>
        </w:rPr>
        <w:t>,</w:t>
      </w:r>
      <w:r w:rsidR="0845AEEF" w:rsidRPr="39E85B71">
        <w:rPr>
          <w:lang w:val="en-US"/>
        </w:rPr>
        <w:t xml:space="preserve"> where applicable</w:t>
      </w:r>
      <w:r w:rsidR="00917020">
        <w:rPr>
          <w:rStyle w:val="FootnoteReference"/>
          <w:rFonts w:eastAsiaTheme="minorEastAsia"/>
          <w:color w:val="000000" w:themeColor="text1"/>
          <w:lang w:val="en-US"/>
        </w:rPr>
        <w:footnoteReference w:id="26"/>
      </w:r>
      <w:r w:rsidR="0845AEEF" w:rsidRPr="39E85B71">
        <w:rPr>
          <w:lang w:val="en-US"/>
        </w:rPr>
        <w:t>.</w:t>
      </w:r>
      <w:r w:rsidR="00D20986" w:rsidRPr="493EF522">
        <w:rPr>
          <w:lang w:val="en-US"/>
        </w:rPr>
        <w:t xml:space="preserve"> </w:t>
      </w:r>
      <w:r>
        <w:rPr>
          <w:lang w:val="en-US"/>
        </w:rPr>
        <w:t>P</w:t>
      </w:r>
      <w:r w:rsidR="00E0163D">
        <w:rPr>
          <w:lang w:val="en-US"/>
        </w:rPr>
        <w:t xml:space="preserve">lacing </w:t>
      </w:r>
      <w:r w:rsidR="00E0163D">
        <w:t>p</w:t>
      </w:r>
      <w:r w:rsidR="00700423" w:rsidRPr="00700423">
        <w:t xml:space="preserve">roducts </w:t>
      </w:r>
      <w:r>
        <w:rPr>
          <w:lang w:val="en-US"/>
        </w:rPr>
        <w:t xml:space="preserve">on the market </w:t>
      </w:r>
      <w:r w:rsidR="00700423" w:rsidRPr="00700423">
        <w:t>that contain or consist of genetically modified organisms (GMOs)</w:t>
      </w:r>
      <w:r>
        <w:t>,</w:t>
      </w:r>
      <w:r w:rsidR="00700423" w:rsidRPr="00700423">
        <w:t xml:space="preserve"> </w:t>
      </w:r>
      <w:r w:rsidRPr="00700423">
        <w:t xml:space="preserve">other than food </w:t>
      </w:r>
      <w:r w:rsidRPr="00AE29B7">
        <w:t xml:space="preserve">and feed, </w:t>
      </w:r>
      <w:r w:rsidR="00700423" w:rsidRPr="00AE29B7">
        <w:t>fall</w:t>
      </w:r>
      <w:r w:rsidRPr="00AE29B7">
        <w:t>s</w:t>
      </w:r>
      <w:r w:rsidR="00700423" w:rsidRPr="00AE29B7">
        <w:t xml:space="preserve"> </w:t>
      </w:r>
      <w:r w:rsidR="00E0163D" w:rsidRPr="00AE29B7">
        <w:t>with</w:t>
      </w:r>
      <w:r w:rsidR="00700423" w:rsidRPr="00AE29B7">
        <w:t>in the scope of the</w:t>
      </w:r>
      <w:r w:rsidR="007A1D69" w:rsidRPr="00AE29B7">
        <w:t xml:space="preserve"> </w:t>
      </w:r>
      <w:r w:rsidR="00680174" w:rsidRPr="00AE29B7">
        <w:rPr>
          <w:b/>
        </w:rPr>
        <w:t>legislation on the deliberate release of GMOs</w:t>
      </w:r>
      <w:r w:rsidR="00C827EE" w:rsidRPr="00AE29B7">
        <w:rPr>
          <w:rStyle w:val="FootnoteReference"/>
          <w:rFonts w:eastAsia="Times New Roman"/>
          <w:color w:val="000000" w:themeColor="text1"/>
          <w:lang w:eastAsia="en-GB"/>
        </w:rPr>
        <w:footnoteReference w:id="27"/>
      </w:r>
      <w:r w:rsidR="00C827EE" w:rsidRPr="00AE29B7">
        <w:rPr>
          <w:rFonts w:eastAsia="Times New Roman"/>
          <w:lang w:val="en-US" w:eastAsia="en-GB"/>
        </w:rPr>
        <w:t>.</w:t>
      </w:r>
      <w:r w:rsidR="00D37C77" w:rsidRPr="00AE29B7">
        <w:rPr>
          <w:rFonts w:eastAsia="Times New Roman"/>
          <w:lang w:val="en-US" w:eastAsia="en-GB"/>
        </w:rPr>
        <w:t xml:space="preserve"> T</w:t>
      </w:r>
      <w:r w:rsidR="00376B03" w:rsidRPr="00AE29B7">
        <w:rPr>
          <w:rFonts w:eastAsia="Times New Roman"/>
          <w:lang w:val="en-US" w:eastAsia="en-GB"/>
        </w:rPr>
        <w:t>hese</w:t>
      </w:r>
      <w:r w:rsidR="00953D74" w:rsidRPr="00AE29B7">
        <w:rPr>
          <w:rFonts w:eastAsia="Times New Roman"/>
          <w:lang w:val="en-US" w:eastAsia="en-GB"/>
        </w:rPr>
        <w:t xml:space="preserve"> legislative frameworks</w:t>
      </w:r>
      <w:r w:rsidR="00376B03" w:rsidRPr="00AE29B7">
        <w:rPr>
          <w:rFonts w:eastAsia="Times New Roman"/>
          <w:lang w:val="en-US" w:eastAsia="en-GB"/>
        </w:rPr>
        <w:t xml:space="preserve"> </w:t>
      </w:r>
      <w:r w:rsidR="003A1E44" w:rsidRPr="00AE29B7">
        <w:rPr>
          <w:rFonts w:eastAsia="Times New Roman"/>
          <w:lang w:val="en-US" w:eastAsia="en-GB"/>
        </w:rPr>
        <w:t xml:space="preserve">ensure high levels of </w:t>
      </w:r>
      <w:r w:rsidR="654C5ED3" w:rsidRPr="00AE29B7">
        <w:rPr>
          <w:rFonts w:eastAsia="Times New Roman"/>
          <w:lang w:val="en-US" w:eastAsia="en-GB"/>
        </w:rPr>
        <w:t xml:space="preserve">human and animal </w:t>
      </w:r>
      <w:r w:rsidR="003A1E44" w:rsidRPr="00AE29B7">
        <w:rPr>
          <w:rFonts w:eastAsia="Times New Roman"/>
          <w:lang w:val="en-US" w:eastAsia="en-GB"/>
        </w:rPr>
        <w:t>health</w:t>
      </w:r>
      <w:r w:rsidR="00EA3E09" w:rsidRPr="00AE29B7">
        <w:rPr>
          <w:rFonts w:eastAsia="Times New Roman"/>
          <w:lang w:val="en-US" w:eastAsia="en-GB"/>
        </w:rPr>
        <w:t>,</w:t>
      </w:r>
      <w:r w:rsidR="00C03A30" w:rsidRPr="00AE29B7">
        <w:rPr>
          <w:rFonts w:eastAsia="Times New Roman"/>
          <w:lang w:val="en-US" w:eastAsia="en-GB"/>
        </w:rPr>
        <w:t xml:space="preserve"> </w:t>
      </w:r>
      <w:r w:rsidR="00C93340" w:rsidRPr="00AE29B7">
        <w:rPr>
          <w:rFonts w:eastAsia="Times New Roman"/>
          <w:lang w:val="en-US" w:eastAsia="en-GB"/>
        </w:rPr>
        <w:t xml:space="preserve">and </w:t>
      </w:r>
      <w:r w:rsidR="00C03A30" w:rsidRPr="00AE29B7">
        <w:rPr>
          <w:rFonts w:eastAsia="Times New Roman"/>
          <w:lang w:val="en-US" w:eastAsia="en-GB"/>
        </w:rPr>
        <w:t>environmental</w:t>
      </w:r>
      <w:r w:rsidR="00D37C77" w:rsidRPr="00AE29B7">
        <w:rPr>
          <w:rFonts w:eastAsia="Times New Roman"/>
          <w:lang w:val="en-US" w:eastAsia="en-GB"/>
        </w:rPr>
        <w:t xml:space="preserve"> protection</w:t>
      </w:r>
      <w:r w:rsidR="00C03A30" w:rsidRPr="00AE29B7">
        <w:rPr>
          <w:rFonts w:eastAsia="Times New Roman"/>
          <w:lang w:val="en-US" w:eastAsia="en-GB"/>
        </w:rPr>
        <w:t>.</w:t>
      </w:r>
      <w:r w:rsidR="00B50122" w:rsidRPr="00AE29B7">
        <w:rPr>
          <w:rFonts w:eastAsia="Times New Roman"/>
          <w:lang w:val="en-US" w:eastAsia="en-GB"/>
        </w:rPr>
        <w:t xml:space="preserve"> </w:t>
      </w:r>
      <w:r w:rsidR="0086541A" w:rsidRPr="00AE29B7">
        <w:rPr>
          <w:rFonts w:eastAsia="Times New Roman"/>
          <w:lang w:val="en-US" w:eastAsia="en-GB"/>
        </w:rPr>
        <w:t>To foster</w:t>
      </w:r>
      <w:r w:rsidR="00B50122" w:rsidRPr="00AE29B7">
        <w:rPr>
          <w:rFonts w:eastAsia="Times New Roman"/>
          <w:lang w:eastAsia="en-GB"/>
        </w:rPr>
        <w:t xml:space="preserve"> biotechnology innovation</w:t>
      </w:r>
      <w:r w:rsidR="00E76578" w:rsidRPr="00AE29B7">
        <w:rPr>
          <w:rFonts w:eastAsia="Times New Roman"/>
          <w:lang w:eastAsia="en-GB"/>
        </w:rPr>
        <w:t xml:space="preserve">, it is important </w:t>
      </w:r>
      <w:r w:rsidR="00644E91" w:rsidRPr="00AE29B7">
        <w:rPr>
          <w:rFonts w:eastAsia="Times New Roman"/>
          <w:lang w:eastAsia="en-GB"/>
        </w:rPr>
        <w:t xml:space="preserve">to </w:t>
      </w:r>
      <w:r w:rsidR="00D37C77" w:rsidRPr="00AE29B7">
        <w:rPr>
          <w:rFonts w:eastAsia="Times New Roman"/>
          <w:lang w:eastAsia="en-GB"/>
        </w:rPr>
        <w:t>keep</w:t>
      </w:r>
      <w:r w:rsidR="00E76578" w:rsidRPr="00AE29B7">
        <w:rPr>
          <w:rFonts w:eastAsia="Times New Roman"/>
          <w:lang w:eastAsia="en-GB"/>
        </w:rPr>
        <w:t xml:space="preserve"> these ob</w:t>
      </w:r>
      <w:r w:rsidR="00203EFA" w:rsidRPr="00AE29B7">
        <w:rPr>
          <w:rFonts w:eastAsia="Times New Roman"/>
          <w:lang w:eastAsia="en-GB"/>
        </w:rPr>
        <w:t>jectives</w:t>
      </w:r>
      <w:r w:rsidR="00D37C77" w:rsidRPr="00AE29B7">
        <w:rPr>
          <w:rFonts w:eastAsia="Times New Roman"/>
          <w:lang w:eastAsia="en-GB"/>
        </w:rPr>
        <w:t xml:space="preserve"> front and centre</w:t>
      </w:r>
      <w:r w:rsidR="009066A7" w:rsidRPr="00AE29B7">
        <w:rPr>
          <w:rFonts w:eastAsia="Times New Roman"/>
          <w:lang w:eastAsia="en-GB"/>
        </w:rPr>
        <w:t xml:space="preserve"> and maximise</w:t>
      </w:r>
      <w:r w:rsidR="00203EFA" w:rsidRPr="00AE29B7">
        <w:rPr>
          <w:rFonts w:eastAsia="Times New Roman"/>
          <w:lang w:eastAsia="en-GB"/>
        </w:rPr>
        <w:t xml:space="preserve"> </w:t>
      </w:r>
      <w:r w:rsidR="00D733AC" w:rsidRPr="00AE29B7">
        <w:rPr>
          <w:rFonts w:eastAsia="Times New Roman"/>
          <w:lang w:eastAsia="en-GB"/>
        </w:rPr>
        <w:t>procedural efficiency</w:t>
      </w:r>
      <w:r w:rsidR="00D538C7" w:rsidRPr="00AE29B7">
        <w:rPr>
          <w:rFonts w:eastAsia="Times New Roman"/>
          <w:lang w:eastAsia="en-GB"/>
        </w:rPr>
        <w:t xml:space="preserve"> </w:t>
      </w:r>
      <w:r w:rsidR="004C6641" w:rsidRPr="00AE29B7">
        <w:rPr>
          <w:rFonts w:eastAsia="Times New Roman"/>
          <w:lang w:eastAsia="en-GB"/>
        </w:rPr>
        <w:t>and speed</w:t>
      </w:r>
      <w:r w:rsidR="00B50122" w:rsidRPr="00AE29B7">
        <w:rPr>
          <w:rFonts w:eastAsia="Times New Roman"/>
          <w:lang w:eastAsia="en-GB"/>
        </w:rPr>
        <w:t xml:space="preserve">, </w:t>
      </w:r>
      <w:r w:rsidR="009066A7" w:rsidRPr="00AE29B7">
        <w:rPr>
          <w:rFonts w:eastAsia="Times New Roman"/>
          <w:lang w:eastAsia="en-GB"/>
        </w:rPr>
        <w:t xml:space="preserve">because </w:t>
      </w:r>
      <w:r w:rsidR="00B50122" w:rsidRPr="00AE29B7">
        <w:rPr>
          <w:rFonts w:eastAsia="Times New Roman"/>
          <w:lang w:eastAsia="en-GB"/>
        </w:rPr>
        <w:t xml:space="preserve">risk-assessment and authorisation procedures directly affect the time </w:t>
      </w:r>
      <w:r w:rsidR="002621F0" w:rsidRPr="00AE29B7">
        <w:rPr>
          <w:rFonts w:eastAsia="Times New Roman"/>
          <w:lang w:eastAsia="en-GB"/>
        </w:rPr>
        <w:t>and cost</w:t>
      </w:r>
      <w:r w:rsidR="00B50122" w:rsidRPr="00AE29B7">
        <w:rPr>
          <w:rFonts w:eastAsia="Times New Roman"/>
          <w:lang w:eastAsia="en-GB"/>
        </w:rPr>
        <w:t xml:space="preserve"> for biotechnology products</w:t>
      </w:r>
      <w:r w:rsidR="00B50122" w:rsidRPr="002D531C">
        <w:rPr>
          <w:rFonts w:eastAsia="Times New Roman"/>
          <w:lang w:eastAsia="en-GB"/>
        </w:rPr>
        <w:t xml:space="preserve"> to reach the market.</w:t>
      </w:r>
    </w:p>
    <w:p w14:paraId="2F801E9E" w14:textId="569750DD" w:rsidR="00AF6C28" w:rsidRPr="00DD0CE5" w:rsidRDefault="00C827EE" w:rsidP="00322170">
      <w:pPr>
        <w:rPr>
          <w:lang w:val="en-US" w:eastAsia="en-GB"/>
        </w:rPr>
      </w:pPr>
      <w:r w:rsidRPr="002D531C">
        <w:rPr>
          <w:rFonts w:eastAsia="Times New Roman"/>
          <w:lang w:val="en-US" w:eastAsia="en-GB"/>
        </w:rPr>
        <w:t xml:space="preserve">The </w:t>
      </w:r>
      <w:r w:rsidR="002E0758" w:rsidRPr="002D531C">
        <w:rPr>
          <w:rFonts w:eastAsia="Times New Roman"/>
          <w:lang w:val="en-US" w:eastAsia="en-GB"/>
        </w:rPr>
        <w:t>proposed Biotech Act</w:t>
      </w:r>
      <w:r w:rsidRPr="002D531C">
        <w:rPr>
          <w:rFonts w:eastAsia="Times New Roman"/>
          <w:lang w:val="en-US" w:eastAsia="en-GB"/>
        </w:rPr>
        <w:t xml:space="preserve"> </w:t>
      </w:r>
      <w:r w:rsidR="00EE1EAA" w:rsidRPr="002D531C">
        <w:rPr>
          <w:rFonts w:eastAsia="Times New Roman"/>
          <w:lang w:val="en-US" w:eastAsia="en-GB"/>
        </w:rPr>
        <w:t>review</w:t>
      </w:r>
      <w:r w:rsidR="00654E21" w:rsidRPr="002D531C">
        <w:rPr>
          <w:rFonts w:eastAsia="Times New Roman"/>
          <w:lang w:val="en-US" w:eastAsia="en-GB"/>
        </w:rPr>
        <w:t>s</w:t>
      </w:r>
      <w:r w:rsidR="000E1732" w:rsidRPr="002D531C">
        <w:rPr>
          <w:rFonts w:eastAsia="Times New Roman"/>
          <w:lang w:val="en-US" w:eastAsia="en-GB"/>
        </w:rPr>
        <w:t xml:space="preserve"> and </w:t>
      </w:r>
      <w:r w:rsidR="000E1732" w:rsidRPr="002D531C">
        <w:rPr>
          <w:rFonts w:eastAsia="Times New Roman"/>
          <w:lang w:eastAsia="en-GB"/>
        </w:rPr>
        <w:t>seeks synergies with</w:t>
      </w:r>
      <w:r w:rsidR="00EE1EAA" w:rsidRPr="002D531C">
        <w:rPr>
          <w:rFonts w:eastAsia="Times New Roman"/>
          <w:lang w:val="en-US" w:eastAsia="en-GB"/>
        </w:rPr>
        <w:t xml:space="preserve"> </w:t>
      </w:r>
      <w:r w:rsidRPr="002D531C">
        <w:rPr>
          <w:rFonts w:eastAsia="Times New Roman"/>
          <w:lang w:val="en-US" w:eastAsia="en-GB"/>
        </w:rPr>
        <w:t xml:space="preserve">other legislation to ensure coherence </w:t>
      </w:r>
      <w:r w:rsidR="00654E21" w:rsidRPr="002D531C">
        <w:rPr>
          <w:rFonts w:eastAsia="Times New Roman"/>
          <w:lang w:val="en-US" w:eastAsia="en-GB"/>
        </w:rPr>
        <w:t>with</w:t>
      </w:r>
      <w:r w:rsidRPr="002D531C">
        <w:rPr>
          <w:rFonts w:eastAsia="Times New Roman"/>
          <w:lang w:val="en-US" w:eastAsia="en-GB"/>
        </w:rPr>
        <w:t xml:space="preserve"> the overall EU regulatory system</w:t>
      </w:r>
      <w:r w:rsidR="00B6735A" w:rsidRPr="002D531C">
        <w:rPr>
          <w:rFonts w:eastAsia="Times New Roman"/>
          <w:lang w:val="en-US" w:eastAsia="en-GB"/>
        </w:rPr>
        <w:t xml:space="preserve">. </w:t>
      </w:r>
      <w:r w:rsidRPr="00DD0CE5">
        <w:rPr>
          <w:rFonts w:eastAsia="Times New Roman"/>
          <w:lang w:eastAsia="en-GB"/>
        </w:rPr>
        <w:t>It complement</w:t>
      </w:r>
      <w:r w:rsidR="00844604" w:rsidRPr="00DD0CE5">
        <w:rPr>
          <w:rFonts w:eastAsia="Times New Roman"/>
          <w:lang w:eastAsia="en-GB"/>
        </w:rPr>
        <w:t>s</w:t>
      </w:r>
      <w:r w:rsidRPr="00DD0CE5">
        <w:rPr>
          <w:rFonts w:eastAsia="Times New Roman"/>
          <w:lang w:eastAsia="en-GB"/>
        </w:rPr>
        <w:t xml:space="preserve"> the </w:t>
      </w:r>
      <w:r w:rsidRPr="00DD0CE5">
        <w:rPr>
          <w:rFonts w:eastAsia="Times New Roman"/>
          <w:b/>
          <w:lang w:eastAsia="en-GB"/>
        </w:rPr>
        <w:t>Critical Medicines Act (CMA)</w:t>
      </w:r>
      <w:r w:rsidRPr="00DD0CE5">
        <w:rPr>
          <w:rStyle w:val="FootnoteReference"/>
          <w:rFonts w:eastAsia="Times New Roman"/>
          <w:color w:val="000000" w:themeColor="text1"/>
          <w:bdr w:val="nil"/>
          <w:lang w:eastAsia="en-GB"/>
        </w:rPr>
        <w:footnoteReference w:id="28"/>
      </w:r>
      <w:r w:rsidRPr="00DD0CE5">
        <w:rPr>
          <w:rFonts w:eastAsia="Times New Roman"/>
          <w:lang w:eastAsia="en-GB"/>
        </w:rPr>
        <w:t xml:space="preserve"> </w:t>
      </w:r>
      <w:r w:rsidR="60C193A1" w:rsidRPr="00DD0CE5">
        <w:rPr>
          <w:rFonts w:eastAsia="Times New Roman"/>
          <w:lang w:eastAsia="en-GB"/>
        </w:rPr>
        <w:t>in</w:t>
      </w:r>
      <w:r w:rsidRPr="00DD0CE5">
        <w:rPr>
          <w:rFonts w:eastAsia="Times New Roman"/>
          <w:lang w:eastAsia="en-GB"/>
        </w:rPr>
        <w:t xml:space="preserve"> strengthen</w:t>
      </w:r>
      <w:r w:rsidR="62DA0FAC" w:rsidRPr="00DD0CE5">
        <w:rPr>
          <w:rFonts w:eastAsia="Times New Roman"/>
          <w:lang w:eastAsia="en-GB"/>
        </w:rPr>
        <w:t>ing</w:t>
      </w:r>
      <w:r w:rsidRPr="00DD0CE5">
        <w:rPr>
          <w:rFonts w:eastAsia="Times New Roman"/>
          <w:lang w:eastAsia="en-GB"/>
        </w:rPr>
        <w:t xml:space="preserve"> EU-based biotechnology research and manufacturing</w:t>
      </w:r>
      <w:r w:rsidRPr="00DD0CE5" w:rsidDel="5B9C006D">
        <w:rPr>
          <w:rFonts w:eastAsia="Times New Roman"/>
          <w:lang w:eastAsia="en-GB"/>
        </w:rPr>
        <w:t xml:space="preserve">. </w:t>
      </w:r>
      <w:r w:rsidR="00440B00" w:rsidRPr="00DD0CE5">
        <w:rPr>
          <w:rFonts w:eastAsia="Times New Roman"/>
          <w:lang w:val="en-US" w:eastAsia="en-GB"/>
        </w:rPr>
        <w:t>It</w:t>
      </w:r>
      <w:r w:rsidRPr="00DD0CE5">
        <w:rPr>
          <w:rFonts w:eastAsia="Times New Roman"/>
          <w:lang w:val="en-US" w:eastAsia="en-GB"/>
        </w:rPr>
        <w:t xml:space="preserve"> is in line with the </w:t>
      </w:r>
      <w:r w:rsidRPr="00DD0CE5">
        <w:rPr>
          <w:rFonts w:eastAsia="Times New Roman"/>
          <w:b/>
          <w:lang w:val="en-US" w:eastAsia="en-GB"/>
        </w:rPr>
        <w:t>pharmaceutical strategy for Europe</w:t>
      </w:r>
      <w:r w:rsidRPr="00DD0CE5">
        <w:rPr>
          <w:rStyle w:val="FootnoteReference"/>
          <w:color w:val="000000" w:themeColor="text1"/>
        </w:rPr>
        <w:footnoteReference w:id="29"/>
      </w:r>
      <w:r w:rsidRPr="00DD0CE5">
        <w:rPr>
          <w:rFonts w:eastAsia="Times New Roman"/>
          <w:vertAlign w:val="superscript"/>
          <w:lang w:val="en-US" w:eastAsia="en-GB"/>
        </w:rPr>
        <w:t xml:space="preserve"> </w:t>
      </w:r>
      <w:r w:rsidRPr="00DD0CE5" w:rsidDel="5B9C006D">
        <w:rPr>
          <w:rFonts w:eastAsia="Times New Roman"/>
          <w:lang w:val="en-US" w:eastAsia="en-GB"/>
        </w:rPr>
        <w:t xml:space="preserve">and </w:t>
      </w:r>
      <w:r w:rsidRPr="00DD0CE5">
        <w:rPr>
          <w:rFonts w:eastAsia="Times New Roman"/>
          <w:lang w:val="en-US" w:eastAsia="en-GB"/>
        </w:rPr>
        <w:t>complements</w:t>
      </w:r>
      <w:r w:rsidRPr="00DD0CE5" w:rsidDel="5B9C006D">
        <w:rPr>
          <w:rFonts w:eastAsia="Times New Roman"/>
          <w:lang w:val="en-US" w:eastAsia="en-GB"/>
        </w:rPr>
        <w:t xml:space="preserve"> </w:t>
      </w:r>
      <w:r w:rsidRPr="00DD0CE5">
        <w:rPr>
          <w:rFonts w:eastAsia="Times New Roman"/>
          <w:lang w:val="en-US" w:eastAsia="en-GB"/>
        </w:rPr>
        <w:t xml:space="preserve">the </w:t>
      </w:r>
      <w:r w:rsidR="00297D53">
        <w:rPr>
          <w:rFonts w:eastAsia="Times New Roman"/>
          <w:lang w:val="en-US" w:eastAsia="en-GB"/>
        </w:rPr>
        <w:t>recent</w:t>
      </w:r>
      <w:r w:rsidR="00297D53" w:rsidRPr="00DD0CE5">
        <w:rPr>
          <w:rFonts w:eastAsia="Times New Roman"/>
          <w:lang w:val="en-US" w:eastAsia="en-GB"/>
        </w:rPr>
        <w:t xml:space="preserve"> </w:t>
      </w:r>
      <w:r w:rsidRPr="00DD0CE5">
        <w:rPr>
          <w:rFonts w:eastAsia="Times New Roman"/>
          <w:b/>
          <w:lang w:val="en-US" w:eastAsia="en-GB"/>
        </w:rPr>
        <w:t>revision of the EU pharmaceutical legislation</w:t>
      </w:r>
      <w:r w:rsidRPr="00DD0CE5">
        <w:rPr>
          <w:rStyle w:val="FootnoteReference"/>
          <w:color w:val="000000" w:themeColor="text1"/>
        </w:rPr>
        <w:footnoteReference w:id="30"/>
      </w:r>
      <w:r w:rsidRPr="00DD0CE5">
        <w:rPr>
          <w:rFonts w:eastAsia="Times New Roman"/>
          <w:lang w:eastAsia="en-GB"/>
        </w:rPr>
        <w:t xml:space="preserve">. </w:t>
      </w:r>
      <w:r w:rsidR="00184A3A">
        <w:rPr>
          <w:rFonts w:eastAsia="Times New Roman"/>
          <w:lang w:eastAsia="en-GB"/>
        </w:rPr>
        <w:t>It</w:t>
      </w:r>
      <w:r w:rsidR="00077543">
        <w:rPr>
          <w:rFonts w:eastAsia="Times New Roman"/>
          <w:lang w:eastAsia="en-GB"/>
        </w:rPr>
        <w:t xml:space="preserve"> </w:t>
      </w:r>
      <w:r w:rsidR="00C5048D">
        <w:rPr>
          <w:rFonts w:eastAsia="Times New Roman"/>
          <w:lang w:eastAsia="en-GB"/>
        </w:rPr>
        <w:t xml:space="preserve">is also complementary to the </w:t>
      </w:r>
      <w:r w:rsidR="009C4B34">
        <w:rPr>
          <w:rFonts w:eastAsia="Times New Roman"/>
          <w:lang w:eastAsia="en-GB"/>
        </w:rPr>
        <w:t xml:space="preserve">Commission’s proposal to revise </w:t>
      </w:r>
      <w:r w:rsidR="00445FB3">
        <w:rPr>
          <w:rFonts w:eastAsia="Times New Roman"/>
          <w:lang w:eastAsia="en-GB"/>
        </w:rPr>
        <w:t xml:space="preserve">the </w:t>
      </w:r>
      <w:r w:rsidR="00445FB3" w:rsidRPr="00B52DCE">
        <w:rPr>
          <w:rFonts w:eastAsia="Times New Roman"/>
          <w:b/>
          <w:lang w:eastAsia="en-GB"/>
        </w:rPr>
        <w:t>EU medical device legislation</w:t>
      </w:r>
      <w:r w:rsidR="00131F08">
        <w:rPr>
          <w:rStyle w:val="FootnoteReference"/>
          <w:rFonts w:eastAsia="Times New Roman"/>
          <w:lang w:eastAsia="en-GB"/>
        </w:rPr>
        <w:footnoteReference w:id="31"/>
      </w:r>
      <w:r w:rsidR="00E35F0B">
        <w:rPr>
          <w:rFonts w:eastAsia="Times New Roman"/>
          <w:lang w:eastAsia="en-GB"/>
        </w:rPr>
        <w:t>, sharing the s</w:t>
      </w:r>
      <w:r w:rsidR="00470726">
        <w:rPr>
          <w:rFonts w:eastAsia="Times New Roman"/>
          <w:lang w:eastAsia="en-GB"/>
        </w:rPr>
        <w:t xml:space="preserve">ame overall objectives and including common </w:t>
      </w:r>
      <w:r w:rsidR="006F1CB9">
        <w:rPr>
          <w:rFonts w:eastAsia="Times New Roman"/>
          <w:lang w:eastAsia="en-GB"/>
        </w:rPr>
        <w:t>measures</w:t>
      </w:r>
      <w:r w:rsidR="00470726">
        <w:rPr>
          <w:rFonts w:eastAsia="Times New Roman"/>
          <w:lang w:eastAsia="en-GB"/>
        </w:rPr>
        <w:t xml:space="preserve"> such as the single authorisation process for</w:t>
      </w:r>
      <w:r w:rsidR="00F058D0">
        <w:rPr>
          <w:rFonts w:eastAsia="Times New Roman"/>
          <w:lang w:eastAsia="en-GB"/>
        </w:rPr>
        <w:t xml:space="preserve"> combined device-medicine clinical studies.</w:t>
      </w:r>
      <w:r w:rsidR="002D5495" w:rsidRPr="002D5495">
        <w:rPr>
          <w:rFonts w:eastAsia="Times New Roman"/>
          <w:lang w:val="en-US" w:eastAsia="en-GB"/>
        </w:rPr>
        <w:t xml:space="preserve"> </w:t>
      </w:r>
      <w:r w:rsidR="002D5495">
        <w:rPr>
          <w:rFonts w:eastAsia="Times New Roman"/>
          <w:lang w:val="en-US" w:eastAsia="en-GB"/>
        </w:rPr>
        <w:t xml:space="preserve">It also aims to </w:t>
      </w:r>
      <w:r w:rsidR="002D5495" w:rsidRPr="00CA2F92">
        <w:rPr>
          <w:rFonts w:eastAsia="Times New Roman"/>
          <w:b/>
          <w:lang w:val="en-US" w:eastAsia="en-GB"/>
        </w:rPr>
        <w:t>improve coordination</w:t>
      </w:r>
      <w:r w:rsidR="002D5495" w:rsidRPr="73E434D0">
        <w:rPr>
          <w:rFonts w:eastAsia="Times New Roman"/>
          <w:b/>
          <w:lang w:val="en-US" w:eastAsia="en-GB"/>
        </w:rPr>
        <w:t xml:space="preserve"> </w:t>
      </w:r>
      <w:r w:rsidR="002D5495" w:rsidRPr="73E434D0">
        <w:rPr>
          <w:rFonts w:eastAsia="Times New Roman"/>
          <w:b/>
          <w:bCs/>
          <w:lang w:val="en-US" w:eastAsia="en-GB"/>
        </w:rPr>
        <w:t>and consultation</w:t>
      </w:r>
      <w:r w:rsidR="002D5495">
        <w:rPr>
          <w:rFonts w:eastAsia="Times New Roman"/>
          <w:lang w:val="en-US" w:eastAsia="en-GB"/>
        </w:rPr>
        <w:t xml:space="preserve"> between relevant competent authority groups established under other frameworks, such as medical devices</w:t>
      </w:r>
      <w:r w:rsidR="002D5495">
        <w:rPr>
          <w:rStyle w:val="FootnoteReference"/>
          <w:rFonts w:eastAsia="Times New Roman"/>
          <w:lang w:val="en-US" w:eastAsia="en-GB"/>
        </w:rPr>
        <w:footnoteReference w:id="32"/>
      </w:r>
      <w:r w:rsidR="002D5495">
        <w:rPr>
          <w:rFonts w:eastAsia="Times New Roman"/>
          <w:lang w:val="en-US" w:eastAsia="en-GB"/>
        </w:rPr>
        <w:t>, medicines, SoHO, health technology assessment</w:t>
      </w:r>
      <w:r w:rsidR="002D5495">
        <w:rPr>
          <w:rStyle w:val="FootnoteReference"/>
          <w:rFonts w:eastAsia="Times New Roman"/>
          <w:lang w:val="en-US" w:eastAsia="en-GB"/>
        </w:rPr>
        <w:footnoteReference w:id="33"/>
      </w:r>
      <w:r w:rsidR="002D5495">
        <w:rPr>
          <w:rFonts w:eastAsia="Times New Roman"/>
          <w:lang w:val="en-US" w:eastAsia="en-GB"/>
        </w:rPr>
        <w:t>, etc.</w:t>
      </w:r>
    </w:p>
    <w:p w14:paraId="174FDE0C" w14:textId="56A89B3F" w:rsidR="00C827EE" w:rsidRPr="00E51115" w:rsidRDefault="00D3678F" w:rsidP="007F6C26">
      <w:pPr>
        <w:pStyle w:val="Heading3"/>
      </w:pPr>
      <w:bookmarkStart w:id="22" w:name="_Toc224747193"/>
      <w:bookmarkStart w:id="23" w:name="_Toc224749663"/>
      <w:bookmarkStart w:id="24" w:name="_Toc225974541"/>
      <w:bookmarkStart w:id="25" w:name="_Toc225975214"/>
      <w:bookmarkStart w:id="26" w:name="_Toc225975271"/>
      <w:r w:rsidRPr="00E51115">
        <w:t>Aligning with the broader priorities of the Commission</w:t>
      </w:r>
      <w:bookmarkEnd w:id="22"/>
      <w:bookmarkEnd w:id="23"/>
      <w:bookmarkEnd w:id="24"/>
      <w:bookmarkEnd w:id="25"/>
      <w:bookmarkEnd w:id="26"/>
    </w:p>
    <w:p w14:paraId="3C536F6F" w14:textId="53CAB9FC" w:rsidR="00F35D62" w:rsidRPr="00DD0CE5" w:rsidRDefault="00F35D62" w:rsidP="00CA2F92">
      <w:pPr>
        <w:rPr>
          <w:lang w:val="en-US" w:eastAsia="en-GB"/>
        </w:rPr>
      </w:pPr>
      <w:r w:rsidRPr="00DD0CE5">
        <w:t xml:space="preserve">As </w:t>
      </w:r>
      <w:r w:rsidR="00710F48" w:rsidRPr="00DD0CE5">
        <w:t>a</w:t>
      </w:r>
      <w:r w:rsidRPr="00DD0CE5">
        <w:t xml:space="preserve"> flagship initiative </w:t>
      </w:r>
      <w:r w:rsidR="00855FD4">
        <w:t xml:space="preserve">under </w:t>
      </w:r>
      <w:r w:rsidRPr="00DD0CE5">
        <w:t xml:space="preserve">the </w:t>
      </w:r>
      <w:r w:rsidRPr="00DD0CE5">
        <w:rPr>
          <w:b/>
        </w:rPr>
        <w:t>Competitiveness Compass</w:t>
      </w:r>
      <w:r w:rsidRPr="00DD0CE5">
        <w:rPr>
          <w:rStyle w:val="FootnoteReference"/>
          <w:rFonts w:eastAsia="Times New Roman"/>
          <w:color w:val="000000" w:themeColor="text1"/>
        </w:rPr>
        <w:footnoteReference w:id="34"/>
      </w:r>
      <w:r w:rsidRPr="00DD0CE5">
        <w:t>, the Biotech Act</w:t>
      </w:r>
      <w:r w:rsidR="00B2395F">
        <w:t xml:space="preserve"> </w:t>
      </w:r>
      <w:r w:rsidRPr="00DD0CE5">
        <w:t xml:space="preserve">aligns with the EU’s broader innovation and competitiveness agenda, </w:t>
      </w:r>
      <w:r w:rsidR="0090476E">
        <w:t>turning</w:t>
      </w:r>
      <w:r w:rsidR="0090476E" w:rsidRPr="00DD0CE5">
        <w:t xml:space="preserve"> </w:t>
      </w:r>
      <w:r w:rsidR="00841F8E" w:rsidRPr="00DD0CE5">
        <w:t>its</w:t>
      </w:r>
      <w:r w:rsidRPr="00DD0CE5">
        <w:t xml:space="preserve"> priorities into actions </w:t>
      </w:r>
      <w:r w:rsidR="00841F8E" w:rsidRPr="00DD0CE5">
        <w:t>in</w:t>
      </w:r>
      <w:r w:rsidRPr="00DD0CE5">
        <w:t xml:space="preserve"> the strategic sector of biotechnology.</w:t>
      </w:r>
      <w:r w:rsidR="00BF6390">
        <w:t xml:space="preserve"> </w:t>
      </w:r>
      <w:r w:rsidR="006C5C9A">
        <w:t xml:space="preserve">In particular, the </w:t>
      </w:r>
      <w:r w:rsidR="006309B2">
        <w:t>Biotech Act</w:t>
      </w:r>
      <w:r w:rsidR="005C073B">
        <w:t xml:space="preserve"> </w:t>
      </w:r>
      <w:r w:rsidR="00573775" w:rsidRPr="00573775">
        <w:rPr>
          <w:lang w:eastAsia="en-GB"/>
        </w:rPr>
        <w:t xml:space="preserve">aims to reduce </w:t>
      </w:r>
      <w:r w:rsidR="00855FD4">
        <w:rPr>
          <w:lang w:eastAsia="en-GB"/>
        </w:rPr>
        <w:t>the</w:t>
      </w:r>
      <w:r w:rsidR="00573775" w:rsidRPr="00573775">
        <w:rPr>
          <w:lang w:eastAsia="en-GB"/>
        </w:rPr>
        <w:t xml:space="preserve"> administrative burden, </w:t>
      </w:r>
      <w:r w:rsidR="0090476E">
        <w:rPr>
          <w:lang w:eastAsia="en-GB"/>
        </w:rPr>
        <w:t>improve</w:t>
      </w:r>
      <w:r w:rsidR="0090476E" w:rsidRPr="00573775">
        <w:rPr>
          <w:lang w:eastAsia="en-GB"/>
        </w:rPr>
        <w:t xml:space="preserve"> </w:t>
      </w:r>
      <w:r w:rsidR="00573775" w:rsidRPr="00573775">
        <w:rPr>
          <w:lang w:eastAsia="en-GB"/>
        </w:rPr>
        <w:t>coordination, simplify rules and streamline procedures</w:t>
      </w:r>
      <w:r w:rsidR="00573775">
        <w:rPr>
          <w:lang w:eastAsia="en-GB"/>
        </w:rPr>
        <w:t xml:space="preserve">, in line with </w:t>
      </w:r>
      <w:r w:rsidR="0052142E">
        <w:rPr>
          <w:lang w:eastAsia="en-GB"/>
        </w:rPr>
        <w:t xml:space="preserve">both </w:t>
      </w:r>
      <w:r w:rsidR="00573775">
        <w:rPr>
          <w:lang w:eastAsia="en-GB"/>
        </w:rPr>
        <w:t xml:space="preserve">the Competitiveness Compass and the </w:t>
      </w:r>
      <w:r w:rsidR="00E97821" w:rsidRPr="00E97821">
        <w:rPr>
          <w:lang w:eastAsia="en-GB"/>
        </w:rPr>
        <w:t>Commission’s</w:t>
      </w:r>
      <w:r w:rsidR="00361F43">
        <w:rPr>
          <w:lang w:eastAsia="en-GB"/>
        </w:rPr>
        <w:t xml:space="preserve"> </w:t>
      </w:r>
      <w:r w:rsidR="00361F43" w:rsidRPr="00E51115">
        <w:rPr>
          <w:b/>
          <w:lang w:eastAsia="en-GB"/>
        </w:rPr>
        <w:t>Communication on</w:t>
      </w:r>
      <w:r w:rsidR="00E97821" w:rsidRPr="00E51115">
        <w:rPr>
          <w:b/>
          <w:lang w:eastAsia="en-GB"/>
        </w:rPr>
        <w:t xml:space="preserve"> implementation and simplification</w:t>
      </w:r>
      <w:r w:rsidR="00E97821">
        <w:rPr>
          <w:rStyle w:val="FootnoteReference"/>
          <w:rFonts w:eastAsia="Times New Roman"/>
          <w:color w:val="000000" w:themeColor="text1"/>
          <w:lang w:eastAsia="en-GB"/>
        </w:rPr>
        <w:footnoteReference w:id="35"/>
      </w:r>
      <w:r w:rsidR="00E97821">
        <w:rPr>
          <w:lang w:eastAsia="en-GB"/>
        </w:rPr>
        <w:t>.</w:t>
      </w:r>
      <w:r w:rsidR="005F7CC7">
        <w:rPr>
          <w:lang w:eastAsia="en-GB"/>
        </w:rPr>
        <w:t xml:space="preserve"> </w:t>
      </w:r>
      <w:r w:rsidR="00D67549" w:rsidRPr="00DD0CE5">
        <w:rPr>
          <w:lang w:val="en-US" w:eastAsia="en-GB"/>
        </w:rPr>
        <w:t>The</w:t>
      </w:r>
      <w:r w:rsidRPr="00DD0CE5">
        <w:rPr>
          <w:lang w:val="en-US" w:eastAsia="en-GB"/>
        </w:rPr>
        <w:t xml:space="preserve"> </w:t>
      </w:r>
      <w:r w:rsidR="00640647">
        <w:rPr>
          <w:lang w:val="en-US" w:eastAsia="en-GB"/>
        </w:rPr>
        <w:t xml:space="preserve">Biotech </w:t>
      </w:r>
      <w:r w:rsidRPr="00DD0CE5">
        <w:rPr>
          <w:lang w:val="en-US" w:eastAsia="en-GB"/>
        </w:rPr>
        <w:t xml:space="preserve">Act </w:t>
      </w:r>
      <w:r w:rsidR="00986EED" w:rsidRPr="00DD0CE5">
        <w:rPr>
          <w:lang w:val="en-US" w:eastAsia="en-GB"/>
        </w:rPr>
        <w:t>forms</w:t>
      </w:r>
      <w:r w:rsidRPr="00DD0CE5">
        <w:rPr>
          <w:lang w:val="en-US" w:eastAsia="en-GB"/>
        </w:rPr>
        <w:t xml:space="preserve"> part of the </w:t>
      </w:r>
      <w:r w:rsidRPr="00DD0CE5">
        <w:rPr>
          <w:b/>
          <w:lang w:val="en-US" w:eastAsia="en-GB"/>
        </w:rPr>
        <w:t xml:space="preserve">Commission’s </w:t>
      </w:r>
      <w:r w:rsidR="007D6E62">
        <w:rPr>
          <w:b/>
          <w:lang w:val="en-US" w:eastAsia="en-GB"/>
        </w:rPr>
        <w:t>L</w:t>
      </w:r>
      <w:r w:rsidRPr="00DD0CE5">
        <w:rPr>
          <w:b/>
          <w:lang w:val="en-US" w:eastAsia="en-GB"/>
        </w:rPr>
        <w:t xml:space="preserve">ife </w:t>
      </w:r>
      <w:r w:rsidR="007D6E62">
        <w:rPr>
          <w:b/>
          <w:lang w:val="en-US" w:eastAsia="en-GB"/>
        </w:rPr>
        <w:t>S</w:t>
      </w:r>
      <w:r w:rsidRPr="00DD0CE5">
        <w:rPr>
          <w:b/>
          <w:lang w:val="en-US" w:eastAsia="en-GB"/>
        </w:rPr>
        <w:t xml:space="preserve">ciences </w:t>
      </w:r>
      <w:r w:rsidR="007D6E62">
        <w:rPr>
          <w:b/>
          <w:lang w:val="en-US" w:eastAsia="en-GB"/>
        </w:rPr>
        <w:t>S</w:t>
      </w:r>
      <w:r w:rsidRPr="00DD0CE5">
        <w:rPr>
          <w:b/>
          <w:lang w:val="en-US" w:eastAsia="en-GB"/>
        </w:rPr>
        <w:t>trategy</w:t>
      </w:r>
      <w:r w:rsidRPr="00DD0CE5">
        <w:rPr>
          <w:rStyle w:val="FootnoteReference"/>
          <w:color w:val="000000" w:themeColor="text1"/>
        </w:rPr>
        <w:footnoteReference w:id="36"/>
      </w:r>
      <w:r w:rsidR="000228A2" w:rsidRPr="00DD0CE5">
        <w:rPr>
          <w:lang w:val="en-US" w:eastAsia="en-GB"/>
        </w:rPr>
        <w:t xml:space="preserve"> which recognises biotechnology as a strategic cross-sectoral technology </w:t>
      </w:r>
      <w:r w:rsidR="00686093" w:rsidRPr="00DD0CE5">
        <w:rPr>
          <w:lang w:val="en-US" w:eastAsia="en-GB"/>
        </w:rPr>
        <w:t xml:space="preserve">and </w:t>
      </w:r>
      <w:r w:rsidR="00A7659D" w:rsidRPr="00DD0CE5">
        <w:rPr>
          <w:lang w:val="en-US" w:eastAsia="en-GB"/>
        </w:rPr>
        <w:t>seeks</w:t>
      </w:r>
      <w:r w:rsidR="00686093" w:rsidRPr="00DD0CE5">
        <w:rPr>
          <w:lang w:val="en-US" w:eastAsia="en-GB"/>
        </w:rPr>
        <w:t xml:space="preserve"> </w:t>
      </w:r>
      <w:r w:rsidRPr="00DD0CE5">
        <w:rPr>
          <w:lang w:val="en-US" w:eastAsia="en-GB"/>
        </w:rPr>
        <w:t xml:space="preserve">to strengthen the </w:t>
      </w:r>
      <w:r w:rsidR="00073476">
        <w:rPr>
          <w:lang w:val="en-US" w:eastAsia="en-GB"/>
        </w:rPr>
        <w:t>EU’s</w:t>
      </w:r>
      <w:r w:rsidRPr="00DD0CE5">
        <w:rPr>
          <w:lang w:val="en-US" w:eastAsia="en-GB"/>
        </w:rPr>
        <w:t xml:space="preserve"> biotechnology ecosystem, streamline regulatory pathways and boost </w:t>
      </w:r>
      <w:r w:rsidR="00CB4943">
        <w:rPr>
          <w:lang w:val="en-US" w:eastAsia="en-GB"/>
        </w:rPr>
        <w:t>the EU</w:t>
      </w:r>
      <w:r w:rsidRPr="00DD0CE5">
        <w:rPr>
          <w:lang w:val="en-US" w:eastAsia="en-GB"/>
        </w:rPr>
        <w:t xml:space="preserve">’s competitiveness </w:t>
      </w:r>
      <w:r w:rsidR="40D50921" w:rsidRPr="00DD0CE5">
        <w:rPr>
          <w:lang w:val="en-US" w:eastAsia="en-GB"/>
        </w:rPr>
        <w:t>more broadly</w:t>
      </w:r>
      <w:r w:rsidRPr="00DD0CE5">
        <w:rPr>
          <w:lang w:val="en-US" w:eastAsia="en-GB"/>
        </w:rPr>
        <w:t xml:space="preserve"> in life sciences.</w:t>
      </w:r>
    </w:p>
    <w:p w14:paraId="6116D4AE" w14:textId="6D44865A" w:rsidR="00D02EBA" w:rsidRDefault="00A72827" w:rsidP="00CA2F92">
      <w:pPr>
        <w:rPr>
          <w:rFonts w:ascii="Segoe UI" w:hAnsi="Segoe UI" w:cs="Segoe UI"/>
          <w:sz w:val="18"/>
          <w:szCs w:val="18"/>
        </w:rPr>
      </w:pPr>
      <w:r>
        <w:rPr>
          <w:lang w:val="en-US" w:eastAsia="en-GB"/>
        </w:rPr>
        <w:t xml:space="preserve">The Biotech Act </w:t>
      </w:r>
      <w:r w:rsidR="00F35D62" w:rsidRPr="00DD0CE5">
        <w:rPr>
          <w:lang w:val="en-US" w:eastAsia="en-GB"/>
        </w:rPr>
        <w:t>complement</w:t>
      </w:r>
      <w:r w:rsidR="00A60AAC" w:rsidRPr="00DD0CE5">
        <w:rPr>
          <w:lang w:val="en-US" w:eastAsia="en-GB"/>
        </w:rPr>
        <w:t>s</w:t>
      </w:r>
      <w:r w:rsidR="00F35D62" w:rsidRPr="00DD0CE5">
        <w:rPr>
          <w:lang w:val="en-US" w:eastAsia="en-GB"/>
        </w:rPr>
        <w:t xml:space="preserve"> other policy initiatives announced in the </w:t>
      </w:r>
      <w:r w:rsidR="49B6A2B5" w:rsidRPr="00DD0CE5">
        <w:rPr>
          <w:lang w:val="en-US" w:eastAsia="en-GB"/>
        </w:rPr>
        <w:t>Competitiveness</w:t>
      </w:r>
      <w:r w:rsidR="00F35D62" w:rsidRPr="00DD0CE5">
        <w:rPr>
          <w:lang w:val="en-US" w:eastAsia="en-GB"/>
        </w:rPr>
        <w:t xml:space="preserve"> Compass. </w:t>
      </w:r>
      <w:r w:rsidR="00634CA5">
        <w:rPr>
          <w:lang w:val="en-US" w:eastAsia="en-GB"/>
        </w:rPr>
        <w:t>For example, i</w:t>
      </w:r>
      <w:r w:rsidR="00F35D62" w:rsidRPr="00DD0CE5">
        <w:rPr>
          <w:lang w:val="en-US"/>
        </w:rPr>
        <w:t>t</w:t>
      </w:r>
      <w:r w:rsidR="00F35D62" w:rsidRPr="00DD0CE5" w:rsidDel="006570DD">
        <w:rPr>
          <w:lang w:val="en-US"/>
        </w:rPr>
        <w:t xml:space="preserve"> </w:t>
      </w:r>
      <w:r w:rsidR="00F35D62" w:rsidRPr="00DD0CE5">
        <w:rPr>
          <w:lang w:val="en-US"/>
        </w:rPr>
        <w:t xml:space="preserve">aims to improve access to </w:t>
      </w:r>
      <w:r w:rsidR="004625E9" w:rsidRPr="00DD0CE5">
        <w:rPr>
          <w:lang w:val="en-US"/>
        </w:rPr>
        <w:t xml:space="preserve">risk-tolerant </w:t>
      </w:r>
      <w:r w:rsidR="00F35D62" w:rsidRPr="00DD0CE5">
        <w:rPr>
          <w:lang w:val="en-US"/>
        </w:rPr>
        <w:t>capital for biotechnology firms, aligning with the</w:t>
      </w:r>
      <w:r w:rsidR="00F35D62" w:rsidRPr="00DD0CE5">
        <w:rPr>
          <w:b/>
          <w:lang w:val="en-US"/>
        </w:rPr>
        <w:t xml:space="preserve"> </w:t>
      </w:r>
      <w:r w:rsidR="003869A2" w:rsidRPr="00DD0CE5">
        <w:rPr>
          <w:b/>
          <w:lang w:val="en-US"/>
        </w:rPr>
        <w:t>Savings and Investments Union</w:t>
      </w:r>
      <w:r w:rsidR="003869A2" w:rsidRPr="00DD0CE5">
        <w:rPr>
          <w:rStyle w:val="FootnoteReference"/>
          <w:rFonts w:eastAsia="Times New Roman"/>
          <w:color w:val="000000" w:themeColor="text1"/>
          <w:lang w:val="en-US"/>
        </w:rPr>
        <w:footnoteReference w:id="37"/>
      </w:r>
      <w:r w:rsidR="00657158" w:rsidRPr="00DD0CE5">
        <w:rPr>
          <w:lang w:val="en-IE" w:eastAsia="en-GB"/>
        </w:rPr>
        <w:t xml:space="preserve"> </w:t>
      </w:r>
      <w:r w:rsidR="00E215AA" w:rsidRPr="00DD0CE5">
        <w:rPr>
          <w:lang w:val="en-US"/>
        </w:rPr>
        <w:t>and</w:t>
      </w:r>
      <w:r w:rsidR="003869A2" w:rsidRPr="00DD0CE5">
        <w:rPr>
          <w:lang w:val="en-US"/>
        </w:rPr>
        <w:t xml:space="preserve"> </w:t>
      </w:r>
      <w:r w:rsidR="00F35D62" w:rsidRPr="00DD0CE5">
        <w:rPr>
          <w:lang w:val="en-US"/>
        </w:rPr>
        <w:t>the</w:t>
      </w:r>
      <w:r w:rsidR="00F35D62" w:rsidRPr="00DD0CE5">
        <w:rPr>
          <w:b/>
          <w:lang w:val="en-US"/>
        </w:rPr>
        <w:t xml:space="preserve"> </w:t>
      </w:r>
      <w:r w:rsidR="00FF184C">
        <w:rPr>
          <w:b/>
          <w:lang w:val="en-US"/>
        </w:rPr>
        <w:t>S</w:t>
      </w:r>
      <w:r w:rsidR="00F35D62" w:rsidRPr="00DD0CE5">
        <w:rPr>
          <w:b/>
          <w:lang w:val="en-US"/>
        </w:rPr>
        <w:t xml:space="preserve">tart-up and </w:t>
      </w:r>
      <w:r w:rsidR="00FF184C">
        <w:rPr>
          <w:b/>
          <w:lang w:val="en-US"/>
        </w:rPr>
        <w:t>S</w:t>
      </w:r>
      <w:r w:rsidR="00F35D62" w:rsidRPr="00DD0CE5">
        <w:rPr>
          <w:b/>
          <w:lang w:val="en-US"/>
        </w:rPr>
        <w:t xml:space="preserve">cale-up </w:t>
      </w:r>
      <w:r w:rsidR="00FF184C">
        <w:rPr>
          <w:b/>
          <w:lang w:val="en-US"/>
        </w:rPr>
        <w:t>S</w:t>
      </w:r>
      <w:r w:rsidR="00F35D62" w:rsidRPr="00DD0CE5">
        <w:rPr>
          <w:b/>
          <w:lang w:val="en-US"/>
        </w:rPr>
        <w:t>trategy</w:t>
      </w:r>
      <w:r w:rsidR="00F35D62" w:rsidRPr="00DD0CE5">
        <w:rPr>
          <w:rStyle w:val="FootnoteReference"/>
          <w:rFonts w:eastAsia="Times New Roman"/>
          <w:color w:val="000000" w:themeColor="text1"/>
          <w:lang w:val="en-US"/>
        </w:rPr>
        <w:footnoteReference w:id="38"/>
      </w:r>
      <w:r w:rsidR="00436E0C" w:rsidRPr="00DD0CE5">
        <w:rPr>
          <w:lang w:val="en-US"/>
        </w:rPr>
        <w:t xml:space="preserve">, </w:t>
      </w:r>
      <w:r w:rsidR="00E215AA" w:rsidRPr="00DD0CE5">
        <w:rPr>
          <w:lang w:val="en-US"/>
        </w:rPr>
        <w:t xml:space="preserve">which establishes the </w:t>
      </w:r>
      <w:r w:rsidR="00F35D62" w:rsidRPr="00DD0CE5">
        <w:rPr>
          <w:lang w:val="en-US"/>
        </w:rPr>
        <w:t>Scaleup Europe Fund</w:t>
      </w:r>
      <w:r w:rsidR="00A60AAC" w:rsidRPr="4A97AF12">
        <w:rPr>
          <w:vertAlign w:val="superscript"/>
          <w:lang w:val="en-US"/>
        </w:rPr>
        <w:footnoteReference w:id="39"/>
      </w:r>
      <w:r w:rsidR="00F35D62" w:rsidRPr="00DD0CE5">
        <w:rPr>
          <w:lang w:val="en-US"/>
        </w:rPr>
        <w:t xml:space="preserve">. </w:t>
      </w:r>
      <w:r w:rsidR="00190E9D">
        <w:rPr>
          <w:lang w:val="en-US"/>
        </w:rPr>
        <w:t>Its</w:t>
      </w:r>
      <w:r w:rsidR="00190E9D" w:rsidRPr="00DD0CE5">
        <w:rPr>
          <w:lang w:val="en-US"/>
        </w:rPr>
        <w:t xml:space="preserve"> </w:t>
      </w:r>
      <w:r w:rsidR="00F35D62" w:rsidRPr="00DD0CE5">
        <w:rPr>
          <w:lang w:val="en-US"/>
        </w:rPr>
        <w:t xml:space="preserve">biosecurity </w:t>
      </w:r>
      <w:r w:rsidR="00124912" w:rsidRPr="00DD0CE5">
        <w:rPr>
          <w:lang w:val="en-US"/>
        </w:rPr>
        <w:t>provisions</w:t>
      </w:r>
      <w:r w:rsidR="00F35D62" w:rsidRPr="00DD0CE5">
        <w:rPr>
          <w:lang w:val="en-US"/>
        </w:rPr>
        <w:t xml:space="preserve"> reflect the </w:t>
      </w:r>
      <w:r w:rsidR="001D204C" w:rsidRPr="00DD0CE5">
        <w:rPr>
          <w:lang w:val="en-US"/>
        </w:rPr>
        <w:t>link</w:t>
      </w:r>
      <w:r w:rsidR="00F35D62" w:rsidRPr="00DD0CE5">
        <w:rPr>
          <w:lang w:val="en-US"/>
        </w:rPr>
        <w:t xml:space="preserve"> between </w:t>
      </w:r>
      <w:r w:rsidR="002F118D" w:rsidRPr="00DD0CE5">
        <w:rPr>
          <w:lang w:val="en-US"/>
        </w:rPr>
        <w:t>competitiveness</w:t>
      </w:r>
      <w:r w:rsidR="00F35D62" w:rsidRPr="00DD0CE5">
        <w:rPr>
          <w:lang w:val="en-US"/>
        </w:rPr>
        <w:t xml:space="preserve"> and security</w:t>
      </w:r>
      <w:r w:rsidR="001D204C" w:rsidRPr="00DD0CE5">
        <w:rPr>
          <w:lang w:val="en-US"/>
        </w:rPr>
        <w:t xml:space="preserve"> </w:t>
      </w:r>
      <w:r w:rsidR="00F35D62" w:rsidRPr="00DD0CE5">
        <w:rPr>
          <w:lang w:val="en-US"/>
        </w:rPr>
        <w:t xml:space="preserve">by </w:t>
      </w:r>
      <w:r w:rsidR="00190E9D">
        <w:rPr>
          <w:lang w:val="en-US"/>
        </w:rPr>
        <w:t>strengthening</w:t>
      </w:r>
      <w:r w:rsidR="00190E9D" w:rsidRPr="00DD0CE5">
        <w:rPr>
          <w:lang w:val="en-US"/>
        </w:rPr>
        <w:t xml:space="preserve"> </w:t>
      </w:r>
      <w:r w:rsidR="00F35D62" w:rsidRPr="00DD0CE5">
        <w:rPr>
          <w:lang w:val="en-US"/>
        </w:rPr>
        <w:t>safeguards for biotechnolog</w:t>
      </w:r>
      <w:r w:rsidR="007C714A">
        <w:rPr>
          <w:lang w:val="en-US"/>
        </w:rPr>
        <w:t>y products of concern</w:t>
      </w:r>
      <w:r w:rsidR="00462560">
        <w:rPr>
          <w:lang w:val="en-US"/>
        </w:rPr>
        <w:t>. Th</w:t>
      </w:r>
      <w:r w:rsidR="00BB6F62">
        <w:rPr>
          <w:lang w:val="en-US"/>
        </w:rPr>
        <w:t>ey</w:t>
      </w:r>
      <w:r w:rsidR="000810F4">
        <w:rPr>
          <w:lang w:val="en-US"/>
        </w:rPr>
        <w:t xml:space="preserve"> </w:t>
      </w:r>
      <w:r w:rsidR="001E0914">
        <w:rPr>
          <w:lang w:val="en-US"/>
        </w:rPr>
        <w:t>address</w:t>
      </w:r>
      <w:r w:rsidR="00462560">
        <w:rPr>
          <w:lang w:val="en-US"/>
        </w:rPr>
        <w:t xml:space="preserve"> </w:t>
      </w:r>
      <w:r w:rsidR="001E0914">
        <w:rPr>
          <w:lang w:val="en-US"/>
        </w:rPr>
        <w:t>the risks identified by</w:t>
      </w:r>
      <w:r w:rsidR="004D38CD">
        <w:rPr>
          <w:lang w:val="en-US"/>
        </w:rPr>
        <w:t xml:space="preserve"> </w:t>
      </w:r>
      <w:r w:rsidR="00591603">
        <w:rPr>
          <w:lang w:val="en-US"/>
        </w:rPr>
        <w:t xml:space="preserve">the </w:t>
      </w:r>
      <w:r w:rsidR="00462560">
        <w:rPr>
          <w:lang w:val="en-US"/>
        </w:rPr>
        <w:t>b</w:t>
      </w:r>
      <w:r w:rsidR="00591603">
        <w:rPr>
          <w:lang w:val="en-US"/>
        </w:rPr>
        <w:t xml:space="preserve">iotechnology </w:t>
      </w:r>
      <w:r w:rsidR="004D38CD">
        <w:rPr>
          <w:lang w:val="en-US"/>
        </w:rPr>
        <w:t xml:space="preserve">joint </w:t>
      </w:r>
      <w:r w:rsidR="00BC2EC2">
        <w:rPr>
          <w:lang w:val="en-US"/>
        </w:rPr>
        <w:t xml:space="preserve">risk assessment </w:t>
      </w:r>
      <w:r w:rsidR="00044D43">
        <w:rPr>
          <w:lang w:val="en-US"/>
        </w:rPr>
        <w:t>launched under</w:t>
      </w:r>
      <w:r w:rsidR="00BC2EC2">
        <w:rPr>
          <w:lang w:val="en-US"/>
        </w:rPr>
        <w:t xml:space="preserve"> </w:t>
      </w:r>
      <w:r w:rsidR="000810F4">
        <w:rPr>
          <w:lang w:val="en-US"/>
        </w:rPr>
        <w:t xml:space="preserve">the </w:t>
      </w:r>
      <w:r w:rsidR="000810F4" w:rsidRPr="00E17D61">
        <w:rPr>
          <w:b/>
          <w:lang w:val="en-US"/>
        </w:rPr>
        <w:t xml:space="preserve">EU’s </w:t>
      </w:r>
      <w:r w:rsidR="34F87A71" w:rsidRPr="00E17D61">
        <w:rPr>
          <w:b/>
          <w:lang w:val="en-US"/>
        </w:rPr>
        <w:t>E</w:t>
      </w:r>
      <w:r w:rsidR="000810F4" w:rsidRPr="00E17D61">
        <w:rPr>
          <w:b/>
          <w:lang w:val="en-US"/>
        </w:rPr>
        <w:t xml:space="preserve">conomic </w:t>
      </w:r>
      <w:r w:rsidR="0D5DC2FE" w:rsidRPr="00E17D61">
        <w:rPr>
          <w:b/>
          <w:lang w:val="en-US"/>
        </w:rPr>
        <w:t>S</w:t>
      </w:r>
      <w:r w:rsidR="000810F4" w:rsidRPr="00E17D61">
        <w:rPr>
          <w:b/>
          <w:lang w:val="en-US"/>
        </w:rPr>
        <w:t xml:space="preserve">ecurity </w:t>
      </w:r>
      <w:r w:rsidR="5E1CEB5F" w:rsidRPr="00E17D61">
        <w:rPr>
          <w:b/>
          <w:lang w:val="en-US"/>
        </w:rPr>
        <w:t>S</w:t>
      </w:r>
      <w:r w:rsidR="000810F4" w:rsidRPr="00E17D61">
        <w:rPr>
          <w:b/>
          <w:lang w:val="en-US"/>
        </w:rPr>
        <w:t>trategy</w:t>
      </w:r>
      <w:r w:rsidR="00AD2C1E" w:rsidRPr="00D63DC4">
        <w:rPr>
          <w:rStyle w:val="FootnoteReference"/>
          <w:lang w:val="en-US"/>
        </w:rPr>
        <w:footnoteReference w:id="40"/>
      </w:r>
      <w:r w:rsidR="00F0253F">
        <w:rPr>
          <w:lang w:val="en-US"/>
        </w:rPr>
        <w:t xml:space="preserve"> and</w:t>
      </w:r>
      <w:r w:rsidR="00BB6F62">
        <w:rPr>
          <w:lang w:val="en-US"/>
        </w:rPr>
        <w:t xml:space="preserve"> </w:t>
      </w:r>
      <w:r w:rsidR="00F35D62" w:rsidRPr="00DD0CE5">
        <w:rPr>
          <w:lang w:val="en-US"/>
        </w:rPr>
        <w:t xml:space="preserve">complement </w:t>
      </w:r>
      <w:r w:rsidR="00F35D62" w:rsidRPr="00DD0CE5">
        <w:rPr>
          <w:b/>
          <w:lang w:val="en-US"/>
        </w:rPr>
        <w:t xml:space="preserve">Regulation </w:t>
      </w:r>
      <w:r w:rsidR="00EC052C" w:rsidRPr="00EC052C">
        <w:rPr>
          <w:b/>
          <w:lang w:val="en-US"/>
        </w:rPr>
        <w:t xml:space="preserve">(EU) 2022/2371 </w:t>
      </w:r>
      <w:r w:rsidR="00F35D62" w:rsidRPr="00DD0CE5">
        <w:rPr>
          <w:b/>
          <w:lang w:val="en-US"/>
        </w:rPr>
        <w:t>on serious cross-border threats to health</w:t>
      </w:r>
      <w:r w:rsidR="00F35D62" w:rsidRPr="00DD0CE5">
        <w:rPr>
          <w:rStyle w:val="FootnoteReference"/>
          <w:rFonts w:eastAsia="Times New Roman"/>
          <w:color w:val="000000" w:themeColor="text1"/>
          <w:lang w:val="en-US"/>
        </w:rPr>
        <w:footnoteReference w:id="41"/>
      </w:r>
      <w:r w:rsidR="006265BA">
        <w:rPr>
          <w:lang w:val="en-IE" w:eastAsia="en-GB"/>
        </w:rPr>
        <w:t>. The</w:t>
      </w:r>
      <w:r w:rsidR="008C71B8">
        <w:rPr>
          <w:lang w:val="en-IE" w:eastAsia="en-GB"/>
        </w:rPr>
        <w:t xml:space="preserve"> provisions</w:t>
      </w:r>
      <w:r w:rsidR="006265BA">
        <w:rPr>
          <w:lang w:val="en-IE" w:eastAsia="en-GB"/>
        </w:rPr>
        <w:t xml:space="preserve"> aim at</w:t>
      </w:r>
      <w:r w:rsidR="00F35D62" w:rsidRPr="00DD0CE5">
        <w:rPr>
          <w:lang w:val="en-US"/>
        </w:rPr>
        <w:t xml:space="preserve"> helping to </w:t>
      </w:r>
      <w:r w:rsidR="00E6172D" w:rsidRPr="00DD0CE5">
        <w:rPr>
          <w:lang w:val="en-US"/>
        </w:rPr>
        <w:t xml:space="preserve">prevent </w:t>
      </w:r>
      <w:r w:rsidR="00840176" w:rsidRPr="00840176">
        <w:rPr>
          <w:lang w:val="en-US"/>
        </w:rPr>
        <w:t xml:space="preserve">and prepare for </w:t>
      </w:r>
      <w:r w:rsidR="007B76A9">
        <w:rPr>
          <w:lang w:val="en-US"/>
        </w:rPr>
        <w:t>such</w:t>
      </w:r>
      <w:r w:rsidR="00840176" w:rsidRPr="00840176">
        <w:rPr>
          <w:lang w:val="en-US"/>
        </w:rPr>
        <w:t xml:space="preserve"> threats</w:t>
      </w:r>
      <w:r w:rsidR="00C95B33">
        <w:rPr>
          <w:lang w:val="en-US"/>
        </w:rPr>
        <w:t xml:space="preserve"> and </w:t>
      </w:r>
      <w:r w:rsidR="00486556">
        <w:rPr>
          <w:lang w:val="en-US"/>
        </w:rPr>
        <w:t xml:space="preserve">to ensure </w:t>
      </w:r>
      <w:r w:rsidR="00F35D62" w:rsidRPr="00DD0CE5">
        <w:rPr>
          <w:lang w:val="en-US"/>
        </w:rPr>
        <w:t xml:space="preserve">a coordinated </w:t>
      </w:r>
      <w:r w:rsidR="007C3C87">
        <w:rPr>
          <w:lang w:val="en-US"/>
        </w:rPr>
        <w:t>EU</w:t>
      </w:r>
      <w:r w:rsidR="00F35D62" w:rsidRPr="00DD0CE5">
        <w:rPr>
          <w:lang w:val="en-US"/>
        </w:rPr>
        <w:t>-level response</w:t>
      </w:r>
      <w:r w:rsidR="00C95B33">
        <w:rPr>
          <w:lang w:val="en-US"/>
        </w:rPr>
        <w:t>, also for</w:t>
      </w:r>
      <w:r w:rsidR="00F35D62" w:rsidRPr="00DD0CE5">
        <w:rPr>
          <w:lang w:val="en-US"/>
        </w:rPr>
        <w:t xml:space="preserve"> </w:t>
      </w:r>
      <w:r w:rsidR="0086579C">
        <w:rPr>
          <w:lang w:val="en-US"/>
        </w:rPr>
        <w:t>ar</w:t>
      </w:r>
      <w:r w:rsidR="00A60110">
        <w:rPr>
          <w:lang w:val="en-US"/>
        </w:rPr>
        <w:t xml:space="preserve">ising </w:t>
      </w:r>
      <w:r w:rsidR="00FC6A3C">
        <w:rPr>
          <w:lang w:val="en-US"/>
        </w:rPr>
        <w:t>public health emergenc</w:t>
      </w:r>
      <w:r w:rsidR="00512C5E">
        <w:rPr>
          <w:lang w:val="en-US"/>
        </w:rPr>
        <w:t>ies</w:t>
      </w:r>
      <w:r w:rsidR="0086579C">
        <w:rPr>
          <w:lang w:val="en-US"/>
        </w:rPr>
        <w:t xml:space="preserve"> (</w:t>
      </w:r>
      <w:r w:rsidR="00A60110">
        <w:rPr>
          <w:lang w:val="en-US"/>
        </w:rPr>
        <w:t xml:space="preserve">including </w:t>
      </w:r>
      <w:r w:rsidR="007C3C87">
        <w:rPr>
          <w:lang w:val="en-US"/>
        </w:rPr>
        <w:t xml:space="preserve">any </w:t>
      </w:r>
      <w:r w:rsidR="00F35D62" w:rsidRPr="00DD0CE5">
        <w:rPr>
          <w:lang w:val="en-US"/>
        </w:rPr>
        <w:t>aris</w:t>
      </w:r>
      <w:r w:rsidR="007C3C87">
        <w:rPr>
          <w:lang w:val="en-US"/>
        </w:rPr>
        <w:t>ing</w:t>
      </w:r>
      <w:r w:rsidR="00F35D62" w:rsidRPr="00DD0CE5">
        <w:rPr>
          <w:lang w:val="en-US"/>
        </w:rPr>
        <w:t xml:space="preserve"> from the misuse of emerging biotechnologies</w:t>
      </w:r>
      <w:r w:rsidR="0086579C">
        <w:rPr>
          <w:lang w:val="en-US"/>
        </w:rPr>
        <w:t>)</w:t>
      </w:r>
      <w:r w:rsidR="00512C5E">
        <w:rPr>
          <w:lang w:val="en-US"/>
        </w:rPr>
        <w:t>.</w:t>
      </w:r>
      <w:r w:rsidR="0071079D">
        <w:rPr>
          <w:lang w:val="en-US"/>
        </w:rPr>
        <w:t xml:space="preserve"> </w:t>
      </w:r>
      <w:r w:rsidR="00D3652A">
        <w:rPr>
          <w:lang w:val="en-US"/>
        </w:rPr>
        <w:t>They also complement</w:t>
      </w:r>
      <w:r w:rsidR="0071079D">
        <w:rPr>
          <w:lang w:val="en-US"/>
        </w:rPr>
        <w:t xml:space="preserve"> the </w:t>
      </w:r>
      <w:r w:rsidR="0071079D" w:rsidRPr="00DC2ED4">
        <w:rPr>
          <w:b/>
          <w:bCs/>
          <w:lang w:val="en-US"/>
        </w:rPr>
        <w:t>Medical Countermeasures Strategy</w:t>
      </w:r>
      <w:r w:rsidR="00B42835">
        <w:rPr>
          <w:rStyle w:val="FootnoteReference"/>
          <w:lang w:val="en-US"/>
        </w:rPr>
        <w:footnoteReference w:id="42"/>
      </w:r>
      <w:r w:rsidR="0071079D" w:rsidRPr="694F416B">
        <w:rPr>
          <w:b/>
          <w:bCs/>
          <w:lang w:val="en-US"/>
        </w:rPr>
        <w:t xml:space="preserve"> </w:t>
      </w:r>
      <w:r w:rsidR="00F60032">
        <w:rPr>
          <w:lang w:val="en-US"/>
        </w:rPr>
        <w:t>for</w:t>
      </w:r>
      <w:r w:rsidR="0071079D" w:rsidRPr="694F416B">
        <w:rPr>
          <w:lang w:val="en-US"/>
        </w:rPr>
        <w:t xml:space="preserve"> prepar</w:t>
      </w:r>
      <w:r w:rsidR="00A12332">
        <w:rPr>
          <w:lang w:val="en-US"/>
        </w:rPr>
        <w:t>ing</w:t>
      </w:r>
      <w:r w:rsidR="0071079D" w:rsidRPr="694F416B">
        <w:rPr>
          <w:lang w:val="en-US"/>
        </w:rPr>
        <w:t xml:space="preserve"> and respon</w:t>
      </w:r>
      <w:r w:rsidR="00A12332">
        <w:rPr>
          <w:lang w:val="en-US"/>
        </w:rPr>
        <w:t>ding</w:t>
      </w:r>
      <w:r w:rsidR="0071079D" w:rsidRPr="694F416B">
        <w:rPr>
          <w:lang w:val="en-US"/>
        </w:rPr>
        <w:t xml:space="preserve"> to health threats</w:t>
      </w:r>
      <w:r w:rsidR="00512C5E">
        <w:rPr>
          <w:lang w:val="en-US"/>
        </w:rPr>
        <w:t>,</w:t>
      </w:r>
      <w:r w:rsidR="0071079D" w:rsidRPr="694F416B">
        <w:rPr>
          <w:lang w:val="en-US"/>
        </w:rPr>
        <w:t xml:space="preserve"> including human-made biosecurity threats</w:t>
      </w:r>
      <w:r w:rsidR="00F35D62" w:rsidRPr="00DD0CE5">
        <w:rPr>
          <w:lang w:val="en-US"/>
        </w:rPr>
        <w:t>.</w:t>
      </w:r>
    </w:p>
    <w:p w14:paraId="61CCAFEF" w14:textId="05148518" w:rsidR="00434755" w:rsidRDefault="00113E2F" w:rsidP="00CA2F92">
      <w:pPr>
        <w:rPr>
          <w:lang w:val="en-IE" w:eastAsia="de-DE"/>
        </w:rPr>
      </w:pPr>
      <w:r w:rsidRPr="00DD0CE5">
        <w:t xml:space="preserve">The </w:t>
      </w:r>
      <w:r w:rsidR="00F60032">
        <w:t>Biotech Act</w:t>
      </w:r>
      <w:r w:rsidRPr="00DD0CE5">
        <w:t xml:space="preserve"> reflects the emphasis on talent and contributes to the </w:t>
      </w:r>
      <w:r w:rsidRPr="00DD0CE5">
        <w:rPr>
          <w:b/>
        </w:rPr>
        <w:t>Union of Skills</w:t>
      </w:r>
      <w:r w:rsidRPr="00DD0CE5">
        <w:rPr>
          <w:rStyle w:val="FootnoteReference"/>
          <w:rFonts w:eastAsia="Times New Roman"/>
          <w:color w:val="000000" w:themeColor="text1"/>
        </w:rPr>
        <w:footnoteReference w:id="43"/>
      </w:r>
      <w:r w:rsidR="00F60032">
        <w:rPr>
          <w:bCs/>
        </w:rPr>
        <w:t>.</w:t>
      </w:r>
      <w:r w:rsidR="008A3298" w:rsidRPr="00391434">
        <w:rPr>
          <w:rFonts w:eastAsia="Times New Roman"/>
        </w:rPr>
        <w:t xml:space="preserve"> </w:t>
      </w:r>
      <w:r w:rsidR="00F60032">
        <w:rPr>
          <w:rFonts w:eastAsia="Times New Roman"/>
        </w:rPr>
        <w:t>It</w:t>
      </w:r>
      <w:r w:rsidR="00D02EBA" w:rsidRPr="00FA07BE">
        <w:rPr>
          <w:rFonts w:eastAsia="Times New Roman"/>
        </w:rPr>
        <w:t xml:space="preserve"> aligns with actions under the </w:t>
      </w:r>
      <w:r w:rsidR="00D02EBA" w:rsidRPr="00FA07BE">
        <w:rPr>
          <w:rFonts w:eastAsia="Times New Roman"/>
          <w:b/>
          <w:bCs/>
        </w:rPr>
        <w:t>European Strategy on Research and Technology Infrastructures</w:t>
      </w:r>
      <w:r w:rsidR="00A84AC5" w:rsidRPr="00FA07BE">
        <w:rPr>
          <w:rStyle w:val="FootnoteReference"/>
          <w:rFonts w:eastAsia="Times New Roman"/>
        </w:rPr>
        <w:footnoteReference w:id="44"/>
      </w:r>
      <w:r w:rsidR="00D02EBA" w:rsidRPr="00FA07BE">
        <w:rPr>
          <w:rFonts w:eastAsia="Times New Roman"/>
        </w:rPr>
        <w:t xml:space="preserve">. </w:t>
      </w:r>
      <w:r w:rsidR="00776964">
        <w:t>It</w:t>
      </w:r>
      <w:r w:rsidR="004B6576">
        <w:t xml:space="preserve"> </w:t>
      </w:r>
      <w:r w:rsidR="00434755" w:rsidRPr="00434755">
        <w:t xml:space="preserve">aligns with </w:t>
      </w:r>
      <w:r w:rsidR="003E17E0">
        <w:t>EU</w:t>
      </w:r>
      <w:r w:rsidR="003E17E0" w:rsidRPr="00434755">
        <w:t xml:space="preserve"> </w:t>
      </w:r>
      <w:r w:rsidR="00434755" w:rsidRPr="00434755">
        <w:t xml:space="preserve">funding and investment initiatives </w:t>
      </w:r>
      <w:r w:rsidR="003E17E0">
        <w:t>that support</w:t>
      </w:r>
      <w:r w:rsidR="003E17E0" w:rsidRPr="00434755">
        <w:t xml:space="preserve"> </w:t>
      </w:r>
      <w:r w:rsidR="00434755" w:rsidRPr="00434755">
        <w:t xml:space="preserve">biotechnology research, innovation and industrial scale-up. </w:t>
      </w:r>
      <w:r w:rsidR="007B4734">
        <w:t>It</w:t>
      </w:r>
      <w:r w:rsidR="00C1600A">
        <w:t xml:space="preserve"> takes into account </w:t>
      </w:r>
      <w:r w:rsidR="00CA5C91">
        <w:t xml:space="preserve">EU </w:t>
      </w:r>
      <w:r w:rsidR="00434755" w:rsidRPr="00434755">
        <w:t>financial support</w:t>
      </w:r>
      <w:r w:rsidR="004453FD">
        <w:t xml:space="preserve"> </w:t>
      </w:r>
      <w:r w:rsidR="003E17E0">
        <w:t>available</w:t>
      </w:r>
      <w:r w:rsidR="00667B70">
        <w:t>,</w:t>
      </w:r>
      <w:r w:rsidR="00434755" w:rsidRPr="00434755">
        <w:t xml:space="preserve"> including cohesion policy programmes, InvestEU, the </w:t>
      </w:r>
      <w:r w:rsidR="00274265">
        <w:t>European Investment Bank (</w:t>
      </w:r>
      <w:r w:rsidR="00434755" w:rsidRPr="00434755">
        <w:t>EIB</w:t>
      </w:r>
      <w:r w:rsidR="00274265">
        <w:t>)</w:t>
      </w:r>
      <w:r w:rsidR="00434755" w:rsidRPr="00434755">
        <w:t xml:space="preserve"> Group’s TechEU programme</w:t>
      </w:r>
      <w:r w:rsidR="007763AA">
        <w:rPr>
          <w:rStyle w:val="FootnoteReference"/>
          <w:rFonts w:eastAsia="Times New Roman"/>
          <w:color w:val="000000" w:themeColor="text1"/>
        </w:rPr>
        <w:footnoteReference w:id="45"/>
      </w:r>
      <w:r w:rsidR="00F1243B" w:rsidRPr="00E71499">
        <w:rPr>
          <w:vertAlign w:val="superscript"/>
        </w:rPr>
        <w:t>,</w:t>
      </w:r>
      <w:r w:rsidR="00434755" w:rsidRPr="0ADDD160">
        <w:rPr>
          <w:rStyle w:val="FootnoteReference"/>
          <w:rFonts w:eastAsia="Times New Roman"/>
          <w:color w:val="000000" w:themeColor="text1"/>
        </w:rPr>
        <w:footnoteReference w:id="46"/>
      </w:r>
      <w:r w:rsidR="00AE4108" w:rsidRPr="00AE4108">
        <w:rPr>
          <w:noProof/>
          <w:lang w:val="en-IE" w:eastAsia="de-DE"/>
        </w:rPr>
        <w:t xml:space="preserve"> </w:t>
      </w:r>
      <w:r w:rsidR="00434755" w:rsidRPr="00434755">
        <w:t xml:space="preserve">and the European Innovation Council. </w:t>
      </w:r>
      <w:r w:rsidR="004344C5">
        <w:t>T</w:t>
      </w:r>
      <w:r w:rsidR="00170D4C">
        <w:t xml:space="preserve">he strategic importance of </w:t>
      </w:r>
      <w:r w:rsidR="00F94623">
        <w:t xml:space="preserve">biotechnology </w:t>
      </w:r>
      <w:r w:rsidR="004344C5" w:rsidRPr="5490ED58">
        <w:rPr>
          <w:lang w:val="en-IE" w:eastAsia="de-DE"/>
        </w:rPr>
        <w:t>is also</w:t>
      </w:r>
      <w:r w:rsidR="00FD31A9">
        <w:rPr>
          <w:noProof/>
          <w:lang w:val="en-IE" w:eastAsia="de-DE"/>
        </w:rPr>
        <w:t xml:space="preserve"> acknowle</w:t>
      </w:r>
      <w:r w:rsidR="001D0B90">
        <w:rPr>
          <w:noProof/>
          <w:lang w:val="en-IE" w:eastAsia="de-DE"/>
        </w:rPr>
        <w:t>d</w:t>
      </w:r>
      <w:r w:rsidR="00FD31A9">
        <w:rPr>
          <w:noProof/>
          <w:lang w:val="en-IE" w:eastAsia="de-DE"/>
        </w:rPr>
        <w:t>ged</w:t>
      </w:r>
      <w:r w:rsidR="00F94623">
        <w:t xml:space="preserve"> </w:t>
      </w:r>
      <w:r w:rsidR="00170D4C">
        <w:t>in</w:t>
      </w:r>
      <w:r w:rsidR="00434755" w:rsidRPr="00434755">
        <w:t xml:space="preserve"> </w:t>
      </w:r>
      <w:r w:rsidR="001D0B90">
        <w:t xml:space="preserve">preparations for the </w:t>
      </w:r>
      <w:r w:rsidR="00F13C94">
        <w:rPr>
          <w:rFonts w:eastAsia="Times New Roman"/>
          <w:color w:val="000000" w:themeColor="text1"/>
          <w:lang w:val="en-IE" w:eastAsia="de-DE"/>
        </w:rPr>
        <w:t xml:space="preserve">next </w:t>
      </w:r>
      <w:r w:rsidR="00F13C94" w:rsidRPr="004C70EC">
        <w:rPr>
          <w:noProof/>
          <w:lang w:val="en-IE" w:eastAsia="de-DE"/>
        </w:rPr>
        <w:t xml:space="preserve">Multiannual Financial Framework </w:t>
      </w:r>
      <w:r w:rsidR="00F13C94">
        <w:rPr>
          <w:noProof/>
          <w:lang w:val="en-IE" w:eastAsia="de-DE"/>
        </w:rPr>
        <w:t>(</w:t>
      </w:r>
      <w:r w:rsidR="00F13C94">
        <w:rPr>
          <w:rFonts w:eastAsia="Times New Roman"/>
          <w:color w:val="000000" w:themeColor="text1"/>
          <w:lang w:val="en-IE" w:eastAsia="de-DE"/>
        </w:rPr>
        <w:t xml:space="preserve">MFF), namely the next iteration of the </w:t>
      </w:r>
      <w:r w:rsidR="00F13C94" w:rsidRPr="00AE148D">
        <w:rPr>
          <w:rFonts w:eastAsia="Times New Roman"/>
          <w:b/>
          <w:bCs/>
          <w:color w:val="000000" w:themeColor="text1"/>
          <w:lang w:val="en-IE" w:eastAsia="de-DE"/>
        </w:rPr>
        <w:t>Horizon Europe programme</w:t>
      </w:r>
      <w:r w:rsidR="00872B4A">
        <w:rPr>
          <w:rFonts w:eastAsia="Times New Roman"/>
          <w:b/>
          <w:bCs/>
          <w:color w:val="000000" w:themeColor="text1"/>
          <w:lang w:val="en-IE" w:eastAsia="de-DE"/>
        </w:rPr>
        <w:t xml:space="preserve"> </w:t>
      </w:r>
      <w:r w:rsidR="00872B4A" w:rsidRPr="00872B4A">
        <w:rPr>
          <w:rFonts w:eastAsia="Times New Roman"/>
          <w:b/>
          <w:bCs/>
          <w:color w:val="000000" w:themeColor="text1"/>
          <w:lang w:val="en-IE" w:eastAsia="de-DE"/>
        </w:rPr>
        <w:t>(2028-2034)</w:t>
      </w:r>
      <w:r w:rsidR="005D6197">
        <w:rPr>
          <w:rFonts w:eastAsia="Times New Roman"/>
          <w:color w:val="000000" w:themeColor="text1"/>
          <w:lang w:val="en-IE" w:eastAsia="de-DE"/>
        </w:rPr>
        <w:t>.</w:t>
      </w:r>
      <w:r w:rsidR="005D6197">
        <w:rPr>
          <w:rFonts w:eastAsia="Times New Roman"/>
          <w:b/>
          <w:bCs/>
          <w:color w:val="000000" w:themeColor="text1"/>
          <w:lang w:val="en-IE" w:eastAsia="de-DE"/>
        </w:rPr>
        <w:t xml:space="preserve"> </w:t>
      </w:r>
      <w:r w:rsidR="005C48EE">
        <w:rPr>
          <w:rFonts w:eastAsia="Times New Roman"/>
          <w:color w:val="000000" w:themeColor="text1"/>
          <w:lang w:val="en-IE" w:eastAsia="de-DE"/>
        </w:rPr>
        <w:t xml:space="preserve">It is </w:t>
      </w:r>
      <w:r w:rsidR="006D419F">
        <w:rPr>
          <w:rFonts w:eastAsia="Times New Roman"/>
          <w:color w:val="000000" w:themeColor="text1"/>
          <w:lang w:val="en-IE" w:eastAsia="de-DE"/>
        </w:rPr>
        <w:t xml:space="preserve">acknowledged in </w:t>
      </w:r>
      <w:r w:rsidR="00872B4A" w:rsidRPr="00391434">
        <w:rPr>
          <w:rFonts w:eastAsia="Times New Roman"/>
          <w:color w:val="000000" w:themeColor="text1"/>
          <w:lang w:val="en-IE" w:eastAsia="de-DE"/>
        </w:rPr>
        <w:t xml:space="preserve">the </w:t>
      </w:r>
      <w:r w:rsidR="006D419F">
        <w:rPr>
          <w:rFonts w:eastAsia="Times New Roman"/>
          <w:color w:val="000000" w:themeColor="text1"/>
          <w:lang w:val="en-IE" w:eastAsia="de-DE"/>
        </w:rPr>
        <w:t>section</w:t>
      </w:r>
      <w:r w:rsidR="00872B4A" w:rsidRPr="004C5A71">
        <w:rPr>
          <w:rFonts w:eastAsia="Times New Roman"/>
          <w:color w:val="000000" w:themeColor="text1"/>
          <w:lang w:val="en-IE" w:eastAsia="de-DE"/>
        </w:rPr>
        <w:t xml:space="preserve"> on collaborative research activities in the Competitiveness</w:t>
      </w:r>
      <w:r w:rsidR="00A93019">
        <w:rPr>
          <w:rFonts w:eastAsia="Times New Roman"/>
          <w:color w:val="000000" w:themeColor="text1"/>
          <w:lang w:val="en-IE" w:eastAsia="de-DE"/>
        </w:rPr>
        <w:t xml:space="preserve"> component</w:t>
      </w:r>
      <w:r w:rsidR="00F13C94">
        <w:rPr>
          <w:rFonts w:eastAsia="Times New Roman"/>
          <w:color w:val="000000" w:themeColor="text1"/>
          <w:lang w:val="en-IE" w:eastAsia="de-DE"/>
        </w:rPr>
        <w:t xml:space="preserve">, as well as the </w:t>
      </w:r>
      <w:r w:rsidR="00434755" w:rsidRPr="5490ED58">
        <w:rPr>
          <w:lang w:val="en-IE" w:eastAsia="de-DE"/>
        </w:rPr>
        <w:t xml:space="preserve">proposed </w:t>
      </w:r>
      <w:r w:rsidR="00434755" w:rsidRPr="00B350B5">
        <w:rPr>
          <w:b/>
          <w:lang w:val="en-IE" w:eastAsia="de-DE"/>
        </w:rPr>
        <w:t>European Competitiveness Fund</w:t>
      </w:r>
      <w:r w:rsidR="00434755" w:rsidRPr="5490ED58">
        <w:rPr>
          <w:lang w:val="en-IE" w:eastAsia="de-DE"/>
        </w:rPr>
        <w:t xml:space="preserve">, </w:t>
      </w:r>
      <w:r w:rsidR="00434755" w:rsidRPr="004C70EC">
        <w:rPr>
          <w:lang w:val="en-IE" w:eastAsia="de-DE"/>
        </w:rPr>
        <w:t xml:space="preserve">which </w:t>
      </w:r>
      <w:r w:rsidR="007F3D5D" w:rsidRPr="004C70EC">
        <w:rPr>
          <w:noProof/>
          <w:lang w:val="en-IE" w:eastAsia="de-DE"/>
        </w:rPr>
        <w:t>include</w:t>
      </w:r>
      <w:r w:rsidR="004639F7">
        <w:rPr>
          <w:noProof/>
          <w:lang w:val="en-IE" w:eastAsia="de-DE"/>
        </w:rPr>
        <w:t>s</w:t>
      </w:r>
      <w:r w:rsidR="007F3D5D" w:rsidRPr="004C70EC">
        <w:rPr>
          <w:noProof/>
          <w:lang w:val="en-IE" w:eastAsia="de-DE"/>
        </w:rPr>
        <w:t xml:space="preserve"> a dedicated ‘Health, Biotech, Agriculture</w:t>
      </w:r>
      <w:r w:rsidR="00434755" w:rsidRPr="004C70EC">
        <w:rPr>
          <w:lang w:val="en-IE" w:eastAsia="de-DE"/>
        </w:rPr>
        <w:t xml:space="preserve"> and </w:t>
      </w:r>
      <w:r w:rsidR="007F3D5D" w:rsidRPr="004C70EC">
        <w:rPr>
          <w:noProof/>
          <w:lang w:val="en-IE" w:eastAsia="de-DE"/>
        </w:rPr>
        <w:t xml:space="preserve">Bioeconomy’ </w:t>
      </w:r>
      <w:r w:rsidR="00DC190E">
        <w:rPr>
          <w:noProof/>
          <w:lang w:val="en-IE" w:eastAsia="de-DE"/>
        </w:rPr>
        <w:t xml:space="preserve">policy </w:t>
      </w:r>
      <w:r w:rsidR="007F3D5D" w:rsidRPr="004C70EC">
        <w:rPr>
          <w:noProof/>
          <w:lang w:val="en-IE" w:eastAsia="de-DE"/>
        </w:rPr>
        <w:t>window</w:t>
      </w:r>
      <w:r w:rsidR="00BF0E60">
        <w:rPr>
          <w:noProof/>
          <w:lang w:val="en-IE" w:eastAsia="de-DE"/>
        </w:rPr>
        <w:t>.</w:t>
      </w:r>
    </w:p>
    <w:p w14:paraId="0D8D25BF" w14:textId="0CDDA5D3" w:rsidR="00AD3167" w:rsidRPr="00EF355A" w:rsidRDefault="009812BB" w:rsidP="00AD3167">
      <w:r w:rsidRPr="00DD0CE5">
        <w:t>The Biotech Act</w:t>
      </w:r>
      <w:r w:rsidR="00DC190E">
        <w:t xml:space="preserve"> </w:t>
      </w:r>
      <w:r w:rsidR="00B45101">
        <w:t>is</w:t>
      </w:r>
      <w:r w:rsidRPr="00DD0CE5">
        <w:t xml:space="preserve"> </w:t>
      </w:r>
      <w:r w:rsidR="00B45101">
        <w:t>designed</w:t>
      </w:r>
      <w:r w:rsidRPr="00DD0CE5">
        <w:t xml:space="preserve"> </w:t>
      </w:r>
      <w:r w:rsidR="009A50B1">
        <w:t>to be coherent</w:t>
      </w:r>
      <w:r w:rsidRPr="00DD0CE5">
        <w:t xml:space="preserve"> with </w:t>
      </w:r>
      <w:r w:rsidR="00BE6E89">
        <w:t>related</w:t>
      </w:r>
      <w:r w:rsidR="00BE6E89" w:rsidRPr="00DD0CE5">
        <w:t xml:space="preserve"> </w:t>
      </w:r>
      <w:r w:rsidRPr="00DD0CE5">
        <w:t>digital policies</w:t>
      </w:r>
      <w:r w:rsidR="00241C5A">
        <w:t xml:space="preserve"> and</w:t>
      </w:r>
      <w:r w:rsidR="00350965">
        <w:t xml:space="preserve"> </w:t>
      </w:r>
      <w:r w:rsidR="00BE6E89">
        <w:t>pursue</w:t>
      </w:r>
      <w:r w:rsidR="002A5858" w:rsidRPr="00DD0CE5">
        <w:t xml:space="preserve"> </w:t>
      </w:r>
      <w:r w:rsidR="00C47BA7" w:rsidRPr="00DD0CE5">
        <w:rPr>
          <w:b/>
        </w:rPr>
        <w:t xml:space="preserve">digital </w:t>
      </w:r>
      <w:r w:rsidR="00975FFA" w:rsidRPr="00DD0CE5">
        <w:rPr>
          <w:b/>
        </w:rPr>
        <w:t>transformation</w:t>
      </w:r>
      <w:r w:rsidR="00975FFA" w:rsidRPr="00DD0CE5">
        <w:t xml:space="preserve"> </w:t>
      </w:r>
      <w:r w:rsidR="00A33864">
        <w:t>objectives</w:t>
      </w:r>
      <w:r w:rsidR="00F56437">
        <w:t>.</w:t>
      </w:r>
      <w:r w:rsidR="00A33864">
        <w:t xml:space="preserve"> </w:t>
      </w:r>
      <w:r w:rsidR="00DA5881">
        <w:t>It aims to</w:t>
      </w:r>
      <w:r w:rsidR="00335684" w:rsidRPr="00DD0CE5">
        <w:t xml:space="preserve"> support secure, data-driven biotechnology ecosystems and</w:t>
      </w:r>
      <w:r w:rsidR="00335684" w:rsidRPr="00DD0CE5">
        <w:rPr>
          <w:lang w:val="en-US"/>
        </w:rPr>
        <w:t xml:space="preserve"> </w:t>
      </w:r>
      <w:r w:rsidR="00335684" w:rsidRPr="00DD0CE5">
        <w:t>contribut</w:t>
      </w:r>
      <w:r w:rsidR="004B0CD4" w:rsidRPr="00DD0CE5">
        <w:t>e</w:t>
      </w:r>
      <w:r w:rsidR="00335684" w:rsidRPr="00DD0CE5">
        <w:t xml:space="preserve"> to the</w:t>
      </w:r>
      <w:r w:rsidR="00335684" w:rsidRPr="00DD0CE5" w:rsidDel="00BE6E89">
        <w:t xml:space="preserve"> </w:t>
      </w:r>
      <w:r w:rsidR="00BE6E89">
        <w:t>EU</w:t>
      </w:r>
      <w:r w:rsidR="00BE6E89" w:rsidRPr="00DD0CE5">
        <w:t>’s</w:t>
      </w:r>
      <w:r w:rsidR="00335684" w:rsidRPr="00DD0CE5">
        <w:t xml:space="preserve"> technological sovereignty</w:t>
      </w:r>
      <w:r w:rsidR="00335684" w:rsidRPr="00DD0CE5">
        <w:rPr>
          <w:lang w:val="en-US"/>
        </w:rPr>
        <w:t xml:space="preserve"> </w:t>
      </w:r>
      <w:r w:rsidR="0007669A">
        <w:rPr>
          <w:lang w:val="en-US"/>
        </w:rPr>
        <w:t xml:space="preserve">by </w:t>
      </w:r>
      <w:r w:rsidR="00335684" w:rsidRPr="00DD0CE5">
        <w:rPr>
          <w:lang w:val="en-US"/>
        </w:rPr>
        <w:t>promoti</w:t>
      </w:r>
      <w:r w:rsidR="0007669A">
        <w:rPr>
          <w:lang w:val="en-US"/>
        </w:rPr>
        <w:t xml:space="preserve">ng </w:t>
      </w:r>
      <w:r w:rsidR="00335684" w:rsidRPr="00DD0CE5">
        <w:t>greater data use and AI integration in the biotechnology sector</w:t>
      </w:r>
      <w:r w:rsidR="005161BB" w:rsidRPr="00DD0CE5">
        <w:t>.</w:t>
      </w:r>
      <w:r w:rsidR="00335684" w:rsidRPr="00DD0CE5">
        <w:t xml:space="preserve"> I</w:t>
      </w:r>
      <w:r w:rsidR="00C01E86">
        <w:t xml:space="preserve">ts </w:t>
      </w:r>
      <w:r w:rsidR="00F35D62" w:rsidRPr="00DD0CE5">
        <w:rPr>
          <w:lang w:val="en-US"/>
        </w:rPr>
        <w:t xml:space="preserve">emphasis on AI </w:t>
      </w:r>
      <w:r w:rsidR="004064F5" w:rsidRPr="00DD0CE5">
        <w:rPr>
          <w:lang w:val="en-US"/>
        </w:rPr>
        <w:t xml:space="preserve">is consistent </w:t>
      </w:r>
      <w:r w:rsidR="004064F5" w:rsidRPr="00944832">
        <w:rPr>
          <w:lang w:val="en-US"/>
        </w:rPr>
        <w:t xml:space="preserve">with </w:t>
      </w:r>
      <w:r w:rsidR="00F35D62" w:rsidRPr="00944832">
        <w:rPr>
          <w:lang w:val="en-US"/>
        </w:rPr>
        <w:t xml:space="preserve">the </w:t>
      </w:r>
      <w:r w:rsidR="0052413A" w:rsidRPr="00944832">
        <w:rPr>
          <w:rFonts w:eastAsia="Times New Roman"/>
          <w:b/>
          <w:bCs/>
          <w:color w:val="000000" w:themeColor="text1"/>
          <w:lang w:val="en-US"/>
        </w:rPr>
        <w:t>AI in Science Strategy</w:t>
      </w:r>
      <w:r w:rsidR="0052413A" w:rsidRPr="00944832">
        <w:rPr>
          <w:rStyle w:val="FootnoteReference"/>
          <w:rFonts w:eastAsia="Times New Roman"/>
          <w:color w:val="000000" w:themeColor="text1"/>
          <w:lang w:val="en-US"/>
        </w:rPr>
        <w:footnoteReference w:id="47"/>
      </w:r>
      <w:r w:rsidR="0052413A" w:rsidRPr="00944832">
        <w:rPr>
          <w:rFonts w:eastAsia="Times New Roman"/>
          <w:color w:val="000000" w:themeColor="text1"/>
          <w:lang w:val="en-US"/>
        </w:rPr>
        <w:t xml:space="preserve">, </w:t>
      </w:r>
      <w:r w:rsidR="0052413A" w:rsidRPr="00944832">
        <w:rPr>
          <w:rFonts w:eastAsia="Times New Roman"/>
          <w:b/>
          <w:bCs/>
          <w:color w:val="000000" w:themeColor="text1"/>
          <w:lang w:val="en-US"/>
        </w:rPr>
        <w:t xml:space="preserve">the </w:t>
      </w:r>
      <w:r w:rsidR="00F35D62" w:rsidRPr="00944832">
        <w:rPr>
          <w:b/>
          <w:lang w:val="en-US"/>
        </w:rPr>
        <w:t>A</w:t>
      </w:r>
      <w:r w:rsidR="00F35D62" w:rsidRPr="00944832">
        <w:rPr>
          <w:b/>
        </w:rPr>
        <w:t>pply AI strategy</w:t>
      </w:r>
      <w:r w:rsidR="00F35D62" w:rsidRPr="00944832">
        <w:rPr>
          <w:rStyle w:val="FootnoteReference"/>
          <w:rFonts w:eastAsiaTheme="minorEastAsia"/>
          <w:color w:val="000000" w:themeColor="text1"/>
          <w:lang w:eastAsia="en-GB"/>
        </w:rPr>
        <w:footnoteReference w:id="48"/>
      </w:r>
      <w:r w:rsidR="00F35D62" w:rsidRPr="00944832">
        <w:t xml:space="preserve">, the </w:t>
      </w:r>
      <w:r w:rsidR="00F35D62" w:rsidRPr="00944832">
        <w:rPr>
          <w:b/>
        </w:rPr>
        <w:t>AI continent action plan</w:t>
      </w:r>
      <w:r w:rsidR="00F35D62" w:rsidRPr="00944832">
        <w:rPr>
          <w:rStyle w:val="FootnoteReference"/>
          <w:rFonts w:eastAsia="Times New Roman"/>
          <w:color w:val="000000" w:themeColor="text1"/>
        </w:rPr>
        <w:footnoteReference w:id="49"/>
      </w:r>
      <w:r w:rsidR="00F35D62" w:rsidRPr="00514046">
        <w:t>,</w:t>
      </w:r>
      <w:r w:rsidR="00F35D62" w:rsidRPr="00944832">
        <w:rPr>
          <w:b/>
        </w:rPr>
        <w:t xml:space="preserve"> </w:t>
      </w:r>
      <w:r w:rsidR="00F35D62" w:rsidRPr="00944832">
        <w:t>the</w:t>
      </w:r>
      <w:r w:rsidR="00F35D62" w:rsidRPr="00944832">
        <w:rPr>
          <w:b/>
        </w:rPr>
        <w:t xml:space="preserve"> European AI Act</w:t>
      </w:r>
      <w:r w:rsidR="00F35D62" w:rsidRPr="00944832">
        <w:rPr>
          <w:rStyle w:val="FootnoteReference"/>
          <w:rFonts w:eastAsia="Times New Roman"/>
          <w:color w:val="000000" w:themeColor="text1"/>
        </w:rPr>
        <w:footnoteReference w:id="50"/>
      </w:r>
      <w:r w:rsidR="00A6696B" w:rsidRPr="00944832">
        <w:t>,</w:t>
      </w:r>
      <w:r w:rsidR="00F35D62" w:rsidRPr="00944832">
        <w:t xml:space="preserve"> the </w:t>
      </w:r>
      <w:r w:rsidR="00F35D62" w:rsidRPr="00944832">
        <w:rPr>
          <w:b/>
        </w:rPr>
        <w:t xml:space="preserve">Data </w:t>
      </w:r>
      <w:r w:rsidR="00F35D62" w:rsidRPr="00944832" w:rsidDel="00B46ABD">
        <w:rPr>
          <w:b/>
        </w:rPr>
        <w:t>U</w:t>
      </w:r>
      <w:r w:rsidR="00F35D62" w:rsidRPr="00944832">
        <w:rPr>
          <w:b/>
        </w:rPr>
        <w:t>nion strategy</w:t>
      </w:r>
      <w:r w:rsidR="00F35D62" w:rsidRPr="00944832">
        <w:rPr>
          <w:rStyle w:val="FootnoteReference"/>
          <w:rFonts w:eastAsia="Times New Roman"/>
          <w:color w:val="000000" w:themeColor="text1"/>
        </w:rPr>
        <w:footnoteReference w:id="51"/>
      </w:r>
      <w:r w:rsidR="00F35D62" w:rsidRPr="00514046">
        <w:t>,</w:t>
      </w:r>
      <w:r w:rsidR="00F35D62" w:rsidRPr="00944832">
        <w:t xml:space="preserve"> </w:t>
      </w:r>
      <w:r w:rsidR="00CC580E" w:rsidRPr="00944832">
        <w:t xml:space="preserve">as well as the </w:t>
      </w:r>
      <w:r w:rsidR="00CC580E" w:rsidRPr="00944832">
        <w:rPr>
          <w:b/>
        </w:rPr>
        <w:t>EU Cybersecurity framework</w:t>
      </w:r>
      <w:r w:rsidR="00515AEB" w:rsidRPr="00944832">
        <w:rPr>
          <w:lang w:val="en-IE" w:eastAsia="en-GB"/>
        </w:rPr>
        <w:t> </w:t>
      </w:r>
      <w:r w:rsidR="00CC580E" w:rsidRPr="00514046">
        <w:rPr>
          <w:rStyle w:val="FootnoteReference"/>
          <w:rFonts w:eastAsia="Times New Roman"/>
          <w:color w:val="000000" w:themeColor="text1"/>
        </w:rPr>
        <w:footnoteReference w:id="52"/>
      </w:r>
      <w:r w:rsidR="00CC580E" w:rsidRPr="00944832">
        <w:t>.</w:t>
      </w:r>
      <w:r w:rsidR="003E2161" w:rsidRPr="00944832">
        <w:t xml:space="preserve"> The Biotech Act</w:t>
      </w:r>
      <w:r w:rsidR="00135877" w:rsidRPr="00944832">
        <w:t xml:space="preserve"> </w:t>
      </w:r>
      <w:r w:rsidR="002544E4" w:rsidRPr="00944832">
        <w:t xml:space="preserve">is also </w:t>
      </w:r>
      <w:r w:rsidR="00B228E3" w:rsidRPr="00944832">
        <w:t>consistent</w:t>
      </w:r>
      <w:r w:rsidR="002544E4" w:rsidRPr="00944832">
        <w:t xml:space="preserve"> with the</w:t>
      </w:r>
      <w:r w:rsidR="00343ED3" w:rsidRPr="00944832">
        <w:t xml:space="preserve"> objectives of the</w:t>
      </w:r>
      <w:r w:rsidR="00343ED3" w:rsidRPr="00944832">
        <w:rPr>
          <w:b/>
        </w:rPr>
        <w:t xml:space="preserve"> European Health Data Space</w:t>
      </w:r>
      <w:r w:rsidR="00334BE4">
        <w:rPr>
          <w:b/>
        </w:rPr>
        <w:t xml:space="preserve"> Regulation</w:t>
      </w:r>
      <w:r w:rsidR="00515AEB" w:rsidRPr="00DD0CE5">
        <w:rPr>
          <w:lang w:val="en-IE" w:eastAsia="en-GB"/>
        </w:rPr>
        <w:t> </w:t>
      </w:r>
      <w:r w:rsidR="000B1A77">
        <w:rPr>
          <w:lang w:val="en-IE" w:eastAsia="en-GB"/>
        </w:rPr>
        <w:t>(EU) 2025/</w:t>
      </w:r>
      <w:r w:rsidR="001D4939">
        <w:rPr>
          <w:lang w:val="en-IE" w:eastAsia="en-GB"/>
        </w:rPr>
        <w:t>327</w:t>
      </w:r>
      <w:r w:rsidR="0070565D" w:rsidRPr="00514046">
        <w:rPr>
          <w:rStyle w:val="FootnoteReference"/>
          <w:rFonts w:eastAsia="Times New Roman"/>
          <w:color w:val="000000" w:themeColor="text1"/>
        </w:rPr>
        <w:footnoteReference w:id="53"/>
      </w:r>
      <w:r w:rsidR="00503969" w:rsidRPr="00514046">
        <w:t xml:space="preserve"> and of </w:t>
      </w:r>
      <w:r w:rsidR="00503969" w:rsidRPr="00E148ED">
        <w:t xml:space="preserve">the </w:t>
      </w:r>
      <w:r w:rsidR="00503969" w:rsidRPr="004F48D9">
        <w:rPr>
          <w:b/>
        </w:rPr>
        <w:t>Data Union Strategy</w:t>
      </w:r>
      <w:r w:rsidR="00515AEB" w:rsidRPr="00DD0CE5">
        <w:rPr>
          <w:lang w:val="en-IE" w:eastAsia="en-GB"/>
        </w:rPr>
        <w:t> </w:t>
      </w:r>
      <w:r w:rsidR="00954631" w:rsidRPr="00514046">
        <w:rPr>
          <w:rStyle w:val="FootnoteReference"/>
          <w:rFonts w:eastAsia="Times New Roman"/>
          <w:color w:val="000000" w:themeColor="text1"/>
        </w:rPr>
        <w:footnoteReference w:id="54"/>
      </w:r>
      <w:r w:rsidR="002544E4" w:rsidRPr="004F48D9">
        <w:t>, in par</w:t>
      </w:r>
      <w:r w:rsidR="00503969" w:rsidRPr="004F48D9">
        <w:t>t</w:t>
      </w:r>
      <w:r w:rsidR="002544E4" w:rsidRPr="004F48D9">
        <w:t>icular</w:t>
      </w:r>
      <w:r w:rsidR="00E015A6" w:rsidRPr="004F48D9">
        <w:t xml:space="preserve"> </w:t>
      </w:r>
      <w:r w:rsidR="00503969" w:rsidRPr="00503969">
        <w:t>with regard</w:t>
      </w:r>
      <w:r w:rsidR="00503969">
        <w:t xml:space="preserve"> to</w:t>
      </w:r>
      <w:r w:rsidR="00E148ED" w:rsidRPr="00E148ED">
        <w:t xml:space="preserve"> </w:t>
      </w:r>
      <w:r w:rsidR="00AD3167">
        <w:t xml:space="preserve">data and metadata semantic interoperability and quality accelerators, </w:t>
      </w:r>
      <w:r w:rsidR="00AD3167" w:rsidRPr="00E148ED">
        <w:t>data labs</w:t>
      </w:r>
      <w:r w:rsidR="00514046">
        <w:t>,</w:t>
      </w:r>
      <w:r w:rsidR="00AD3167" w:rsidRPr="00E148ED">
        <w:t xml:space="preserve"> and AI factories. I</w:t>
      </w:r>
      <w:r w:rsidR="00AD3167">
        <w:t>t should also be read in coherence with ongoing interoperability and standardisation work for common European data spaces under Article 33 of Regulation (EU) 2023/2854</w:t>
      </w:r>
      <w:r w:rsidR="00A23DED">
        <w:rPr>
          <w:rStyle w:val="FootnoteReference"/>
        </w:rPr>
        <w:footnoteReference w:id="55"/>
      </w:r>
      <w:r w:rsidR="00AD3167">
        <w:t>, including the European Trusted Data Framework, insofar as these initiatives are relevant to metadata, discoverability, semantic interoperability and the cross-border re-use of data.</w:t>
      </w:r>
    </w:p>
    <w:p w14:paraId="252FD35E" w14:textId="09F5DE61" w:rsidR="00F35D62" w:rsidRPr="00DD0CE5" w:rsidRDefault="0078250A" w:rsidP="00CA2F92">
      <w:pPr>
        <w:rPr>
          <w:lang w:val="en-US"/>
        </w:rPr>
      </w:pPr>
      <w:r w:rsidRPr="00944832">
        <w:t xml:space="preserve">The </w:t>
      </w:r>
      <w:r w:rsidR="001D4939" w:rsidRPr="00944832">
        <w:t xml:space="preserve">Biotech </w:t>
      </w:r>
      <w:r w:rsidR="00850B5B" w:rsidRPr="00944832">
        <w:t>A</w:t>
      </w:r>
      <w:r w:rsidRPr="00944832">
        <w:t>ct</w:t>
      </w:r>
      <w:r w:rsidR="001D4939" w:rsidRPr="00944832">
        <w:t xml:space="preserve"> </w:t>
      </w:r>
      <w:r w:rsidR="00F35D62" w:rsidRPr="00944832">
        <w:rPr>
          <w:lang w:val="en-US" w:eastAsia="en-GB"/>
        </w:rPr>
        <w:t xml:space="preserve">is </w:t>
      </w:r>
      <w:r w:rsidR="00F35D62" w:rsidRPr="00DD0CE5">
        <w:rPr>
          <w:lang w:val="en-US" w:eastAsia="en-GB"/>
        </w:rPr>
        <w:t xml:space="preserve">consistent with the </w:t>
      </w:r>
      <w:r w:rsidR="0044258B">
        <w:rPr>
          <w:b/>
          <w:lang w:val="en-US" w:eastAsia="en-GB"/>
        </w:rPr>
        <w:t>V</w:t>
      </w:r>
      <w:r w:rsidR="00F35D62" w:rsidRPr="00DD0CE5">
        <w:rPr>
          <w:b/>
          <w:lang w:val="en-US" w:eastAsia="en-GB"/>
        </w:rPr>
        <w:t xml:space="preserve">ision for </w:t>
      </w:r>
      <w:r w:rsidR="0044258B">
        <w:rPr>
          <w:b/>
          <w:lang w:val="en-US" w:eastAsia="en-GB"/>
        </w:rPr>
        <w:t>A</w:t>
      </w:r>
      <w:r w:rsidR="00F35D62" w:rsidRPr="00DD0CE5">
        <w:rPr>
          <w:b/>
          <w:lang w:val="en-US" w:eastAsia="en-GB"/>
        </w:rPr>
        <w:t xml:space="preserve">griculture and </w:t>
      </w:r>
      <w:r w:rsidR="0044258B">
        <w:rPr>
          <w:b/>
          <w:lang w:val="en-US" w:eastAsia="en-GB"/>
        </w:rPr>
        <w:t>F</w:t>
      </w:r>
      <w:r w:rsidR="00F35D62" w:rsidRPr="00DD0CE5">
        <w:rPr>
          <w:b/>
          <w:lang w:val="en-US" w:eastAsia="en-GB"/>
        </w:rPr>
        <w:t>ood</w:t>
      </w:r>
      <w:r w:rsidR="00F35D62" w:rsidRPr="00DD0CE5">
        <w:rPr>
          <w:rStyle w:val="FootnoteReference"/>
          <w:color w:val="000000" w:themeColor="text1"/>
          <w:bdr w:val="nil"/>
          <w:lang w:eastAsia="en-GB"/>
        </w:rPr>
        <w:footnoteReference w:id="56"/>
      </w:r>
      <w:r w:rsidR="00F35D62" w:rsidRPr="00DD0CE5">
        <w:rPr>
          <w:lang w:val="en-US" w:eastAsia="en-GB"/>
        </w:rPr>
        <w:t xml:space="preserve">, </w:t>
      </w:r>
      <w:r w:rsidR="00EE515C">
        <w:rPr>
          <w:lang w:val="en-US" w:eastAsia="en-GB"/>
        </w:rPr>
        <w:t xml:space="preserve">in particular because it </w:t>
      </w:r>
      <w:r w:rsidR="004D5F81" w:rsidRPr="00DD0CE5">
        <w:rPr>
          <w:lang w:val="en-US" w:eastAsia="en-GB"/>
        </w:rPr>
        <w:t>amend</w:t>
      </w:r>
      <w:r w:rsidR="00EE515C">
        <w:rPr>
          <w:lang w:val="en-US" w:eastAsia="en-GB"/>
        </w:rPr>
        <w:t>s</w:t>
      </w:r>
      <w:r w:rsidR="004D5F81" w:rsidRPr="00DD0CE5">
        <w:rPr>
          <w:lang w:val="en-US" w:eastAsia="en-GB"/>
        </w:rPr>
        <w:t xml:space="preserve"> </w:t>
      </w:r>
      <w:r w:rsidR="00F35D62" w:rsidRPr="00DD0CE5">
        <w:rPr>
          <w:lang w:val="en-US" w:eastAsia="en-GB"/>
        </w:rPr>
        <w:t xml:space="preserve">the </w:t>
      </w:r>
      <w:r w:rsidR="00F35D62" w:rsidRPr="00E63328">
        <w:rPr>
          <w:b/>
          <w:lang w:val="en-US" w:eastAsia="en-GB"/>
        </w:rPr>
        <w:t>General Food Law</w:t>
      </w:r>
      <w:r w:rsidR="00F35D62" w:rsidRPr="00DD0CE5">
        <w:rPr>
          <w:lang w:val="en-US" w:eastAsia="en-GB"/>
        </w:rPr>
        <w:t xml:space="preserve"> </w:t>
      </w:r>
      <w:r w:rsidR="003938A3" w:rsidRPr="00DD0CE5">
        <w:rPr>
          <w:lang w:val="en-US" w:eastAsia="en-GB"/>
        </w:rPr>
        <w:t xml:space="preserve">to </w:t>
      </w:r>
      <w:r w:rsidR="00EE515C">
        <w:rPr>
          <w:lang w:val="en-US" w:eastAsia="en-GB"/>
        </w:rPr>
        <w:t>make</w:t>
      </w:r>
      <w:r w:rsidR="00EE515C" w:rsidRPr="00DD0CE5">
        <w:rPr>
          <w:lang w:val="en-US" w:eastAsia="en-GB"/>
        </w:rPr>
        <w:t xml:space="preserve"> </w:t>
      </w:r>
      <w:r w:rsidR="003938A3" w:rsidRPr="00DD0CE5">
        <w:rPr>
          <w:lang w:val="en-US" w:eastAsia="en-GB"/>
        </w:rPr>
        <w:t xml:space="preserve">the regulatory environment more supportive of innovation </w:t>
      </w:r>
      <w:r w:rsidR="00DA5BF2" w:rsidRPr="00DD0CE5">
        <w:rPr>
          <w:lang w:val="en-US" w:eastAsia="en-GB"/>
        </w:rPr>
        <w:t>and competitiveness in the agri-food sector</w:t>
      </w:r>
      <w:r w:rsidR="00F35D62" w:rsidRPr="00DD0CE5">
        <w:rPr>
          <w:lang w:val="en-US" w:eastAsia="en-GB"/>
        </w:rPr>
        <w:t>.</w:t>
      </w:r>
      <w:r w:rsidR="2CD010CD" w:rsidRPr="00DD0CE5">
        <w:rPr>
          <w:lang w:val="en-US" w:eastAsia="en-GB"/>
        </w:rPr>
        <w:t xml:space="preserve"> </w:t>
      </w:r>
      <w:r w:rsidR="00685C72">
        <w:rPr>
          <w:lang w:val="en-US" w:eastAsia="en-GB"/>
        </w:rPr>
        <w:t>The Biotech Act</w:t>
      </w:r>
      <w:r w:rsidR="2CD010CD" w:rsidRPr="00DD0CE5">
        <w:rPr>
          <w:lang w:val="en-US" w:eastAsia="en-GB"/>
        </w:rPr>
        <w:t xml:space="preserve"> is also consistent with the </w:t>
      </w:r>
      <w:r w:rsidR="19478DDA" w:rsidRPr="00DD0CE5">
        <w:rPr>
          <w:lang w:val="en-US" w:eastAsia="en-GB"/>
        </w:rPr>
        <w:t xml:space="preserve">Commission </w:t>
      </w:r>
      <w:r w:rsidR="2CD010CD" w:rsidRPr="00DD0CE5">
        <w:rPr>
          <w:lang w:val="en-US" w:eastAsia="en-GB"/>
        </w:rPr>
        <w:t xml:space="preserve">proposal on plants developed by certain </w:t>
      </w:r>
      <w:r w:rsidR="464F2C07" w:rsidRPr="00DD0CE5">
        <w:rPr>
          <w:b/>
          <w:lang w:val="en-US" w:eastAsia="en-GB"/>
        </w:rPr>
        <w:t xml:space="preserve">new </w:t>
      </w:r>
      <w:r w:rsidR="2CD010CD" w:rsidRPr="00DD0CE5">
        <w:rPr>
          <w:b/>
          <w:lang w:val="en-US" w:eastAsia="en-GB"/>
        </w:rPr>
        <w:t>genomic techniques</w:t>
      </w:r>
      <w:r w:rsidR="00515AEB" w:rsidRPr="00DD0CE5">
        <w:rPr>
          <w:lang w:val="en-IE" w:eastAsia="en-GB"/>
        </w:rPr>
        <w:t> </w:t>
      </w:r>
      <w:r w:rsidR="00657158" w:rsidRPr="00DD0CE5">
        <w:rPr>
          <w:rStyle w:val="FootnoteReference"/>
          <w:rFonts w:eastAsia="Times New Roman"/>
          <w:color w:val="000000" w:themeColor="text1"/>
          <w:lang w:val="en-US" w:eastAsia="en-GB"/>
        </w:rPr>
        <w:footnoteReference w:id="57"/>
      </w:r>
      <w:r w:rsidR="2CD010CD" w:rsidRPr="00DD0CE5">
        <w:rPr>
          <w:lang w:val="en-US" w:eastAsia="en-GB"/>
        </w:rPr>
        <w:t xml:space="preserve"> as it continues to adapt the GMO framework to </w:t>
      </w:r>
      <w:r w:rsidR="001D4939">
        <w:rPr>
          <w:lang w:val="en-US" w:eastAsia="en-GB"/>
        </w:rPr>
        <w:t xml:space="preserve">ensure </w:t>
      </w:r>
      <w:r w:rsidR="006F3ADA">
        <w:rPr>
          <w:lang w:val="en-US" w:eastAsia="en-GB"/>
        </w:rPr>
        <w:t xml:space="preserve">that </w:t>
      </w:r>
      <w:r w:rsidR="006F3ADA" w:rsidRPr="00DD0CE5">
        <w:rPr>
          <w:lang w:val="en-US" w:eastAsia="en-GB"/>
        </w:rPr>
        <w:t>innovat</w:t>
      </w:r>
      <w:r w:rsidR="006F3ADA">
        <w:rPr>
          <w:lang w:val="en-US" w:eastAsia="en-GB"/>
        </w:rPr>
        <w:t xml:space="preserve">ive products are regulated </w:t>
      </w:r>
      <w:r w:rsidR="001D4939">
        <w:rPr>
          <w:lang w:val="en-US" w:eastAsia="en-GB"/>
        </w:rPr>
        <w:t>proportionate</w:t>
      </w:r>
      <w:r w:rsidR="006F3ADA">
        <w:rPr>
          <w:lang w:val="en-US" w:eastAsia="en-GB"/>
        </w:rPr>
        <w:t>ly</w:t>
      </w:r>
      <w:r w:rsidR="2CD010CD" w:rsidRPr="00DD0CE5">
        <w:rPr>
          <w:lang w:val="en-US" w:eastAsia="en-GB"/>
        </w:rPr>
        <w:t xml:space="preserve">. </w:t>
      </w:r>
      <w:r w:rsidR="00E5018F" w:rsidRPr="00DD0CE5">
        <w:rPr>
          <w:lang w:val="en-US" w:eastAsia="en-GB"/>
        </w:rPr>
        <w:t xml:space="preserve">The </w:t>
      </w:r>
      <w:r w:rsidR="00E5018F">
        <w:rPr>
          <w:lang w:val="en-US" w:eastAsia="en-GB"/>
        </w:rPr>
        <w:t xml:space="preserve">Biotech Act </w:t>
      </w:r>
      <w:r w:rsidR="00D24D71">
        <w:rPr>
          <w:lang w:val="en-US" w:eastAsia="en-GB"/>
        </w:rPr>
        <w:t xml:space="preserve">is also </w:t>
      </w:r>
      <w:r w:rsidR="00E5018F" w:rsidRPr="00DD0CE5">
        <w:rPr>
          <w:lang w:val="en-US" w:eastAsia="en-GB"/>
        </w:rPr>
        <w:t xml:space="preserve">designed </w:t>
      </w:r>
      <w:r w:rsidR="00E5018F">
        <w:rPr>
          <w:lang w:val="en-US" w:eastAsia="en-GB"/>
        </w:rPr>
        <w:t>to</w:t>
      </w:r>
      <w:r w:rsidR="00E5018F" w:rsidRPr="00DD0CE5">
        <w:rPr>
          <w:lang w:val="en-US" w:eastAsia="en-GB"/>
        </w:rPr>
        <w:t xml:space="preserve"> build</w:t>
      </w:r>
      <w:r w:rsidR="00E5018F">
        <w:rPr>
          <w:lang w:val="en-US" w:eastAsia="en-GB"/>
        </w:rPr>
        <w:t xml:space="preserve"> </w:t>
      </w:r>
      <w:r w:rsidR="00E5018F" w:rsidRPr="00DD0CE5">
        <w:rPr>
          <w:lang w:val="en-US" w:eastAsia="en-GB"/>
        </w:rPr>
        <w:t>synergies</w:t>
      </w:r>
      <w:r w:rsidR="00D24D71">
        <w:rPr>
          <w:lang w:val="en-US" w:eastAsia="en-GB"/>
        </w:rPr>
        <w:t xml:space="preserve"> with</w:t>
      </w:r>
      <w:r w:rsidR="00E5018F" w:rsidRPr="00DD0CE5">
        <w:rPr>
          <w:lang w:val="en-US" w:eastAsia="en-GB"/>
        </w:rPr>
        <w:t xml:space="preserve"> initiatives such as the recently</w:t>
      </w:r>
      <w:r w:rsidR="00E5018F">
        <w:rPr>
          <w:lang w:val="en-US" w:eastAsia="en-GB"/>
        </w:rPr>
        <w:t>-</w:t>
      </w:r>
      <w:r w:rsidR="00E5018F" w:rsidRPr="00DD0CE5">
        <w:rPr>
          <w:lang w:val="en-US" w:eastAsia="en-GB"/>
        </w:rPr>
        <w:t xml:space="preserve">adopted </w:t>
      </w:r>
      <w:r w:rsidR="00E5018F" w:rsidRPr="00DD0CE5">
        <w:rPr>
          <w:b/>
          <w:lang w:val="en-US" w:eastAsia="en-GB"/>
        </w:rPr>
        <w:t>B</w:t>
      </w:r>
      <w:r w:rsidR="00E5018F" w:rsidRPr="7E0A535E">
        <w:rPr>
          <w:b/>
          <w:lang w:val="en-US" w:eastAsia="en-GB"/>
        </w:rPr>
        <w:t>ioeconomy Strategy</w:t>
      </w:r>
      <w:r w:rsidR="00E5018F" w:rsidRPr="00DD0CE5">
        <w:rPr>
          <w:lang w:val="en-IE" w:eastAsia="en-GB"/>
        </w:rPr>
        <w:t> </w:t>
      </w:r>
      <w:r w:rsidR="00E5018F" w:rsidRPr="00DD0CE5">
        <w:rPr>
          <w:rStyle w:val="FootnoteReference"/>
          <w:rFonts w:eastAsia="Times New Roman"/>
          <w:color w:val="000000" w:themeColor="text1"/>
          <w:bdr w:val="nil"/>
          <w:lang w:val="en-US" w:eastAsia="en-GB"/>
        </w:rPr>
        <w:footnoteReference w:id="58"/>
      </w:r>
      <w:r w:rsidR="00E5018F">
        <w:rPr>
          <w:lang w:eastAsia="en-GB"/>
        </w:rPr>
        <w:t>.</w:t>
      </w:r>
      <w:r w:rsidR="00E5018F" w:rsidRPr="00DD0CE5">
        <w:rPr>
          <w:lang w:val="en-US" w:eastAsia="en-GB"/>
        </w:rPr>
        <w:t xml:space="preserve"> </w:t>
      </w:r>
    </w:p>
    <w:p w14:paraId="4388D58A" w14:textId="07B8A390" w:rsidR="006F47B3" w:rsidRPr="00936501" w:rsidRDefault="0051307D" w:rsidP="00CA2F92">
      <w:r>
        <w:t>C</w:t>
      </w:r>
      <w:r w:rsidR="00F35D62" w:rsidRPr="00DD0CE5">
        <w:t xml:space="preserve">limate change has </w:t>
      </w:r>
      <w:r>
        <w:t>highlighted</w:t>
      </w:r>
      <w:r w:rsidRPr="00DD0CE5">
        <w:t xml:space="preserve"> </w:t>
      </w:r>
      <w:r w:rsidR="00F35D62" w:rsidRPr="00DD0CE5">
        <w:t xml:space="preserve">the need to prioritise the </w:t>
      </w:r>
      <w:r w:rsidR="00EB4A91">
        <w:t>EU’s</w:t>
      </w:r>
      <w:r w:rsidR="00F35D62" w:rsidRPr="00DD0CE5">
        <w:t xml:space="preserve"> resilience, </w:t>
      </w:r>
      <w:r>
        <w:t xml:space="preserve">so </w:t>
      </w:r>
      <w:r w:rsidR="008F4D6F" w:rsidRPr="00DD0CE5">
        <w:t>t</w:t>
      </w:r>
      <w:r w:rsidR="00F35D62" w:rsidRPr="00DD0CE5">
        <w:t xml:space="preserve">he </w:t>
      </w:r>
      <w:r w:rsidR="002816A5">
        <w:t xml:space="preserve">Biotech </w:t>
      </w:r>
      <w:r w:rsidR="00D878BF" w:rsidRPr="00DD0CE5">
        <w:t>Act</w:t>
      </w:r>
      <w:r w:rsidR="00F35D62" w:rsidRPr="00DD0CE5">
        <w:t xml:space="preserve"> </w:t>
      </w:r>
      <w:r w:rsidR="00EB4A91">
        <w:t xml:space="preserve">reflects this priority too. It is in line </w:t>
      </w:r>
      <w:r w:rsidR="00F35D62" w:rsidRPr="00DD0CE5">
        <w:t xml:space="preserve">with the Commission’s </w:t>
      </w:r>
      <w:r w:rsidR="00E813B8" w:rsidRPr="00DD0CE5">
        <w:t xml:space="preserve">climate neutrality </w:t>
      </w:r>
      <w:r w:rsidR="00F35D62" w:rsidRPr="00DD0CE5">
        <w:t xml:space="preserve">objectives set out in the </w:t>
      </w:r>
      <w:r w:rsidR="00F35D62" w:rsidRPr="00DD0CE5">
        <w:rPr>
          <w:b/>
        </w:rPr>
        <w:t>EU Climate Law</w:t>
      </w:r>
      <w:r w:rsidR="00F35D62" w:rsidRPr="00DD0CE5">
        <w:rPr>
          <w:rStyle w:val="FootnoteReference"/>
          <w:rFonts w:eastAsia="Times New Roman"/>
          <w:color w:val="000000" w:themeColor="text1"/>
        </w:rPr>
        <w:footnoteReference w:id="59"/>
      </w:r>
      <w:r w:rsidR="00F35D62" w:rsidRPr="00DD0CE5">
        <w:t xml:space="preserve"> and the </w:t>
      </w:r>
      <w:r w:rsidR="00073476">
        <w:rPr>
          <w:b/>
        </w:rPr>
        <w:t>EU’s</w:t>
      </w:r>
      <w:r w:rsidR="00F35D62" w:rsidRPr="00DD0CE5">
        <w:rPr>
          <w:b/>
        </w:rPr>
        <w:t xml:space="preserve"> Strategy on Adaptation to Climate Change</w:t>
      </w:r>
      <w:r w:rsidR="00F35D62" w:rsidRPr="00DD0CE5">
        <w:rPr>
          <w:rStyle w:val="FootnoteReference"/>
          <w:rFonts w:eastAsia="Times New Roman"/>
          <w:color w:val="000000" w:themeColor="text1"/>
        </w:rPr>
        <w:footnoteReference w:id="60"/>
      </w:r>
      <w:r w:rsidR="00F35D62" w:rsidRPr="00DD0CE5">
        <w:t>.</w:t>
      </w:r>
      <w:r w:rsidR="00DB7DDF">
        <w:t xml:space="preserve"> I</w:t>
      </w:r>
      <w:r w:rsidR="00DB7DDF">
        <w:rPr>
          <w:lang w:val="en-IE" w:eastAsia="en-GB"/>
        </w:rPr>
        <w:t xml:space="preserve">t </w:t>
      </w:r>
      <w:r w:rsidR="00CF6D98">
        <w:rPr>
          <w:lang w:val="en-IE" w:eastAsia="en-GB"/>
        </w:rPr>
        <w:t>also</w:t>
      </w:r>
      <w:r w:rsidR="00DB7DDF">
        <w:rPr>
          <w:lang w:val="en-IE" w:eastAsia="en-GB"/>
        </w:rPr>
        <w:t xml:space="preserve"> </w:t>
      </w:r>
      <w:r w:rsidR="00DB7DDF" w:rsidRPr="00DD0CE5">
        <w:rPr>
          <w:lang w:val="en-US"/>
        </w:rPr>
        <w:t>ensur</w:t>
      </w:r>
      <w:r w:rsidR="00DB7DDF">
        <w:rPr>
          <w:lang w:val="en-US"/>
        </w:rPr>
        <w:t xml:space="preserve">es </w:t>
      </w:r>
      <w:r w:rsidR="00DB7DDF" w:rsidRPr="00DD0CE5">
        <w:rPr>
          <w:lang w:val="en-US"/>
        </w:rPr>
        <w:t xml:space="preserve">alignment with the </w:t>
      </w:r>
      <w:r w:rsidR="00DB7DDF" w:rsidRPr="00DD0CE5">
        <w:rPr>
          <w:b/>
          <w:lang w:val="en-US"/>
        </w:rPr>
        <w:t>‘do no significant harm’</w:t>
      </w:r>
      <w:r w:rsidR="00DB7DDF" w:rsidRPr="00DD0CE5">
        <w:rPr>
          <w:lang w:val="en-US"/>
        </w:rPr>
        <w:t xml:space="preserve"> principle</w:t>
      </w:r>
      <w:r w:rsidR="00DB7DDF">
        <w:rPr>
          <w:lang w:val="en-US"/>
        </w:rPr>
        <w:t>.</w:t>
      </w:r>
      <w:r w:rsidR="00DB7DDF">
        <w:t xml:space="preserve"> </w:t>
      </w:r>
      <w:r w:rsidR="00D07C9A">
        <w:t>B</w:t>
      </w:r>
      <w:r w:rsidR="006F47B3">
        <w:t>i</w:t>
      </w:r>
      <w:r w:rsidR="00D07C9A" w:rsidRPr="00D07C9A">
        <w:t xml:space="preserve">otechnology products </w:t>
      </w:r>
      <w:r w:rsidR="00D07C9A">
        <w:t xml:space="preserve">have the potential to </w:t>
      </w:r>
      <w:r w:rsidR="000F1587">
        <w:t>support</w:t>
      </w:r>
      <w:r w:rsidR="00D07C9A" w:rsidRPr="00D07C9A">
        <w:t xml:space="preserve"> </w:t>
      </w:r>
      <w:r w:rsidR="00FD75A0">
        <w:t>adaptation to</w:t>
      </w:r>
      <w:r w:rsidR="00D07C9A" w:rsidRPr="00D07C9A">
        <w:t xml:space="preserve"> climate change, contribute to health and food security through sustainable biomanufacturing</w:t>
      </w:r>
      <w:r w:rsidR="003114B4">
        <w:t>,</w:t>
      </w:r>
      <w:r w:rsidR="00D07C9A" w:rsidRPr="00D07C9A">
        <w:t xml:space="preserve"> and protect biodiversity.</w:t>
      </w:r>
      <w:r w:rsidR="00F35D62" w:rsidRPr="00DD0CE5">
        <w:t xml:space="preserve"> </w:t>
      </w:r>
      <w:r w:rsidR="006E3155">
        <w:t>They</w:t>
      </w:r>
      <w:r w:rsidR="006F47B3" w:rsidRPr="00936501">
        <w:t xml:space="preserve"> </w:t>
      </w:r>
      <w:r w:rsidR="006E3155">
        <w:t>may</w:t>
      </w:r>
      <w:r w:rsidR="006F47B3" w:rsidRPr="00936501">
        <w:t xml:space="preserve"> also replace products potentially more harmful for the environment </w:t>
      </w:r>
      <w:r w:rsidR="00A1733B">
        <w:t>and</w:t>
      </w:r>
      <w:r w:rsidR="00A1733B" w:rsidRPr="00936501">
        <w:t xml:space="preserve"> </w:t>
      </w:r>
      <w:r w:rsidR="006F47B3" w:rsidRPr="00936501">
        <w:t>provid</w:t>
      </w:r>
      <w:r w:rsidR="00A1733B">
        <w:t>e</w:t>
      </w:r>
      <w:r w:rsidR="006F47B3" w:rsidRPr="00936501">
        <w:t xml:space="preserve"> benefits for consumers and users</w:t>
      </w:r>
      <w:r w:rsidR="006F47B3">
        <w:t>.</w:t>
      </w:r>
    </w:p>
    <w:p w14:paraId="7F985501" w14:textId="1322BA15" w:rsidR="00E5018F" w:rsidRPr="00DD0CE5" w:rsidRDefault="00E668E0" w:rsidP="0019055E">
      <w:pPr>
        <w:rPr>
          <w:lang w:val="en-US" w:eastAsia="en-GB"/>
        </w:rPr>
      </w:pPr>
      <w:r>
        <w:t xml:space="preserve">The Biotech Act will not affect </w:t>
      </w:r>
      <w:r w:rsidR="00DA0AD4">
        <w:t>EU legislation</w:t>
      </w:r>
      <w:r w:rsidR="00F35D62" w:rsidRPr="00DD0CE5">
        <w:t xml:space="preserve"> </w:t>
      </w:r>
      <w:r w:rsidR="00842E76" w:rsidRPr="00DD0CE5">
        <w:t>on</w:t>
      </w:r>
      <w:r w:rsidR="00F35D62" w:rsidRPr="00DD0CE5">
        <w:t xml:space="preserve"> the </w:t>
      </w:r>
      <w:r w:rsidR="00F35D62" w:rsidRPr="00DD0CE5">
        <w:rPr>
          <w:b/>
        </w:rPr>
        <w:t>Registration, Evaluation, Authorisation and Restriction of Chemicals (REACH)</w:t>
      </w:r>
      <w:r w:rsidR="00F35D62" w:rsidRPr="00DD0CE5">
        <w:rPr>
          <w:rStyle w:val="FootnoteReference"/>
          <w:rFonts w:eastAsia="Times New Roman"/>
          <w:color w:val="000000" w:themeColor="text1"/>
        </w:rPr>
        <w:footnoteReference w:id="61"/>
      </w:r>
      <w:r w:rsidR="004C1C79">
        <w:rPr>
          <w:bCs/>
        </w:rPr>
        <w:t xml:space="preserve">, </w:t>
      </w:r>
      <w:r w:rsidR="00F35D62" w:rsidRPr="00DD0CE5">
        <w:rPr>
          <w:b/>
          <w:lang w:val="en-IE" w:eastAsia="de-DE"/>
        </w:rPr>
        <w:t>Regulation</w:t>
      </w:r>
      <w:r w:rsidR="00B36D96">
        <w:rPr>
          <w:b/>
          <w:lang w:val="en-IE" w:eastAsia="de-DE"/>
        </w:rPr>
        <w:t xml:space="preserve"> </w:t>
      </w:r>
      <w:r w:rsidR="00C872DD" w:rsidRPr="00C872DD">
        <w:rPr>
          <w:b/>
          <w:lang w:val="en-IE" w:eastAsia="de-DE"/>
        </w:rPr>
        <w:t>(EU) 2024/1735</w:t>
      </w:r>
      <w:r w:rsidR="00C872DD">
        <w:rPr>
          <w:b/>
          <w:lang w:val="en-IE" w:eastAsia="de-DE"/>
        </w:rPr>
        <w:t xml:space="preserve"> </w:t>
      </w:r>
      <w:r w:rsidR="00432E84">
        <w:rPr>
          <w:b/>
          <w:lang w:val="en-IE" w:eastAsia="de-DE"/>
        </w:rPr>
        <w:t>on</w:t>
      </w:r>
      <w:r w:rsidR="00432E84" w:rsidRPr="00DD0CE5">
        <w:rPr>
          <w:b/>
          <w:lang w:val="en-IE" w:eastAsia="de-DE"/>
        </w:rPr>
        <w:t xml:space="preserve"> </w:t>
      </w:r>
      <w:r w:rsidR="00F35D62" w:rsidRPr="00DD0CE5">
        <w:rPr>
          <w:b/>
          <w:lang w:val="en-IE" w:eastAsia="de-DE"/>
        </w:rPr>
        <w:t>sustainable biogas and biomethane technologies and biotechnology climate and energy solutions</w:t>
      </w:r>
      <w:r w:rsidR="00F35D62" w:rsidRPr="00DD0CE5">
        <w:rPr>
          <w:rStyle w:val="FootnoteReference"/>
          <w:rFonts w:eastAsia="Times New Roman"/>
          <w:color w:val="000000" w:themeColor="text1"/>
          <w:lang w:val="en-IE" w:eastAsia="de-DE"/>
        </w:rPr>
        <w:footnoteReference w:id="62"/>
      </w:r>
      <w:r w:rsidR="004C1C79">
        <w:rPr>
          <w:lang w:val="en-IE" w:eastAsia="en-GB"/>
        </w:rPr>
        <w:t xml:space="preserve"> or the</w:t>
      </w:r>
      <w:r w:rsidR="004C1C79" w:rsidRPr="004C1C79">
        <w:t xml:space="preserve"> </w:t>
      </w:r>
      <w:r w:rsidR="004C1C79" w:rsidRPr="00EF4B1E">
        <w:rPr>
          <w:b/>
          <w:lang w:val="en-IE" w:eastAsia="en-GB"/>
        </w:rPr>
        <w:t>Directive 2010/63/EU on the protection of animals used for scientific purposes</w:t>
      </w:r>
      <w:r w:rsidR="0019055E" w:rsidRPr="00DD0CE5">
        <w:rPr>
          <w:lang w:val="en-US"/>
        </w:rPr>
        <w:t>.</w:t>
      </w:r>
      <w:r w:rsidR="0019055E" w:rsidRPr="00DD0CE5">
        <w:rPr>
          <w:lang w:val="en-US" w:eastAsia="en-GB"/>
        </w:rPr>
        <w:t xml:space="preserve"> </w:t>
      </w:r>
    </w:p>
    <w:p w14:paraId="24313C37" w14:textId="7A5DF47C" w:rsidR="00D72262" w:rsidRPr="00DD0CE5" w:rsidRDefault="00D72262" w:rsidP="007F6C26">
      <w:pPr>
        <w:pStyle w:val="Heading2"/>
        <w:rPr>
          <w:lang w:val="en-IE"/>
        </w:rPr>
      </w:pPr>
      <w:bookmarkStart w:id="29" w:name="_Toc224747194"/>
      <w:bookmarkStart w:id="30" w:name="_Toc224749664"/>
      <w:bookmarkStart w:id="31" w:name="_Toc225974542"/>
      <w:bookmarkStart w:id="32" w:name="_Toc225975215"/>
      <w:bookmarkStart w:id="33" w:name="_Toc225975272"/>
      <w:bookmarkStart w:id="34" w:name="_Toc227941836"/>
      <w:r w:rsidRPr="00DD0CE5">
        <w:rPr>
          <w:lang w:val="en-IE"/>
        </w:rPr>
        <w:t>Background on the sector</w:t>
      </w:r>
      <w:bookmarkEnd w:id="29"/>
      <w:bookmarkEnd w:id="30"/>
      <w:bookmarkEnd w:id="31"/>
      <w:bookmarkEnd w:id="32"/>
      <w:bookmarkEnd w:id="33"/>
      <w:bookmarkEnd w:id="34"/>
      <w:r w:rsidR="00B55C5E" w:rsidRPr="00DD0CE5">
        <w:rPr>
          <w:lang w:val="en-IE"/>
        </w:rPr>
        <w:t xml:space="preserve"> </w:t>
      </w:r>
    </w:p>
    <w:p w14:paraId="6CAA31BD" w14:textId="4346463B" w:rsidR="00A41783" w:rsidRPr="00DD0CE5" w:rsidRDefault="00A41783" w:rsidP="00B62C59">
      <w:pPr>
        <w:rPr>
          <w:lang w:eastAsia="en-GB"/>
        </w:rPr>
      </w:pPr>
      <w:r w:rsidRPr="00DD0CE5">
        <w:rPr>
          <w:noProof/>
          <w:lang w:eastAsia="en-GB"/>
        </w:rPr>
        <w:t xml:space="preserve">For the purposes of this document, and as per the </w:t>
      </w:r>
      <w:r w:rsidR="008D4FE3">
        <w:rPr>
          <w:noProof/>
          <w:lang w:eastAsia="en-GB"/>
        </w:rPr>
        <w:t>proposed Regulation</w:t>
      </w:r>
      <w:r w:rsidRPr="00DD0CE5">
        <w:rPr>
          <w:noProof/>
          <w:lang w:eastAsia="en-GB"/>
        </w:rPr>
        <w:t xml:space="preserve">, </w:t>
      </w:r>
      <w:r w:rsidRPr="00DD0CE5">
        <w:rPr>
          <w:lang w:eastAsia="en-GB"/>
        </w:rPr>
        <w:t>biotechnology</w:t>
      </w:r>
      <w:r w:rsidRPr="00D567EB">
        <w:rPr>
          <w:rStyle w:val="FootnoteReference"/>
          <w:rFonts w:eastAsia="Times New Roman"/>
          <w:color w:val="000000" w:themeColor="text1"/>
          <w:lang w:eastAsia="en-GB"/>
        </w:rPr>
        <w:footnoteReference w:id="63"/>
      </w:r>
      <w:r w:rsidRPr="00DD0CE5">
        <w:rPr>
          <w:lang w:eastAsia="en-GB"/>
        </w:rPr>
        <w:t xml:space="preserve"> </w:t>
      </w:r>
      <w:r w:rsidRPr="00DD0CE5">
        <w:rPr>
          <w:noProof/>
          <w:lang w:eastAsia="en-GB"/>
        </w:rPr>
        <w:t xml:space="preserve">means </w:t>
      </w:r>
      <w:r w:rsidR="00515AEB">
        <w:rPr>
          <w:noProof/>
          <w:lang w:eastAsia="en-GB"/>
        </w:rPr>
        <w:t>“</w:t>
      </w:r>
      <w:r w:rsidRPr="00D567EB">
        <w:rPr>
          <w:lang w:eastAsia="en-GB"/>
        </w:rPr>
        <w:t>the application of science and technology to living organisms, as well as parts, products and models thereof, to alter living or non-living materials for the production of knowledge, products and services</w:t>
      </w:r>
      <w:r w:rsidR="00515AEB">
        <w:rPr>
          <w:iCs/>
          <w:lang w:eastAsia="en-GB"/>
        </w:rPr>
        <w:t>”</w:t>
      </w:r>
      <w:r w:rsidRPr="00DD0CE5">
        <w:rPr>
          <w:noProof/>
          <w:lang w:eastAsia="en-GB"/>
        </w:rPr>
        <w:t xml:space="preserve">. </w:t>
      </w:r>
      <w:r w:rsidR="003F6D90">
        <w:rPr>
          <w:noProof/>
          <w:lang w:eastAsia="en-GB"/>
        </w:rPr>
        <w:t>On</w:t>
      </w:r>
      <w:r w:rsidR="005A7410" w:rsidRPr="00DD0CE5">
        <w:rPr>
          <w:noProof/>
          <w:lang w:eastAsia="en-GB"/>
        </w:rPr>
        <w:t xml:space="preserve"> this </w:t>
      </w:r>
      <w:r w:rsidR="003F6D90">
        <w:rPr>
          <w:noProof/>
          <w:lang w:eastAsia="en-GB"/>
        </w:rPr>
        <w:t>bases,</w:t>
      </w:r>
      <w:r w:rsidR="005A7410" w:rsidRPr="00633631">
        <w:rPr>
          <w:lang w:eastAsia="en-GB"/>
        </w:rPr>
        <w:t xml:space="preserve"> health</w:t>
      </w:r>
      <w:r w:rsidR="005A7410" w:rsidRPr="725B6569">
        <w:rPr>
          <w:lang w:eastAsia="en-GB"/>
        </w:rPr>
        <w:t>, food and feed</w:t>
      </w:r>
      <w:r w:rsidR="00B7735D">
        <w:rPr>
          <w:lang w:eastAsia="en-GB"/>
        </w:rPr>
        <w:t xml:space="preserve"> are the main scope of the proposals</w:t>
      </w:r>
      <w:r w:rsidRPr="00633631">
        <w:rPr>
          <w:lang w:eastAsia="en-GB"/>
        </w:rPr>
        <w:t>.</w:t>
      </w:r>
      <w:r w:rsidRPr="00DD0CE5">
        <w:rPr>
          <w:noProof/>
          <w:lang w:eastAsia="en-GB"/>
        </w:rPr>
        <w:t xml:space="preserve"> </w:t>
      </w:r>
    </w:p>
    <w:p w14:paraId="513CAB8C" w14:textId="7F4A0589" w:rsidR="008906E8" w:rsidRPr="00DD0CE5" w:rsidRDefault="00A41783" w:rsidP="00293F8F">
      <w:pPr>
        <w:rPr>
          <w:rFonts w:cs="Arial"/>
          <w:b/>
          <w:lang w:val="en-US"/>
        </w:rPr>
      </w:pPr>
      <w:r w:rsidRPr="00DD0CE5">
        <w:rPr>
          <w:noProof/>
          <w:lang w:eastAsia="en-GB"/>
        </w:rPr>
        <w:t xml:space="preserve">Biotechnology and biomanufacturing are </w:t>
      </w:r>
      <w:r w:rsidR="009767D5">
        <w:rPr>
          <w:noProof/>
          <w:lang w:eastAsia="en-GB"/>
        </w:rPr>
        <w:t>major</w:t>
      </w:r>
      <w:r w:rsidR="00EC21E2">
        <w:rPr>
          <w:noProof/>
          <w:lang w:eastAsia="en-GB"/>
        </w:rPr>
        <w:t xml:space="preserve"> </w:t>
      </w:r>
      <w:r w:rsidR="002E0D2E" w:rsidRPr="00D567EB">
        <w:rPr>
          <w:b/>
          <w:bCs/>
          <w:noProof/>
          <w:lang w:eastAsia="en-GB"/>
        </w:rPr>
        <w:t>contributor</w:t>
      </w:r>
      <w:r w:rsidR="3C7CE0B3" w:rsidRPr="7DF791FD">
        <w:rPr>
          <w:b/>
          <w:bCs/>
          <w:noProof/>
          <w:lang w:eastAsia="en-GB"/>
        </w:rPr>
        <w:t>s</w:t>
      </w:r>
      <w:r w:rsidR="002E0D2E" w:rsidRPr="00D567EB">
        <w:rPr>
          <w:b/>
          <w:bCs/>
          <w:noProof/>
          <w:lang w:eastAsia="en-GB"/>
        </w:rPr>
        <w:t xml:space="preserve"> to </w:t>
      </w:r>
      <w:r w:rsidR="00C01F7E" w:rsidRPr="00D567EB">
        <w:rPr>
          <w:b/>
          <w:bCs/>
          <w:noProof/>
          <w:lang w:eastAsia="en-GB"/>
        </w:rPr>
        <w:t>the EU’s</w:t>
      </w:r>
      <w:r w:rsidRPr="00D567EB">
        <w:rPr>
          <w:b/>
          <w:bCs/>
          <w:noProof/>
          <w:lang w:eastAsia="en-GB"/>
        </w:rPr>
        <w:t xml:space="preserve"> econom</w:t>
      </w:r>
      <w:r w:rsidR="00C01F7E" w:rsidRPr="00D567EB">
        <w:rPr>
          <w:b/>
          <w:bCs/>
          <w:noProof/>
          <w:lang w:eastAsia="en-GB"/>
        </w:rPr>
        <w:t>y</w:t>
      </w:r>
      <w:r w:rsidRPr="00DD0CE5">
        <w:rPr>
          <w:noProof/>
          <w:lang w:eastAsia="en-GB"/>
        </w:rPr>
        <w:t xml:space="preserve">. </w:t>
      </w:r>
      <w:r w:rsidRPr="00DD0CE5">
        <w:t xml:space="preserve">In 2022, </w:t>
      </w:r>
      <w:r w:rsidR="00BD4552">
        <w:t>the overal</w:t>
      </w:r>
      <w:r w:rsidR="0047707B">
        <w:t xml:space="preserve">l </w:t>
      </w:r>
      <w:r w:rsidR="004D5889">
        <w:t>biotechnology</w:t>
      </w:r>
      <w:r w:rsidRPr="00DD0CE5">
        <w:t xml:space="preserve"> </w:t>
      </w:r>
      <w:r w:rsidR="0047707B">
        <w:t xml:space="preserve">sector </w:t>
      </w:r>
      <w:r w:rsidRPr="00DD0CE5">
        <w:t xml:space="preserve">accounted for </w:t>
      </w:r>
      <w:r w:rsidRPr="007A2861">
        <w:rPr>
          <w:b/>
        </w:rPr>
        <w:t xml:space="preserve">EUR 38.1 billion of </w:t>
      </w:r>
      <w:r w:rsidR="001C71CB" w:rsidRPr="007A2861">
        <w:rPr>
          <w:b/>
        </w:rPr>
        <w:t>E</w:t>
      </w:r>
      <w:r w:rsidRPr="007A2861">
        <w:rPr>
          <w:b/>
        </w:rPr>
        <w:t>U GDP</w:t>
      </w:r>
      <w:r w:rsidR="00A216D3">
        <w:rPr>
          <w:b/>
        </w:rPr>
        <w:t xml:space="preserve"> (</w:t>
      </w:r>
      <w:r w:rsidR="00AA03A2">
        <w:rPr>
          <w:b/>
        </w:rPr>
        <w:t>ca. 1.</w:t>
      </w:r>
      <w:r w:rsidR="00A216D3">
        <w:rPr>
          <w:b/>
        </w:rPr>
        <w:t>58%</w:t>
      </w:r>
      <w:r w:rsidR="0064403E">
        <w:rPr>
          <w:b/>
        </w:rPr>
        <w:t xml:space="preserve"> of the </w:t>
      </w:r>
      <w:r w:rsidR="00A216D3">
        <w:rPr>
          <w:b/>
        </w:rPr>
        <w:t xml:space="preserve">European </w:t>
      </w:r>
      <w:r w:rsidR="0064403E">
        <w:rPr>
          <w:b/>
        </w:rPr>
        <w:t>industrial sector</w:t>
      </w:r>
      <w:r w:rsidR="00A216D3">
        <w:rPr>
          <w:b/>
        </w:rPr>
        <w:t xml:space="preserve">), </w:t>
      </w:r>
      <w:r w:rsidR="00530854" w:rsidRPr="00816710">
        <w:t xml:space="preserve">with health biotechnology </w:t>
      </w:r>
      <w:r w:rsidR="00E270BF">
        <w:t xml:space="preserve">being </w:t>
      </w:r>
      <w:r w:rsidR="00530854" w:rsidRPr="00816710">
        <w:t>the dominant contributor</w:t>
      </w:r>
      <w:r w:rsidR="00DE0ECF">
        <w:t>. Additionally, it</w:t>
      </w:r>
      <w:r w:rsidRPr="00DD0CE5">
        <w:t xml:space="preserve"> contributed to </w:t>
      </w:r>
      <w:r w:rsidRPr="007A2861">
        <w:rPr>
          <w:b/>
        </w:rPr>
        <w:t>913</w:t>
      </w:r>
      <w:r w:rsidR="00EC1157">
        <w:rPr>
          <w:b/>
        </w:rPr>
        <w:t>,</w:t>
      </w:r>
      <w:r w:rsidRPr="007A2861">
        <w:rPr>
          <w:b/>
        </w:rPr>
        <w:t>160 jobs</w:t>
      </w:r>
      <w:r w:rsidR="00A216D3">
        <w:t xml:space="preserve">, </w:t>
      </w:r>
      <w:r w:rsidRPr="00DD0CE5">
        <w:t xml:space="preserve">with </w:t>
      </w:r>
      <w:r w:rsidR="009F4782">
        <w:t>around</w:t>
      </w:r>
      <w:r w:rsidRPr="00DD0CE5">
        <w:t xml:space="preserve"> 7</w:t>
      </w:r>
      <w:r w:rsidR="009F4782">
        <w:t>7</w:t>
      </w:r>
      <w:r w:rsidR="00405618">
        <w:t>%</w:t>
      </w:r>
      <w:r w:rsidRPr="00DD0CE5">
        <w:rPr>
          <w:rStyle w:val="FootnoteReference"/>
          <w:rFonts w:eastAsia="Times New Roman"/>
          <w:color w:val="000000" w:themeColor="text1"/>
        </w:rPr>
        <w:footnoteReference w:id="64"/>
      </w:r>
      <w:r w:rsidRPr="00DD0CE5">
        <w:t xml:space="preserve"> of those jobs coming from the health biotechnology sector. The sector </w:t>
      </w:r>
      <w:r w:rsidR="0077430B">
        <w:t>in the EU</w:t>
      </w:r>
      <w:r w:rsidRPr="00DD0CE5">
        <w:t xml:space="preserve"> is characterised by a </w:t>
      </w:r>
      <w:r w:rsidRPr="00882023">
        <w:rPr>
          <w:b/>
        </w:rPr>
        <w:t xml:space="preserve">large base of </w:t>
      </w:r>
      <w:r w:rsidR="00025C2D">
        <w:rPr>
          <w:b/>
        </w:rPr>
        <w:t>small and medium</w:t>
      </w:r>
      <w:r w:rsidR="70C77762" w:rsidRPr="4764E6F5">
        <w:rPr>
          <w:b/>
          <w:bCs/>
        </w:rPr>
        <w:t>-</w:t>
      </w:r>
      <w:r w:rsidR="00025C2D">
        <w:rPr>
          <w:b/>
        </w:rPr>
        <w:t>sized enterprises (</w:t>
      </w:r>
      <w:r w:rsidRPr="00882023">
        <w:rPr>
          <w:b/>
        </w:rPr>
        <w:t>SMEs</w:t>
      </w:r>
      <w:r w:rsidR="00025C2D">
        <w:rPr>
          <w:b/>
        </w:rPr>
        <w:t>)</w:t>
      </w:r>
      <w:r w:rsidRPr="00882023">
        <w:rPr>
          <w:b/>
        </w:rPr>
        <w:t xml:space="preserve"> </w:t>
      </w:r>
      <w:r w:rsidR="00EA4F95" w:rsidRPr="00882023">
        <w:rPr>
          <w:b/>
        </w:rPr>
        <w:t>(47</w:t>
      </w:r>
      <w:r w:rsidR="00405618">
        <w:rPr>
          <w:b/>
          <w:bCs/>
        </w:rPr>
        <w:t>%</w:t>
      </w:r>
      <w:r w:rsidR="00EA4F95" w:rsidRPr="00882023">
        <w:rPr>
          <w:b/>
        </w:rPr>
        <w:t xml:space="preserve">) and micro </w:t>
      </w:r>
      <w:r w:rsidR="00C44E82">
        <w:rPr>
          <w:b/>
        </w:rPr>
        <w:t>e</w:t>
      </w:r>
      <w:r w:rsidR="009D105F">
        <w:rPr>
          <w:b/>
        </w:rPr>
        <w:t>n</w:t>
      </w:r>
      <w:r w:rsidR="00C44E82">
        <w:rPr>
          <w:b/>
        </w:rPr>
        <w:t xml:space="preserve">terprises </w:t>
      </w:r>
      <w:r w:rsidR="00EA4F95" w:rsidRPr="00882023">
        <w:rPr>
          <w:b/>
        </w:rPr>
        <w:t>(35</w:t>
      </w:r>
      <w:r w:rsidR="00405618">
        <w:rPr>
          <w:b/>
          <w:bCs/>
        </w:rPr>
        <w:t>%</w:t>
      </w:r>
      <w:r w:rsidR="0077430B" w:rsidRPr="00882023">
        <w:rPr>
          <w:b/>
        </w:rPr>
        <w:t>)</w:t>
      </w:r>
      <w:r w:rsidRPr="00882023">
        <w:rPr>
          <w:b/>
        </w:rPr>
        <w:t>,</w:t>
      </w:r>
      <w:r w:rsidRPr="00DD0CE5">
        <w:t xml:space="preserve"> complemented by a smaller number of large</w:t>
      </w:r>
      <w:r w:rsidR="00EA4F95">
        <w:t xml:space="preserve"> </w:t>
      </w:r>
      <w:r w:rsidR="002E0D2E">
        <w:t>companies</w:t>
      </w:r>
      <w:r w:rsidR="00EA4F95">
        <w:t xml:space="preserve"> (18</w:t>
      </w:r>
      <w:r w:rsidR="208F5E49">
        <w:t>%</w:t>
      </w:r>
      <w:r w:rsidR="03113FFE">
        <w:t>)</w:t>
      </w:r>
      <w:r w:rsidR="00882023">
        <w:rPr>
          <w:rStyle w:val="FootnoteReference"/>
        </w:rPr>
        <w:footnoteReference w:id="65"/>
      </w:r>
      <w:r w:rsidR="0077430B">
        <w:rPr>
          <w:rFonts w:cs="Arial"/>
          <w:lang w:val="en-US"/>
        </w:rPr>
        <w:t>.</w:t>
      </w:r>
      <w:r w:rsidR="00A02CF6" w:rsidRPr="00DD0CE5">
        <w:rPr>
          <w:rFonts w:cs="Arial"/>
          <w:lang w:val="en-US"/>
        </w:rPr>
        <w:t xml:space="preserve"> </w:t>
      </w:r>
      <w:r w:rsidR="008D1D14">
        <w:rPr>
          <w:rFonts w:cs="Arial"/>
          <w:lang w:val="en-US"/>
        </w:rPr>
        <w:t xml:space="preserve">The </w:t>
      </w:r>
      <w:r w:rsidR="008D1D14" w:rsidRPr="00C07F71">
        <w:rPr>
          <w:rFonts w:cs="Arial"/>
          <w:b/>
          <w:bCs/>
          <w:lang w:val="en-US"/>
        </w:rPr>
        <w:t>sector’s dynamism</w:t>
      </w:r>
      <w:r w:rsidR="008D1D14">
        <w:rPr>
          <w:rFonts w:cs="Arial"/>
          <w:lang w:val="en-US"/>
        </w:rPr>
        <w:t xml:space="preserve"> is </w:t>
      </w:r>
      <w:r w:rsidR="16BD9062" w:rsidRPr="409C8384">
        <w:rPr>
          <w:rFonts w:cs="Arial"/>
          <w:lang w:val="en-US"/>
        </w:rPr>
        <w:t>illustrated</w:t>
      </w:r>
      <w:r w:rsidR="008D1D14">
        <w:rPr>
          <w:rFonts w:cs="Arial"/>
          <w:lang w:val="en-US"/>
        </w:rPr>
        <w:t xml:space="preserve"> by the </w:t>
      </w:r>
      <w:r>
        <w:rPr>
          <w:rFonts w:cs="Arial"/>
          <w:b/>
          <w:bCs/>
          <w:lang w:val="en-US"/>
        </w:rPr>
        <w:t xml:space="preserve">5,000 </w:t>
      </w:r>
      <w:r w:rsidR="047E637E" w:rsidRPr="2F3A7644">
        <w:rPr>
          <w:rFonts w:cs="Arial"/>
          <w:b/>
          <w:bCs/>
          <w:lang w:val="en-US"/>
        </w:rPr>
        <w:t>R&amp;D-</w:t>
      </w:r>
      <w:r w:rsidRPr="00DD0CE5">
        <w:rPr>
          <w:rFonts w:cs="Arial"/>
          <w:b/>
          <w:bCs/>
          <w:lang w:val="en-US"/>
        </w:rPr>
        <w:t>active biotechnology companies</w:t>
      </w:r>
      <w:r w:rsidRPr="00DD0CE5">
        <w:rPr>
          <w:rFonts w:cs="Arial"/>
          <w:lang w:val="en-US"/>
        </w:rPr>
        <w:t xml:space="preserve"> in the EU</w:t>
      </w:r>
      <w:r w:rsidR="00DA10BB">
        <w:rPr>
          <w:rStyle w:val="FootnoteReference"/>
          <w:rFonts w:cs="Arial"/>
          <w:lang w:val="en-US"/>
        </w:rPr>
        <w:footnoteReference w:id="66"/>
      </w:r>
      <w:r w:rsidRPr="00DD0CE5">
        <w:rPr>
          <w:rFonts w:cs="Arial"/>
          <w:lang w:val="en-US"/>
        </w:rPr>
        <w:t xml:space="preserve">. </w:t>
      </w:r>
      <w:r w:rsidR="008D1D14">
        <w:rPr>
          <w:rFonts w:cs="Arial"/>
          <w:lang w:val="en-US"/>
        </w:rPr>
        <w:t>Furthermore</w:t>
      </w:r>
      <w:r w:rsidRPr="00DD0CE5">
        <w:rPr>
          <w:rFonts w:cs="Arial"/>
          <w:lang w:val="en-US"/>
        </w:rPr>
        <w:t xml:space="preserve">, there were </w:t>
      </w:r>
      <w:r w:rsidRPr="00DD0CE5">
        <w:rPr>
          <w:rStyle w:val="Strong"/>
          <w:color w:val="000000" w:themeColor="text1"/>
          <w:lang w:val="en-US"/>
        </w:rPr>
        <w:t xml:space="preserve">3,232 </w:t>
      </w:r>
      <w:r w:rsidR="00FD629A" w:rsidRPr="00BA4000">
        <w:rPr>
          <w:rStyle w:val="Strong"/>
          <w:color w:val="000000" w:themeColor="text1"/>
          <w:lang w:val="en-US"/>
        </w:rPr>
        <w:t>unique biotechnology startups</w:t>
      </w:r>
      <w:r w:rsidR="00FD629A" w:rsidRPr="00816710">
        <w:rPr>
          <w:rStyle w:val="Strong"/>
          <w:b w:val="0"/>
          <w:color w:val="000000" w:themeColor="text1"/>
          <w:lang w:val="en-US"/>
        </w:rPr>
        <w:t xml:space="preserve"> </w:t>
      </w:r>
      <w:r w:rsidR="00FD629A" w:rsidRPr="006C7401">
        <w:rPr>
          <w:rStyle w:val="Strong"/>
          <w:color w:val="000000" w:themeColor="text1"/>
          <w:lang w:val="en-US"/>
        </w:rPr>
        <w:t>founded</w:t>
      </w:r>
      <w:r w:rsidR="00FD629A" w:rsidRPr="00816710">
        <w:rPr>
          <w:rStyle w:val="Strong"/>
          <w:b w:val="0"/>
          <w:color w:val="000000" w:themeColor="text1"/>
          <w:lang w:val="en-US"/>
        </w:rPr>
        <w:t xml:space="preserve"> since 2015</w:t>
      </w:r>
      <w:r w:rsidR="00012F72">
        <w:rPr>
          <w:rStyle w:val="Strong"/>
          <w:b w:val="0"/>
          <w:bCs w:val="0"/>
          <w:color w:val="000000" w:themeColor="text1"/>
          <w:lang w:val="en-US"/>
        </w:rPr>
        <w:t xml:space="preserve"> </w:t>
      </w:r>
      <w:r w:rsidR="002958FC">
        <w:rPr>
          <w:rStyle w:val="Strong"/>
          <w:b w:val="0"/>
          <w:bCs w:val="0"/>
          <w:color w:val="000000" w:themeColor="text1"/>
          <w:lang w:val="en-US"/>
        </w:rPr>
        <w:t>that</w:t>
      </w:r>
      <w:r w:rsidR="00012F72">
        <w:rPr>
          <w:rStyle w:val="Strong"/>
          <w:b w:val="0"/>
          <w:bCs w:val="0"/>
          <w:color w:val="000000" w:themeColor="text1"/>
          <w:lang w:val="en-US"/>
        </w:rPr>
        <w:t xml:space="preserve"> are still operative in 2025</w:t>
      </w:r>
      <w:r w:rsidR="3FBE634D">
        <w:rPr>
          <w:rStyle w:val="Strong"/>
          <w:b w:val="0"/>
          <w:bCs w:val="0"/>
          <w:color w:val="000000" w:themeColor="text1"/>
          <w:lang w:val="en-US"/>
        </w:rPr>
        <w:t>,</w:t>
      </w:r>
      <w:r w:rsidR="0019420E">
        <w:rPr>
          <w:rStyle w:val="Strong"/>
          <w:b w:val="0"/>
          <w:bCs w:val="0"/>
          <w:color w:val="000000" w:themeColor="text1"/>
          <w:lang w:val="en-US"/>
        </w:rPr>
        <w:t xml:space="preserve"> </w:t>
      </w:r>
      <w:r w:rsidRPr="00DD0CE5">
        <w:rPr>
          <w:rStyle w:val="Strong"/>
          <w:b w:val="0"/>
          <w:bCs w:val="0"/>
          <w:color w:val="000000" w:themeColor="text1"/>
          <w:lang w:val="en-US"/>
        </w:rPr>
        <w:t>largely in health</w:t>
      </w:r>
      <w:r w:rsidRPr="7E3D644D">
        <w:rPr>
          <w:rStyle w:val="FootnoteReference"/>
          <w:color w:val="000000" w:themeColor="text1"/>
          <w:lang w:val="en-US"/>
        </w:rPr>
        <w:footnoteReference w:id="67"/>
      </w:r>
      <w:r w:rsidR="00FD629A">
        <w:rPr>
          <w:rStyle w:val="Strong"/>
          <w:color w:val="000000" w:themeColor="text1"/>
          <w:lang w:val="en-US"/>
        </w:rPr>
        <w:t xml:space="preserve"> </w:t>
      </w:r>
      <w:r w:rsidR="004405C5">
        <w:rPr>
          <w:rStyle w:val="Strong"/>
          <w:b w:val="0"/>
          <w:bCs w:val="0"/>
          <w:color w:val="000000" w:themeColor="text1"/>
          <w:lang w:val="en-US"/>
        </w:rPr>
        <w:t xml:space="preserve">(See Annex </w:t>
      </w:r>
      <w:r w:rsidR="00B74321">
        <w:rPr>
          <w:rStyle w:val="Strong"/>
          <w:b w:val="0"/>
          <w:bCs w:val="0"/>
          <w:color w:val="000000" w:themeColor="text1"/>
          <w:lang w:val="en-US"/>
        </w:rPr>
        <w:t>5</w:t>
      </w:r>
      <w:r w:rsidR="004405C5">
        <w:rPr>
          <w:rStyle w:val="Strong"/>
          <w:b w:val="0"/>
          <w:bCs w:val="0"/>
          <w:color w:val="000000" w:themeColor="text1"/>
          <w:lang w:val="en-US"/>
        </w:rPr>
        <w:t xml:space="preserve">, </w:t>
      </w:r>
      <w:r w:rsidR="00406224">
        <w:rPr>
          <w:rStyle w:val="Strong"/>
          <w:b w:val="0"/>
          <w:bCs w:val="0"/>
          <w:color w:val="000000" w:themeColor="text1"/>
          <w:lang w:val="en-US"/>
        </w:rPr>
        <w:t>F</w:t>
      </w:r>
      <w:r w:rsidR="004405C5">
        <w:rPr>
          <w:rStyle w:val="Strong"/>
          <w:b w:val="0"/>
          <w:bCs w:val="0"/>
          <w:color w:val="000000" w:themeColor="text1"/>
          <w:lang w:val="en-US"/>
        </w:rPr>
        <w:t>igure 1</w:t>
      </w:r>
      <w:r w:rsidR="004405C5" w:rsidRPr="7BC0351D">
        <w:rPr>
          <w:rStyle w:val="Strong"/>
          <w:b w:val="0"/>
          <w:bCs w:val="0"/>
          <w:color w:val="000000" w:themeColor="text1"/>
          <w:lang w:val="en-US"/>
        </w:rPr>
        <w:t>)</w:t>
      </w:r>
      <w:r w:rsidRPr="00DD0CE5">
        <w:rPr>
          <w:rStyle w:val="Strong"/>
          <w:b w:val="0"/>
          <w:bCs w:val="0"/>
          <w:color w:val="000000" w:themeColor="text1"/>
          <w:lang w:val="en-US"/>
        </w:rPr>
        <w:t>.</w:t>
      </w:r>
    </w:p>
    <w:p w14:paraId="4C7D1108" w14:textId="6F68C72C" w:rsidR="00A41783" w:rsidRPr="00DD0CE5" w:rsidRDefault="00A41783" w:rsidP="00293F8F">
      <w:r w:rsidRPr="00DD0CE5">
        <w:rPr>
          <w:noProof/>
          <w:lang w:eastAsia="en-GB"/>
        </w:rPr>
        <w:t xml:space="preserve">The sector’s strategic importance is underscored by its rapid </w:t>
      </w:r>
      <w:r w:rsidRPr="00816710">
        <w:rPr>
          <w:b/>
          <w:lang w:eastAsia="en-GB"/>
        </w:rPr>
        <w:t>expansion</w:t>
      </w:r>
      <w:r w:rsidRPr="00DD0CE5">
        <w:rPr>
          <w:noProof/>
          <w:lang w:eastAsia="en-GB"/>
        </w:rPr>
        <w:t>. Over the last decade,</w:t>
      </w:r>
      <w:r w:rsidRPr="00DD0CE5">
        <w:rPr>
          <w:noProof/>
          <w:lang w:val="en-US" w:eastAsia="en-GB"/>
        </w:rPr>
        <w:t xml:space="preserve"> the EU biotechnology industry has almost doubled</w:t>
      </w:r>
      <w:r w:rsidR="3932554D" w:rsidRPr="00DD0CE5">
        <w:rPr>
          <w:noProof/>
          <w:lang w:val="en-US" w:eastAsia="en-GB"/>
        </w:rPr>
        <w:t xml:space="preserve"> </w:t>
      </w:r>
      <w:r w:rsidR="00F64399">
        <w:rPr>
          <w:noProof/>
          <w:lang w:val="en-US" w:eastAsia="en-GB"/>
        </w:rPr>
        <w:t>to the share of</w:t>
      </w:r>
      <w:r w:rsidR="00B9311E">
        <w:rPr>
          <w:noProof/>
          <w:lang w:val="en-US" w:eastAsia="en-GB"/>
        </w:rPr>
        <w:t xml:space="preserve"> </w:t>
      </w:r>
      <w:r w:rsidR="0013507A">
        <w:rPr>
          <w:noProof/>
          <w:lang w:val="en-US" w:eastAsia="en-GB"/>
        </w:rPr>
        <w:t>GDP</w:t>
      </w:r>
      <w:r w:rsidR="00F64399">
        <w:rPr>
          <w:noProof/>
          <w:lang w:val="en-US" w:eastAsia="en-GB"/>
        </w:rPr>
        <w:t xml:space="preserve"> it generates</w:t>
      </w:r>
      <w:r w:rsidRPr="00DD0CE5">
        <w:rPr>
          <w:noProof/>
          <w:lang w:val="en-US" w:eastAsia="en-GB"/>
        </w:rPr>
        <w:t>,</w:t>
      </w:r>
      <w:r w:rsidR="00F64399">
        <w:rPr>
          <w:noProof/>
          <w:lang w:val="en-US" w:eastAsia="en-GB"/>
        </w:rPr>
        <w:t xml:space="preserve"> growing</w:t>
      </w:r>
      <w:r w:rsidRPr="00DD0CE5">
        <w:rPr>
          <w:noProof/>
          <w:lang w:val="en-US" w:eastAsia="en-GB"/>
        </w:rPr>
        <w:t xml:space="preserve"> </w:t>
      </w:r>
      <w:r w:rsidR="00F64399">
        <w:rPr>
          <w:noProof/>
          <w:lang w:val="en-IE" w:eastAsia="en-GB"/>
        </w:rPr>
        <w:t>by</w:t>
      </w:r>
      <w:r w:rsidRPr="00DD0CE5">
        <w:rPr>
          <w:noProof/>
          <w:lang w:val="en-IE" w:eastAsia="en-GB"/>
        </w:rPr>
        <w:t xml:space="preserve"> around </w:t>
      </w:r>
      <w:r w:rsidRPr="00816710">
        <w:rPr>
          <w:b/>
          <w:lang w:val="en-IE" w:eastAsia="en-GB"/>
        </w:rPr>
        <w:t>7</w:t>
      </w:r>
      <w:r w:rsidR="00405618">
        <w:rPr>
          <w:b/>
          <w:lang w:val="en-IE" w:eastAsia="en-GB"/>
        </w:rPr>
        <w:t>%</w:t>
      </w:r>
      <w:r w:rsidRPr="00816710">
        <w:rPr>
          <w:b/>
          <w:lang w:val="en-IE" w:eastAsia="en-GB"/>
        </w:rPr>
        <w:t xml:space="preserve"> per year</w:t>
      </w:r>
      <w:r w:rsidRPr="00DD0CE5">
        <w:rPr>
          <w:noProof/>
          <w:lang w:val="en-IE" w:eastAsia="en-GB"/>
        </w:rPr>
        <w:t xml:space="preserve"> on average between 2015 and 2024</w:t>
      </w:r>
      <w:r w:rsidRPr="00DD0CE5">
        <w:rPr>
          <w:rStyle w:val="FootnoteReference"/>
          <w:rFonts w:eastAsia="Times New Roman"/>
          <w:noProof/>
          <w:color w:val="000000" w:themeColor="text1"/>
          <w:lang w:val="en-IE" w:eastAsia="en-GB"/>
        </w:rPr>
        <w:footnoteReference w:id="68"/>
      </w:r>
      <w:r w:rsidR="00B74321">
        <w:rPr>
          <w:noProof/>
          <w:lang w:val="en-IE" w:eastAsia="en-GB"/>
        </w:rPr>
        <w:t xml:space="preserve"> (See Annex 5, </w:t>
      </w:r>
      <w:r w:rsidR="00406224">
        <w:rPr>
          <w:noProof/>
          <w:lang w:val="en-IE" w:eastAsia="en-GB"/>
        </w:rPr>
        <w:t>F</w:t>
      </w:r>
      <w:r w:rsidR="00B74321">
        <w:rPr>
          <w:noProof/>
          <w:lang w:val="en-IE" w:eastAsia="en-GB"/>
        </w:rPr>
        <w:t>igure 2</w:t>
      </w:r>
      <w:r w:rsidR="00100C54">
        <w:rPr>
          <w:noProof/>
          <w:lang w:val="en-IE" w:eastAsia="en-GB"/>
        </w:rPr>
        <w:t xml:space="preserve"> for details on the sector GVA comparison</w:t>
      </w:r>
      <w:r w:rsidR="00B74321">
        <w:rPr>
          <w:noProof/>
          <w:lang w:val="en-IE" w:eastAsia="en-GB"/>
        </w:rPr>
        <w:t>)</w:t>
      </w:r>
      <w:r w:rsidRPr="00DD0CE5">
        <w:rPr>
          <w:noProof/>
          <w:lang w:val="en-IE" w:eastAsia="en-GB"/>
        </w:rPr>
        <w:t>.</w:t>
      </w:r>
      <w:r w:rsidR="00322170">
        <w:rPr>
          <w:lang w:eastAsia="en-GB"/>
        </w:rPr>
        <w:t xml:space="preserve"> </w:t>
      </w:r>
    </w:p>
    <w:p w14:paraId="75034C53" w14:textId="561F8DDC" w:rsidR="00A41783" w:rsidRPr="00DD0CE5" w:rsidRDefault="39772DF8" w:rsidP="00322170">
      <w:r>
        <w:rPr>
          <w:lang w:val="en-IE"/>
        </w:rPr>
        <w:t xml:space="preserve">From </w:t>
      </w:r>
      <w:r w:rsidR="66B69976" w:rsidRPr="00DD0CE5">
        <w:rPr>
          <w:lang w:val="en-IE"/>
        </w:rPr>
        <w:t xml:space="preserve">a </w:t>
      </w:r>
      <w:r w:rsidR="66B69976" w:rsidRPr="4DAF1ACB">
        <w:rPr>
          <w:b/>
          <w:bCs/>
          <w:lang w:val="en-IE"/>
        </w:rPr>
        <w:t xml:space="preserve">global </w:t>
      </w:r>
      <w:r w:rsidRPr="4DAF1ACB">
        <w:rPr>
          <w:b/>
          <w:bCs/>
          <w:lang w:val="en-IE"/>
        </w:rPr>
        <w:t>perspective</w:t>
      </w:r>
      <w:r w:rsidR="66B69976" w:rsidRPr="00DD0CE5">
        <w:t xml:space="preserve">, the EU </w:t>
      </w:r>
      <w:r>
        <w:t>has</w:t>
      </w:r>
      <w:r w:rsidR="66B69976" w:rsidRPr="00DD0CE5">
        <w:t xml:space="preserve"> significant strengths in biotechnology, but its overall competitiveness position is under increasing pressure</w:t>
      </w:r>
      <w:r w:rsidR="50195068">
        <w:t xml:space="preserve"> (see section 3 on problem definition)</w:t>
      </w:r>
      <w:r w:rsidR="66B69976" w:rsidRPr="00DD0CE5">
        <w:t xml:space="preserve">. The EU </w:t>
      </w:r>
      <w:r w:rsidR="5388C54E">
        <w:t>is</w:t>
      </w:r>
      <w:r w:rsidR="66B69976" w:rsidRPr="00DD0CE5">
        <w:t xml:space="preserve"> the </w:t>
      </w:r>
      <w:r w:rsidR="66B69976" w:rsidRPr="4DAF1ACB">
        <w:rPr>
          <w:b/>
          <w:bCs/>
        </w:rPr>
        <w:t>largest global exporter</w:t>
      </w:r>
      <w:r w:rsidR="66B69976" w:rsidRPr="00DD0CE5">
        <w:t xml:space="preserve"> of biotechnology products, demonstrating the sector’s strong industrial base and integration into global value chains</w:t>
      </w:r>
      <w:r w:rsidR="24165102">
        <w:t xml:space="preserve"> (see Annex 5, </w:t>
      </w:r>
      <w:r w:rsidR="5FE6B7A1">
        <w:t>Fi</w:t>
      </w:r>
      <w:r w:rsidR="24165102">
        <w:t>gure</w:t>
      </w:r>
      <w:r w:rsidR="1E0F6138">
        <w:t>s</w:t>
      </w:r>
      <w:r w:rsidR="5FE6B7A1">
        <w:t xml:space="preserve"> 3</w:t>
      </w:r>
      <w:r w:rsidR="1C5BFAEC">
        <w:t xml:space="preserve"> and 4</w:t>
      </w:r>
      <w:r w:rsidR="5FE6B7A1">
        <w:t>)</w:t>
      </w:r>
      <w:r w:rsidR="00A41783" w:rsidRPr="00DD0CE5">
        <w:rPr>
          <w:rStyle w:val="FootnoteReference"/>
        </w:rPr>
        <w:footnoteReference w:id="69"/>
      </w:r>
      <w:r w:rsidR="55E59638">
        <w:t>.</w:t>
      </w:r>
      <w:r w:rsidR="66B69976" w:rsidRPr="00DD0CE5">
        <w:t xml:space="preserve"> It is also a leader in biotechnology </w:t>
      </w:r>
      <w:r w:rsidR="66B69976" w:rsidRPr="4DAF1ACB">
        <w:rPr>
          <w:b/>
          <w:bCs/>
        </w:rPr>
        <w:t>science</w:t>
      </w:r>
      <w:r w:rsidR="66B69976" w:rsidRPr="00DD0CE5">
        <w:t>, reflected by a publication record comparable to that of the US and China, with all three regions having between 20 – 25</w:t>
      </w:r>
      <w:r w:rsidR="31B1194A">
        <w:t>%</w:t>
      </w:r>
      <w:r w:rsidR="66B69976" w:rsidRPr="00DD0CE5">
        <w:t xml:space="preserve"> of </w:t>
      </w:r>
      <w:r w:rsidR="5A638A78">
        <w:t xml:space="preserve">the </w:t>
      </w:r>
      <w:r w:rsidR="66B69976" w:rsidRPr="00DD0CE5">
        <w:t>top 10</w:t>
      </w:r>
      <w:r w:rsidR="31B1194A">
        <w:t>%</w:t>
      </w:r>
      <w:r w:rsidR="66B69976" w:rsidRPr="00DD0CE5">
        <w:t xml:space="preserve"> most cited publications across biology, biomedical research and clinical science</w:t>
      </w:r>
      <w:r w:rsidR="00416652">
        <w:rPr>
          <w:rStyle w:val="FootnoteReference"/>
        </w:rPr>
        <w:footnoteReference w:id="70"/>
      </w:r>
      <w:r w:rsidR="66B69976" w:rsidRPr="00DD0CE5">
        <w:t xml:space="preserve">. The EU </w:t>
      </w:r>
      <w:r w:rsidR="4E2A2A5C">
        <w:t>also</w:t>
      </w:r>
      <w:r w:rsidR="66B69976" w:rsidRPr="00DD0CE5">
        <w:t xml:space="preserve"> represents</w:t>
      </w:r>
      <w:r w:rsidR="66B69976" w:rsidRPr="00DD0CE5" w:rsidDel="0036351A">
        <w:t xml:space="preserve"> </w:t>
      </w:r>
      <w:r w:rsidR="66B69976" w:rsidRPr="00660538">
        <w:t>15</w:t>
      </w:r>
      <w:r w:rsidR="31B1194A">
        <w:t>%</w:t>
      </w:r>
      <w:r w:rsidR="66B69976" w:rsidRPr="00660538">
        <w:t xml:space="preserve"> </w:t>
      </w:r>
      <w:r w:rsidR="66B69976" w:rsidRPr="00DD0CE5">
        <w:t xml:space="preserve">of global </w:t>
      </w:r>
      <w:r w:rsidR="66B69976" w:rsidRPr="4DAF1ACB">
        <w:rPr>
          <w:b/>
          <w:bCs/>
        </w:rPr>
        <w:t xml:space="preserve">patent </w:t>
      </w:r>
      <w:r w:rsidR="00B145A8">
        <w:rPr>
          <w:b/>
          <w:bCs/>
        </w:rPr>
        <w:t>families</w:t>
      </w:r>
      <w:r w:rsidR="00B145A8" w:rsidRPr="00DD0CE5">
        <w:t xml:space="preserve"> </w:t>
      </w:r>
      <w:r w:rsidR="66B69976" w:rsidRPr="00DD0CE5">
        <w:t>in the biotech field</w:t>
      </w:r>
      <w:r w:rsidR="5FE6B7A1">
        <w:t xml:space="preserve"> (see Annex 5, Figure </w:t>
      </w:r>
      <w:r w:rsidR="0DC1F53A">
        <w:t>5</w:t>
      </w:r>
      <w:r w:rsidR="65F43DE9">
        <w:t xml:space="preserve"> for details on the distribution across the EU</w:t>
      </w:r>
      <w:r w:rsidR="5FE6B7A1">
        <w:t>)</w:t>
      </w:r>
      <w:r w:rsidR="00A41783" w:rsidRPr="00DD0CE5">
        <w:rPr>
          <w:rStyle w:val="FootnoteReference"/>
        </w:rPr>
        <w:footnoteReference w:id="71"/>
      </w:r>
      <w:r w:rsidR="66B69976" w:rsidRPr="00DD0CE5">
        <w:t>.</w:t>
      </w:r>
      <w:r w:rsidR="723832C9" w:rsidRPr="001158CE">
        <w:t xml:space="preserve"> At the same time, other major jurisdictions are accelerating policy and investment efforts to strengthen their biotechnology ecosystems, </w:t>
      </w:r>
      <w:r w:rsidR="08A089D5">
        <w:t>as shown</w:t>
      </w:r>
      <w:r w:rsidR="723832C9" w:rsidRPr="001158CE">
        <w:t xml:space="preserve"> </w:t>
      </w:r>
      <w:r w:rsidR="08A089D5">
        <w:t xml:space="preserve">by </w:t>
      </w:r>
      <w:r w:rsidR="723832C9" w:rsidRPr="001158CE">
        <w:t xml:space="preserve">recent initiatives </w:t>
      </w:r>
      <w:r w:rsidR="08A089D5" w:rsidRPr="001158CE">
        <w:t xml:space="preserve">in the </w:t>
      </w:r>
      <w:r w:rsidR="4E59F78C">
        <w:t>US</w:t>
      </w:r>
      <w:r w:rsidR="08A089D5" w:rsidRPr="001158CE">
        <w:t xml:space="preserve"> </w:t>
      </w:r>
      <w:r w:rsidR="723832C9" w:rsidRPr="001158CE">
        <w:t xml:space="preserve">at both </w:t>
      </w:r>
      <w:r w:rsidR="1719EA09" w:rsidRPr="001158CE">
        <w:t>c</w:t>
      </w:r>
      <w:r w:rsidR="723832C9" w:rsidRPr="001158CE">
        <w:t>ongressional and federal level</w:t>
      </w:r>
      <w:r w:rsidR="08A089D5">
        <w:t>, which</w:t>
      </w:r>
      <w:r w:rsidR="723832C9" w:rsidRPr="001158CE">
        <w:t xml:space="preserve"> frame biotechnology as a core economic and national security priority requiring coordinated action to sustain global leadership</w:t>
      </w:r>
      <w:r w:rsidR="001C61F2">
        <w:rPr>
          <w:rStyle w:val="FootnoteReference"/>
        </w:rPr>
        <w:footnoteReference w:id="72"/>
      </w:r>
      <w:r w:rsidR="7686F369">
        <w:t>.</w:t>
      </w:r>
    </w:p>
    <w:p w14:paraId="0E4DDAC6" w14:textId="780E6382" w:rsidR="00DA3A66" w:rsidRDefault="00A41783" w:rsidP="009F6D09">
      <w:r w:rsidRPr="00DD0CE5">
        <w:rPr>
          <w:lang w:val="en-IE"/>
        </w:rPr>
        <w:t xml:space="preserve">In terms of </w:t>
      </w:r>
      <w:r w:rsidRPr="00F31AAF">
        <w:rPr>
          <w:b/>
          <w:lang w:val="en-IE"/>
        </w:rPr>
        <w:t>projections</w:t>
      </w:r>
      <w:r w:rsidRPr="00DD0CE5">
        <w:rPr>
          <w:lang w:val="en-IE"/>
        </w:rPr>
        <w:t xml:space="preserve">, </w:t>
      </w:r>
      <w:r w:rsidRPr="00DD0CE5">
        <w:rPr>
          <w:rFonts w:cs="Arial"/>
        </w:rPr>
        <w:t xml:space="preserve">biotechnology and gene technologies are </w:t>
      </w:r>
      <w:r w:rsidR="00073476">
        <w:rPr>
          <w:rFonts w:cs="Arial"/>
        </w:rPr>
        <w:t>some of</w:t>
      </w:r>
      <w:r w:rsidR="00073476" w:rsidRPr="00DD0CE5">
        <w:rPr>
          <w:rFonts w:cs="Arial"/>
        </w:rPr>
        <w:t xml:space="preserve"> </w:t>
      </w:r>
      <w:r w:rsidRPr="00DD0CE5">
        <w:rPr>
          <w:rFonts w:cs="Arial"/>
        </w:rPr>
        <w:t xml:space="preserve">the most </w:t>
      </w:r>
      <w:r w:rsidRPr="00F31AAF">
        <w:rPr>
          <w:rFonts w:cs="Arial"/>
          <w:b/>
        </w:rPr>
        <w:t>impactful</w:t>
      </w:r>
      <w:r w:rsidRPr="00DD0CE5">
        <w:rPr>
          <w:rFonts w:cs="Arial"/>
        </w:rPr>
        <w:t xml:space="preserve"> </w:t>
      </w:r>
      <w:r w:rsidRPr="00F31AAF">
        <w:rPr>
          <w:rFonts w:cs="Arial"/>
          <w:b/>
        </w:rPr>
        <w:t xml:space="preserve">technology </w:t>
      </w:r>
      <w:r w:rsidRPr="00DD0CE5">
        <w:rPr>
          <w:rFonts w:cs="Arial"/>
          <w:b/>
        </w:rPr>
        <w:t>trends expected to influence business models</w:t>
      </w:r>
      <w:r w:rsidRPr="00DD0CE5">
        <w:rPr>
          <w:rFonts w:cs="Arial"/>
        </w:rPr>
        <w:t xml:space="preserve"> over the next five years</w:t>
      </w:r>
      <w:r w:rsidRPr="00DD0CE5">
        <w:rPr>
          <w:rStyle w:val="FootnoteReference"/>
          <w:rFonts w:cs="Arial"/>
        </w:rPr>
        <w:footnoteReference w:id="73"/>
      </w:r>
      <w:r w:rsidRPr="00DD0CE5">
        <w:rPr>
          <w:rFonts w:cs="Arial"/>
        </w:rPr>
        <w:t xml:space="preserve"> (</w:t>
      </w:r>
      <w:r w:rsidRPr="00DD0CE5">
        <w:rPr>
          <w:lang w:eastAsia="en-GB"/>
        </w:rPr>
        <w:t xml:space="preserve">i.e. the second most impactful technology in the medical and healthcare devices industry, with similar trends expected in </w:t>
      </w:r>
      <w:r w:rsidRPr="00DD0CE5">
        <w:rPr>
          <w:rFonts w:cs="Arial"/>
        </w:rPr>
        <w:t>agriculture, forestry, and fishing)</w:t>
      </w:r>
      <w:r w:rsidR="009701DE">
        <w:rPr>
          <w:rFonts w:cs="Arial"/>
        </w:rPr>
        <w:t xml:space="preserve">. </w:t>
      </w:r>
      <w:r w:rsidR="00056B6E">
        <w:rPr>
          <w:rFonts w:cs="Arial"/>
        </w:rPr>
        <w:t>In terms of</w:t>
      </w:r>
      <w:r w:rsidR="00B677AE">
        <w:rPr>
          <w:rFonts w:cs="Arial"/>
        </w:rPr>
        <w:t xml:space="preserve"> job creation</w:t>
      </w:r>
      <w:r w:rsidR="00056B6E">
        <w:rPr>
          <w:rFonts w:cs="Arial"/>
        </w:rPr>
        <w:t>, a strong positive trend has been observed</w:t>
      </w:r>
      <w:r w:rsidR="00056B6E">
        <w:rPr>
          <w:rStyle w:val="FootnoteReference"/>
          <w:rFonts w:cs="Arial"/>
        </w:rPr>
        <w:footnoteReference w:id="74"/>
      </w:r>
      <w:r w:rsidR="00056B6E">
        <w:rPr>
          <w:rFonts w:cs="Arial"/>
        </w:rPr>
        <w:t>.</w:t>
      </w:r>
      <w:r w:rsidR="00B677AE">
        <w:rPr>
          <w:rFonts w:cs="Arial"/>
        </w:rPr>
        <w:t xml:space="preserve"> </w:t>
      </w:r>
      <w:r w:rsidR="00F53F7B" w:rsidRPr="00DD0CE5">
        <w:rPr>
          <w:noProof/>
          <w:lang w:eastAsia="en-GB"/>
        </w:rPr>
        <w:t>In the public consultation</w:t>
      </w:r>
      <w:r w:rsidR="00F53F7B" w:rsidRPr="00AB756C">
        <w:rPr>
          <w:noProof/>
          <w:lang w:eastAsia="en-GB"/>
        </w:rPr>
        <w:t xml:space="preserve"> </w:t>
      </w:r>
      <w:r w:rsidR="00F079DD">
        <w:t>on the</w:t>
      </w:r>
      <w:r w:rsidR="00F079DD" w:rsidRPr="00DD0CE5">
        <w:t xml:space="preserve"> </w:t>
      </w:r>
      <w:r w:rsidR="00F079DD">
        <w:t>European Biotech Act</w:t>
      </w:r>
      <w:r w:rsidR="00F079DD" w:rsidRPr="00DD0CE5">
        <w:t xml:space="preserve"> </w:t>
      </w:r>
      <w:r w:rsidR="00F53F7B" w:rsidRPr="009F6D09">
        <w:rPr>
          <w:lang w:eastAsia="en-GB"/>
        </w:rPr>
        <w:t>stakeholders</w:t>
      </w:r>
      <w:r w:rsidR="00F53F7B">
        <w:rPr>
          <w:lang w:eastAsia="en-GB"/>
        </w:rPr>
        <w:t xml:space="preserve"> </w:t>
      </w:r>
      <w:r w:rsidR="00F079DD" w:rsidRPr="00DD0CE5">
        <w:t>agree</w:t>
      </w:r>
      <w:r w:rsidR="00F079DD">
        <w:t>d</w:t>
      </w:r>
      <w:r w:rsidR="00F079DD" w:rsidRPr="00DD0CE5">
        <w:t xml:space="preserve"> that biotechnology and biomanufacturing products could positively impact the EU</w:t>
      </w:r>
      <w:r w:rsidR="00F079DD">
        <w:t>’s</w:t>
      </w:r>
      <w:r w:rsidR="00F079DD" w:rsidRPr="00DD0CE5">
        <w:t xml:space="preserve"> economy</w:t>
      </w:r>
      <w:r w:rsidR="00F079DD" w:rsidRPr="00DD0CE5">
        <w:rPr>
          <w:rStyle w:val="FootnoteReference"/>
          <w:lang w:val="en-IE"/>
        </w:rPr>
        <w:footnoteReference w:id="75"/>
      </w:r>
      <w:r w:rsidR="00F079DD" w:rsidRPr="00DD0CE5">
        <w:t>.</w:t>
      </w:r>
      <w:r w:rsidR="00F079DD">
        <w:t xml:space="preserve"> </w:t>
      </w:r>
    </w:p>
    <w:p w14:paraId="3E90032B" w14:textId="62EDD49F" w:rsidR="00A41783" w:rsidRPr="00405482" w:rsidRDefault="009F2E2D" w:rsidP="009F6D09">
      <w:r>
        <w:rPr>
          <w:noProof/>
          <w:lang w:val="en-US" w:eastAsia="en-GB"/>
        </w:rPr>
        <w:t>Finally</w:t>
      </w:r>
      <w:r w:rsidR="00A41783" w:rsidRPr="00DD0CE5">
        <w:rPr>
          <w:noProof/>
          <w:lang w:val="en-US" w:eastAsia="en-GB"/>
        </w:rPr>
        <w:t xml:space="preserve">, </w:t>
      </w:r>
      <w:r w:rsidR="00A41783" w:rsidRPr="004F48D9">
        <w:rPr>
          <w:lang w:eastAsia="en-GB"/>
        </w:rPr>
        <w:t xml:space="preserve">biotechnology applications have </w:t>
      </w:r>
      <w:r w:rsidR="2B5DA7A2" w:rsidRPr="004F48D9">
        <w:rPr>
          <w:lang w:eastAsia="en-GB"/>
        </w:rPr>
        <w:t>a significant</w:t>
      </w:r>
      <w:r w:rsidR="00A41783" w:rsidRPr="004F48D9">
        <w:rPr>
          <w:lang w:eastAsia="en-GB"/>
        </w:rPr>
        <w:t xml:space="preserve"> potential to generate </w:t>
      </w:r>
      <w:r w:rsidR="00A41783" w:rsidRPr="00DD0CE5">
        <w:rPr>
          <w:b/>
          <w:lang w:eastAsia="en-GB"/>
        </w:rPr>
        <w:t>positive societal and environmental outcomes</w:t>
      </w:r>
      <w:r w:rsidR="00A41783" w:rsidRPr="00DD0CE5">
        <w:rPr>
          <w:noProof/>
          <w:lang w:eastAsia="en-GB"/>
        </w:rPr>
        <w:t xml:space="preserve">, making this sector a pillar of the </w:t>
      </w:r>
      <w:r w:rsidR="00073476">
        <w:rPr>
          <w:noProof/>
          <w:lang w:eastAsia="en-GB"/>
        </w:rPr>
        <w:t>EU’s</w:t>
      </w:r>
      <w:r w:rsidR="00A41783" w:rsidRPr="00DD0CE5">
        <w:rPr>
          <w:noProof/>
          <w:lang w:eastAsia="en-GB"/>
        </w:rPr>
        <w:t xml:space="preserve"> societal wellbeing in key areas </w:t>
      </w:r>
      <w:r w:rsidR="00255E8E">
        <w:rPr>
          <w:noProof/>
          <w:lang w:eastAsia="en-GB"/>
        </w:rPr>
        <w:t>in particular</w:t>
      </w:r>
      <w:r w:rsidR="00995771">
        <w:rPr>
          <w:noProof/>
          <w:lang w:eastAsia="en-GB"/>
        </w:rPr>
        <w:t xml:space="preserve"> in</w:t>
      </w:r>
      <w:r w:rsidR="00A41783" w:rsidRPr="00DD0CE5">
        <w:rPr>
          <w:noProof/>
          <w:lang w:eastAsia="en-GB"/>
        </w:rPr>
        <w:t xml:space="preserve"> health and food. </w:t>
      </w:r>
      <w:r w:rsidR="00757A1F">
        <w:rPr>
          <w:noProof/>
          <w:lang w:eastAsia="en-GB"/>
        </w:rPr>
        <w:t>This potential is pos</w:t>
      </w:r>
      <w:r w:rsidR="00117CF1">
        <w:rPr>
          <w:noProof/>
          <w:lang w:eastAsia="en-GB"/>
        </w:rPr>
        <w:t>i</w:t>
      </w:r>
      <w:r w:rsidR="00757A1F">
        <w:rPr>
          <w:noProof/>
          <w:lang w:eastAsia="en-GB"/>
        </w:rPr>
        <w:t>tiv</w:t>
      </w:r>
      <w:r w:rsidR="00117CF1">
        <w:rPr>
          <w:noProof/>
          <w:lang w:eastAsia="en-GB"/>
        </w:rPr>
        <w:t>e</w:t>
      </w:r>
      <w:r w:rsidR="00757A1F">
        <w:rPr>
          <w:noProof/>
          <w:lang w:eastAsia="en-GB"/>
        </w:rPr>
        <w:t xml:space="preserve">ly perceived by stakeholders, </w:t>
      </w:r>
      <w:r w:rsidR="00A41783" w:rsidRPr="009F6D09">
        <w:rPr>
          <w:lang w:eastAsia="en-GB"/>
        </w:rPr>
        <w:t>recogni</w:t>
      </w:r>
      <w:r w:rsidR="00F51129" w:rsidRPr="009F6D09">
        <w:rPr>
          <w:lang w:eastAsia="en-GB"/>
        </w:rPr>
        <w:t>s</w:t>
      </w:r>
      <w:r w:rsidR="00117CF1">
        <w:rPr>
          <w:lang w:eastAsia="en-GB"/>
        </w:rPr>
        <w:t>ing in the public consultation</w:t>
      </w:r>
      <w:r w:rsidR="00A41783" w:rsidRPr="009F6D09">
        <w:rPr>
          <w:lang w:eastAsia="en-GB"/>
        </w:rPr>
        <w:t xml:space="preserve"> the contribution of </w:t>
      </w:r>
      <w:r w:rsidR="00A41783" w:rsidRPr="009F6D09">
        <w:rPr>
          <w:lang w:val="en-IE"/>
        </w:rPr>
        <w:t xml:space="preserve">biotechnology and biomanufacturing products </w:t>
      </w:r>
      <w:r w:rsidR="00A41783" w:rsidRPr="00DD0CE5">
        <w:rPr>
          <w:b/>
          <w:lang w:val="en-IE"/>
        </w:rPr>
        <w:t>to society (90</w:t>
      </w:r>
      <w:r w:rsidR="00405618">
        <w:rPr>
          <w:b/>
          <w:bCs/>
          <w:lang w:val="en-IE"/>
        </w:rPr>
        <w:t>%</w:t>
      </w:r>
      <w:r w:rsidR="00A41783" w:rsidRPr="00DD0CE5">
        <w:rPr>
          <w:b/>
          <w:lang w:val="en-IE"/>
        </w:rPr>
        <w:t>) and to the environment (79</w:t>
      </w:r>
      <w:r w:rsidR="00405618">
        <w:rPr>
          <w:b/>
          <w:bCs/>
          <w:lang w:val="en-IE"/>
        </w:rPr>
        <w:t>%</w:t>
      </w:r>
      <w:r w:rsidR="00A41783" w:rsidRPr="00DD0CE5">
        <w:rPr>
          <w:b/>
          <w:lang w:val="en-IE"/>
        </w:rPr>
        <w:t>)</w:t>
      </w:r>
      <w:r w:rsidR="006F7804">
        <w:rPr>
          <w:b/>
          <w:lang w:val="en-IE"/>
        </w:rPr>
        <w:t xml:space="preserve"> </w:t>
      </w:r>
      <w:r w:rsidR="006F7804" w:rsidRPr="62A2761B">
        <w:rPr>
          <w:lang w:val="en-IE"/>
        </w:rPr>
        <w:t>and</w:t>
      </w:r>
      <w:r w:rsidR="1F316198" w:rsidRPr="62A2761B">
        <w:rPr>
          <w:lang w:val="en-IE"/>
        </w:rPr>
        <w:t xml:space="preserve"> </w:t>
      </w:r>
      <w:r w:rsidR="00A41783" w:rsidRPr="00DD0CE5">
        <w:rPr>
          <w:lang w:val="en-IE"/>
        </w:rPr>
        <w:t>considered</w:t>
      </w:r>
      <w:r w:rsidR="006F7804">
        <w:rPr>
          <w:lang w:val="en-IE"/>
        </w:rPr>
        <w:t xml:space="preserve"> that</w:t>
      </w:r>
      <w:r w:rsidR="00A41783" w:rsidRPr="00DD0CE5">
        <w:rPr>
          <w:lang w:val="en-IE"/>
        </w:rPr>
        <w:t xml:space="preserve"> biotechnology and biomanufacturing products that reach the </w:t>
      </w:r>
      <w:r w:rsidR="00D57762">
        <w:rPr>
          <w:lang w:val="en-IE"/>
        </w:rPr>
        <w:t>single</w:t>
      </w:r>
      <w:r w:rsidR="00A41783" w:rsidRPr="00DD0CE5">
        <w:rPr>
          <w:lang w:val="en-IE"/>
        </w:rPr>
        <w:t xml:space="preserve"> market </w:t>
      </w:r>
      <w:r w:rsidR="006F7804">
        <w:rPr>
          <w:lang w:val="en-IE"/>
        </w:rPr>
        <w:t>are</w:t>
      </w:r>
      <w:r w:rsidR="00F51129" w:rsidRPr="00DD0CE5">
        <w:rPr>
          <w:lang w:val="en-IE"/>
        </w:rPr>
        <w:t xml:space="preserve"> </w:t>
      </w:r>
      <w:r w:rsidR="00A41783" w:rsidRPr="00DD0CE5">
        <w:rPr>
          <w:b/>
          <w:lang w:val="en-IE"/>
        </w:rPr>
        <w:t>safe and secure</w:t>
      </w:r>
      <w:r w:rsidR="006F7804">
        <w:rPr>
          <w:b/>
          <w:lang w:val="en-IE"/>
        </w:rPr>
        <w:t xml:space="preserve"> (77</w:t>
      </w:r>
      <w:r w:rsidR="00405618">
        <w:rPr>
          <w:b/>
          <w:lang w:val="en-IE"/>
        </w:rPr>
        <w:t>%</w:t>
      </w:r>
      <w:r w:rsidR="006F7804">
        <w:rPr>
          <w:b/>
          <w:lang w:val="en-IE"/>
        </w:rPr>
        <w:t>)</w:t>
      </w:r>
      <w:r w:rsidR="00A41783" w:rsidRPr="00DD0CE5">
        <w:rPr>
          <w:rStyle w:val="FootnoteReference"/>
          <w:lang w:val="en-IE"/>
        </w:rPr>
        <w:footnoteReference w:id="76"/>
      </w:r>
      <w:r w:rsidR="00A41783" w:rsidRPr="00DD0CE5">
        <w:rPr>
          <w:lang w:val="en-IE"/>
        </w:rPr>
        <w:t xml:space="preserve">. </w:t>
      </w:r>
      <w:r w:rsidR="00405098">
        <w:rPr>
          <w:lang w:val="en-IE"/>
        </w:rPr>
        <w:t>Moreover,</w:t>
      </w:r>
      <w:r w:rsidR="00405098">
        <w:t xml:space="preserve"> a</w:t>
      </w:r>
      <w:r w:rsidR="00405098" w:rsidRPr="00DD0CE5">
        <w:t xml:space="preserve">round a third of </w:t>
      </w:r>
      <w:r w:rsidR="00405098" w:rsidRPr="00920ADD">
        <w:t>respondents</w:t>
      </w:r>
      <w:r w:rsidR="00405098" w:rsidRPr="00405482">
        <w:rPr>
          <w:b/>
          <w:bCs/>
        </w:rPr>
        <w:t xml:space="preserve"> (38</w:t>
      </w:r>
      <w:r w:rsidR="00405618">
        <w:rPr>
          <w:b/>
          <w:bCs/>
        </w:rPr>
        <w:t>%</w:t>
      </w:r>
      <w:r w:rsidR="00405098" w:rsidRPr="00405482">
        <w:rPr>
          <w:b/>
          <w:bCs/>
        </w:rPr>
        <w:t>)</w:t>
      </w:r>
      <w:r w:rsidR="00405098" w:rsidRPr="0075154B">
        <w:rPr>
          <w:b/>
        </w:rPr>
        <w:t xml:space="preserve"> </w:t>
      </w:r>
      <w:r w:rsidR="00405098" w:rsidRPr="00405482">
        <w:rPr>
          <w:bCs/>
        </w:rPr>
        <w:t xml:space="preserve">agreed or strongly agreed that the EU regulatory environment </w:t>
      </w:r>
      <w:r w:rsidR="00405098" w:rsidRPr="00920ADD">
        <w:rPr>
          <w:b/>
        </w:rPr>
        <w:t>ensures</w:t>
      </w:r>
      <w:r w:rsidR="00405098" w:rsidRPr="0075154B">
        <w:rPr>
          <w:b/>
        </w:rPr>
        <w:t xml:space="preserve"> a higher level of safety and security</w:t>
      </w:r>
      <w:r w:rsidR="00405098">
        <w:rPr>
          <w:b/>
          <w:bCs/>
        </w:rPr>
        <w:t xml:space="preserve"> </w:t>
      </w:r>
      <w:r w:rsidR="00405098" w:rsidRPr="004A5D83">
        <w:t>than in some other countries</w:t>
      </w:r>
      <w:r w:rsidR="00920ADD">
        <w:rPr>
          <w:rStyle w:val="FootnoteReference"/>
        </w:rPr>
        <w:footnoteReference w:id="77"/>
      </w:r>
      <w:r w:rsidR="00405098">
        <w:t>.</w:t>
      </w:r>
    </w:p>
    <w:p w14:paraId="3273701B" w14:textId="2A13DDA8" w:rsidR="00A41783" w:rsidRPr="00DD0CE5" w:rsidRDefault="00A41783" w:rsidP="009F6D09">
      <w:pPr>
        <w:rPr>
          <w:lang w:val="en-IE" w:eastAsia="en-GB"/>
        </w:rPr>
      </w:pPr>
      <w:r w:rsidRPr="00DD0CE5">
        <w:rPr>
          <w:b/>
          <w:lang w:eastAsia="en-GB"/>
        </w:rPr>
        <w:t>Health</w:t>
      </w:r>
      <w:r w:rsidRPr="00DD0CE5">
        <w:rPr>
          <w:noProof/>
          <w:lang w:eastAsia="en-GB"/>
        </w:rPr>
        <w:t xml:space="preserve"> </w:t>
      </w:r>
      <w:r w:rsidRPr="00C437E1">
        <w:rPr>
          <w:lang w:eastAsia="en-GB"/>
        </w:rPr>
        <w:t>biotechnology</w:t>
      </w:r>
      <w:r w:rsidRPr="002D7E9F">
        <w:rPr>
          <w:b/>
          <w:lang w:eastAsia="en-GB"/>
        </w:rPr>
        <w:t xml:space="preserve"> </w:t>
      </w:r>
      <w:r w:rsidRPr="00DD0CE5">
        <w:rPr>
          <w:noProof/>
          <w:lang w:eastAsia="en-GB"/>
        </w:rPr>
        <w:t xml:space="preserve">encompasses a wide range of applications, from the development of innovative medicines </w:t>
      </w:r>
      <w:r w:rsidR="164A70EB" w:rsidRPr="1C362C55">
        <w:rPr>
          <w:noProof/>
          <w:lang w:eastAsia="en-GB"/>
        </w:rPr>
        <w:t>and new medical devices</w:t>
      </w:r>
      <w:r w:rsidRPr="75EA3A61">
        <w:rPr>
          <w:noProof/>
          <w:lang w:eastAsia="en-GB"/>
        </w:rPr>
        <w:t xml:space="preserve"> </w:t>
      </w:r>
      <w:r w:rsidRPr="00DD0CE5">
        <w:rPr>
          <w:noProof/>
          <w:lang w:eastAsia="en-GB"/>
        </w:rPr>
        <w:t xml:space="preserve">addressing unmet medical needs, </w:t>
      </w:r>
      <w:r w:rsidR="00807C56">
        <w:rPr>
          <w:noProof/>
          <w:lang w:eastAsia="en-GB"/>
        </w:rPr>
        <w:t xml:space="preserve">to </w:t>
      </w:r>
      <w:r w:rsidRPr="00DD0CE5">
        <w:rPr>
          <w:noProof/>
          <w:lang w:eastAsia="en-GB"/>
        </w:rPr>
        <w:t>combating epidemics and transforming the treatment of rare diseases.</w:t>
      </w:r>
      <w:r w:rsidRPr="00DD0CE5">
        <w:rPr>
          <w:lang w:val="en-IE"/>
        </w:rPr>
        <w:t xml:space="preserve"> </w:t>
      </w:r>
      <w:r w:rsidR="00CD17F8" w:rsidRPr="3CF9524A">
        <w:rPr>
          <w:b/>
          <w:bCs/>
          <w:lang w:val="en-IE"/>
        </w:rPr>
        <w:t>G</w:t>
      </w:r>
      <w:r w:rsidRPr="00DD0CE5">
        <w:rPr>
          <w:b/>
          <w:bCs/>
          <w:lang w:val="en-IE"/>
        </w:rPr>
        <w:t xml:space="preserve">ene </w:t>
      </w:r>
      <w:r w:rsidR="785F0A1E" w:rsidRPr="00DD0CE5">
        <w:rPr>
          <w:b/>
          <w:bCs/>
          <w:lang w:val="en-IE"/>
        </w:rPr>
        <w:t>and cell</w:t>
      </w:r>
      <w:r w:rsidRPr="00DD0CE5">
        <w:rPr>
          <w:b/>
          <w:bCs/>
          <w:lang w:val="en-IE"/>
        </w:rPr>
        <w:t xml:space="preserve"> therapies</w:t>
      </w:r>
      <w:r w:rsidR="00CD17F8" w:rsidRPr="002D7E9F">
        <w:rPr>
          <w:lang w:val="en-IE"/>
        </w:rPr>
        <w:t>, for example,</w:t>
      </w:r>
      <w:r w:rsidRPr="00DD0CE5">
        <w:rPr>
          <w:lang w:val="en-IE"/>
        </w:rPr>
        <w:t xml:space="preserve"> hold great promise for treating genetic disorders</w:t>
      </w:r>
      <w:r w:rsidRPr="7E3D644D">
        <w:rPr>
          <w:vertAlign w:val="superscript"/>
        </w:rPr>
        <w:footnoteReference w:id="78"/>
      </w:r>
      <w:r w:rsidR="7A4B4922" w:rsidRPr="00DD0CE5">
        <w:t xml:space="preserve"> and restoring biological functions. </w:t>
      </w:r>
      <w:r w:rsidR="00A844F0">
        <w:t>Alt</w:t>
      </w:r>
      <w:r w:rsidR="00895F21">
        <w:t>h</w:t>
      </w:r>
      <w:r w:rsidR="00A844F0">
        <w:t>ough</w:t>
      </w:r>
      <w:r w:rsidRPr="00DD0CE5">
        <w:t xml:space="preserve"> the timeline for </w:t>
      </w:r>
      <w:r w:rsidR="00407B63">
        <w:t xml:space="preserve">developing </w:t>
      </w:r>
      <w:r w:rsidRPr="00DD0CE5">
        <w:t xml:space="preserve">conventional vaccines is lengthy, current biotechnology tools </w:t>
      </w:r>
      <w:r w:rsidR="003F39E8">
        <w:t>allow</w:t>
      </w:r>
      <w:r w:rsidRPr="00DD0CE5">
        <w:rPr>
          <w:b/>
        </w:rPr>
        <w:t xml:space="preserve"> </w:t>
      </w:r>
      <w:r w:rsidR="00097722">
        <w:rPr>
          <w:b/>
        </w:rPr>
        <w:t xml:space="preserve">scientists to develop </w:t>
      </w:r>
      <w:r w:rsidRPr="00DD0CE5">
        <w:rPr>
          <w:b/>
        </w:rPr>
        <w:t>new vaccines</w:t>
      </w:r>
      <w:r>
        <w:rPr>
          <w:b/>
        </w:rPr>
        <w:t xml:space="preserve"> </w:t>
      </w:r>
      <w:r w:rsidRPr="00DD0CE5">
        <w:t xml:space="preserve">or </w:t>
      </w:r>
      <w:r w:rsidR="00511E6C">
        <w:t xml:space="preserve">adapt </w:t>
      </w:r>
      <w:r w:rsidRPr="002D7E9F">
        <w:rPr>
          <w:b/>
        </w:rPr>
        <w:t xml:space="preserve">existing </w:t>
      </w:r>
      <w:r w:rsidR="00B53C24">
        <w:rPr>
          <w:b/>
        </w:rPr>
        <w:t>vaccines</w:t>
      </w:r>
      <w:r w:rsidR="00B53C24" w:rsidRPr="002D7E9F">
        <w:rPr>
          <w:b/>
        </w:rPr>
        <w:t xml:space="preserve"> </w:t>
      </w:r>
      <w:r w:rsidRPr="3CF9524A">
        <w:rPr>
          <w:lang w:eastAsia="en-GB"/>
        </w:rPr>
        <w:t>much faster</w:t>
      </w:r>
      <w:r w:rsidR="00B53C24">
        <w:rPr>
          <w:lang w:eastAsia="en-GB"/>
        </w:rPr>
        <w:t xml:space="preserve"> </w:t>
      </w:r>
      <w:r w:rsidR="00752780">
        <w:rPr>
          <w:lang w:eastAsia="en-GB"/>
        </w:rPr>
        <w:t>than</w:t>
      </w:r>
      <w:r w:rsidR="00B53C24">
        <w:rPr>
          <w:lang w:eastAsia="en-GB"/>
        </w:rPr>
        <w:t xml:space="preserve"> before</w:t>
      </w:r>
      <w:r w:rsidRPr="35278F15">
        <w:rPr>
          <w:vertAlign w:val="superscript"/>
        </w:rPr>
        <w:footnoteReference w:id="79"/>
      </w:r>
      <w:r>
        <w:t xml:space="preserve">. </w:t>
      </w:r>
    </w:p>
    <w:p w14:paraId="6240D7F8" w14:textId="068D6549" w:rsidR="00A41783" w:rsidRDefault="00A41783" w:rsidP="009F6D09">
      <w:r w:rsidRPr="00DD0CE5">
        <w:rPr>
          <w:b/>
          <w:lang w:eastAsia="en-GB"/>
        </w:rPr>
        <w:t>Agri-food</w:t>
      </w:r>
      <w:r w:rsidRPr="00DD0CE5">
        <w:rPr>
          <w:noProof/>
          <w:lang w:eastAsia="en-GB"/>
        </w:rPr>
        <w:t xml:space="preserve"> biotechnology innovations support farmers and food producers</w:t>
      </w:r>
      <w:r w:rsidR="005014A4">
        <w:rPr>
          <w:noProof/>
          <w:lang w:eastAsia="en-GB"/>
        </w:rPr>
        <w:t>.</w:t>
      </w:r>
      <w:r w:rsidR="00BC49C5">
        <w:rPr>
          <w:noProof/>
          <w:lang w:eastAsia="en-GB"/>
        </w:rPr>
        <w:t xml:space="preserve"> </w:t>
      </w:r>
      <w:r w:rsidR="002521E2">
        <w:rPr>
          <w:b/>
          <w:bCs/>
          <w:noProof/>
          <w:lang w:eastAsia="en-GB"/>
        </w:rPr>
        <w:t>E</w:t>
      </w:r>
      <w:r w:rsidRPr="0032379B">
        <w:rPr>
          <w:b/>
          <w:bCs/>
          <w:lang w:eastAsia="en-GB"/>
        </w:rPr>
        <w:t>n</w:t>
      </w:r>
      <w:r w:rsidRPr="00DD0CE5">
        <w:rPr>
          <w:b/>
          <w:lang w:eastAsia="en-GB"/>
        </w:rPr>
        <w:t>vironmenta</w:t>
      </w:r>
      <w:r w:rsidR="002521E2">
        <w:rPr>
          <w:b/>
          <w:lang w:eastAsia="en-GB"/>
        </w:rPr>
        <w:t>l</w:t>
      </w:r>
      <w:r w:rsidRPr="00DD0CE5">
        <w:rPr>
          <w:b/>
          <w:lang w:eastAsia="en-GB"/>
        </w:rPr>
        <w:t xml:space="preserve"> and industrial</w:t>
      </w:r>
      <w:r w:rsidRPr="00DD0CE5">
        <w:rPr>
          <w:noProof/>
          <w:lang w:eastAsia="en-GB"/>
        </w:rPr>
        <w:t xml:space="preserve"> biotechnology solutions </w:t>
      </w:r>
      <w:r w:rsidR="00704BB1">
        <w:rPr>
          <w:noProof/>
          <w:lang w:eastAsia="en-GB"/>
        </w:rPr>
        <w:t>contribute to</w:t>
      </w:r>
      <w:r w:rsidRPr="00DD0CE5">
        <w:rPr>
          <w:noProof/>
          <w:lang w:eastAsia="en-GB"/>
        </w:rPr>
        <w:t xml:space="preserve"> the sustainable transformation of our economy. </w:t>
      </w:r>
      <w:r w:rsidR="003E73C3">
        <w:rPr>
          <w:b/>
          <w:bCs/>
        </w:rPr>
        <w:t>G</w:t>
      </w:r>
      <w:r w:rsidRPr="61596A8B">
        <w:rPr>
          <w:b/>
          <w:bCs/>
        </w:rPr>
        <w:t>enetically</w:t>
      </w:r>
      <w:r w:rsidRPr="00DD0CE5">
        <w:rPr>
          <w:b/>
          <w:bCs/>
        </w:rPr>
        <w:t xml:space="preserve"> modified micro-organisms</w:t>
      </w:r>
      <w:r w:rsidRPr="00DD0CE5">
        <w:t xml:space="preserve"> (GMMs) play a decisive role in the development of industrial, environmental and agricultural biotechnology, both as a tool for manufacturing </w:t>
      </w:r>
      <w:r w:rsidR="007D2F38">
        <w:t xml:space="preserve">and </w:t>
      </w:r>
      <w:r w:rsidRPr="00DD0CE5">
        <w:t xml:space="preserve">in products. Products containing GMMs often yield </w:t>
      </w:r>
      <w:r w:rsidR="00132806">
        <w:t xml:space="preserve">innovative and </w:t>
      </w:r>
      <w:r w:rsidRPr="00DD0CE5">
        <w:t xml:space="preserve">beneficial product characteristics that </w:t>
      </w:r>
      <w:r w:rsidR="009B1C03">
        <w:t xml:space="preserve">other </w:t>
      </w:r>
      <w:r w:rsidRPr="00DD0CE5">
        <w:t xml:space="preserve">products cannot achieve or </w:t>
      </w:r>
      <w:r w:rsidR="00B65795">
        <w:t>can achieve</w:t>
      </w:r>
      <w:r w:rsidR="009B1C03">
        <w:t xml:space="preserve"> but</w:t>
      </w:r>
      <w:r w:rsidR="00B65795">
        <w:t xml:space="preserve"> </w:t>
      </w:r>
      <w:r w:rsidR="009B1C03">
        <w:t xml:space="preserve">with </w:t>
      </w:r>
      <w:r w:rsidRPr="00DD0CE5">
        <w:t xml:space="preserve">a higher </w:t>
      </w:r>
      <w:r w:rsidR="009B1C03">
        <w:t xml:space="preserve">cost </w:t>
      </w:r>
      <w:r w:rsidRPr="00DD0CE5">
        <w:t xml:space="preserve">or environmental </w:t>
      </w:r>
      <w:r w:rsidR="009B1C03">
        <w:t>impac</w:t>
      </w:r>
      <w:r w:rsidR="00280A03">
        <w:t>t</w:t>
      </w:r>
      <w:r w:rsidRPr="00DD0CE5">
        <w:t xml:space="preserve">. Examples of products </w:t>
      </w:r>
      <w:r w:rsidR="00280A03">
        <w:t xml:space="preserve">containing GMMs </w:t>
      </w:r>
      <w:r w:rsidRPr="00DD0CE5">
        <w:t xml:space="preserve">already on the market outside the EU or in development </w:t>
      </w:r>
      <w:r w:rsidRPr="001A29A5">
        <w:t>include novel biofertilisers</w:t>
      </w:r>
      <w:r w:rsidR="00E00F16" w:rsidRPr="001A29A5">
        <w:t>,</w:t>
      </w:r>
      <w:r w:rsidRPr="001A29A5">
        <w:t xml:space="preserve"> biopesticides, </w:t>
      </w:r>
      <w:r w:rsidR="00E00F16" w:rsidRPr="001A29A5">
        <w:t xml:space="preserve">and </w:t>
      </w:r>
      <w:r w:rsidRPr="001A29A5">
        <w:t>bioremediation</w:t>
      </w:r>
      <w:r w:rsidR="00E00F16" w:rsidRPr="001A29A5">
        <w:t xml:space="preserve"> products (i.e.</w:t>
      </w:r>
      <w:r w:rsidRPr="001A29A5">
        <w:t xml:space="preserve"> to remove </w:t>
      </w:r>
      <w:r w:rsidR="1209ED0B" w:rsidRPr="007D09D4">
        <w:rPr>
          <w:rFonts w:eastAsia="Times New Roman"/>
        </w:rPr>
        <w:t>hazardous and</w:t>
      </w:r>
      <w:r w:rsidRPr="001A29A5">
        <w:rPr>
          <w:rFonts w:eastAsia="Times New Roman"/>
        </w:rPr>
        <w:t xml:space="preserve"> </w:t>
      </w:r>
      <w:r w:rsidRPr="001A29A5">
        <w:t xml:space="preserve">toxic substances from the soil </w:t>
      </w:r>
      <w:r w:rsidRPr="00DD0CE5">
        <w:t>or wastewater</w:t>
      </w:r>
      <w:r w:rsidR="00397B78">
        <w:t>)</w:t>
      </w:r>
      <w:r w:rsidRPr="00DD0CE5">
        <w:t>.</w:t>
      </w:r>
    </w:p>
    <w:p w14:paraId="5BDA5DC0" w14:textId="268FA567" w:rsidR="006B087E" w:rsidRPr="00DD0CE5" w:rsidRDefault="006B087E" w:rsidP="00AD0794">
      <w:pPr>
        <w:pStyle w:val="Heading1"/>
      </w:pPr>
      <w:bookmarkStart w:id="35" w:name="_Toc227941514"/>
      <w:bookmarkStart w:id="36" w:name="_Toc227941837"/>
      <w:r w:rsidRPr="00DD0CE5">
        <w:t>Problem definition</w:t>
      </w:r>
      <w:bookmarkEnd w:id="35"/>
      <w:bookmarkEnd w:id="36"/>
    </w:p>
    <w:p w14:paraId="7AFC0E65" w14:textId="1EF5EE05" w:rsidR="000774D7" w:rsidRDefault="6C8842F3" w:rsidP="6C05B174">
      <w:pPr>
        <w:pStyle w:val="Text1"/>
        <w:ind w:left="0"/>
        <w:rPr>
          <w:b/>
          <w:bCs/>
        </w:rPr>
      </w:pPr>
      <w:r w:rsidRPr="6C05B174">
        <w:rPr>
          <w:b/>
          <w:bCs/>
        </w:rPr>
        <w:t>Figure 1</w:t>
      </w:r>
      <w:r w:rsidR="00603F93">
        <w:rPr>
          <w:b/>
          <w:bCs/>
        </w:rPr>
        <w:t xml:space="preserve">. </w:t>
      </w:r>
      <w:r w:rsidRPr="6C05B174">
        <w:rPr>
          <w:b/>
          <w:bCs/>
        </w:rPr>
        <w:t>Problem tree</w:t>
      </w:r>
      <w:r w:rsidR="3662EBEC" w:rsidRPr="6C05B174">
        <w:rPr>
          <w:b/>
          <w:bCs/>
        </w:rPr>
        <w:t xml:space="preserve"> </w:t>
      </w:r>
    </w:p>
    <w:p w14:paraId="1E954014" w14:textId="614413B5" w:rsidR="00E25D3E" w:rsidRPr="002D7E9F" w:rsidRDefault="0070342F" w:rsidP="000774D7">
      <w:pPr>
        <w:pStyle w:val="Text1"/>
        <w:ind w:left="0"/>
        <w:rPr>
          <w:b/>
        </w:rPr>
      </w:pPr>
      <w:r w:rsidRPr="0070342F">
        <w:rPr>
          <w:b/>
          <w:noProof/>
        </w:rPr>
        <w:drawing>
          <wp:inline distT="0" distB="0" distL="0" distR="0" wp14:anchorId="02113CF3" wp14:editId="0934151E">
            <wp:extent cx="5629275" cy="3047881"/>
            <wp:effectExtent l="0" t="0" r="0" b="635"/>
            <wp:docPr id="940720375" name="Picture 1" descr="A diagram of a busines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40720375" name="Picture 1" descr="A diagram of a business"/>
                    <pic:cNvPicPr/>
                  </pic:nvPicPr>
                  <pic:blipFill>
                    <a:blip r:embed="rId18"/>
                    <a:stretch>
                      <a:fillRect/>
                    </a:stretch>
                  </pic:blipFill>
                  <pic:spPr>
                    <a:xfrm>
                      <a:off x="0" y="0"/>
                      <a:ext cx="5688550" cy="3079974"/>
                    </a:xfrm>
                    <a:prstGeom prst="rect">
                      <a:avLst/>
                    </a:prstGeom>
                  </pic:spPr>
                </pic:pic>
              </a:graphicData>
            </a:graphic>
          </wp:inline>
        </w:drawing>
      </w:r>
      <w:r w:rsidR="00E748C3" w:rsidRPr="00E748C3" w:rsidDel="00E748C3">
        <w:rPr>
          <w:b/>
        </w:rPr>
        <w:t xml:space="preserve"> </w:t>
      </w:r>
    </w:p>
    <w:p w14:paraId="11E8D4FF" w14:textId="1CD913C3" w:rsidR="00C30AC7" w:rsidRPr="000774D7" w:rsidRDefault="008C2108" w:rsidP="002D7E9F">
      <w:pPr>
        <w:pStyle w:val="Text1"/>
        <w:ind w:left="0"/>
        <w:rPr>
          <w:color w:val="000000" w:themeColor="text1"/>
        </w:rPr>
      </w:pPr>
      <w:r w:rsidRPr="008C2108">
        <w:rPr>
          <w:color w:val="000000" w:themeColor="text1"/>
        </w:rPr>
        <w:t>The</w:t>
      </w:r>
      <w:r w:rsidR="009F56D8">
        <w:rPr>
          <w:color w:val="000000" w:themeColor="text1"/>
        </w:rPr>
        <w:t xml:space="preserve"> Commission has refined and clarified the</w:t>
      </w:r>
      <w:r w:rsidRPr="008C2108">
        <w:rPr>
          <w:color w:val="000000" w:themeColor="text1"/>
        </w:rPr>
        <w:t xml:space="preserve"> problem tree and intervention logic</w:t>
      </w:r>
      <w:r>
        <w:rPr>
          <w:color w:val="000000" w:themeColor="text1"/>
        </w:rPr>
        <w:t xml:space="preserve"> (</w:t>
      </w:r>
      <w:r w:rsidR="00034069">
        <w:rPr>
          <w:color w:val="000000" w:themeColor="text1"/>
        </w:rPr>
        <w:t>see</w:t>
      </w:r>
      <w:r>
        <w:rPr>
          <w:color w:val="000000" w:themeColor="text1"/>
        </w:rPr>
        <w:t xml:space="preserve"> </w:t>
      </w:r>
      <w:r w:rsidR="009F56D8">
        <w:rPr>
          <w:color w:val="000000" w:themeColor="text1"/>
        </w:rPr>
        <w:t>S</w:t>
      </w:r>
      <w:r>
        <w:rPr>
          <w:color w:val="000000" w:themeColor="text1"/>
        </w:rPr>
        <w:t>ection 4.4)</w:t>
      </w:r>
      <w:r w:rsidRPr="008C2108">
        <w:rPr>
          <w:color w:val="000000" w:themeColor="text1"/>
        </w:rPr>
        <w:t xml:space="preserve"> </w:t>
      </w:r>
      <w:r w:rsidR="00B32EDB">
        <w:rPr>
          <w:color w:val="000000" w:themeColor="text1"/>
        </w:rPr>
        <w:t>from</w:t>
      </w:r>
      <w:r w:rsidRPr="008C2108">
        <w:rPr>
          <w:color w:val="000000" w:themeColor="text1"/>
        </w:rPr>
        <w:t xml:space="preserve"> the version presented in the Explanatory Memorandum of </w:t>
      </w:r>
      <w:r w:rsidR="00BB64F2">
        <w:rPr>
          <w:color w:val="000000" w:themeColor="text1"/>
        </w:rPr>
        <w:t xml:space="preserve">the </w:t>
      </w:r>
      <w:r w:rsidR="00DB42C0">
        <w:rPr>
          <w:color w:val="000000" w:themeColor="text1"/>
        </w:rPr>
        <w:t>Biotech Act</w:t>
      </w:r>
      <w:r w:rsidR="00704BB1">
        <w:rPr>
          <w:color w:val="000000" w:themeColor="text1"/>
        </w:rPr>
        <w:t>. T</w:t>
      </w:r>
      <w:r w:rsidRPr="008C2108">
        <w:rPr>
          <w:color w:val="000000" w:themeColor="text1"/>
        </w:rPr>
        <w:t xml:space="preserve">hese adjustments do not alter the underlying problem definition or policy rationale but provide a more structured and </w:t>
      </w:r>
      <w:r w:rsidR="001E0114">
        <w:rPr>
          <w:color w:val="000000" w:themeColor="text1"/>
        </w:rPr>
        <w:t xml:space="preserve">detailed explanation of the </w:t>
      </w:r>
      <w:r w:rsidRPr="008C2108">
        <w:rPr>
          <w:color w:val="000000" w:themeColor="text1"/>
        </w:rPr>
        <w:t>issues and causal pathways.</w:t>
      </w:r>
    </w:p>
    <w:p w14:paraId="65C0A1F5" w14:textId="5E6E4BD4" w:rsidR="004F509E" w:rsidRPr="00DD0CE5" w:rsidRDefault="004F509E" w:rsidP="004F509E">
      <w:pPr>
        <w:pStyle w:val="Heading2"/>
        <w:rPr>
          <w:color w:val="000000" w:themeColor="text1"/>
          <w:lang w:eastAsia="en-GB"/>
        </w:rPr>
      </w:pPr>
      <w:bookmarkStart w:id="37" w:name="_Toc224747196"/>
      <w:bookmarkStart w:id="38" w:name="_Toc224749666"/>
      <w:bookmarkStart w:id="39" w:name="_Toc225974544"/>
      <w:bookmarkStart w:id="40" w:name="_Toc225975217"/>
      <w:bookmarkStart w:id="41" w:name="_Toc225975274"/>
      <w:bookmarkStart w:id="42" w:name="_Toc227941838"/>
      <w:r w:rsidRPr="00DD0CE5">
        <w:t xml:space="preserve">Problem: </w:t>
      </w:r>
      <w:r w:rsidR="00467E66">
        <w:t>b</w:t>
      </w:r>
      <w:r w:rsidR="00A8350B">
        <w:t xml:space="preserve">iotech companies struggle </w:t>
      </w:r>
      <w:r w:rsidR="002B17D2">
        <w:t>to innovate</w:t>
      </w:r>
      <w:r w:rsidR="000B796F">
        <w:t>, raise capital</w:t>
      </w:r>
      <w:r w:rsidR="001E5AAE">
        <w:t xml:space="preserve">, bring innovations to market, produce </w:t>
      </w:r>
      <w:r w:rsidR="00C25D86">
        <w:t xml:space="preserve">and </w:t>
      </w:r>
      <w:r w:rsidR="001E5AAE">
        <w:t>grow</w:t>
      </w:r>
      <w:r w:rsidR="26EE08D9">
        <w:t xml:space="preserve"> in the EU</w:t>
      </w:r>
      <w:r w:rsidR="001E5AAE">
        <w:t>, while</w:t>
      </w:r>
      <w:r w:rsidR="00655A14">
        <w:t xml:space="preserve"> maintaining high level of </w:t>
      </w:r>
      <w:r w:rsidR="00911036">
        <w:t xml:space="preserve">protection and </w:t>
      </w:r>
      <w:r w:rsidR="00655A14">
        <w:t>safety</w:t>
      </w:r>
      <w:bookmarkEnd w:id="37"/>
      <w:bookmarkEnd w:id="38"/>
      <w:bookmarkEnd w:id="39"/>
      <w:bookmarkEnd w:id="40"/>
      <w:bookmarkEnd w:id="41"/>
      <w:bookmarkEnd w:id="42"/>
    </w:p>
    <w:p w14:paraId="5AFA0ABC" w14:textId="5CA4015C" w:rsidR="00F7532D" w:rsidRPr="00DD0CE5" w:rsidRDefault="62FE7619" w:rsidP="00C85DD9">
      <w:r>
        <w:t>Although t</w:t>
      </w:r>
      <w:r w:rsidR="3993DCB2" w:rsidRPr="00DD0CE5">
        <w:t xml:space="preserve">he EU </w:t>
      </w:r>
      <w:r w:rsidR="49D60932" w:rsidRPr="00DD0CE5">
        <w:t xml:space="preserve">benefits from </w:t>
      </w:r>
      <w:r w:rsidR="195E548D" w:rsidRPr="00DD0CE5">
        <w:t>a sizeable biotechnology sector</w:t>
      </w:r>
      <w:r w:rsidR="195E548D" w:rsidRPr="00DD0CE5">
        <w:rPr>
          <w:lang w:val="en-US"/>
        </w:rPr>
        <w:t xml:space="preserve"> </w:t>
      </w:r>
      <w:r w:rsidR="785844EA" w:rsidRPr="00DD0CE5">
        <w:rPr>
          <w:lang w:val="en-US"/>
        </w:rPr>
        <w:t xml:space="preserve">and </w:t>
      </w:r>
      <w:r w:rsidR="785844EA" w:rsidRPr="00DD0CE5">
        <w:t>strong scientific capabilities</w:t>
      </w:r>
      <w:r w:rsidR="7F5DED9C" w:rsidRPr="00DD0CE5">
        <w:t xml:space="preserve"> </w:t>
      </w:r>
      <w:r w:rsidR="7F5DED9C" w:rsidRPr="00DD0CE5">
        <w:rPr>
          <w:lang w:val="en-US"/>
        </w:rPr>
        <w:t>(see section 2</w:t>
      </w:r>
      <w:r w:rsidR="003F1EF4">
        <w:rPr>
          <w:lang w:val="en-US"/>
        </w:rPr>
        <w:t>.3</w:t>
      </w:r>
      <w:r w:rsidR="7F5DED9C" w:rsidRPr="00DD0CE5">
        <w:rPr>
          <w:lang w:val="en-US"/>
        </w:rPr>
        <w:t>)</w:t>
      </w:r>
      <w:r w:rsidR="69629531" w:rsidRPr="00DD0CE5">
        <w:rPr>
          <w:lang w:val="en-US"/>
        </w:rPr>
        <w:t xml:space="preserve">, </w:t>
      </w:r>
      <w:r w:rsidR="69629531" w:rsidRPr="00DD0CE5">
        <w:t>it</w:t>
      </w:r>
      <w:r w:rsidR="67193F91" w:rsidRPr="00DD0CE5">
        <w:t xml:space="preserve"> does not </w:t>
      </w:r>
      <w:r w:rsidR="00D6332A">
        <w:t xml:space="preserve">meet its </w:t>
      </w:r>
      <w:r w:rsidR="67193F91" w:rsidRPr="00DD0CE5">
        <w:t>ful</w:t>
      </w:r>
      <w:r w:rsidR="00397201">
        <w:t>l</w:t>
      </w:r>
      <w:r w:rsidR="67193F91" w:rsidRPr="00DD0CE5">
        <w:t xml:space="preserve"> </w:t>
      </w:r>
      <w:r w:rsidR="00D6332A">
        <w:t>potential for</w:t>
      </w:r>
      <w:r w:rsidR="67193F91" w:rsidRPr="00DD0CE5">
        <w:t xml:space="preserve"> innovation in biotechnology and biomanufacturing.</w:t>
      </w:r>
      <w:r w:rsidR="74AE3BFB" w:rsidRPr="00DD0CE5">
        <w:t xml:space="preserve"> </w:t>
      </w:r>
      <w:r w:rsidR="67193F91" w:rsidRPr="00DD0CE5">
        <w:rPr>
          <w:color w:val="000000" w:themeColor="text1"/>
          <w:lang w:val="en-US" w:eastAsia="en-GB"/>
        </w:rPr>
        <w:t>The EU lags behind other regions when it comes to</w:t>
      </w:r>
      <w:r w:rsidR="67193F91" w:rsidRPr="4E4E88A2">
        <w:rPr>
          <w:b/>
          <w:bCs/>
          <w:noProof/>
          <w:color w:val="000000" w:themeColor="text1"/>
          <w:lang w:val="en-US" w:eastAsia="en-GB"/>
        </w:rPr>
        <w:t xml:space="preserve"> translating its world-class science and innovation into commercially viable products</w:t>
      </w:r>
      <w:r w:rsidR="7234F962" w:rsidRPr="4E4E88A2">
        <w:rPr>
          <w:b/>
          <w:bCs/>
          <w:noProof/>
          <w:color w:val="000000" w:themeColor="text1"/>
          <w:lang w:val="en-US" w:eastAsia="en-GB"/>
        </w:rPr>
        <w:t xml:space="preserve"> in the EU</w:t>
      </w:r>
      <w:r w:rsidR="67193F91" w:rsidRPr="00DD0CE5">
        <w:rPr>
          <w:noProof/>
          <w:color w:val="000000" w:themeColor="text1"/>
          <w:lang w:val="en-US" w:eastAsia="en-GB"/>
        </w:rPr>
        <w:t xml:space="preserve">, and even more so </w:t>
      </w:r>
      <w:r w:rsidR="67193F91" w:rsidRPr="4E4E88A2">
        <w:rPr>
          <w:b/>
          <w:bCs/>
          <w:color w:val="000000" w:themeColor="text1"/>
          <w:lang w:val="en-US" w:eastAsia="en-GB"/>
        </w:rPr>
        <w:t>in manufacturing such products at scale</w:t>
      </w:r>
      <w:r w:rsidR="77B6201C" w:rsidRPr="00DD0CE5">
        <w:rPr>
          <w:noProof/>
          <w:color w:val="000000" w:themeColor="text1"/>
          <w:lang w:val="en-US" w:eastAsia="en-GB"/>
        </w:rPr>
        <w:t xml:space="preserve">. </w:t>
      </w:r>
      <w:r w:rsidR="67193F91" w:rsidRPr="00DD0CE5">
        <w:rPr>
          <w:lang w:val="en-US"/>
        </w:rPr>
        <w:t xml:space="preserve">As a result, </w:t>
      </w:r>
      <w:r w:rsidR="67193F91" w:rsidRPr="00DD0CE5">
        <w:rPr>
          <w:b/>
          <w:bCs/>
          <w:lang w:val="en-US"/>
        </w:rPr>
        <w:t xml:space="preserve">biotech companies often </w:t>
      </w:r>
      <w:r w:rsidR="67193F91" w:rsidRPr="00DD0CE5">
        <w:rPr>
          <w:b/>
          <w:bCs/>
        </w:rPr>
        <w:t>end up investing, growing, employing, creating value and placing their products on market</w:t>
      </w:r>
      <w:r w:rsidR="4BD8F2E1">
        <w:rPr>
          <w:b/>
          <w:bCs/>
        </w:rPr>
        <w:t>s</w:t>
      </w:r>
      <w:r w:rsidR="67193F91" w:rsidRPr="00DD0CE5">
        <w:rPr>
          <w:b/>
          <w:bCs/>
        </w:rPr>
        <w:t xml:space="preserve"> abroad</w:t>
      </w:r>
      <w:r w:rsidR="67193F91" w:rsidRPr="00DD0CE5">
        <w:t xml:space="preserve">. This pattern weakens the </w:t>
      </w:r>
      <w:r w:rsidR="00073476">
        <w:t>EU’s</w:t>
      </w:r>
      <w:r w:rsidR="67193F91" w:rsidRPr="00DD0CE5">
        <w:t xml:space="preserve"> ability to retain value creation and industrial capacity from its research base</w:t>
      </w:r>
      <w:r w:rsidR="0053404F">
        <w:rPr>
          <w:rStyle w:val="FootnoteReference"/>
        </w:rPr>
        <w:footnoteReference w:id="80"/>
      </w:r>
      <w:r w:rsidR="67193F91" w:rsidRPr="00DD0CE5">
        <w:t>.</w:t>
      </w:r>
      <w:r w:rsidR="7D52784D">
        <w:t xml:space="preserve"> </w:t>
      </w:r>
    </w:p>
    <w:p w14:paraId="6F15105B" w14:textId="7FA84FFB" w:rsidR="00ED5C22" w:rsidRPr="00A75B3D" w:rsidRDefault="00ED5C22" w:rsidP="00C85DD9">
      <w:pPr>
        <w:rPr>
          <w:rFonts w:cs="Arial"/>
          <w:b/>
        </w:rPr>
      </w:pPr>
      <w:r w:rsidRPr="00DD0CE5">
        <w:rPr>
          <w:lang w:val="en-US"/>
        </w:rPr>
        <w:t xml:space="preserve">The EU faces a </w:t>
      </w:r>
      <w:r w:rsidRPr="00D42AA0">
        <w:rPr>
          <w:b/>
          <w:lang w:val="en-US"/>
        </w:rPr>
        <w:t xml:space="preserve">substantial gap in </w:t>
      </w:r>
      <w:r>
        <w:rPr>
          <w:b/>
          <w:lang w:val="en-US"/>
        </w:rPr>
        <w:t xml:space="preserve">venture capital </w:t>
      </w:r>
      <w:r w:rsidRPr="00DD0CE5">
        <w:rPr>
          <w:lang w:val="en-US"/>
        </w:rPr>
        <w:t>with limited investment by pension funds and other institutional investor</w:t>
      </w:r>
      <w:r>
        <w:rPr>
          <w:lang w:val="en-US"/>
        </w:rPr>
        <w:t>s</w:t>
      </w:r>
      <w:r w:rsidRPr="00DD0CE5">
        <w:rPr>
          <w:lang w:val="en-US"/>
        </w:rPr>
        <w:t xml:space="preserve">. Biotech is especially affected by this </w:t>
      </w:r>
      <w:r>
        <w:rPr>
          <w:lang w:val="en-US"/>
        </w:rPr>
        <w:t xml:space="preserve">market failure </w:t>
      </w:r>
      <w:r w:rsidRPr="00DD0CE5">
        <w:rPr>
          <w:lang w:val="en-US"/>
        </w:rPr>
        <w:t>due to the particular risk profile of biotech start</w:t>
      </w:r>
      <w:r>
        <w:rPr>
          <w:lang w:val="en-US"/>
        </w:rPr>
        <w:t>-</w:t>
      </w:r>
      <w:r w:rsidRPr="00DD0CE5">
        <w:rPr>
          <w:lang w:val="en-US"/>
        </w:rPr>
        <w:t>ups</w:t>
      </w:r>
      <w:r>
        <w:rPr>
          <w:lang w:val="en-US"/>
        </w:rPr>
        <w:t>. L</w:t>
      </w:r>
      <w:r w:rsidRPr="00DD0CE5">
        <w:rPr>
          <w:lang w:val="en-US"/>
        </w:rPr>
        <w:t>ong delay</w:t>
      </w:r>
      <w:r>
        <w:rPr>
          <w:lang w:val="en-US"/>
        </w:rPr>
        <w:t>s</w:t>
      </w:r>
      <w:r w:rsidRPr="00DD0CE5">
        <w:rPr>
          <w:lang w:val="en-US"/>
        </w:rPr>
        <w:t xml:space="preserve"> between the initial innovation and first revenue generation due to </w:t>
      </w:r>
      <w:r w:rsidR="00B13BF8">
        <w:rPr>
          <w:lang w:val="en-US"/>
        </w:rPr>
        <w:t>lengthy</w:t>
      </w:r>
      <w:r w:rsidRPr="00DD0CE5">
        <w:rPr>
          <w:lang w:val="en-US"/>
        </w:rPr>
        <w:t xml:space="preserve"> regulatory process, massive upfront investments needed for </w:t>
      </w:r>
      <w:r w:rsidR="00A75B3D">
        <w:rPr>
          <w:lang w:val="en-US"/>
        </w:rPr>
        <w:t>CTs</w:t>
      </w:r>
      <w:r>
        <w:rPr>
          <w:lang w:val="en-US"/>
        </w:rPr>
        <w:t>,</w:t>
      </w:r>
      <w:r w:rsidRPr="00DD0CE5">
        <w:rPr>
          <w:lang w:val="en-US"/>
        </w:rPr>
        <w:t xml:space="preserve"> and a high risk of failure of individual projects</w:t>
      </w:r>
      <w:r>
        <w:rPr>
          <w:lang w:val="en-US"/>
        </w:rPr>
        <w:t xml:space="preserve"> deter venture capital investors</w:t>
      </w:r>
      <w:r w:rsidRPr="00DD0CE5">
        <w:rPr>
          <w:lang w:val="en-US"/>
        </w:rPr>
        <w:t>.</w:t>
      </w:r>
      <w:r>
        <w:rPr>
          <w:lang w:val="en-US"/>
        </w:rPr>
        <w:t xml:space="preserve"> </w:t>
      </w:r>
    </w:p>
    <w:p w14:paraId="63A45724" w14:textId="6403B55E" w:rsidR="009B30B8" w:rsidRDefault="00617012" w:rsidP="009F6D09">
      <w:pPr>
        <w:rPr>
          <w:rFonts w:cs="Arial"/>
        </w:rPr>
      </w:pPr>
      <w:r>
        <w:rPr>
          <w:rFonts w:cs="Arial"/>
          <w:color w:val="000000" w:themeColor="text1"/>
          <w:lang w:val="en-US"/>
        </w:rPr>
        <w:t xml:space="preserve">In addition to the fact </w:t>
      </w:r>
      <w:r w:rsidR="00C32146">
        <w:rPr>
          <w:rFonts w:cs="Arial"/>
          <w:color w:val="000000" w:themeColor="text1"/>
          <w:lang w:val="en-US"/>
        </w:rPr>
        <w:t>that</w:t>
      </w:r>
      <w:r>
        <w:rPr>
          <w:rFonts w:cs="Arial"/>
          <w:color w:val="000000" w:themeColor="text1"/>
          <w:lang w:val="en-US"/>
        </w:rPr>
        <w:t xml:space="preserve"> t</w:t>
      </w:r>
      <w:r w:rsidR="001078E3" w:rsidRPr="00476CCE">
        <w:rPr>
          <w:rFonts w:cs="Arial"/>
          <w:color w:val="000000" w:themeColor="text1"/>
          <w:lang w:val="en-US"/>
        </w:rPr>
        <w:t>he EU accounts for 22</w:t>
      </w:r>
      <w:r w:rsidR="00405618">
        <w:rPr>
          <w:rFonts w:cs="Arial"/>
          <w:color w:val="000000" w:themeColor="text1"/>
          <w:lang w:val="en-US"/>
        </w:rPr>
        <w:t>%</w:t>
      </w:r>
      <w:r w:rsidR="001078E3" w:rsidRPr="00476CCE">
        <w:rPr>
          <w:rFonts w:cs="Arial"/>
          <w:color w:val="000000" w:themeColor="text1"/>
          <w:lang w:val="en-US"/>
        </w:rPr>
        <w:t xml:space="preserve"> of biotech start</w:t>
      </w:r>
      <w:r w:rsidR="00D57279">
        <w:rPr>
          <w:rFonts w:cs="Arial"/>
          <w:color w:val="000000" w:themeColor="text1"/>
          <w:lang w:val="en-US"/>
        </w:rPr>
        <w:t>-</w:t>
      </w:r>
      <w:r w:rsidR="001078E3" w:rsidRPr="00476CCE">
        <w:rPr>
          <w:rFonts w:cs="Arial"/>
          <w:color w:val="000000" w:themeColor="text1"/>
          <w:lang w:val="en-US"/>
        </w:rPr>
        <w:t xml:space="preserve">ups, </w:t>
      </w:r>
      <w:r w:rsidR="00792AE4">
        <w:rPr>
          <w:rFonts w:cs="Arial"/>
          <w:color w:val="000000" w:themeColor="text1"/>
          <w:lang w:val="en-US"/>
        </w:rPr>
        <w:t>against</w:t>
      </w:r>
      <w:r w:rsidR="001078E3" w:rsidRPr="00476CCE">
        <w:rPr>
          <w:rFonts w:cs="Arial"/>
          <w:color w:val="000000" w:themeColor="text1"/>
          <w:lang w:val="en-US"/>
        </w:rPr>
        <w:t xml:space="preserve"> 49</w:t>
      </w:r>
      <w:r w:rsidR="00405618">
        <w:rPr>
          <w:rFonts w:cs="Arial"/>
          <w:color w:val="000000" w:themeColor="text1"/>
          <w:lang w:val="en-US"/>
        </w:rPr>
        <w:t>%</w:t>
      </w:r>
      <w:r w:rsidR="001078E3" w:rsidRPr="00476CCE">
        <w:rPr>
          <w:rFonts w:cs="Arial"/>
          <w:color w:val="000000" w:themeColor="text1"/>
          <w:lang w:val="en-US"/>
        </w:rPr>
        <w:t xml:space="preserve"> in the </w:t>
      </w:r>
      <w:r w:rsidR="00D57279">
        <w:rPr>
          <w:rFonts w:cs="Arial"/>
          <w:color w:val="000000" w:themeColor="text1"/>
          <w:lang w:val="en-US"/>
        </w:rPr>
        <w:t>US</w:t>
      </w:r>
      <w:r w:rsidR="001078E3">
        <w:rPr>
          <w:rFonts w:cs="Arial"/>
          <w:color w:val="000000" w:themeColor="text1"/>
          <w:lang w:val="en-US"/>
        </w:rPr>
        <w:t xml:space="preserve">, </w:t>
      </w:r>
      <w:r w:rsidR="005275BC">
        <w:rPr>
          <w:rFonts w:cs="Arial"/>
        </w:rPr>
        <w:t xml:space="preserve">the </w:t>
      </w:r>
      <w:r w:rsidR="005275BC" w:rsidRPr="00E24AB2">
        <w:rPr>
          <w:rFonts w:cs="Arial"/>
          <w:b/>
          <w:bCs/>
        </w:rPr>
        <w:t>EU’s scale-up capacity</w:t>
      </w:r>
      <w:r w:rsidR="005275BC" w:rsidRPr="7E0A535E">
        <w:rPr>
          <w:rFonts w:cs="Arial"/>
          <w:b/>
          <w:bCs/>
        </w:rPr>
        <w:t xml:space="preserve"> </w:t>
      </w:r>
      <w:r>
        <w:rPr>
          <w:rFonts w:cs="Arial"/>
          <w:b/>
          <w:bCs/>
        </w:rPr>
        <w:t xml:space="preserve">also </w:t>
      </w:r>
      <w:r w:rsidR="005275BC" w:rsidRPr="7E0A535E">
        <w:rPr>
          <w:rFonts w:cs="Arial"/>
          <w:b/>
          <w:bCs/>
        </w:rPr>
        <w:t>remains limited</w:t>
      </w:r>
      <w:r w:rsidR="005275BC">
        <w:rPr>
          <w:rFonts w:cs="Arial"/>
          <w:b/>
          <w:bCs/>
        </w:rPr>
        <w:t xml:space="preserve">. </w:t>
      </w:r>
      <w:r w:rsidR="005275BC" w:rsidRPr="009F6D09">
        <w:rPr>
          <w:rFonts w:cs="Arial"/>
        </w:rPr>
        <w:t>O</w:t>
      </w:r>
      <w:r w:rsidR="00535B91" w:rsidRPr="005275BC">
        <w:rPr>
          <w:rFonts w:cs="Arial"/>
          <w:color w:val="000000" w:themeColor="text1"/>
          <w:lang w:val="en-US"/>
        </w:rPr>
        <w:t>nly a small</w:t>
      </w:r>
      <w:r w:rsidR="00535B91" w:rsidRPr="00476CCE">
        <w:rPr>
          <w:rFonts w:cs="Arial"/>
          <w:color w:val="000000" w:themeColor="text1"/>
          <w:lang w:val="en-US"/>
        </w:rPr>
        <w:t xml:space="preserve"> share of EU biotech firms </w:t>
      </w:r>
      <w:r w:rsidR="00E068C9" w:rsidRPr="00476CCE">
        <w:rPr>
          <w:rFonts w:cs="Arial"/>
          <w:color w:val="000000" w:themeColor="text1"/>
          <w:lang w:val="en-US"/>
        </w:rPr>
        <w:t>reaches</w:t>
      </w:r>
      <w:r w:rsidR="00535B91" w:rsidRPr="00476CCE">
        <w:rPr>
          <w:rFonts w:cs="Arial"/>
          <w:color w:val="000000" w:themeColor="text1"/>
          <w:lang w:val="en-US"/>
        </w:rPr>
        <w:t xml:space="preserve"> significant funding levels (</w:t>
      </w:r>
      <w:r w:rsidR="005275BC">
        <w:rPr>
          <w:rFonts w:cs="Arial"/>
        </w:rPr>
        <w:t>12</w:t>
      </w:r>
      <w:r w:rsidR="00405618">
        <w:rPr>
          <w:rFonts w:cs="Arial"/>
        </w:rPr>
        <w:t>%</w:t>
      </w:r>
      <w:r w:rsidR="005275BC">
        <w:rPr>
          <w:rFonts w:cs="Arial"/>
        </w:rPr>
        <w:t xml:space="preserve"> of </w:t>
      </w:r>
      <w:r w:rsidR="005E79DC">
        <w:rPr>
          <w:rFonts w:cs="Arial"/>
        </w:rPr>
        <w:t xml:space="preserve">agricultural </w:t>
      </w:r>
      <w:r w:rsidR="005275BC">
        <w:rPr>
          <w:rFonts w:cs="Arial"/>
        </w:rPr>
        <w:t>biotechnology start-ups, 10</w:t>
      </w:r>
      <w:r w:rsidR="00405618">
        <w:rPr>
          <w:rFonts w:cs="Arial"/>
        </w:rPr>
        <w:t>%</w:t>
      </w:r>
      <w:r w:rsidR="005275BC">
        <w:rPr>
          <w:rFonts w:cs="Arial"/>
        </w:rPr>
        <w:t xml:space="preserve"> of </w:t>
      </w:r>
      <w:r w:rsidR="00160EE9">
        <w:rPr>
          <w:rFonts w:cs="Arial"/>
        </w:rPr>
        <w:t>health</w:t>
      </w:r>
      <w:r w:rsidR="005275BC">
        <w:rPr>
          <w:rFonts w:cs="Arial"/>
        </w:rPr>
        <w:t xml:space="preserve"> biotechnology start-ups, and 8</w:t>
      </w:r>
      <w:r w:rsidR="00405618">
        <w:rPr>
          <w:rFonts w:cs="Arial"/>
        </w:rPr>
        <w:t>%</w:t>
      </w:r>
      <w:r w:rsidR="005275BC">
        <w:rPr>
          <w:rFonts w:cs="Arial"/>
        </w:rPr>
        <w:t xml:space="preserve"> of </w:t>
      </w:r>
      <w:r w:rsidR="005275BC" w:rsidRPr="004F48D9">
        <w:rPr>
          <w:rFonts w:cs="Arial"/>
        </w:rPr>
        <w:t>industrial</w:t>
      </w:r>
      <w:r w:rsidR="005275BC" w:rsidRPr="00912EED">
        <w:rPr>
          <w:rFonts w:cs="Arial"/>
        </w:rPr>
        <w:t xml:space="preserve"> biotechnology </w:t>
      </w:r>
      <w:r w:rsidR="005275BC">
        <w:rPr>
          <w:rFonts w:cs="Arial"/>
        </w:rPr>
        <w:t>start-ups</w:t>
      </w:r>
      <w:r w:rsidR="00E61524">
        <w:rPr>
          <w:rFonts w:cs="Arial"/>
        </w:rPr>
        <w:t xml:space="preserve"> secure over EUR 10 million</w:t>
      </w:r>
      <w:r w:rsidR="008A1F2F">
        <w:rPr>
          <w:rStyle w:val="FootnoteReference"/>
          <w:rFonts w:cs="Arial"/>
          <w:color w:val="000000" w:themeColor="text1"/>
          <w:lang w:val="en-US"/>
        </w:rPr>
        <w:footnoteReference w:id="81"/>
      </w:r>
      <w:r w:rsidR="6A9D7426">
        <w:rPr>
          <w:rFonts w:cs="Arial"/>
          <w:color w:val="000000" w:themeColor="text1"/>
          <w:lang w:val="en-US"/>
        </w:rPr>
        <w:t>).</w:t>
      </w:r>
      <w:r w:rsidR="005275BC">
        <w:rPr>
          <w:rFonts w:cs="Arial"/>
          <w:color w:val="000000" w:themeColor="text1"/>
          <w:lang w:val="en-US"/>
        </w:rPr>
        <w:t xml:space="preserve"> </w:t>
      </w:r>
      <w:r w:rsidR="00CE3127">
        <w:rPr>
          <w:rFonts w:cs="Arial"/>
          <w:color w:val="000000" w:themeColor="text1"/>
          <w:lang w:val="en-US"/>
        </w:rPr>
        <w:t>V</w:t>
      </w:r>
      <w:r w:rsidR="00535B91" w:rsidRPr="00476CCE">
        <w:rPr>
          <w:rFonts w:cs="Arial"/>
          <w:color w:val="000000" w:themeColor="text1"/>
          <w:lang w:val="en-US"/>
        </w:rPr>
        <w:t>ery few exceed EUR 200</w:t>
      </w:r>
      <w:r w:rsidR="00F5578E">
        <w:rPr>
          <w:rFonts w:cs="Arial"/>
          <w:color w:val="000000" w:themeColor="text1"/>
          <w:lang w:val="en-US"/>
        </w:rPr>
        <w:t xml:space="preserve"> </w:t>
      </w:r>
      <w:r w:rsidR="00535B91" w:rsidRPr="00476CCE">
        <w:rPr>
          <w:rFonts w:cs="Arial"/>
          <w:color w:val="000000" w:themeColor="text1"/>
          <w:lang w:val="en-US"/>
        </w:rPr>
        <w:t>m</w:t>
      </w:r>
      <w:r w:rsidR="00F5578E">
        <w:rPr>
          <w:rFonts w:cs="Arial"/>
          <w:color w:val="000000" w:themeColor="text1"/>
          <w:lang w:val="en-US"/>
        </w:rPr>
        <w:t>illion</w:t>
      </w:r>
      <w:r w:rsidR="00502B77">
        <w:rPr>
          <w:rStyle w:val="FootnoteReference"/>
          <w:rFonts w:cs="Arial"/>
          <w:color w:val="000000" w:themeColor="text1"/>
          <w:lang w:val="en-US"/>
        </w:rPr>
        <w:footnoteReference w:id="82"/>
      </w:r>
      <w:r w:rsidR="00535B91" w:rsidRPr="00476CCE">
        <w:rPr>
          <w:rFonts w:cs="Arial"/>
          <w:color w:val="000000" w:themeColor="text1"/>
          <w:lang w:val="en-US"/>
        </w:rPr>
        <w:t>.</w:t>
      </w:r>
      <w:r w:rsidR="009B30B8" w:rsidRPr="009B30B8" w:rsidDel="005275BC">
        <w:rPr>
          <w:rFonts w:cs="Arial"/>
          <w:color w:val="000000" w:themeColor="text1"/>
          <w:lang w:val="en-US"/>
        </w:rPr>
        <w:t xml:space="preserve"> </w:t>
      </w:r>
      <w:r w:rsidR="009B30B8">
        <w:rPr>
          <w:rFonts w:cs="Arial"/>
          <w:color w:val="000000" w:themeColor="text1"/>
          <w:lang w:val="en-US"/>
        </w:rPr>
        <w:t>As</w:t>
      </w:r>
      <w:r w:rsidR="007A25E4">
        <w:rPr>
          <w:rFonts w:cs="Arial"/>
          <w:color w:val="000000" w:themeColor="text1"/>
          <w:lang w:val="en-US"/>
        </w:rPr>
        <w:t xml:space="preserve"> </w:t>
      </w:r>
      <w:r w:rsidR="009B30B8">
        <w:rPr>
          <w:rFonts w:cs="Arial"/>
          <w:color w:val="000000" w:themeColor="text1"/>
          <w:lang w:val="en-US"/>
        </w:rPr>
        <w:t xml:space="preserve">many companies struggle to scale </w:t>
      </w:r>
      <w:r w:rsidR="00D57279">
        <w:rPr>
          <w:rFonts w:cs="Arial"/>
          <w:color w:val="000000" w:themeColor="text1"/>
          <w:lang w:val="en-US"/>
        </w:rPr>
        <w:t>in the EU</w:t>
      </w:r>
      <w:r w:rsidR="007A25E4">
        <w:rPr>
          <w:rFonts w:cs="Arial"/>
          <w:color w:val="000000" w:themeColor="text1"/>
          <w:lang w:val="en-US"/>
        </w:rPr>
        <w:t>, they</w:t>
      </w:r>
      <w:r w:rsidR="009B30B8">
        <w:rPr>
          <w:rFonts w:cs="Arial"/>
          <w:color w:val="000000" w:themeColor="text1"/>
          <w:lang w:val="en-US"/>
        </w:rPr>
        <w:t xml:space="preserve"> increasingly rely </w:t>
      </w:r>
      <w:r w:rsidR="009B30B8" w:rsidRPr="00AA77D7">
        <w:rPr>
          <w:rFonts w:cs="Arial"/>
          <w:color w:val="000000" w:themeColor="text1"/>
          <w:lang w:val="en-US"/>
        </w:rPr>
        <w:t xml:space="preserve">on </w:t>
      </w:r>
      <w:r w:rsidR="009B30B8" w:rsidRPr="007929BE">
        <w:rPr>
          <w:rFonts w:cs="Arial"/>
          <w:color w:val="000000" w:themeColor="text1"/>
          <w:lang w:val="en-US"/>
        </w:rPr>
        <w:t>mergers and acquisitions</w:t>
      </w:r>
      <w:r w:rsidR="009B30B8">
        <w:rPr>
          <w:rFonts w:cs="Arial"/>
          <w:color w:val="000000" w:themeColor="text1"/>
          <w:lang w:val="en-US"/>
        </w:rPr>
        <w:t xml:space="preserve"> as</w:t>
      </w:r>
      <w:r w:rsidR="009B30B8" w:rsidRPr="007929BE">
        <w:rPr>
          <w:rFonts w:cs="Arial"/>
          <w:color w:val="000000" w:themeColor="text1"/>
          <w:lang w:val="en-US"/>
        </w:rPr>
        <w:t xml:space="preserve"> </w:t>
      </w:r>
      <w:r w:rsidR="009B30B8" w:rsidRPr="00912EED">
        <w:rPr>
          <w:rFonts w:cs="Arial"/>
        </w:rPr>
        <w:t xml:space="preserve">a common exit route. </w:t>
      </w:r>
      <w:r w:rsidR="009B30B8" w:rsidRPr="003D2BC4">
        <w:rPr>
          <w:rFonts w:cs="Arial"/>
          <w:color w:val="000000" w:themeColor="text1"/>
          <w:lang w:val="en-US"/>
        </w:rPr>
        <w:t>Around 40</w:t>
      </w:r>
      <w:r w:rsidR="00405618">
        <w:rPr>
          <w:rFonts w:cs="Arial"/>
          <w:color w:val="000000" w:themeColor="text1"/>
          <w:lang w:val="en-US"/>
        </w:rPr>
        <w:t>%</w:t>
      </w:r>
      <w:r w:rsidR="009B30B8" w:rsidRPr="003D2BC4">
        <w:rPr>
          <w:rFonts w:cs="Arial"/>
          <w:color w:val="000000" w:themeColor="text1"/>
          <w:lang w:val="en-US"/>
        </w:rPr>
        <w:t xml:space="preserve"> of acquisitions of EU biotech start</w:t>
      </w:r>
      <w:r w:rsidR="00D57279">
        <w:rPr>
          <w:rFonts w:cs="Arial"/>
          <w:color w:val="000000" w:themeColor="text1"/>
          <w:lang w:val="en-US"/>
        </w:rPr>
        <w:t>-</w:t>
      </w:r>
      <w:r w:rsidR="009B30B8" w:rsidRPr="003D2BC4">
        <w:rPr>
          <w:rFonts w:cs="Arial"/>
          <w:color w:val="000000" w:themeColor="text1"/>
          <w:lang w:val="en-US"/>
        </w:rPr>
        <w:t xml:space="preserve">ups are executed by US acquirers, highlighting </w:t>
      </w:r>
      <w:r w:rsidR="009B30B8">
        <w:rPr>
          <w:rFonts w:cs="Arial"/>
          <w:color w:val="000000" w:themeColor="text1"/>
          <w:lang w:val="en-US"/>
        </w:rPr>
        <w:t>how</w:t>
      </w:r>
      <w:r w:rsidR="009B30B8" w:rsidRPr="003D2BC4">
        <w:rPr>
          <w:rFonts w:cs="Arial"/>
          <w:color w:val="000000" w:themeColor="text1"/>
          <w:lang w:val="en-US"/>
        </w:rPr>
        <w:t xml:space="preserve"> EU biotech innovation </w:t>
      </w:r>
      <w:r w:rsidR="009B30B8">
        <w:rPr>
          <w:rFonts w:cs="Arial"/>
          <w:color w:val="000000" w:themeColor="text1"/>
          <w:lang w:val="en-US"/>
        </w:rPr>
        <w:t>is frequently integrated into</w:t>
      </w:r>
      <w:r w:rsidR="009B30B8" w:rsidRPr="003D2BC4">
        <w:rPr>
          <w:rFonts w:cs="Arial"/>
          <w:color w:val="000000" w:themeColor="text1"/>
          <w:lang w:val="en-US"/>
        </w:rPr>
        <w:t xml:space="preserve"> global pharmaceutical and life-science value chains</w:t>
      </w:r>
      <w:r w:rsidR="009B30B8">
        <w:rPr>
          <w:rFonts w:cs="Arial"/>
          <w:color w:val="000000" w:themeColor="text1"/>
          <w:lang w:val="en-US"/>
        </w:rPr>
        <w:t xml:space="preserve"> </w:t>
      </w:r>
      <w:r w:rsidR="009C620C">
        <w:rPr>
          <w:rFonts w:cs="Arial"/>
          <w:color w:val="000000" w:themeColor="text1"/>
        </w:rPr>
        <w:t xml:space="preserve">instead of </w:t>
      </w:r>
      <w:r w:rsidR="00770439">
        <w:rPr>
          <w:rFonts w:cs="Arial"/>
          <w:color w:val="000000" w:themeColor="text1"/>
        </w:rPr>
        <w:t>growing</w:t>
      </w:r>
      <w:r w:rsidR="009C620C" w:rsidRPr="006E0C02">
        <w:rPr>
          <w:rFonts w:cs="Arial"/>
          <w:color w:val="000000" w:themeColor="text1"/>
        </w:rPr>
        <w:t xml:space="preserve"> </w:t>
      </w:r>
      <w:r w:rsidR="009B30B8" w:rsidRPr="006E0C02">
        <w:rPr>
          <w:rFonts w:cs="Arial"/>
          <w:color w:val="000000" w:themeColor="text1"/>
        </w:rPr>
        <w:t>into large firms in the EU.</w:t>
      </w:r>
    </w:p>
    <w:p w14:paraId="11BFEE6C" w14:textId="140AA46D" w:rsidR="00970228" w:rsidRPr="00DD0CE5" w:rsidRDefault="001C79DB" w:rsidP="00B70E0A">
      <w:r w:rsidRPr="004F48D9">
        <w:rPr>
          <w:rFonts w:cs="Arial"/>
        </w:rPr>
        <w:t xml:space="preserve">AI and data are </w:t>
      </w:r>
      <w:r w:rsidR="000C3831">
        <w:rPr>
          <w:rFonts w:cs="Arial"/>
        </w:rPr>
        <w:t>now foundational</w:t>
      </w:r>
      <w:r w:rsidR="000C3831" w:rsidRPr="004F48D9">
        <w:rPr>
          <w:rFonts w:cs="Arial"/>
        </w:rPr>
        <w:t xml:space="preserve"> </w:t>
      </w:r>
      <w:r w:rsidR="000C3831">
        <w:rPr>
          <w:rFonts w:cs="Arial"/>
        </w:rPr>
        <w:t>to</w:t>
      </w:r>
      <w:r w:rsidR="000C3831" w:rsidRPr="004F48D9">
        <w:rPr>
          <w:rFonts w:cs="Arial"/>
        </w:rPr>
        <w:t xml:space="preserve"> </w:t>
      </w:r>
      <w:r w:rsidRPr="004F48D9">
        <w:rPr>
          <w:rFonts w:cs="Arial"/>
        </w:rPr>
        <w:t xml:space="preserve">competitiveness </w:t>
      </w:r>
      <w:r w:rsidRPr="00E84E83">
        <w:rPr>
          <w:rFonts w:cs="Arial"/>
        </w:rPr>
        <w:t xml:space="preserve">in biotechnology, </w:t>
      </w:r>
      <w:r w:rsidR="007558D2">
        <w:rPr>
          <w:rFonts w:cs="Arial"/>
        </w:rPr>
        <w:t xml:space="preserve">driving rapid advancements in </w:t>
      </w:r>
      <w:r w:rsidRPr="00E84E83">
        <w:rPr>
          <w:rFonts w:cs="Arial"/>
        </w:rPr>
        <w:t xml:space="preserve">discovery, development and manufacturing. </w:t>
      </w:r>
      <w:r w:rsidR="00D006C9">
        <w:rPr>
          <w:lang w:val="en-US"/>
        </w:rPr>
        <w:t>While</w:t>
      </w:r>
      <w:r w:rsidR="00D006C9" w:rsidRPr="00DD0CE5">
        <w:rPr>
          <w:lang w:val="en-US"/>
        </w:rPr>
        <w:t xml:space="preserve"> </w:t>
      </w:r>
      <w:r w:rsidR="0019100F" w:rsidRPr="00F04700">
        <w:rPr>
          <w:rFonts w:eastAsia="Times New Roman"/>
          <w:lang w:val="en-US"/>
        </w:rPr>
        <w:t>20% of EU enterprises with 10 or more employees adopted AI by 2025 - up from 13.5</w:t>
      </w:r>
      <w:r w:rsidR="00405618">
        <w:rPr>
          <w:rFonts w:eastAsia="Times New Roman"/>
          <w:lang w:val="en-US"/>
        </w:rPr>
        <w:t>%</w:t>
      </w:r>
      <w:r w:rsidR="0019100F" w:rsidRPr="00F04700">
        <w:rPr>
          <w:rFonts w:eastAsia="Times New Roman"/>
          <w:lang w:val="en-US"/>
        </w:rPr>
        <w:t xml:space="preserve"> in 2024 -  </w:t>
      </w:r>
      <w:r w:rsidR="0019100F" w:rsidRPr="00F04700">
        <w:rPr>
          <w:rFonts w:eastAsia="Times New Roman"/>
        </w:rPr>
        <w:t xml:space="preserve"> adoption in EU pharma and biotech manufacturing has surged even further, with large companies integrating AI at scale and shifting from pilot projects to system-level transformation</w:t>
      </w:r>
      <w:r w:rsidR="00B250BE">
        <w:rPr>
          <w:rStyle w:val="FootnoteReference"/>
          <w:rFonts w:eastAsia="Times New Roman"/>
        </w:rPr>
        <w:footnoteReference w:id="83"/>
      </w:r>
      <w:r w:rsidR="00C12430">
        <w:rPr>
          <w:rFonts w:cs="Arial"/>
        </w:rPr>
        <w:t>. However,</w:t>
      </w:r>
      <w:r w:rsidRPr="00E84E83">
        <w:rPr>
          <w:rFonts w:cs="Arial"/>
        </w:rPr>
        <w:t xml:space="preserve"> </w:t>
      </w:r>
      <w:r w:rsidRPr="004F48D9">
        <w:rPr>
          <w:rFonts w:cs="Arial"/>
          <w:b/>
        </w:rPr>
        <w:t xml:space="preserve">in-house AI development </w:t>
      </w:r>
      <w:r w:rsidRPr="00E84E83">
        <w:rPr>
          <w:rFonts w:cs="Arial"/>
        </w:rPr>
        <w:t xml:space="preserve">and </w:t>
      </w:r>
      <w:r w:rsidRPr="004F48D9">
        <w:rPr>
          <w:rFonts w:cs="Arial"/>
          <w:b/>
        </w:rPr>
        <w:t>scaling remain constrained by data and comput</w:t>
      </w:r>
      <w:r w:rsidR="00A67117">
        <w:rPr>
          <w:rFonts w:cs="Arial"/>
          <w:b/>
        </w:rPr>
        <w:t>e</w:t>
      </w:r>
      <w:r w:rsidRPr="004F48D9">
        <w:rPr>
          <w:rFonts w:cs="Arial"/>
          <w:b/>
        </w:rPr>
        <w:t xml:space="preserve"> bottlenecks</w:t>
      </w:r>
      <w:r w:rsidR="008B1DE5" w:rsidRPr="004F48D9">
        <w:rPr>
          <w:rFonts w:cs="Arial"/>
          <w:b/>
        </w:rPr>
        <w:t xml:space="preserve"> - </w:t>
      </w:r>
      <w:r w:rsidRPr="004F48D9">
        <w:rPr>
          <w:rFonts w:cs="Arial"/>
          <w:b/>
        </w:rPr>
        <w:t>particularly for SMEs</w:t>
      </w:r>
      <w:r w:rsidR="000A5AEA">
        <w:rPr>
          <w:rFonts w:cs="Arial"/>
          <w:b/>
        </w:rPr>
        <w:t>.</w:t>
      </w:r>
      <w:r w:rsidR="001D009B">
        <w:rPr>
          <w:rFonts w:cs="Arial"/>
          <w:b/>
        </w:rPr>
        <w:t xml:space="preserve"> </w:t>
      </w:r>
      <w:r w:rsidR="00F14D62" w:rsidDel="008418D6">
        <w:t>AI biotech platforms are inherently capital-intensive, relying on costly model training and large-scale data generation</w:t>
      </w:r>
      <w:r w:rsidR="001E6721" w:rsidDel="008418D6">
        <w:t xml:space="preserve">, </w:t>
      </w:r>
      <w:r w:rsidR="001E6721" w:rsidRPr="001E6721" w:rsidDel="008418D6">
        <w:t>and depend on access to high-quality data and advanced comput</w:t>
      </w:r>
      <w:r w:rsidR="001E6721" w:rsidRPr="001E6721" w:rsidDel="001A7592">
        <w:t>e</w:t>
      </w:r>
      <w:r w:rsidR="001E6721" w:rsidRPr="001E6721" w:rsidDel="008418D6">
        <w:t xml:space="preserve"> infrastructure</w:t>
      </w:r>
      <w:r w:rsidR="003B19A1">
        <w:t xml:space="preserve">. </w:t>
      </w:r>
      <w:r w:rsidR="003B19A1" w:rsidRPr="00F04700">
        <w:rPr>
          <w:rFonts w:eastAsia="Times New Roman"/>
        </w:rPr>
        <w:t xml:space="preserve">As the industry matures, the gap between large pharma industry and smaller players is widening, underscoring the need for equitable access to technology and robust regulatory frameworks. </w:t>
      </w:r>
      <w:r w:rsidR="00112537" w:rsidRPr="00112537">
        <w:t xml:space="preserve"> </w:t>
      </w:r>
    </w:p>
    <w:p w14:paraId="787ACD38" w14:textId="4882A492" w:rsidR="006B087E" w:rsidRPr="00DD0CE5" w:rsidRDefault="006B087E" w:rsidP="000E3086">
      <w:pPr>
        <w:pStyle w:val="Heading2"/>
      </w:pPr>
      <w:bookmarkStart w:id="43" w:name="_Toc224747197"/>
      <w:bookmarkStart w:id="44" w:name="_Toc224749667"/>
      <w:bookmarkStart w:id="45" w:name="_Toc225974545"/>
      <w:bookmarkStart w:id="46" w:name="_Toc225975218"/>
      <w:bookmarkStart w:id="47" w:name="_Toc225975275"/>
      <w:bookmarkStart w:id="48" w:name="_Toc227941839"/>
      <w:r w:rsidRPr="00DD0CE5">
        <w:t>What are the problem drivers?</w:t>
      </w:r>
      <w:bookmarkEnd w:id="43"/>
      <w:bookmarkEnd w:id="44"/>
      <w:bookmarkEnd w:id="45"/>
      <w:bookmarkEnd w:id="46"/>
      <w:bookmarkEnd w:id="47"/>
      <w:bookmarkEnd w:id="48"/>
    </w:p>
    <w:p w14:paraId="270EDB23" w14:textId="04200E1F" w:rsidR="00B400D3" w:rsidRDefault="00040A4C" w:rsidP="00C85DD9">
      <w:pPr>
        <w:rPr>
          <w:lang w:val="en-IE"/>
        </w:rPr>
      </w:pPr>
      <w:r w:rsidRPr="7E0A535E">
        <w:rPr>
          <w:lang w:val="en-IE"/>
        </w:rPr>
        <w:t>T</w:t>
      </w:r>
      <w:r w:rsidR="00335138" w:rsidRPr="7E0A535E">
        <w:rPr>
          <w:lang w:val="en-IE"/>
        </w:rPr>
        <w:t xml:space="preserve">he problem </w:t>
      </w:r>
      <w:r w:rsidR="00174C64">
        <w:rPr>
          <w:lang w:val="en-IE"/>
        </w:rPr>
        <w:t>is caused</w:t>
      </w:r>
      <w:r w:rsidR="00335138" w:rsidRPr="7E0A535E">
        <w:rPr>
          <w:lang w:val="en-IE"/>
        </w:rPr>
        <w:t xml:space="preserve"> by </w:t>
      </w:r>
      <w:r w:rsidR="00533185" w:rsidRPr="7E0A535E">
        <w:rPr>
          <w:lang w:val="en-IE"/>
        </w:rPr>
        <w:t xml:space="preserve">three </w:t>
      </w:r>
      <w:r w:rsidR="00335138" w:rsidRPr="7E0A535E">
        <w:rPr>
          <w:lang w:val="en-IE"/>
        </w:rPr>
        <w:t>main related factors. First</w:t>
      </w:r>
      <w:r w:rsidR="008B1DE5" w:rsidRPr="7E0A535E">
        <w:rPr>
          <w:lang w:val="en-IE"/>
        </w:rPr>
        <w:t>ly</w:t>
      </w:r>
      <w:r w:rsidR="00335138" w:rsidRPr="7E0A535E">
        <w:rPr>
          <w:lang w:val="en-IE"/>
        </w:rPr>
        <w:t xml:space="preserve">, the </w:t>
      </w:r>
      <w:r w:rsidR="01F56B34" w:rsidRPr="1D197E70">
        <w:rPr>
          <w:lang w:val="en-IE"/>
        </w:rPr>
        <w:t>regulatory and administrative</w:t>
      </w:r>
      <w:r w:rsidR="00335138" w:rsidRPr="383B0E64">
        <w:rPr>
          <w:lang w:val="en-IE"/>
        </w:rPr>
        <w:t xml:space="preserve"> </w:t>
      </w:r>
      <w:r w:rsidR="00335138" w:rsidRPr="7E0A535E">
        <w:rPr>
          <w:lang w:val="en-IE"/>
        </w:rPr>
        <w:t xml:space="preserve">operating environment for biotechnology in the </w:t>
      </w:r>
      <w:r w:rsidR="00FA22B6" w:rsidRPr="7E0A535E">
        <w:rPr>
          <w:lang w:val="en-IE"/>
        </w:rPr>
        <w:t xml:space="preserve">EU </w:t>
      </w:r>
      <w:r w:rsidR="00335138" w:rsidRPr="7E0A535E">
        <w:rPr>
          <w:lang w:val="en-IE"/>
        </w:rPr>
        <w:t xml:space="preserve">is </w:t>
      </w:r>
      <w:r w:rsidR="00335138" w:rsidRPr="009F6D09">
        <w:rPr>
          <w:lang w:val="en-IE"/>
        </w:rPr>
        <w:t>complex</w:t>
      </w:r>
      <w:r w:rsidR="00D52187">
        <w:rPr>
          <w:lang w:val="en-IE"/>
        </w:rPr>
        <w:t xml:space="preserve"> which</w:t>
      </w:r>
      <w:r w:rsidR="00BA4CD8" w:rsidRPr="00911036">
        <w:rPr>
          <w:lang w:val="en-IE"/>
        </w:rPr>
        <w:t xml:space="preserve"> in tur</w:t>
      </w:r>
      <w:r w:rsidR="00D52187">
        <w:rPr>
          <w:lang w:val="en-IE"/>
        </w:rPr>
        <w:t>n</w:t>
      </w:r>
      <w:r w:rsidR="00BA4CD8" w:rsidRPr="00911036">
        <w:rPr>
          <w:lang w:val="en-IE"/>
        </w:rPr>
        <w:t xml:space="preserve"> </w:t>
      </w:r>
      <w:r w:rsidR="001D1152" w:rsidRPr="00911036">
        <w:rPr>
          <w:lang w:val="en-IE"/>
        </w:rPr>
        <w:t>impact</w:t>
      </w:r>
      <w:r w:rsidR="00D52187">
        <w:rPr>
          <w:lang w:val="en-IE"/>
        </w:rPr>
        <w:t>s</w:t>
      </w:r>
      <w:r w:rsidR="001D1152" w:rsidRPr="00911036">
        <w:rPr>
          <w:lang w:val="en-IE"/>
        </w:rPr>
        <w:t xml:space="preserve"> </w:t>
      </w:r>
      <w:r w:rsidR="00672135" w:rsidRPr="00EF0529">
        <w:rPr>
          <w:b/>
          <w:bCs/>
          <w:i/>
          <w:lang w:val="en-IE"/>
        </w:rPr>
        <w:t>speed</w:t>
      </w:r>
      <w:r w:rsidR="00335138" w:rsidRPr="0018391F">
        <w:rPr>
          <w:iCs/>
          <w:lang w:val="en-IE"/>
        </w:rPr>
        <w:t>.</w:t>
      </w:r>
      <w:r w:rsidR="00335138" w:rsidRPr="00911036">
        <w:rPr>
          <w:lang w:val="en-IE"/>
        </w:rPr>
        <w:t xml:space="preserve"> </w:t>
      </w:r>
    </w:p>
    <w:p w14:paraId="44A127EE" w14:textId="5284D8F3" w:rsidR="00B400D3" w:rsidRDefault="00335138" w:rsidP="00C85DD9">
      <w:pPr>
        <w:rPr>
          <w:lang w:val="en-IE"/>
        </w:rPr>
      </w:pPr>
      <w:r w:rsidRPr="00911036">
        <w:rPr>
          <w:lang w:val="en-IE"/>
        </w:rPr>
        <w:t>Second</w:t>
      </w:r>
      <w:r w:rsidR="008B1DE5" w:rsidRPr="00911036">
        <w:rPr>
          <w:lang w:val="en-IE"/>
        </w:rPr>
        <w:t>ly</w:t>
      </w:r>
      <w:r w:rsidRPr="00911036">
        <w:rPr>
          <w:lang w:val="en-IE"/>
        </w:rPr>
        <w:t xml:space="preserve">, the </w:t>
      </w:r>
      <w:r w:rsidR="00073476">
        <w:rPr>
          <w:lang w:val="en-IE"/>
        </w:rPr>
        <w:t>EU’s</w:t>
      </w:r>
      <w:r w:rsidRPr="00911036">
        <w:rPr>
          <w:lang w:val="en-IE"/>
        </w:rPr>
        <w:t xml:space="preserve"> biotechnology ecosystem operates </w:t>
      </w:r>
      <w:r w:rsidR="00F5716E" w:rsidRPr="00911036">
        <w:rPr>
          <w:lang w:val="en-IE"/>
        </w:rPr>
        <w:t xml:space="preserve">in a fragmented manner, failing to tap </w:t>
      </w:r>
      <w:r w:rsidR="00F5716E" w:rsidRPr="7E0A535E">
        <w:rPr>
          <w:lang w:val="en-IE"/>
        </w:rPr>
        <w:t xml:space="preserve">the </w:t>
      </w:r>
      <w:r w:rsidR="1AAD7881" w:rsidRPr="7E0A535E">
        <w:rPr>
          <w:lang w:val="en-IE"/>
        </w:rPr>
        <w:t xml:space="preserve">full </w:t>
      </w:r>
      <w:r w:rsidR="1AAD7881" w:rsidRPr="00EF0529">
        <w:rPr>
          <w:b/>
          <w:bCs/>
          <w:i/>
          <w:lang w:val="en-IE"/>
        </w:rPr>
        <w:t>scale</w:t>
      </w:r>
      <w:r w:rsidR="00F5716E" w:rsidRPr="0018391F">
        <w:rPr>
          <w:i/>
          <w:lang w:val="en-IE"/>
        </w:rPr>
        <w:t xml:space="preserve"> </w:t>
      </w:r>
      <w:r w:rsidR="00F5716E" w:rsidRPr="7E0A535E">
        <w:rPr>
          <w:lang w:val="en-IE"/>
        </w:rPr>
        <w:t xml:space="preserve">of the EU </w:t>
      </w:r>
      <w:r w:rsidR="01DC08DE" w:rsidRPr="609BCDDE">
        <w:rPr>
          <w:lang w:val="en-IE"/>
        </w:rPr>
        <w:t>research or testing</w:t>
      </w:r>
      <w:r w:rsidR="00F5716E" w:rsidRPr="5C48906C">
        <w:rPr>
          <w:lang w:val="en-IE"/>
        </w:rPr>
        <w:t xml:space="preserve"> </w:t>
      </w:r>
      <w:r w:rsidR="6B469A5B" w:rsidRPr="5C48906C">
        <w:rPr>
          <w:lang w:val="en-IE"/>
        </w:rPr>
        <w:t>infrastructure,</w:t>
      </w:r>
      <w:r w:rsidR="00F5716E" w:rsidRPr="7E0A535E">
        <w:rPr>
          <w:lang w:val="en-IE"/>
        </w:rPr>
        <w:t xml:space="preserve"> </w:t>
      </w:r>
      <w:r w:rsidRPr="7E0A535E">
        <w:rPr>
          <w:lang w:val="en-IE"/>
        </w:rPr>
        <w:t xml:space="preserve">markets, access to capital </w:t>
      </w:r>
      <w:r w:rsidR="00BF4E35" w:rsidRPr="7E0A535E">
        <w:rPr>
          <w:lang w:val="en-IE"/>
        </w:rPr>
        <w:t xml:space="preserve">or </w:t>
      </w:r>
      <w:r w:rsidR="00F5716E" w:rsidRPr="7E0A535E">
        <w:rPr>
          <w:lang w:val="en-IE"/>
        </w:rPr>
        <w:t xml:space="preserve">production </w:t>
      </w:r>
      <w:r w:rsidRPr="7E0A535E">
        <w:rPr>
          <w:lang w:val="en-IE"/>
        </w:rPr>
        <w:t>capacities</w:t>
      </w:r>
      <w:r w:rsidR="00BF4E35" w:rsidRPr="7E0A535E">
        <w:rPr>
          <w:lang w:val="en-IE"/>
        </w:rPr>
        <w:t>, thus</w:t>
      </w:r>
      <w:r w:rsidRPr="7E0A535E">
        <w:rPr>
          <w:lang w:val="en-IE"/>
        </w:rPr>
        <w:t xml:space="preserve"> limiting companies’</w:t>
      </w:r>
      <w:r w:rsidR="00A43B53">
        <w:rPr>
          <w:lang w:val="en-IE"/>
        </w:rPr>
        <w:t xml:space="preserve"> </w:t>
      </w:r>
      <w:r w:rsidRPr="7E0A535E">
        <w:rPr>
          <w:lang w:val="en-IE"/>
        </w:rPr>
        <w:t>ability to grow and compete internationally.</w:t>
      </w:r>
      <w:bookmarkStart w:id="49" w:name="_Toc222740566"/>
      <w:bookmarkStart w:id="50" w:name="_Toc222831749"/>
      <w:r w:rsidR="008879C0" w:rsidRPr="7E0A535E">
        <w:rPr>
          <w:lang w:val="en-IE"/>
        </w:rPr>
        <w:t xml:space="preserve"> </w:t>
      </w:r>
    </w:p>
    <w:p w14:paraId="1C04A26C" w14:textId="0D9A9C52" w:rsidR="00F210D3" w:rsidRPr="00DD0CE5" w:rsidRDefault="008879C0" w:rsidP="00C85DD9">
      <w:pPr>
        <w:rPr>
          <w:lang w:val="en-IE"/>
        </w:rPr>
      </w:pPr>
      <w:r w:rsidRPr="7E0A535E">
        <w:rPr>
          <w:lang w:val="en-IE"/>
        </w:rPr>
        <w:t xml:space="preserve">Thirdly, </w:t>
      </w:r>
      <w:r w:rsidRPr="00EF0529">
        <w:rPr>
          <w:b/>
          <w:bCs/>
          <w:i/>
          <w:lang w:val="en-IE"/>
        </w:rPr>
        <w:t>technological advance</w:t>
      </w:r>
      <w:r w:rsidR="00811A73" w:rsidRPr="00EF0529">
        <w:rPr>
          <w:b/>
          <w:bCs/>
          <w:i/>
          <w:lang w:val="en-IE"/>
        </w:rPr>
        <w:t>s</w:t>
      </w:r>
      <w:r w:rsidRPr="7E0A535E">
        <w:rPr>
          <w:lang w:val="en-IE"/>
        </w:rPr>
        <w:t xml:space="preserve"> in biotech can </w:t>
      </w:r>
      <w:r w:rsidR="009B4A0A" w:rsidRPr="7E0A535E">
        <w:rPr>
          <w:lang w:val="en-IE"/>
        </w:rPr>
        <w:t xml:space="preserve">result in </w:t>
      </w:r>
      <w:r w:rsidR="009B4A0A" w:rsidRPr="00911036">
        <w:rPr>
          <w:bCs/>
          <w:lang w:val="en-IE"/>
        </w:rPr>
        <w:t>obsolete</w:t>
      </w:r>
      <w:r w:rsidR="009B4A0A" w:rsidRPr="7E0A535E">
        <w:rPr>
          <w:lang w:val="en-IE"/>
        </w:rPr>
        <w:t xml:space="preserve"> frameworks</w:t>
      </w:r>
      <w:r w:rsidR="004A076F" w:rsidRPr="7E0A535E">
        <w:rPr>
          <w:lang w:val="en-IE"/>
        </w:rPr>
        <w:t xml:space="preserve"> to govern this </w:t>
      </w:r>
      <w:r w:rsidR="003C51D1" w:rsidRPr="7E0A535E">
        <w:rPr>
          <w:lang w:val="en-IE"/>
        </w:rPr>
        <w:t>fast-moving</w:t>
      </w:r>
      <w:r w:rsidR="004A076F" w:rsidRPr="7E0A535E">
        <w:rPr>
          <w:lang w:val="en-IE"/>
        </w:rPr>
        <w:t xml:space="preserve"> sector.</w:t>
      </w:r>
    </w:p>
    <w:p w14:paraId="78DBD21C" w14:textId="378B074A" w:rsidR="009C5BE4" w:rsidRPr="00DD0CE5" w:rsidRDefault="009C5BE4" w:rsidP="009C5BE4">
      <w:pPr>
        <w:pStyle w:val="Heading3"/>
      </w:pPr>
      <w:bookmarkStart w:id="51" w:name="_Toc224747198"/>
      <w:bookmarkStart w:id="52" w:name="_Toc224749668"/>
      <w:bookmarkStart w:id="53" w:name="_Toc225974546"/>
      <w:bookmarkStart w:id="54" w:name="_Toc225975219"/>
      <w:bookmarkStart w:id="55" w:name="_Toc225975276"/>
      <w:r w:rsidRPr="00DD0CE5">
        <w:t xml:space="preserve">Driver </w:t>
      </w:r>
      <w:r w:rsidR="00E62C83" w:rsidRPr="00DD0CE5">
        <w:t>1</w:t>
      </w:r>
      <w:r w:rsidRPr="00DD0CE5">
        <w:t xml:space="preserve">: </w:t>
      </w:r>
      <w:r w:rsidR="00B400D3">
        <w:t>t</w:t>
      </w:r>
      <w:r w:rsidR="000E16B3">
        <w:t>he</w:t>
      </w:r>
      <w:r w:rsidRPr="00DD0CE5">
        <w:t xml:space="preserve"> </w:t>
      </w:r>
      <w:r w:rsidR="000E16B3">
        <w:t>c</w:t>
      </w:r>
      <w:r w:rsidRPr="00DD0CE5">
        <w:t xml:space="preserve">omplexity </w:t>
      </w:r>
      <w:r w:rsidR="3AFB4141">
        <w:t xml:space="preserve">of </w:t>
      </w:r>
      <w:r w:rsidR="0058446E">
        <w:t>the</w:t>
      </w:r>
      <w:r w:rsidR="0058446E" w:rsidRPr="00DD0CE5">
        <w:t xml:space="preserve"> EU regulatory framework, leading to </w:t>
      </w:r>
      <w:r w:rsidRPr="00DD0CE5">
        <w:t>slow time</w:t>
      </w:r>
      <w:r w:rsidR="0058446E" w:rsidRPr="00DD0CE5">
        <w:t>-</w:t>
      </w:r>
      <w:r w:rsidRPr="00DD0CE5">
        <w:t>to</w:t>
      </w:r>
      <w:r w:rsidR="0058446E" w:rsidRPr="00DD0CE5">
        <w:t>-</w:t>
      </w:r>
      <w:r w:rsidRPr="00DD0CE5">
        <w:t>market</w:t>
      </w:r>
      <w:bookmarkEnd w:id="49"/>
      <w:bookmarkEnd w:id="50"/>
      <w:bookmarkEnd w:id="51"/>
      <w:bookmarkEnd w:id="52"/>
      <w:bookmarkEnd w:id="53"/>
      <w:bookmarkEnd w:id="54"/>
      <w:bookmarkEnd w:id="55"/>
    </w:p>
    <w:p w14:paraId="032B3269" w14:textId="572B3738" w:rsidR="007A61E1" w:rsidRPr="00DD0CE5" w:rsidRDefault="00822943" w:rsidP="009F6D09">
      <w:r w:rsidRPr="00DD0CE5">
        <w:rPr>
          <w:lang w:val="en-IE"/>
        </w:rPr>
        <w:t xml:space="preserve">A first set of challenges relates to the </w:t>
      </w:r>
      <w:r w:rsidRPr="00DD0CE5">
        <w:rPr>
          <w:b/>
          <w:bCs/>
          <w:lang w:val="en-IE"/>
        </w:rPr>
        <w:t>regulatory environment</w:t>
      </w:r>
      <w:r w:rsidRPr="00DD0CE5">
        <w:rPr>
          <w:lang w:val="en-IE"/>
        </w:rPr>
        <w:t xml:space="preserve">, which stakeholders consistently perceive as complex, </w:t>
      </w:r>
      <w:r w:rsidR="00BC1344">
        <w:rPr>
          <w:lang w:val="en-IE"/>
        </w:rPr>
        <w:t xml:space="preserve">time-consuming </w:t>
      </w:r>
      <w:r w:rsidRPr="00DD0CE5">
        <w:rPr>
          <w:lang w:val="en-IE"/>
        </w:rPr>
        <w:t xml:space="preserve">and difficult to navigate. </w:t>
      </w:r>
      <w:r w:rsidR="00331B58" w:rsidRPr="00DD0CE5">
        <w:rPr>
          <w:lang w:val="en-IE"/>
        </w:rPr>
        <w:t>I</w:t>
      </w:r>
      <w:r w:rsidR="0060717E" w:rsidRPr="00DD0CE5">
        <w:rPr>
          <w:lang w:val="en-IE"/>
        </w:rPr>
        <w:t>n the EU</w:t>
      </w:r>
      <w:r w:rsidR="00CD0935" w:rsidRPr="00DD0CE5">
        <w:rPr>
          <w:lang w:val="en-IE"/>
        </w:rPr>
        <w:t>,</w:t>
      </w:r>
      <w:r w:rsidR="0060717E" w:rsidRPr="00DD0CE5">
        <w:rPr>
          <w:lang w:val="en-IE"/>
        </w:rPr>
        <w:t xml:space="preserve"> </w:t>
      </w:r>
      <w:r w:rsidR="00331B58" w:rsidRPr="00DD0CE5">
        <w:rPr>
          <w:lang w:val="en-IE"/>
        </w:rPr>
        <w:t>60</w:t>
      </w:r>
      <w:r w:rsidR="00405618">
        <w:rPr>
          <w:lang w:val="en-IE"/>
        </w:rPr>
        <w:t>%</w:t>
      </w:r>
      <w:r w:rsidR="00331B58" w:rsidRPr="00DD0CE5">
        <w:rPr>
          <w:lang w:val="en-IE"/>
        </w:rPr>
        <w:t xml:space="preserve"> of </w:t>
      </w:r>
      <w:r w:rsidR="0060717E" w:rsidRPr="00DD0CE5">
        <w:rPr>
          <w:lang w:val="en-IE"/>
        </w:rPr>
        <w:t>companies see regulatory burden as a key obstacle to long-term investment</w:t>
      </w:r>
      <w:r w:rsidR="00331B58" w:rsidRPr="00DD0CE5">
        <w:rPr>
          <w:rStyle w:val="FootnoteReference"/>
          <w:lang w:val="en-IE"/>
        </w:rPr>
        <w:footnoteReference w:id="84"/>
      </w:r>
      <w:r w:rsidR="00331B58" w:rsidRPr="00DD0CE5">
        <w:rPr>
          <w:lang w:val="en-IE"/>
        </w:rPr>
        <w:t xml:space="preserve">. This finding </w:t>
      </w:r>
      <w:r w:rsidR="00B400D3">
        <w:rPr>
          <w:lang w:val="en-IE"/>
        </w:rPr>
        <w:t>applies</w:t>
      </w:r>
      <w:r w:rsidR="00331B58" w:rsidRPr="00DD0CE5">
        <w:rPr>
          <w:lang w:val="en-IE"/>
        </w:rPr>
        <w:t xml:space="preserve"> to</w:t>
      </w:r>
      <w:r w:rsidR="00CD0935" w:rsidRPr="00DD0CE5">
        <w:rPr>
          <w:lang w:val="en-IE"/>
        </w:rPr>
        <w:t xml:space="preserve"> the biotechnology and biomanufacturing sector</w:t>
      </w:r>
      <w:r w:rsidR="002E7DA4" w:rsidRPr="00DD0CE5">
        <w:rPr>
          <w:lang w:val="en-IE"/>
        </w:rPr>
        <w:t xml:space="preserve">, </w:t>
      </w:r>
      <w:r w:rsidR="00A32410">
        <w:rPr>
          <w:lang w:val="en-US"/>
        </w:rPr>
        <w:t xml:space="preserve">as reflected in </w:t>
      </w:r>
      <w:r w:rsidR="00B400D3">
        <w:rPr>
          <w:lang w:val="en-US"/>
        </w:rPr>
        <w:t xml:space="preserve">responses </w:t>
      </w:r>
      <w:r w:rsidR="00A32410">
        <w:rPr>
          <w:lang w:val="en-US"/>
        </w:rPr>
        <w:t>to the public consultation</w:t>
      </w:r>
      <w:r w:rsidR="003B3144">
        <w:rPr>
          <w:lang w:val="en-US"/>
        </w:rPr>
        <w:t xml:space="preserve">. </w:t>
      </w:r>
      <w:r w:rsidR="003B3144">
        <w:rPr>
          <w:b/>
          <w:bCs/>
          <w:lang w:val="en-US"/>
        </w:rPr>
        <w:t>C</w:t>
      </w:r>
      <w:r w:rsidRPr="00DD0CE5">
        <w:rPr>
          <w:b/>
          <w:bCs/>
          <w:lang w:val="en-US"/>
        </w:rPr>
        <w:t>omplex regulatory pathways</w:t>
      </w:r>
      <w:r w:rsidR="005E3F26" w:rsidRPr="005E3F26">
        <w:rPr>
          <w:b/>
          <w:bCs/>
          <w:lang w:val="en-US"/>
        </w:rPr>
        <w:t xml:space="preserve"> and</w:t>
      </w:r>
      <w:r w:rsidRPr="00DD0CE5">
        <w:rPr>
          <w:b/>
          <w:bCs/>
          <w:lang w:val="en-US"/>
        </w:rPr>
        <w:t xml:space="preserve"> </w:t>
      </w:r>
      <w:r w:rsidRPr="00B62846">
        <w:rPr>
          <w:b/>
          <w:lang w:val="en-US"/>
        </w:rPr>
        <w:t xml:space="preserve">divergent implementation of EU </w:t>
      </w:r>
      <w:r w:rsidR="009473B6" w:rsidRPr="00B62846">
        <w:rPr>
          <w:b/>
          <w:lang w:val="en-US"/>
        </w:rPr>
        <w:t>legislation</w:t>
      </w:r>
      <w:r w:rsidR="005E3F26">
        <w:rPr>
          <w:lang w:val="en-US"/>
        </w:rPr>
        <w:t xml:space="preserve"> </w:t>
      </w:r>
      <w:r w:rsidR="0050625A">
        <w:rPr>
          <w:lang w:val="en-US"/>
        </w:rPr>
        <w:t>w</w:t>
      </w:r>
      <w:r w:rsidR="003B3144">
        <w:rPr>
          <w:lang w:val="en-US"/>
        </w:rPr>
        <w:t>ere</w:t>
      </w:r>
      <w:r w:rsidR="0050625A">
        <w:rPr>
          <w:lang w:val="en-US"/>
        </w:rPr>
        <w:t xml:space="preserve"> identified </w:t>
      </w:r>
      <w:r w:rsidR="006962D2">
        <w:rPr>
          <w:lang w:val="en-US"/>
        </w:rPr>
        <w:t>as barriers to the expansion</w:t>
      </w:r>
      <w:r w:rsidR="006A769B" w:rsidRPr="00DD0CE5">
        <w:rPr>
          <w:lang w:val="en-US"/>
        </w:rPr>
        <w:t xml:space="preserve"> </w:t>
      </w:r>
      <w:r w:rsidR="006962D2">
        <w:rPr>
          <w:lang w:val="en-US"/>
        </w:rPr>
        <w:t>of</w:t>
      </w:r>
      <w:r w:rsidR="006A769B" w:rsidRPr="00DD0CE5">
        <w:rPr>
          <w:lang w:val="en-US"/>
        </w:rPr>
        <w:t xml:space="preserve"> </w:t>
      </w:r>
      <w:r w:rsidR="003B3144">
        <w:rPr>
          <w:lang w:val="en-US"/>
        </w:rPr>
        <w:t xml:space="preserve">EU </w:t>
      </w:r>
      <w:r w:rsidR="006A769B" w:rsidRPr="00DD0CE5">
        <w:rPr>
          <w:lang w:val="en-US"/>
        </w:rPr>
        <w:t>companies, particularly start-ups, spin-offs and other SMEs</w:t>
      </w:r>
      <w:r w:rsidR="00F17643" w:rsidRPr="00D5228B">
        <w:rPr>
          <w:rStyle w:val="FootnoteReference"/>
          <w:lang w:val="en-US"/>
        </w:rPr>
        <w:footnoteReference w:id="85"/>
      </w:r>
      <w:r w:rsidRPr="00DD0CE5">
        <w:rPr>
          <w:lang w:val="en-US"/>
        </w:rPr>
        <w:t xml:space="preserve">. </w:t>
      </w:r>
      <w:r w:rsidR="00065745" w:rsidRPr="00DD0CE5">
        <w:t>Respondents</w:t>
      </w:r>
      <w:r w:rsidR="00AC350E">
        <w:t xml:space="preserve"> </w:t>
      </w:r>
      <w:r w:rsidR="00065745" w:rsidRPr="00DD0CE5">
        <w:rPr>
          <w:b/>
          <w:bCs/>
        </w:rPr>
        <w:t>largely agree</w:t>
      </w:r>
      <w:r w:rsidR="003B3144">
        <w:rPr>
          <w:b/>
          <w:bCs/>
        </w:rPr>
        <w:t>d</w:t>
      </w:r>
      <w:r w:rsidR="00065745" w:rsidRPr="00DD0CE5">
        <w:rPr>
          <w:b/>
          <w:bCs/>
        </w:rPr>
        <w:t xml:space="preserve"> that</w:t>
      </w:r>
      <w:r w:rsidR="00065745" w:rsidRPr="00DD0CE5">
        <w:t xml:space="preserve"> </w:t>
      </w:r>
      <w:r w:rsidR="00065745" w:rsidRPr="00DD0CE5">
        <w:rPr>
          <w:b/>
          <w:bCs/>
        </w:rPr>
        <w:t>EU rules create regulatory barriers</w:t>
      </w:r>
      <w:r w:rsidR="008A4F64" w:rsidRPr="00DD0CE5">
        <w:rPr>
          <w:b/>
          <w:bCs/>
        </w:rPr>
        <w:t>,</w:t>
      </w:r>
      <w:r w:rsidR="00065745" w:rsidRPr="00DD0CE5">
        <w:rPr>
          <w:b/>
        </w:rPr>
        <w:t xml:space="preserve"> particularly </w:t>
      </w:r>
      <w:r w:rsidR="008A4F64" w:rsidRPr="00DD0CE5">
        <w:rPr>
          <w:b/>
          <w:bCs/>
        </w:rPr>
        <w:t>when products move closer to market entry and formal approval processes</w:t>
      </w:r>
      <w:r w:rsidR="00840336">
        <w:rPr>
          <w:rStyle w:val="FootnoteReference"/>
        </w:rPr>
        <w:footnoteReference w:id="86"/>
      </w:r>
      <w:r w:rsidR="00065745" w:rsidRPr="00DD0CE5">
        <w:t xml:space="preserve">. </w:t>
      </w:r>
    </w:p>
    <w:p w14:paraId="27B7FC27" w14:textId="7EFD2904" w:rsidR="00A40C19" w:rsidRDefault="00CC5420" w:rsidP="00C85DD9">
      <w:r>
        <w:t xml:space="preserve">In addition, </w:t>
      </w:r>
      <w:r w:rsidR="00285A3E" w:rsidRPr="00DD0CE5">
        <w:t xml:space="preserve">the perception of the </w:t>
      </w:r>
      <w:r w:rsidR="009236B1">
        <w:t xml:space="preserve">EU </w:t>
      </w:r>
      <w:r w:rsidR="00285A3E" w:rsidRPr="00DD0CE5">
        <w:t xml:space="preserve">regulatory environment compared to </w:t>
      </w:r>
      <w:r w:rsidR="001205E1">
        <w:t xml:space="preserve">other </w:t>
      </w:r>
      <w:r w:rsidR="00285A3E" w:rsidRPr="00DD0CE5">
        <w:t xml:space="preserve">countries showed a </w:t>
      </w:r>
      <w:r w:rsidR="00285A3E" w:rsidRPr="00E9004F">
        <w:rPr>
          <w:b/>
        </w:rPr>
        <w:t>limited agreement about the level of predictability of the EU regulatory environment</w:t>
      </w:r>
      <w:r w:rsidR="001B7515">
        <w:rPr>
          <w:rStyle w:val="FootnoteReference"/>
          <w:b/>
        </w:rPr>
        <w:footnoteReference w:id="87"/>
      </w:r>
      <w:r w:rsidR="00285A3E" w:rsidRPr="00DD0CE5">
        <w:t xml:space="preserve">. </w:t>
      </w:r>
      <w:r w:rsidR="00A40C19">
        <w:t>A</w:t>
      </w:r>
      <w:r w:rsidR="002C54E4">
        <w:t>lso, a</w:t>
      </w:r>
      <w:r w:rsidR="00A40C19">
        <w:t xml:space="preserve"> sma</w:t>
      </w:r>
      <w:r w:rsidR="002C54E4">
        <w:t>l</w:t>
      </w:r>
      <w:r w:rsidR="00A40C19">
        <w:t xml:space="preserve">l number of respondents </w:t>
      </w:r>
      <w:r w:rsidR="00285A3E" w:rsidRPr="00DD0CE5">
        <w:t>agree</w:t>
      </w:r>
      <w:r w:rsidR="00243F30">
        <w:t>d</w:t>
      </w:r>
      <w:r w:rsidR="00285A3E" w:rsidRPr="00DD0CE5">
        <w:t xml:space="preserve"> or strongly agree</w:t>
      </w:r>
      <w:r w:rsidR="00243F30">
        <w:t>d</w:t>
      </w:r>
      <w:r w:rsidR="00285A3E" w:rsidRPr="00DD0CE5">
        <w:t xml:space="preserve"> that the EU </w:t>
      </w:r>
      <w:r w:rsidR="002F5D65">
        <w:t xml:space="preserve">regulatory </w:t>
      </w:r>
      <w:r w:rsidR="00285A3E" w:rsidRPr="00DD0CE5">
        <w:t>environment accelerates access to the market, is less complex and clear</w:t>
      </w:r>
      <w:r w:rsidR="00621C2F">
        <w:t>er</w:t>
      </w:r>
      <w:r w:rsidR="00285A3E" w:rsidRPr="00DD0CE5">
        <w:t>, or leads to lower compliance costs</w:t>
      </w:r>
      <w:r w:rsidR="004A5D83">
        <w:t xml:space="preserve"> </w:t>
      </w:r>
      <w:r w:rsidR="004A5D83" w:rsidRPr="004A5D83">
        <w:t>than in some other countries</w:t>
      </w:r>
      <w:r w:rsidR="0073659E">
        <w:rPr>
          <w:rStyle w:val="FootnoteReference"/>
        </w:rPr>
        <w:footnoteReference w:id="88"/>
      </w:r>
      <w:r w:rsidR="00285A3E" w:rsidRPr="00DD0CE5">
        <w:t xml:space="preserve">. </w:t>
      </w:r>
    </w:p>
    <w:p w14:paraId="0F1EE1D4" w14:textId="20A7E7FC" w:rsidR="00F4724A" w:rsidRPr="00DD0CE5" w:rsidRDefault="00E209B0" w:rsidP="00C85DD9">
      <w:r w:rsidRPr="00DD0CE5">
        <w:t>Such</w:t>
      </w:r>
      <w:r w:rsidR="0057493A" w:rsidRPr="00DD0CE5">
        <w:t xml:space="preserve"> </w:t>
      </w:r>
      <w:r w:rsidR="00E079BA" w:rsidRPr="00DD0CE5">
        <w:t>i</w:t>
      </w:r>
      <w:r w:rsidR="00203EF2" w:rsidRPr="00DD0CE5">
        <w:t xml:space="preserve">ssues </w:t>
      </w:r>
      <w:r w:rsidR="00E079BA" w:rsidRPr="00DD0CE5">
        <w:t>linked to</w:t>
      </w:r>
      <w:r w:rsidR="00203EF2" w:rsidRPr="00DD0CE5">
        <w:t xml:space="preserve"> the</w:t>
      </w:r>
      <w:r w:rsidR="00404A2B" w:rsidRPr="00DD0CE5">
        <w:t xml:space="preserve"> regulatory </w:t>
      </w:r>
      <w:r w:rsidR="00203EF2" w:rsidRPr="00DD0CE5">
        <w:t>environment</w:t>
      </w:r>
      <w:r w:rsidR="00404A2B" w:rsidRPr="00DD0CE5">
        <w:t xml:space="preserve"> </w:t>
      </w:r>
      <w:r w:rsidRPr="00DD0CE5">
        <w:t>are confirmed</w:t>
      </w:r>
      <w:r w:rsidR="008342B3" w:rsidRPr="00DD0CE5">
        <w:t xml:space="preserve"> across a variety of </w:t>
      </w:r>
      <w:r w:rsidR="00BF6E8F" w:rsidRPr="00DD0CE5">
        <w:t xml:space="preserve">biotechnology </w:t>
      </w:r>
      <w:r w:rsidR="008342B3" w:rsidRPr="00DD0CE5">
        <w:t>areas.</w:t>
      </w:r>
      <w:r w:rsidR="00F84DAB">
        <w:t xml:space="preserve"> Detailed description</w:t>
      </w:r>
      <w:r w:rsidR="004D4C8A">
        <w:t>s</w:t>
      </w:r>
      <w:r w:rsidR="00F84DAB">
        <w:t xml:space="preserve"> are presented in </w:t>
      </w:r>
      <w:r w:rsidR="00F84DAB" w:rsidRPr="00A316F7">
        <w:rPr>
          <w:b/>
        </w:rPr>
        <w:t>Annex 5.</w:t>
      </w:r>
    </w:p>
    <w:p w14:paraId="07BFC1DD" w14:textId="653DA64D" w:rsidR="00145790" w:rsidRPr="00C818A6" w:rsidRDefault="00E217E2" w:rsidP="00CC774A">
      <w:r>
        <w:t xml:space="preserve">With regards to the </w:t>
      </w:r>
      <w:r w:rsidRPr="298E39F2">
        <w:rPr>
          <w:b/>
          <w:bCs/>
        </w:rPr>
        <w:t>authorisation</w:t>
      </w:r>
      <w:r w:rsidR="000B327D" w:rsidRPr="298E39F2">
        <w:rPr>
          <w:b/>
          <w:bCs/>
        </w:rPr>
        <w:t xml:space="preserve"> of </w:t>
      </w:r>
      <w:r w:rsidR="00BD11FD">
        <w:rPr>
          <w:b/>
          <w:bCs/>
        </w:rPr>
        <w:t>clinical trial</w:t>
      </w:r>
      <w:r w:rsidR="0043359B">
        <w:rPr>
          <w:b/>
          <w:bCs/>
        </w:rPr>
        <w:t>s</w:t>
      </w:r>
      <w:r>
        <w:t xml:space="preserve">, </w:t>
      </w:r>
      <w:r w:rsidR="002F5D65">
        <w:t>the EU</w:t>
      </w:r>
      <w:r w:rsidR="002F5D65" w:rsidRPr="00DD0CE5">
        <w:t xml:space="preserve"> </w:t>
      </w:r>
      <w:r w:rsidR="00921A75" w:rsidRPr="00DD0CE5">
        <w:t>faces growing challenges in maintaining its competitive edge due to</w:t>
      </w:r>
      <w:r w:rsidR="001A7592">
        <w:t xml:space="preserve"> (i)</w:t>
      </w:r>
      <w:r w:rsidR="00921A75" w:rsidRPr="00DD0CE5">
        <w:t xml:space="preserve"> lengthy regulatory timelines </w:t>
      </w:r>
      <w:r w:rsidR="00A5566B">
        <w:t>(</w:t>
      </w:r>
      <w:r w:rsidR="00883765">
        <w:t>particularly for</w:t>
      </w:r>
      <w:r w:rsidR="001A7592">
        <w:t xml:space="preserve"> the authorisation of</w:t>
      </w:r>
      <w:r w:rsidR="00A5566B">
        <w:t xml:space="preserve"> </w:t>
      </w:r>
      <w:r w:rsidR="00883765" w:rsidRPr="00AC7876">
        <w:t xml:space="preserve">multinational </w:t>
      </w:r>
      <w:r w:rsidR="00883765">
        <w:t>trials)</w:t>
      </w:r>
      <w:r w:rsidR="4A66E081">
        <w:t>,</w:t>
      </w:r>
      <w:r w:rsidR="00883765" w:rsidRPr="00DD0CE5">
        <w:t xml:space="preserve"> </w:t>
      </w:r>
      <w:r w:rsidR="00921A75" w:rsidRPr="00DD0CE5">
        <w:t xml:space="preserve">and </w:t>
      </w:r>
      <w:r w:rsidR="001A7592">
        <w:t xml:space="preserve">(ii) </w:t>
      </w:r>
      <w:r w:rsidR="00921A75" w:rsidRPr="00DD0CE5">
        <w:t>higher administrative requirements</w:t>
      </w:r>
      <w:r w:rsidR="001A7592">
        <w:t xml:space="preserve"> and costs</w:t>
      </w:r>
      <w:r w:rsidR="00883765">
        <w:t xml:space="preserve"> in the EU/EEA</w:t>
      </w:r>
      <w:r w:rsidR="00921A75" w:rsidRPr="00DD0CE5">
        <w:t xml:space="preserve"> </w:t>
      </w:r>
      <w:r w:rsidR="00883765">
        <w:t xml:space="preserve">associated with </w:t>
      </w:r>
      <w:r w:rsidR="00A56DA8">
        <w:t xml:space="preserve">the </w:t>
      </w:r>
      <w:r w:rsidR="00883765">
        <w:t xml:space="preserve">authorisation and conduct of </w:t>
      </w:r>
      <w:r w:rsidR="00BD11FD">
        <w:t>clinical trial</w:t>
      </w:r>
      <w:r w:rsidR="00A316F7">
        <w:t>s</w:t>
      </w:r>
      <w:r w:rsidR="00883765">
        <w:t xml:space="preserve">, </w:t>
      </w:r>
      <w:r w:rsidR="00921A75" w:rsidRPr="00DD0CE5">
        <w:t>compared to other regions. As a result, sponsors</w:t>
      </w:r>
      <w:r w:rsidR="00921A75" w:rsidRPr="00DD0CE5">
        <w:rPr>
          <w:rStyle w:val="FootnoteReference"/>
        </w:rPr>
        <w:footnoteReference w:id="89"/>
      </w:r>
      <w:r w:rsidR="00921A75" w:rsidRPr="00DD0CE5">
        <w:t xml:space="preserve"> increasingly favour jurisdictions that offer faster regulatory timelines, simpler and more streamlined approval processes, and improved access for the recruitment of patient populations</w:t>
      </w:r>
      <w:r w:rsidR="00883765">
        <w:t xml:space="preserve">. This </w:t>
      </w:r>
      <w:r w:rsidR="00921A75" w:rsidRPr="00DD0CE5">
        <w:t>contribut</w:t>
      </w:r>
      <w:r w:rsidR="00883765">
        <w:t>es</w:t>
      </w:r>
      <w:r w:rsidR="00921A75" w:rsidRPr="00DD0CE5">
        <w:t xml:space="preserve"> to widening</w:t>
      </w:r>
      <w:r w:rsidR="00FE4070">
        <w:t xml:space="preserve"> the</w:t>
      </w:r>
      <w:r w:rsidR="00921A75" w:rsidRPr="00DD0CE5">
        <w:t xml:space="preserve"> competitive</w:t>
      </w:r>
      <w:r w:rsidR="00883765">
        <w:t>ness</w:t>
      </w:r>
      <w:r w:rsidR="00921A75" w:rsidRPr="00DD0CE5">
        <w:t xml:space="preserve"> gap</w:t>
      </w:r>
      <w:r w:rsidR="001A7592">
        <w:t>.</w:t>
      </w:r>
      <w:r w:rsidR="00071F6E">
        <w:t xml:space="preserve"> </w:t>
      </w:r>
      <w:r w:rsidR="00C8062F">
        <w:t>On</w:t>
      </w:r>
      <w:r w:rsidR="00DC4EE5" w:rsidRPr="00DD0CE5">
        <w:t xml:space="preserve"> </w:t>
      </w:r>
      <w:r w:rsidR="00DC4EE5" w:rsidRPr="00C818A6">
        <w:rPr>
          <w:b/>
        </w:rPr>
        <w:t>ATMPs</w:t>
      </w:r>
      <w:r w:rsidR="003530AD">
        <w:t xml:space="preserve">, </w:t>
      </w:r>
      <w:r w:rsidR="00CC009D" w:rsidRPr="00DD0CE5">
        <w:t>delays and increased costs</w:t>
      </w:r>
      <w:r w:rsidR="00F343D1">
        <w:t xml:space="preserve"> are caused by</w:t>
      </w:r>
      <w:r w:rsidR="00145790">
        <w:t xml:space="preserve"> </w:t>
      </w:r>
      <w:r w:rsidR="0072401B">
        <w:t>a</w:t>
      </w:r>
      <w:r w:rsidR="00DC4EE5" w:rsidRPr="00DD0CE5">
        <w:t>dministrative complexity</w:t>
      </w:r>
      <w:r w:rsidR="1C33986E" w:rsidRPr="5242AF04">
        <w:rPr>
          <w:iCs/>
        </w:rPr>
        <w:t xml:space="preserve"> and</w:t>
      </w:r>
      <w:r w:rsidR="0072401B">
        <w:rPr>
          <w:iCs/>
        </w:rPr>
        <w:t xml:space="preserve"> </w:t>
      </w:r>
      <w:r w:rsidR="00DC4EE5" w:rsidRPr="00DD0CE5">
        <w:t xml:space="preserve">overly stringent requirements for </w:t>
      </w:r>
      <w:r w:rsidR="61F90082" w:rsidRPr="7E7E7A7A">
        <w:rPr>
          <w:iCs/>
        </w:rPr>
        <w:t xml:space="preserve">GMO-based </w:t>
      </w:r>
      <w:r w:rsidR="00DC4EE5" w:rsidRPr="00DD0CE5">
        <w:t>gene therapies</w:t>
      </w:r>
      <w:r w:rsidR="001B4DB1">
        <w:t>. This</w:t>
      </w:r>
      <w:r w:rsidR="00CC009D" w:rsidRPr="005D4006">
        <w:t xml:space="preserve"> </w:t>
      </w:r>
      <w:r w:rsidR="644FC450" w:rsidRPr="4756B05B">
        <w:rPr>
          <w:iCs/>
        </w:rPr>
        <w:t>stem</w:t>
      </w:r>
      <w:r w:rsidR="001B4DB1">
        <w:rPr>
          <w:iCs/>
        </w:rPr>
        <w:t>s</w:t>
      </w:r>
      <w:r w:rsidR="644FC450" w:rsidRPr="4756B05B">
        <w:rPr>
          <w:iCs/>
        </w:rPr>
        <w:t xml:space="preserve"> from</w:t>
      </w:r>
      <w:r w:rsidR="00CC009D" w:rsidRPr="005D4006">
        <w:t xml:space="preserve"> dual </w:t>
      </w:r>
      <w:r w:rsidR="00DC4EE5" w:rsidRPr="005D4006">
        <w:t xml:space="preserve">regulatory compliance requirements </w:t>
      </w:r>
      <w:r w:rsidR="00303AC9">
        <w:t>i</w:t>
      </w:r>
      <w:r w:rsidR="00187699">
        <w:t>.</w:t>
      </w:r>
      <w:r w:rsidR="00303AC9">
        <w:t xml:space="preserve">e. </w:t>
      </w:r>
      <w:r w:rsidR="001B4DB1">
        <w:t>under</w:t>
      </w:r>
      <w:r w:rsidR="00DC4EE5" w:rsidRPr="005D4006">
        <w:t xml:space="preserve"> the Clinical Trials Regulation and </w:t>
      </w:r>
      <w:r w:rsidR="00303AC9">
        <w:t xml:space="preserve">with the </w:t>
      </w:r>
      <w:r w:rsidR="7A1C26D0" w:rsidRPr="271A979C">
        <w:rPr>
          <w:iCs/>
        </w:rPr>
        <w:t>fragmented implementation of</w:t>
      </w:r>
      <w:r w:rsidR="00DC4EE5" w:rsidRPr="005D4006">
        <w:t xml:space="preserve"> GMO</w:t>
      </w:r>
      <w:r w:rsidR="3FC9C190" w:rsidRPr="271A979C">
        <w:rPr>
          <w:iCs/>
        </w:rPr>
        <w:t xml:space="preserve"> </w:t>
      </w:r>
      <w:r w:rsidR="40F44A2A" w:rsidRPr="271A979C">
        <w:rPr>
          <w:iCs/>
        </w:rPr>
        <w:t>le</w:t>
      </w:r>
      <w:r w:rsidR="009C5046">
        <w:rPr>
          <w:iCs/>
        </w:rPr>
        <w:t>g</w:t>
      </w:r>
      <w:r w:rsidR="40F44A2A" w:rsidRPr="271A979C">
        <w:rPr>
          <w:iCs/>
        </w:rPr>
        <w:t>i</w:t>
      </w:r>
      <w:r w:rsidR="009C5046">
        <w:rPr>
          <w:iCs/>
        </w:rPr>
        <w:t>s</w:t>
      </w:r>
      <w:r w:rsidR="40F44A2A" w:rsidRPr="271A979C">
        <w:rPr>
          <w:iCs/>
        </w:rPr>
        <w:t>lation</w:t>
      </w:r>
      <w:r w:rsidR="00303AC9">
        <w:rPr>
          <w:iCs/>
        </w:rPr>
        <w:t xml:space="preserve"> by Member States</w:t>
      </w:r>
      <w:r w:rsidR="40F44A2A" w:rsidRPr="271A979C">
        <w:rPr>
          <w:iCs/>
        </w:rPr>
        <w:t>, further complicated by a</w:t>
      </w:r>
      <w:r w:rsidR="3FC9C190" w:rsidRPr="271A979C">
        <w:rPr>
          <w:iCs/>
        </w:rPr>
        <w:t xml:space="preserve"> </w:t>
      </w:r>
      <w:r w:rsidR="1AF9D2A7" w:rsidRPr="271A979C">
        <w:rPr>
          <w:iCs/>
        </w:rPr>
        <w:t>blanket</w:t>
      </w:r>
      <w:r w:rsidR="0F8F89D1" w:rsidRPr="271A979C">
        <w:rPr>
          <w:iCs/>
        </w:rPr>
        <w:t xml:space="preserve"> </w:t>
      </w:r>
      <w:r w:rsidR="00CE445D">
        <w:rPr>
          <w:iCs/>
        </w:rPr>
        <w:t xml:space="preserve">requirement for </w:t>
      </w:r>
      <w:r w:rsidR="00D67C15" w:rsidRPr="00D67C15">
        <w:t>environmental risk assessment</w:t>
      </w:r>
      <w:r w:rsidR="00D67C15">
        <w:t xml:space="preserve"> </w:t>
      </w:r>
      <w:r w:rsidR="00CE445D">
        <w:rPr>
          <w:iCs/>
        </w:rPr>
        <w:t xml:space="preserve">that does not </w:t>
      </w:r>
      <w:r w:rsidR="006F2A6F">
        <w:rPr>
          <w:iCs/>
        </w:rPr>
        <w:t xml:space="preserve">take into account the specificities of </w:t>
      </w:r>
      <w:r w:rsidR="731F1DB8" w:rsidRPr="383D8165">
        <w:rPr>
          <w:iCs/>
        </w:rPr>
        <w:t>low-risk gene therapies</w:t>
      </w:r>
      <w:r w:rsidR="00145790">
        <w:rPr>
          <w:iCs/>
        </w:rPr>
        <w:t xml:space="preserve">. </w:t>
      </w:r>
    </w:p>
    <w:p w14:paraId="6C1A8888" w14:textId="18459E77" w:rsidR="00F52117" w:rsidRPr="004F48D9" w:rsidRDefault="00796DFA" w:rsidP="00CC774A">
      <w:pPr>
        <w:rPr>
          <w:iCs/>
        </w:rPr>
      </w:pPr>
      <w:r>
        <w:rPr>
          <w:rFonts w:eastAsia="Calibri"/>
          <w:iCs/>
        </w:rPr>
        <w:t>In the</w:t>
      </w:r>
      <w:r w:rsidR="00166585">
        <w:rPr>
          <w:rFonts w:eastAsia="Calibri"/>
          <w:iCs/>
        </w:rPr>
        <w:t xml:space="preserve"> EU </w:t>
      </w:r>
      <w:r w:rsidR="00166585" w:rsidRPr="001B09B4">
        <w:rPr>
          <w:rFonts w:eastAsia="Calibri"/>
          <w:iCs/>
        </w:rPr>
        <w:t xml:space="preserve">framework </w:t>
      </w:r>
      <w:r w:rsidR="006D5235">
        <w:rPr>
          <w:rFonts w:eastAsia="Calibri"/>
          <w:iCs/>
        </w:rPr>
        <w:t>for</w:t>
      </w:r>
      <w:r w:rsidR="00166585" w:rsidRPr="001B09B4">
        <w:rPr>
          <w:rFonts w:eastAsia="Calibri"/>
          <w:iCs/>
        </w:rPr>
        <w:t xml:space="preserve"> </w:t>
      </w:r>
      <w:r w:rsidR="0043359B">
        <w:rPr>
          <w:rFonts w:eastAsia="Calibri"/>
          <w:b/>
          <w:iCs/>
        </w:rPr>
        <w:t>VMPs</w:t>
      </w:r>
      <w:r w:rsidRPr="001B09B4">
        <w:rPr>
          <w:rFonts w:eastAsia="Calibri"/>
          <w:iCs/>
        </w:rPr>
        <w:t xml:space="preserve">, </w:t>
      </w:r>
      <w:r w:rsidR="006404AB" w:rsidRPr="004D7DE9">
        <w:rPr>
          <w:rFonts w:eastAsia="Calibri"/>
          <w:iCs/>
        </w:rPr>
        <w:t>t</w:t>
      </w:r>
      <w:r w:rsidR="00291068" w:rsidRPr="004D7DE9">
        <w:rPr>
          <w:rFonts w:eastAsia="Calibri"/>
          <w:iCs/>
        </w:rPr>
        <w:t xml:space="preserve">wo main </w:t>
      </w:r>
      <w:r w:rsidRPr="004D7DE9">
        <w:rPr>
          <w:rFonts w:eastAsia="Calibri"/>
          <w:iCs/>
        </w:rPr>
        <w:t xml:space="preserve">challenges </w:t>
      </w:r>
      <w:r w:rsidR="00B03AEC">
        <w:rPr>
          <w:rFonts w:eastAsia="Calibri"/>
          <w:iCs/>
        </w:rPr>
        <w:t>are</w:t>
      </w:r>
      <w:r w:rsidR="00A706BC" w:rsidRPr="004D7DE9">
        <w:rPr>
          <w:rFonts w:eastAsia="Calibri"/>
          <w:iCs/>
        </w:rPr>
        <w:t xml:space="preserve"> observed</w:t>
      </w:r>
      <w:r w:rsidR="001B09B4" w:rsidRPr="004D7DE9">
        <w:rPr>
          <w:rFonts w:eastAsia="Calibri"/>
          <w:iCs/>
        </w:rPr>
        <w:t>: (i)</w:t>
      </w:r>
      <w:r w:rsidR="006404AB" w:rsidRPr="004F48D9">
        <w:rPr>
          <w:rFonts w:eastAsia="Calibri"/>
          <w:iCs/>
        </w:rPr>
        <w:t xml:space="preserve"> d</w:t>
      </w:r>
      <w:r w:rsidR="00113EC5" w:rsidRPr="004F48D9">
        <w:rPr>
          <w:rFonts w:eastAsia="Calibri"/>
          <w:iCs/>
        </w:rPr>
        <w:t>uplicative</w:t>
      </w:r>
      <w:r w:rsidR="006918A2" w:rsidRPr="004F48D9">
        <w:rPr>
          <w:rFonts w:eastAsia="Calibri"/>
          <w:iCs/>
        </w:rPr>
        <w:t xml:space="preserve">, </w:t>
      </w:r>
      <w:r w:rsidR="00E646EF" w:rsidRPr="004F48D9">
        <w:rPr>
          <w:rFonts w:eastAsia="Calibri"/>
          <w:iCs/>
        </w:rPr>
        <w:t>not-fit-for purpose</w:t>
      </w:r>
      <w:r w:rsidR="00113EC5" w:rsidRPr="004F48D9">
        <w:rPr>
          <w:rFonts w:eastAsia="Calibri"/>
          <w:iCs/>
        </w:rPr>
        <w:t xml:space="preserve"> regulatory framework</w:t>
      </w:r>
      <w:r w:rsidR="004C12A4" w:rsidRPr="004F48D9">
        <w:rPr>
          <w:rFonts w:eastAsia="Calibri"/>
          <w:iCs/>
        </w:rPr>
        <w:t xml:space="preserve"> applicable to </w:t>
      </w:r>
      <w:r w:rsidR="36DCCF22" w:rsidRPr="1D852D2A">
        <w:rPr>
          <w:rFonts w:eastAsia="Calibri"/>
        </w:rPr>
        <w:t>VMPs</w:t>
      </w:r>
      <w:r w:rsidR="004C12A4" w:rsidRPr="004F48D9">
        <w:rPr>
          <w:rFonts w:eastAsia="Calibri"/>
          <w:iCs/>
        </w:rPr>
        <w:t xml:space="preserve"> that contain or consists of GMOs</w:t>
      </w:r>
      <w:r w:rsidR="001B09B4" w:rsidRPr="004F48D9">
        <w:rPr>
          <w:rFonts w:eastAsia="Calibri"/>
          <w:iCs/>
        </w:rPr>
        <w:t xml:space="preserve"> and (</w:t>
      </w:r>
      <w:r w:rsidR="001B09B4" w:rsidRPr="004F48D9">
        <w:rPr>
          <w:iCs/>
        </w:rPr>
        <w:t>ii) d</w:t>
      </w:r>
      <w:r w:rsidR="002A105E" w:rsidRPr="004F48D9">
        <w:rPr>
          <w:iCs/>
        </w:rPr>
        <w:t xml:space="preserve">isproportionate </w:t>
      </w:r>
      <w:r w:rsidR="00EA612A" w:rsidRPr="004F48D9">
        <w:rPr>
          <w:iCs/>
        </w:rPr>
        <w:t xml:space="preserve">administrative </w:t>
      </w:r>
      <w:r w:rsidR="00F56E2D" w:rsidRPr="004F48D9">
        <w:rPr>
          <w:iCs/>
        </w:rPr>
        <w:t xml:space="preserve">burden </w:t>
      </w:r>
      <w:r w:rsidR="00F56E2D">
        <w:rPr>
          <w:iCs/>
        </w:rPr>
        <w:t>in</w:t>
      </w:r>
      <w:r w:rsidR="00715ED4">
        <w:rPr>
          <w:iCs/>
        </w:rPr>
        <w:t xml:space="preserve"> </w:t>
      </w:r>
      <w:r w:rsidR="00EA612A" w:rsidRPr="004F48D9">
        <w:rPr>
          <w:iCs/>
        </w:rPr>
        <w:t xml:space="preserve">the handling of variations </w:t>
      </w:r>
      <w:r w:rsidR="00EA612A">
        <w:t>no</w:t>
      </w:r>
      <w:r w:rsidR="2D5DC915">
        <w:t>t</w:t>
      </w:r>
      <w:r w:rsidR="00EA612A" w:rsidRPr="004F48D9">
        <w:rPr>
          <w:iCs/>
        </w:rPr>
        <w:t xml:space="preserve"> requiring assessment</w:t>
      </w:r>
      <w:r w:rsidR="001B09B4" w:rsidRPr="004F48D9">
        <w:rPr>
          <w:iCs/>
        </w:rPr>
        <w:t xml:space="preserve">. </w:t>
      </w:r>
    </w:p>
    <w:p w14:paraId="33D2DC3E" w14:textId="3001AD89" w:rsidR="001434AD" w:rsidRPr="00F06E06" w:rsidRDefault="046CCD72" w:rsidP="009C75E7">
      <w:r w:rsidRPr="009C75E7">
        <w:rPr>
          <w:rFonts w:eastAsia="Segoe UI"/>
        </w:rPr>
        <w:t xml:space="preserve">There is an increasing focus </w:t>
      </w:r>
      <w:r w:rsidR="3A1A23BA" w:rsidRPr="009C75E7">
        <w:rPr>
          <w:rFonts w:eastAsia="Segoe UI"/>
        </w:rPr>
        <w:t xml:space="preserve">in the </w:t>
      </w:r>
      <w:r w:rsidR="00B903AA">
        <w:rPr>
          <w:rFonts w:eastAsia="Segoe UI"/>
        </w:rPr>
        <w:t>EU</w:t>
      </w:r>
      <w:r w:rsidR="3A1A23BA" w:rsidRPr="009C75E7">
        <w:rPr>
          <w:rFonts w:eastAsia="Segoe UI"/>
        </w:rPr>
        <w:t xml:space="preserve"> and globally </w:t>
      </w:r>
      <w:r w:rsidRPr="009C75E7">
        <w:rPr>
          <w:rFonts w:eastAsia="Segoe UI"/>
        </w:rPr>
        <w:t>on the authorisation of biosimilar medicines</w:t>
      </w:r>
      <w:r w:rsidR="3A1A23BA" w:rsidRPr="009C75E7">
        <w:rPr>
          <w:rFonts w:eastAsia="Segoe UI"/>
        </w:rPr>
        <w:t xml:space="preserve">, </w:t>
      </w:r>
      <w:r w:rsidR="73C9C875" w:rsidRPr="009C75E7">
        <w:rPr>
          <w:rFonts w:eastAsia="Segoe UI"/>
        </w:rPr>
        <w:t>where</w:t>
      </w:r>
      <w:r w:rsidRPr="009C75E7">
        <w:rPr>
          <w:rFonts w:eastAsia="Segoe UI"/>
        </w:rPr>
        <w:t xml:space="preserve"> approval </w:t>
      </w:r>
      <w:r w:rsidR="73C9C875" w:rsidRPr="009C75E7">
        <w:rPr>
          <w:rFonts w:eastAsia="Segoe UI"/>
        </w:rPr>
        <w:t xml:space="preserve">is </w:t>
      </w:r>
      <w:r w:rsidR="3A1A23BA" w:rsidRPr="009C75E7">
        <w:rPr>
          <w:rFonts w:eastAsia="Segoe UI"/>
        </w:rPr>
        <w:t>increasingly</w:t>
      </w:r>
      <w:r w:rsidRPr="009C75E7">
        <w:rPr>
          <w:rFonts w:eastAsia="Segoe UI"/>
        </w:rPr>
        <w:t xml:space="preserve"> based on analytical and functional characterisation to demonstrate similarity to the reference product</w:t>
      </w:r>
      <w:r w:rsidRPr="00B03AEC">
        <w:rPr>
          <w:rFonts w:eastAsia="Segoe UI"/>
          <w:vertAlign w:val="superscript"/>
        </w:rPr>
        <w:footnoteReference w:id="90"/>
      </w:r>
      <w:r w:rsidRPr="009C75E7">
        <w:rPr>
          <w:rFonts w:eastAsia="Segoe UI"/>
        </w:rPr>
        <w:t xml:space="preserve">. </w:t>
      </w:r>
      <w:r w:rsidR="3A1A23BA" w:rsidRPr="009C75E7">
        <w:rPr>
          <w:rFonts w:eastAsia="Segoe UI"/>
        </w:rPr>
        <w:t>However</w:t>
      </w:r>
      <w:r w:rsidRPr="009C75E7">
        <w:rPr>
          <w:rFonts w:eastAsia="Segoe UI"/>
        </w:rPr>
        <w:t xml:space="preserve">, the </w:t>
      </w:r>
      <w:r w:rsidR="00B903AA">
        <w:rPr>
          <w:rFonts w:eastAsia="Segoe UI"/>
        </w:rPr>
        <w:t>EU</w:t>
      </w:r>
      <w:r w:rsidR="00B03AEC">
        <w:rPr>
          <w:rFonts w:eastAsia="Segoe UI"/>
        </w:rPr>
        <w:t>’s</w:t>
      </w:r>
      <w:r w:rsidRPr="009C75E7">
        <w:rPr>
          <w:rFonts w:eastAsia="Segoe UI"/>
        </w:rPr>
        <w:t xml:space="preserve"> regulatory framework can still </w:t>
      </w:r>
      <w:r w:rsidR="3A1A23BA" w:rsidRPr="009C75E7">
        <w:rPr>
          <w:rFonts w:eastAsia="Segoe UI"/>
        </w:rPr>
        <w:t>lead to the conduct of</w:t>
      </w:r>
      <w:r w:rsidRPr="009C75E7">
        <w:rPr>
          <w:rFonts w:eastAsia="Segoe UI"/>
        </w:rPr>
        <w:t xml:space="preserve"> lengthy and costly multi-country comparative efficacy </w:t>
      </w:r>
      <w:r w:rsidR="4B21088F" w:rsidRPr="009C75E7">
        <w:rPr>
          <w:rFonts w:eastAsia="Segoe UI"/>
        </w:rPr>
        <w:t>studies</w:t>
      </w:r>
      <w:r w:rsidRPr="009C75E7">
        <w:rPr>
          <w:rFonts w:eastAsia="Segoe UI"/>
        </w:rPr>
        <w:t>, even whe</w:t>
      </w:r>
      <w:r w:rsidR="00B903AA">
        <w:rPr>
          <w:rFonts w:eastAsia="Segoe UI"/>
        </w:rPr>
        <w:t>n</w:t>
      </w:r>
      <w:r w:rsidRPr="009C75E7">
        <w:rPr>
          <w:rFonts w:eastAsia="Segoe UI"/>
        </w:rPr>
        <w:t xml:space="preserve"> </w:t>
      </w:r>
      <w:r w:rsidR="3A1A23BA" w:rsidRPr="009C75E7">
        <w:rPr>
          <w:rFonts w:eastAsia="Segoe UI"/>
        </w:rPr>
        <w:t>robust</w:t>
      </w:r>
      <w:r w:rsidRPr="009C75E7">
        <w:rPr>
          <w:rFonts w:eastAsia="Segoe UI"/>
        </w:rPr>
        <w:t xml:space="preserve"> analytical methods </w:t>
      </w:r>
      <w:r w:rsidR="00B903AA">
        <w:rPr>
          <w:rFonts w:eastAsia="Segoe UI"/>
        </w:rPr>
        <w:t>may</w:t>
      </w:r>
      <w:r w:rsidRPr="009C75E7">
        <w:rPr>
          <w:rFonts w:eastAsia="Segoe UI"/>
        </w:rPr>
        <w:t xml:space="preserve"> demonstrate comparability and where a more tailored, risk-proportionate approach could therefore be justif</w:t>
      </w:r>
      <w:r w:rsidR="00D46312">
        <w:rPr>
          <w:rFonts w:eastAsia="Segoe UI"/>
        </w:rPr>
        <w:t>ie</w:t>
      </w:r>
      <w:r w:rsidRPr="009C75E7">
        <w:rPr>
          <w:rFonts w:eastAsia="Segoe UI"/>
        </w:rPr>
        <w:t>d.</w:t>
      </w:r>
      <w:r w:rsidR="0039555C">
        <w:rPr>
          <w:rFonts w:ascii="Segoe UI" w:eastAsia="Segoe UI" w:hAnsi="Segoe UI" w:cs="Segoe UI"/>
          <w:sz w:val="21"/>
          <w:szCs w:val="21"/>
        </w:rPr>
        <w:t xml:space="preserve"> </w:t>
      </w:r>
      <w:r w:rsidR="006D7629">
        <w:t xml:space="preserve">In the food area, </w:t>
      </w:r>
      <w:r w:rsidR="00B903AA">
        <w:rPr>
          <w:rFonts w:eastAsia="Calibri"/>
        </w:rPr>
        <w:t>EU</w:t>
      </w:r>
      <w:r w:rsidR="00DC44C8" w:rsidRPr="00DD0CE5">
        <w:rPr>
          <w:rFonts w:eastAsia="Calibri"/>
        </w:rPr>
        <w:t xml:space="preserve"> law requires </w:t>
      </w:r>
      <w:r w:rsidR="009662B5" w:rsidRPr="00DD0CE5">
        <w:rPr>
          <w:rFonts w:eastAsia="Calibri"/>
        </w:rPr>
        <w:t>pre-</w:t>
      </w:r>
      <w:r w:rsidR="00DC44C8" w:rsidRPr="00DD0CE5">
        <w:rPr>
          <w:rFonts w:eastAsia="Calibri"/>
        </w:rPr>
        <w:t>market authorisation</w:t>
      </w:r>
      <w:r w:rsidR="009662B5" w:rsidRPr="00DD0CE5">
        <w:rPr>
          <w:rFonts w:eastAsia="Calibri"/>
        </w:rPr>
        <w:t>s/approvals</w:t>
      </w:r>
      <w:r w:rsidR="00DC44C8" w:rsidRPr="00DD0CE5">
        <w:rPr>
          <w:rFonts w:eastAsia="Calibri"/>
        </w:rPr>
        <w:t xml:space="preserve"> for </w:t>
      </w:r>
      <w:r w:rsidR="00F13709" w:rsidRPr="00DD0CE5">
        <w:rPr>
          <w:rFonts w:eastAsia="Calibri"/>
        </w:rPr>
        <w:t>several</w:t>
      </w:r>
      <w:r w:rsidR="00DC44C8" w:rsidRPr="00DD0CE5">
        <w:rPr>
          <w:rFonts w:eastAsia="Calibri"/>
        </w:rPr>
        <w:t xml:space="preserve"> </w:t>
      </w:r>
      <w:r w:rsidR="006F02A6" w:rsidRPr="00DD0CE5">
        <w:rPr>
          <w:rFonts w:eastAsia="Calibri"/>
        </w:rPr>
        <w:t xml:space="preserve">categories of </w:t>
      </w:r>
      <w:r w:rsidR="00DC44C8" w:rsidRPr="00D242B3">
        <w:rPr>
          <w:rFonts w:eastAsia="Calibri"/>
          <w:b/>
        </w:rPr>
        <w:t>food and feed products</w:t>
      </w:r>
      <w:r w:rsidR="009662B5" w:rsidRPr="00D242B3">
        <w:rPr>
          <w:rFonts w:eastAsia="Calibri"/>
          <w:b/>
        </w:rPr>
        <w:t xml:space="preserve"> and </w:t>
      </w:r>
      <w:r w:rsidR="00CF47FF" w:rsidRPr="00D242B3">
        <w:rPr>
          <w:rFonts w:eastAsia="Calibri"/>
          <w:b/>
        </w:rPr>
        <w:t>related</w:t>
      </w:r>
      <w:r w:rsidR="009662B5" w:rsidRPr="00D242B3">
        <w:rPr>
          <w:rFonts w:eastAsia="Calibri"/>
          <w:b/>
        </w:rPr>
        <w:t xml:space="preserve"> food chain inputs</w:t>
      </w:r>
      <w:r w:rsidR="00CD218D">
        <w:rPr>
          <w:rFonts w:eastAsia="Calibri"/>
        </w:rPr>
        <w:t>,</w:t>
      </w:r>
      <w:r w:rsidR="00DC44C8" w:rsidRPr="00DD0CE5">
        <w:rPr>
          <w:rFonts w:eastAsia="Calibri"/>
        </w:rPr>
        <w:t xml:space="preserve"> </w:t>
      </w:r>
      <w:r w:rsidR="009662B5" w:rsidRPr="00DD0CE5">
        <w:rPr>
          <w:rFonts w:eastAsia="Calibri"/>
        </w:rPr>
        <w:t xml:space="preserve">the </w:t>
      </w:r>
      <w:r w:rsidR="00DC44C8" w:rsidRPr="00DD0CE5">
        <w:rPr>
          <w:rFonts w:eastAsia="Calibri"/>
        </w:rPr>
        <w:t>so-called ‘regulated products’</w:t>
      </w:r>
      <w:r w:rsidR="00DC44C8" w:rsidRPr="00DD0CE5">
        <w:rPr>
          <w:rStyle w:val="FootnoteReference"/>
          <w:rFonts w:eastAsia="Calibri"/>
        </w:rPr>
        <w:footnoteReference w:id="91"/>
      </w:r>
      <w:r w:rsidR="00DC44C8" w:rsidRPr="00DD0CE5">
        <w:rPr>
          <w:rFonts w:eastAsia="Calibri"/>
        </w:rPr>
        <w:t>.</w:t>
      </w:r>
      <w:r w:rsidR="00914492" w:rsidRPr="00DD0CE5">
        <w:rPr>
          <w:rFonts w:eastAsia="Calibri"/>
        </w:rPr>
        <w:t xml:space="preserve"> In </w:t>
      </w:r>
      <w:r w:rsidR="00DC44C8" w:rsidRPr="00DD0CE5">
        <w:rPr>
          <w:rFonts w:eastAsia="Calibri"/>
        </w:rPr>
        <w:t>those</w:t>
      </w:r>
      <w:r w:rsidR="00914492" w:rsidRPr="00DD0CE5">
        <w:rPr>
          <w:rFonts w:eastAsia="Calibri"/>
        </w:rPr>
        <w:t xml:space="preserve"> cases, the European Food Safety Authority (EFSA) must conduct a scientific risk assessment </w:t>
      </w:r>
      <w:r w:rsidR="005A3198" w:rsidRPr="00DD0CE5">
        <w:rPr>
          <w:lang w:val="en-IE" w:eastAsia="en-IE"/>
        </w:rPr>
        <w:t>under the applicable sectoral legislation</w:t>
      </w:r>
      <w:r w:rsidR="005A3198" w:rsidRPr="00DD0CE5">
        <w:rPr>
          <w:rFonts w:eastAsia="Calibri"/>
        </w:rPr>
        <w:t xml:space="preserve"> </w:t>
      </w:r>
      <w:r w:rsidR="00914492" w:rsidRPr="00DD0CE5">
        <w:rPr>
          <w:rFonts w:eastAsia="Calibri"/>
        </w:rPr>
        <w:t xml:space="preserve">before risk managers at EU </w:t>
      </w:r>
      <w:r w:rsidR="00F81B41" w:rsidRPr="00DD0CE5">
        <w:rPr>
          <w:rFonts w:eastAsia="Calibri"/>
        </w:rPr>
        <w:t>and/</w:t>
      </w:r>
      <w:r w:rsidR="00914492" w:rsidRPr="00DD0CE5">
        <w:rPr>
          <w:rFonts w:eastAsia="Calibri"/>
        </w:rPr>
        <w:t xml:space="preserve">or national level </w:t>
      </w:r>
      <w:r w:rsidR="00F141C1" w:rsidRPr="00DD0CE5">
        <w:rPr>
          <w:rFonts w:eastAsia="Calibri"/>
        </w:rPr>
        <w:t xml:space="preserve">decide </w:t>
      </w:r>
      <w:r w:rsidR="006E05A7">
        <w:rPr>
          <w:rFonts w:eastAsia="Calibri"/>
        </w:rPr>
        <w:t>to</w:t>
      </w:r>
      <w:r w:rsidR="00F141C1" w:rsidRPr="00DD0CE5">
        <w:rPr>
          <w:rFonts w:eastAsia="Calibri"/>
        </w:rPr>
        <w:t xml:space="preserve"> grant a pre-market authorisation/approval</w:t>
      </w:r>
      <w:r w:rsidR="00914492" w:rsidRPr="00DD0CE5">
        <w:rPr>
          <w:rFonts w:eastAsia="Calibri"/>
        </w:rPr>
        <w:t xml:space="preserve">. </w:t>
      </w:r>
      <w:r w:rsidR="00714DB1">
        <w:rPr>
          <w:rFonts w:eastAsia="Calibri"/>
        </w:rPr>
        <w:t>D</w:t>
      </w:r>
      <w:r w:rsidR="00914492" w:rsidRPr="00DD0CE5">
        <w:rPr>
          <w:rFonts w:eastAsia="Calibri"/>
        </w:rPr>
        <w:t>elays</w:t>
      </w:r>
      <w:r w:rsidR="00714DB1">
        <w:rPr>
          <w:rFonts w:eastAsia="Calibri"/>
        </w:rPr>
        <w:t xml:space="preserve"> have been observed</w:t>
      </w:r>
      <w:r w:rsidR="00914492" w:rsidRPr="00DD0CE5">
        <w:rPr>
          <w:rFonts w:eastAsia="Calibri"/>
        </w:rPr>
        <w:t xml:space="preserve"> in both validation and risk assessment</w:t>
      </w:r>
      <w:r w:rsidR="006A3DBD" w:rsidRPr="00DD0CE5">
        <w:rPr>
          <w:rFonts w:eastAsia="Calibri"/>
        </w:rPr>
        <w:t xml:space="preserve"> phases</w:t>
      </w:r>
      <w:r w:rsidR="005C6A4F">
        <w:rPr>
          <w:rFonts w:eastAsia="Calibri"/>
        </w:rPr>
        <w:t xml:space="preserve"> as also confirmed by the findings of the ongoing evaluation of </w:t>
      </w:r>
      <w:r w:rsidR="00C1520B">
        <w:rPr>
          <w:rFonts w:eastAsia="Calibri"/>
        </w:rPr>
        <w:t xml:space="preserve">the Commission on </w:t>
      </w:r>
      <w:r w:rsidR="005C6A4F">
        <w:rPr>
          <w:rFonts w:eastAsia="Calibri"/>
        </w:rPr>
        <w:t xml:space="preserve">EFSA’s </w:t>
      </w:r>
      <w:r w:rsidR="00321286">
        <w:rPr>
          <w:rFonts w:eastAsia="Calibri"/>
        </w:rPr>
        <w:t>P</w:t>
      </w:r>
      <w:r w:rsidR="005C6A4F">
        <w:rPr>
          <w:rFonts w:eastAsia="Calibri"/>
        </w:rPr>
        <w:t>erformance covering the period 2017-2024</w:t>
      </w:r>
      <w:r w:rsidR="005330E6">
        <w:rPr>
          <w:rFonts w:eastAsia="Calibri"/>
        </w:rPr>
        <w:t>. These have been linked to</w:t>
      </w:r>
      <w:r w:rsidR="00610C7F">
        <w:rPr>
          <w:rFonts w:eastAsia="Calibri"/>
        </w:rPr>
        <w:t>:</w:t>
      </w:r>
      <w:r w:rsidR="00262E6B">
        <w:rPr>
          <w:rFonts w:eastAsia="Calibri"/>
        </w:rPr>
        <w:t xml:space="preserve"> (</w:t>
      </w:r>
      <w:r w:rsidR="00262E6B" w:rsidRPr="00262E6B">
        <w:rPr>
          <w:rFonts w:eastAsia="Calibri"/>
        </w:rPr>
        <w:t xml:space="preserve">i) </w:t>
      </w:r>
      <w:r w:rsidR="00262E6B" w:rsidRPr="00C1520B">
        <w:t>d</w:t>
      </w:r>
      <w:r w:rsidR="00DA3CB2" w:rsidRPr="00C1520B">
        <w:t>ossier deficiencies and limited effectiveness of pre-submission advice</w:t>
      </w:r>
      <w:r w:rsidR="00262E6B" w:rsidRPr="00C1520B">
        <w:t>, (ii) p</w:t>
      </w:r>
      <w:r w:rsidR="00C603BD" w:rsidRPr="00C1520B">
        <w:t xml:space="preserve">rocedural consequences linked to </w:t>
      </w:r>
      <w:r w:rsidR="00D5334C">
        <w:t>non</w:t>
      </w:r>
      <w:r w:rsidR="00A94A11">
        <w:t>-</w:t>
      </w:r>
      <w:r w:rsidR="00D5334C">
        <w:t xml:space="preserve">compliance with </w:t>
      </w:r>
      <w:r w:rsidR="00C603BD" w:rsidRPr="00F06E06">
        <w:t>study notification requirements</w:t>
      </w:r>
      <w:r w:rsidR="00D5334C">
        <w:t>;</w:t>
      </w:r>
      <w:r w:rsidR="00C603BD" w:rsidRPr="00F06E06">
        <w:t xml:space="preserve"> </w:t>
      </w:r>
      <w:r w:rsidR="00262E6B" w:rsidRPr="00F06E06">
        <w:t>and (iii) g</w:t>
      </w:r>
      <w:r w:rsidR="001434AD" w:rsidRPr="00F06E06">
        <w:t xml:space="preserve">overnance constraints relating to </w:t>
      </w:r>
      <w:r w:rsidR="00D5334C">
        <w:t xml:space="preserve">EFSA’s </w:t>
      </w:r>
      <w:r w:rsidR="001434AD" w:rsidRPr="00F06E06">
        <w:t>Scientific Committee/Scientific Panels</w:t>
      </w:r>
      <w:r w:rsidR="00262E6B" w:rsidRPr="00F06E06">
        <w:t>.</w:t>
      </w:r>
    </w:p>
    <w:p w14:paraId="7F7E35AA" w14:textId="6C0A1461" w:rsidR="00F118D0" w:rsidRPr="00DD0CE5" w:rsidRDefault="00006C0D" w:rsidP="009F6D09">
      <w:pPr>
        <w:rPr>
          <w:i/>
        </w:rPr>
      </w:pPr>
      <w:r>
        <w:rPr>
          <w:rFonts w:eastAsia="Calibri"/>
        </w:rPr>
        <w:t xml:space="preserve">As a cross-cutting element of complexity, </w:t>
      </w:r>
      <w:r w:rsidR="006B545B">
        <w:rPr>
          <w:rFonts w:eastAsia="Calibri"/>
        </w:rPr>
        <w:t>developers of</w:t>
      </w:r>
      <w:r>
        <w:rPr>
          <w:rFonts w:eastAsia="Calibri"/>
        </w:rPr>
        <w:t xml:space="preserve"> </w:t>
      </w:r>
      <w:r w:rsidR="00800A68" w:rsidRPr="00F06E06">
        <w:rPr>
          <w:rFonts w:eastAsia="Calibri"/>
          <w:b/>
          <w:lang w:val="en-IE"/>
        </w:rPr>
        <w:t>AI applications</w:t>
      </w:r>
      <w:r w:rsidR="00800A68" w:rsidRPr="00DD0CE5">
        <w:rPr>
          <w:rFonts w:eastAsia="Calibri"/>
          <w:lang w:val="en-IE"/>
        </w:rPr>
        <w:t xml:space="preserve"> in biotechnology face </w:t>
      </w:r>
      <w:r w:rsidR="20F53188" w:rsidRPr="00DD0CE5">
        <w:rPr>
          <w:rFonts w:eastAsia="Calibri"/>
          <w:lang w:val="en-IE"/>
        </w:rPr>
        <w:t>a rapidly evolving regulatory landscape</w:t>
      </w:r>
      <w:r w:rsidR="007855E3">
        <w:rPr>
          <w:rFonts w:eastAsia="Calibri"/>
          <w:lang w:val="en-IE"/>
        </w:rPr>
        <w:t xml:space="preserve"> </w:t>
      </w:r>
      <w:r w:rsidR="00C649DB">
        <w:rPr>
          <w:rFonts w:eastAsia="Calibri"/>
          <w:lang w:val="en-IE"/>
        </w:rPr>
        <w:t>due to</w:t>
      </w:r>
      <w:r w:rsidR="00800A68" w:rsidRPr="00DD0CE5">
        <w:rPr>
          <w:rFonts w:eastAsia="Calibri"/>
          <w:lang w:val="en-IE"/>
        </w:rPr>
        <w:t xml:space="preserve"> sectoral legislation and AI-specific requirements, including validation, documentation, explainability and risk-management obligations.</w:t>
      </w:r>
      <w:r w:rsidR="00800A68" w:rsidRPr="00E71348">
        <w:rPr>
          <w:rFonts w:eastAsia="Calibri"/>
          <w:lang w:val="en-IE"/>
        </w:rPr>
        <w:t xml:space="preserve"> </w:t>
      </w:r>
      <w:r w:rsidR="1AF96180" w:rsidRPr="00E71348">
        <w:rPr>
          <w:rFonts w:eastAsia="Calibri"/>
          <w:lang w:val="en-IE"/>
        </w:rPr>
        <w:t xml:space="preserve">The increasing integration of AI across the biotechnology lifecycle requires clarity on how existing </w:t>
      </w:r>
      <w:r w:rsidR="006C0133">
        <w:rPr>
          <w:rFonts w:eastAsia="Calibri"/>
          <w:lang w:val="en-IE"/>
        </w:rPr>
        <w:t xml:space="preserve">EU </w:t>
      </w:r>
      <w:r w:rsidR="1AF96180" w:rsidRPr="00E71348">
        <w:rPr>
          <w:rFonts w:eastAsia="Calibri"/>
          <w:lang w:val="en-IE"/>
        </w:rPr>
        <w:t>frameworks apply across different development stages.</w:t>
      </w:r>
      <w:r w:rsidR="00800A68" w:rsidRPr="5067BCB5">
        <w:rPr>
          <w:rFonts w:eastAsia="Calibri"/>
          <w:lang w:val="en-IE"/>
        </w:rPr>
        <w:t xml:space="preserve"> </w:t>
      </w:r>
      <w:r w:rsidR="00597A6F">
        <w:rPr>
          <w:rFonts w:eastAsia="Calibri"/>
          <w:lang w:val="en-IE"/>
        </w:rPr>
        <w:t>L</w:t>
      </w:r>
      <w:r w:rsidR="00A02CEF" w:rsidRPr="00DD0CE5">
        <w:t>imited capacity, especially among SMEs and start-ups, to navigate applicable regulatory frameworks, further constrain the uptake of AI-enabled solutions</w:t>
      </w:r>
      <w:r w:rsidR="00597A6F">
        <w:t xml:space="preserve"> in biotechnology.</w:t>
      </w:r>
      <w:r w:rsidR="00A02CEF" w:rsidRPr="00DD0CE5">
        <w:rPr>
          <w:rFonts w:eastAsia="Calibri"/>
          <w:lang w:val="en-IE"/>
        </w:rPr>
        <w:t xml:space="preserve"> </w:t>
      </w:r>
      <w:r w:rsidR="00800A68" w:rsidRPr="00DD0CE5">
        <w:rPr>
          <w:rFonts w:eastAsia="Calibri"/>
          <w:lang w:val="en-IE"/>
        </w:rPr>
        <w:t xml:space="preserve">Public consultation </w:t>
      </w:r>
      <w:r w:rsidR="005D2B30">
        <w:rPr>
          <w:rFonts w:eastAsia="Calibri"/>
          <w:lang w:val="en-IE"/>
        </w:rPr>
        <w:t>responses</w:t>
      </w:r>
      <w:r w:rsidR="00797BDD">
        <w:rPr>
          <w:rStyle w:val="FootnoteReference"/>
          <w:rFonts w:eastAsia="Calibri"/>
          <w:lang w:val="en-IE"/>
        </w:rPr>
        <w:footnoteReference w:id="92"/>
      </w:r>
      <w:r w:rsidR="5E32CC6C" w:rsidRPr="00DD0CE5">
        <w:rPr>
          <w:rFonts w:eastAsia="Calibri"/>
          <w:lang w:val="en-IE"/>
        </w:rPr>
        <w:t xml:space="preserve"> confirm that</w:t>
      </w:r>
      <w:r w:rsidR="3187181E" w:rsidRPr="0AF679E8">
        <w:rPr>
          <w:rFonts w:eastAsia="Calibri"/>
          <w:lang w:val="en-IE"/>
        </w:rPr>
        <w:t xml:space="preserve"> stakeholders see a need for greater clarity in the practical application of AI-related requirements across the biotechnology lifecycle (58</w:t>
      </w:r>
      <w:r w:rsidR="00405618">
        <w:rPr>
          <w:rFonts w:eastAsia="Calibri"/>
          <w:lang w:val="en-IE"/>
        </w:rPr>
        <w:t>%</w:t>
      </w:r>
      <w:r w:rsidR="3187181E" w:rsidRPr="0AF679E8">
        <w:rPr>
          <w:rFonts w:eastAsia="Calibri"/>
          <w:lang w:val="en-IE"/>
        </w:rPr>
        <w:t xml:space="preserve"> agreement).</w:t>
      </w:r>
      <w:r w:rsidR="00800A68" w:rsidRPr="00DD0CE5">
        <w:rPr>
          <w:rFonts w:eastAsia="Calibri"/>
          <w:lang w:val="en-IE"/>
        </w:rPr>
        <w:t xml:space="preserve"> Stakeholders report </w:t>
      </w:r>
      <w:r w:rsidR="41BA784B" w:rsidRPr="00E71348">
        <w:rPr>
          <w:rFonts w:eastAsia="Calibri"/>
          <w:lang w:val="en-IE"/>
        </w:rPr>
        <w:t>uncertainty regarding how AI-related requirements interact with existing medicinal product and clinical research frameworks, particularly in areas such as model validation, documentation and lifecycle monitoring</w:t>
      </w:r>
      <w:r w:rsidR="000A0A72" w:rsidRPr="00F70DDF">
        <w:rPr>
          <w:rStyle w:val="FootnoteReference"/>
          <w:rFonts w:eastAsia="Calibri"/>
          <w:lang w:val="en-IE"/>
        </w:rPr>
        <w:footnoteReference w:id="93"/>
      </w:r>
      <w:r w:rsidR="0038396B">
        <w:rPr>
          <w:rFonts w:eastAsia="Calibri"/>
          <w:lang w:val="en-IE"/>
        </w:rPr>
        <w:t xml:space="preserve"> and </w:t>
      </w:r>
      <w:r w:rsidR="05048340" w:rsidRPr="25492587">
        <w:rPr>
          <w:lang w:val="en-IE"/>
        </w:rPr>
        <w:t>highlight the importance of guidance</w:t>
      </w:r>
      <w:r w:rsidR="0038396B">
        <w:rPr>
          <w:lang w:val="en-IE"/>
        </w:rPr>
        <w:t>.</w:t>
      </w:r>
      <w:bookmarkStart w:id="59" w:name="_Toc222740565"/>
      <w:bookmarkStart w:id="60" w:name="_Toc222831748"/>
      <w:r w:rsidR="00C77C60">
        <w:rPr>
          <w:lang w:val="en-IE"/>
        </w:rPr>
        <w:t xml:space="preserve"> </w:t>
      </w:r>
      <w:r w:rsidR="00F118D0" w:rsidRPr="009F6D09">
        <w:rPr>
          <w:lang w:eastAsia="en-IE"/>
        </w:rPr>
        <w:t>Taken together, these patterns show that the EU</w:t>
      </w:r>
      <w:r w:rsidR="0030405B" w:rsidRPr="009F6D09">
        <w:rPr>
          <w:lang w:eastAsia="en-IE"/>
        </w:rPr>
        <w:t xml:space="preserve"> biotech companies</w:t>
      </w:r>
      <w:r w:rsidR="1C54E086" w:rsidRPr="009F6D09">
        <w:rPr>
          <w:lang w:eastAsia="en-IE"/>
        </w:rPr>
        <w:t>’</w:t>
      </w:r>
      <w:r w:rsidR="0030405B" w:rsidRPr="009F6D09">
        <w:rPr>
          <w:lang w:eastAsia="en-IE"/>
        </w:rPr>
        <w:t xml:space="preserve"> difficult</w:t>
      </w:r>
      <w:r w:rsidR="395E5CDC" w:rsidRPr="009F6D09">
        <w:rPr>
          <w:lang w:eastAsia="en-IE"/>
        </w:rPr>
        <w:t>y</w:t>
      </w:r>
      <w:r w:rsidR="0030405B" w:rsidRPr="009F6D09">
        <w:rPr>
          <w:lang w:eastAsia="en-IE"/>
        </w:rPr>
        <w:t xml:space="preserve"> to thrive</w:t>
      </w:r>
      <w:r w:rsidR="00F118D0" w:rsidRPr="009F6D09">
        <w:rPr>
          <w:lang w:eastAsia="en-IE"/>
        </w:rPr>
        <w:t xml:space="preserve"> is not a science deficit, but </w:t>
      </w:r>
      <w:r w:rsidR="004B7271">
        <w:rPr>
          <w:lang w:eastAsia="en-IE"/>
        </w:rPr>
        <w:t xml:space="preserve">rather </w:t>
      </w:r>
      <w:r w:rsidR="00F118D0" w:rsidRPr="009F6D09">
        <w:rPr>
          <w:lang w:eastAsia="en-IE"/>
        </w:rPr>
        <w:t>a</w:t>
      </w:r>
      <w:r w:rsidR="00F118D0" w:rsidRPr="00076528">
        <w:rPr>
          <w:b/>
          <w:bCs/>
          <w:lang w:eastAsia="en-IE"/>
        </w:rPr>
        <w:t xml:space="preserve"> </w:t>
      </w:r>
      <w:r w:rsidR="2F8DB71E" w:rsidRPr="19EA7E28">
        <w:rPr>
          <w:b/>
          <w:bCs/>
          <w:lang w:eastAsia="en-IE"/>
        </w:rPr>
        <w:t xml:space="preserve">lack of </w:t>
      </w:r>
      <w:r w:rsidR="00F118D0" w:rsidRPr="00076528">
        <w:rPr>
          <w:b/>
          <w:bCs/>
          <w:lang w:eastAsia="en-IE"/>
        </w:rPr>
        <w:t xml:space="preserve">translation and </w:t>
      </w:r>
      <w:r w:rsidR="788AE7D6" w:rsidRPr="19EA7E28">
        <w:rPr>
          <w:b/>
          <w:bCs/>
          <w:lang w:eastAsia="en-IE"/>
        </w:rPr>
        <w:t>a</w:t>
      </w:r>
      <w:r w:rsidR="00F118D0" w:rsidRPr="19EA7E28">
        <w:rPr>
          <w:b/>
          <w:bCs/>
          <w:lang w:eastAsia="en-IE"/>
        </w:rPr>
        <w:t xml:space="preserve"> </w:t>
      </w:r>
      <w:r w:rsidR="00F118D0" w:rsidRPr="00076528">
        <w:rPr>
          <w:b/>
          <w:bCs/>
          <w:lang w:eastAsia="en-IE"/>
        </w:rPr>
        <w:t xml:space="preserve">scale-up deficit shaped by long, </w:t>
      </w:r>
      <w:r w:rsidR="00363192">
        <w:rPr>
          <w:b/>
          <w:bCs/>
          <w:lang w:eastAsia="en-IE"/>
        </w:rPr>
        <w:t>complex</w:t>
      </w:r>
      <w:r w:rsidR="00F118D0" w:rsidRPr="00076528">
        <w:rPr>
          <w:b/>
          <w:bCs/>
          <w:lang w:eastAsia="en-IE"/>
        </w:rPr>
        <w:t xml:space="preserve"> and capital-intensive pathways from research to market.</w:t>
      </w:r>
    </w:p>
    <w:p w14:paraId="4DD5170A" w14:textId="72C93E09" w:rsidR="000275F7" w:rsidRPr="00766769" w:rsidRDefault="000275F7" w:rsidP="000275F7">
      <w:pPr>
        <w:pStyle w:val="Heading3"/>
      </w:pPr>
      <w:bookmarkStart w:id="61" w:name="_Toc224747199"/>
      <w:bookmarkStart w:id="62" w:name="_Toc224749669"/>
      <w:bookmarkStart w:id="63" w:name="_Toc225974547"/>
      <w:bookmarkStart w:id="64" w:name="_Toc225975220"/>
      <w:bookmarkStart w:id="65" w:name="_Toc225975277"/>
      <w:r w:rsidRPr="00DD0CE5">
        <w:t xml:space="preserve">Driver </w:t>
      </w:r>
      <w:r w:rsidR="00A751CB" w:rsidRPr="00DD0CE5">
        <w:t>2</w:t>
      </w:r>
      <w:r w:rsidRPr="00DD0CE5">
        <w:t xml:space="preserve">: Fragmentation of enabling ecosystems and suboptimal incentives for private investment constraining </w:t>
      </w:r>
      <w:r w:rsidR="00D050F1">
        <w:t xml:space="preserve">the </w:t>
      </w:r>
      <w:r w:rsidRPr="00DD0CE5">
        <w:t xml:space="preserve">scale-up </w:t>
      </w:r>
      <w:r w:rsidR="001B7501">
        <w:t>of</w:t>
      </w:r>
      <w:r w:rsidRPr="00DD0CE5">
        <w:t xml:space="preserve"> EU biotechnology and biomanufacturing</w:t>
      </w:r>
      <w:bookmarkEnd w:id="59"/>
      <w:bookmarkEnd w:id="60"/>
      <w:bookmarkEnd w:id="61"/>
      <w:bookmarkEnd w:id="62"/>
      <w:r w:rsidR="004E010C">
        <w:t xml:space="preserve"> </w:t>
      </w:r>
      <w:bookmarkEnd w:id="63"/>
      <w:bookmarkEnd w:id="64"/>
      <w:bookmarkEnd w:id="65"/>
    </w:p>
    <w:p w14:paraId="1E0647CB" w14:textId="6B5F2951" w:rsidR="002B4640" w:rsidRPr="00DD0CE5" w:rsidRDefault="006C0133" w:rsidP="00A16F25">
      <w:r>
        <w:t>The EU</w:t>
      </w:r>
      <w:r w:rsidR="002B4640" w:rsidRPr="00DD0CE5">
        <w:t xml:space="preserve">’s ambition to scale and industrialise biotechnology </w:t>
      </w:r>
      <w:r w:rsidR="00CC5804" w:rsidRPr="00DD0CE5">
        <w:t>is currently limited by challenges in</w:t>
      </w:r>
      <w:r w:rsidR="002B4640" w:rsidRPr="00DD0CE5">
        <w:t xml:space="preserve"> </w:t>
      </w:r>
      <w:r w:rsidR="00645FF7" w:rsidRPr="00DD0CE5">
        <w:t xml:space="preserve">key enabling factors, in particular </w:t>
      </w:r>
      <w:r w:rsidR="003A6D5E">
        <w:t xml:space="preserve">fragmented </w:t>
      </w:r>
      <w:r w:rsidR="000324A9">
        <w:t>thus insufficient</w:t>
      </w:r>
      <w:r w:rsidR="00645FF7" w:rsidRPr="00DD0CE5">
        <w:t xml:space="preserve"> </w:t>
      </w:r>
      <w:r w:rsidR="002B4640" w:rsidRPr="00DD0CE5">
        <w:t>access</w:t>
      </w:r>
      <w:r w:rsidR="00645FF7" w:rsidRPr="00DD0CE5">
        <w:t xml:space="preserve"> to</w:t>
      </w:r>
      <w:r w:rsidR="002B4640" w:rsidRPr="00DD0CE5">
        <w:t xml:space="preserve"> finance, </w:t>
      </w:r>
      <w:r w:rsidR="006A5BAB" w:rsidRPr="00DD0CE5">
        <w:t xml:space="preserve">development of </w:t>
      </w:r>
      <w:r w:rsidR="002B4640" w:rsidRPr="00DD0CE5">
        <w:t>infrastructure</w:t>
      </w:r>
      <w:r w:rsidR="00260382" w:rsidRPr="00DD0CE5">
        <w:t>s</w:t>
      </w:r>
      <w:r w:rsidR="00C27881">
        <w:t xml:space="preserve"> (e.g. clusters)</w:t>
      </w:r>
      <w:r w:rsidR="0041675F" w:rsidRPr="00DD0CE5">
        <w:t>,</w:t>
      </w:r>
      <w:r w:rsidR="002B4640" w:rsidRPr="00DD0CE5">
        <w:t xml:space="preserve"> availability of specialised talent</w:t>
      </w:r>
      <w:r w:rsidR="0041675F" w:rsidRPr="00DD0CE5">
        <w:t xml:space="preserve"> and the</w:t>
      </w:r>
      <w:r w:rsidR="006A5BAB" w:rsidRPr="00DD0CE5">
        <w:t xml:space="preserve"> deployment of AI and use of data.</w:t>
      </w:r>
      <w:r w:rsidR="0041675F" w:rsidRPr="00DD0CE5">
        <w:t xml:space="preserve"> </w:t>
      </w:r>
    </w:p>
    <w:p w14:paraId="0D5C86A8" w14:textId="10B14042" w:rsidR="005F73BC" w:rsidRPr="00DD0CE5" w:rsidRDefault="00465ECB" w:rsidP="008B0887">
      <w:pPr>
        <w:rPr>
          <w:lang w:val="en-US"/>
        </w:rPr>
      </w:pPr>
      <w:r w:rsidRPr="3D5DF754">
        <w:rPr>
          <w:lang w:val="en-US"/>
        </w:rPr>
        <w:t>First</w:t>
      </w:r>
      <w:r>
        <w:rPr>
          <w:lang w:val="en-US"/>
        </w:rPr>
        <w:t xml:space="preserve">, with regards to </w:t>
      </w:r>
      <w:r w:rsidRPr="00E71348">
        <w:rPr>
          <w:b/>
          <w:lang w:val="en-US"/>
        </w:rPr>
        <w:t>access</w:t>
      </w:r>
      <w:r w:rsidR="000275F7" w:rsidRPr="00E71348">
        <w:rPr>
          <w:b/>
          <w:lang w:val="en-US"/>
        </w:rPr>
        <w:t xml:space="preserve"> to finance</w:t>
      </w:r>
      <w:r>
        <w:rPr>
          <w:lang w:val="en-US"/>
        </w:rPr>
        <w:t>, t</w:t>
      </w:r>
      <w:r w:rsidR="000275F7" w:rsidRPr="00DD0CE5">
        <w:rPr>
          <w:lang w:val="en-US"/>
        </w:rPr>
        <w:t xml:space="preserve">he EIB estimates </w:t>
      </w:r>
      <w:r w:rsidR="000275F7" w:rsidRPr="00DD0CE5">
        <w:t xml:space="preserve">the </w:t>
      </w:r>
      <w:r w:rsidR="7EB43300" w:rsidRPr="00DD0CE5">
        <w:rPr>
          <w:b/>
          <w:bCs/>
        </w:rPr>
        <w:t>sector investment gap at EUR 40 billion annually</w:t>
      </w:r>
      <w:r w:rsidR="00C75646">
        <w:rPr>
          <w:b/>
          <w:bCs/>
        </w:rPr>
        <w:t>.</w:t>
      </w:r>
      <w:r w:rsidRPr="3D5DF754">
        <w:rPr>
          <w:vertAlign w:val="superscript"/>
        </w:rPr>
        <w:footnoteReference w:id="94"/>
      </w:r>
      <w:r w:rsidR="009C4C1F" w:rsidRPr="1C169483">
        <w:rPr>
          <w:b/>
          <w:bCs/>
          <w:vertAlign w:val="superscript"/>
        </w:rPr>
        <w:fldChar w:fldCharType="begin"/>
      </w:r>
      <w:r w:rsidR="009C4C1F" w:rsidRPr="1C169483">
        <w:rPr>
          <w:b/>
          <w:bCs/>
          <w:vertAlign w:val="superscript"/>
        </w:rPr>
        <w:instrText xml:space="preserve"> \* MERGEFORMAT </w:instrText>
      </w:r>
      <w:r w:rsidR="00267C88">
        <w:rPr>
          <w:b/>
          <w:bCs/>
          <w:vertAlign w:val="superscript"/>
        </w:rPr>
        <w:instrText xml:space="preserve"> \* MERGEFORMAT </w:instrText>
      </w:r>
      <w:r w:rsidR="009C4C1F" w:rsidRPr="1C169483">
        <w:rPr>
          <w:b/>
          <w:bCs/>
          <w:vertAlign w:val="superscript"/>
        </w:rPr>
        <w:fldChar w:fldCharType="separate"/>
      </w:r>
      <w:r w:rsidR="009C4C1F" w:rsidRPr="1C169483">
        <w:rPr>
          <w:b/>
          <w:bCs/>
          <w:vertAlign w:val="superscript"/>
        </w:rPr>
        <w:fldChar w:fldCharType="end"/>
      </w:r>
      <w:r w:rsidR="000275F7" w:rsidRPr="00DD0CE5">
        <w:t xml:space="preserve"> US biopharma start-ups received around nine times more late-stage funding than EU biopharma start-ups, with around EUR 219 billion of venture capital focused on health biotechnology invested in the US compared to EUR 25 billion in the EU</w:t>
      </w:r>
      <w:r w:rsidR="00E907C6">
        <w:t>,</w:t>
      </w:r>
      <w:r w:rsidR="000275F7" w:rsidRPr="00DD0CE5">
        <w:t xml:space="preserve"> between 2015 and June 2025</w:t>
      </w:r>
      <w:r w:rsidR="00E907C6">
        <w:t>.</w:t>
      </w:r>
      <w:r w:rsidRPr="3D5DF754">
        <w:rPr>
          <w:rStyle w:val="FootnoteReference"/>
          <w:lang w:val="en-US"/>
        </w:rPr>
        <w:footnoteReference w:id="95"/>
      </w:r>
      <w:r w:rsidR="000275F7" w:rsidRPr="00DD0CE5">
        <w:t xml:space="preserve"> </w:t>
      </w:r>
      <w:r w:rsidR="000275F7" w:rsidRPr="00DD0CE5">
        <w:rPr>
          <w:b/>
        </w:rPr>
        <w:t xml:space="preserve">Even larger gaps in </w:t>
      </w:r>
      <w:r w:rsidR="006F4A36">
        <w:rPr>
          <w:b/>
        </w:rPr>
        <w:t>access to</w:t>
      </w:r>
      <w:r w:rsidR="000275F7" w:rsidRPr="00DD0CE5">
        <w:rPr>
          <w:b/>
        </w:rPr>
        <w:t xml:space="preserve"> </w:t>
      </w:r>
      <w:r w:rsidR="000275F7" w:rsidRPr="00DD0CE5">
        <w:rPr>
          <w:b/>
          <w:bCs/>
        </w:rPr>
        <w:t xml:space="preserve">late-stage capital </w:t>
      </w:r>
      <w:r w:rsidR="000275F7" w:rsidRPr="00DD0CE5">
        <w:t xml:space="preserve">have pushed biotech companies to find funding </w:t>
      </w:r>
      <w:r w:rsidR="0069497C">
        <w:t>abroad, notably in the US</w:t>
      </w:r>
      <w:r w:rsidR="000275F7" w:rsidRPr="00DD0CE5">
        <w:t xml:space="preserve">. </w:t>
      </w:r>
      <w:r w:rsidR="4167991F" w:rsidRPr="00DD0CE5">
        <w:rPr>
          <w:lang w:val="en-US"/>
        </w:rPr>
        <w:t>Between 2015 and 2021</w:t>
      </w:r>
      <w:r w:rsidR="000275F7" w:rsidRPr="00DD0CE5">
        <w:rPr>
          <w:lang w:val="en-US"/>
        </w:rPr>
        <w:t xml:space="preserve">, 67 </w:t>
      </w:r>
      <w:r w:rsidR="00DD392B">
        <w:rPr>
          <w:lang w:val="en-US"/>
        </w:rPr>
        <w:t>EU</w:t>
      </w:r>
      <w:r w:rsidR="000275F7" w:rsidRPr="00DD0CE5">
        <w:rPr>
          <w:lang w:val="en-US"/>
        </w:rPr>
        <w:t xml:space="preserve"> biotech companies going </w:t>
      </w:r>
      <w:r w:rsidR="008B5AA1">
        <w:rPr>
          <w:lang w:val="en-US"/>
        </w:rPr>
        <w:t xml:space="preserve">for a </w:t>
      </w:r>
      <w:r w:rsidR="000275F7" w:rsidRPr="00DD0CE5">
        <w:rPr>
          <w:lang w:val="en-US"/>
        </w:rPr>
        <w:t xml:space="preserve">public </w:t>
      </w:r>
      <w:r w:rsidR="008B5AA1">
        <w:rPr>
          <w:lang w:val="en-US"/>
        </w:rPr>
        <w:t xml:space="preserve">listing </w:t>
      </w:r>
      <w:r w:rsidR="000275F7" w:rsidRPr="00DD0CE5">
        <w:rPr>
          <w:lang w:val="en-US"/>
        </w:rPr>
        <w:t xml:space="preserve">have targeted the US NASDAQ rather than the European stock markets, with </w:t>
      </w:r>
      <w:r w:rsidR="00BE50A9">
        <w:rPr>
          <w:lang w:val="en-US"/>
        </w:rPr>
        <w:t>60</w:t>
      </w:r>
      <w:r w:rsidR="00405618">
        <w:rPr>
          <w:lang w:val="en-US"/>
        </w:rPr>
        <w:t>%</w:t>
      </w:r>
      <w:r w:rsidR="000275F7" w:rsidRPr="00DD0CE5">
        <w:rPr>
          <w:lang w:val="en-US"/>
        </w:rPr>
        <w:t xml:space="preserve"> </w:t>
      </w:r>
      <w:r w:rsidR="00DD392B">
        <w:rPr>
          <w:lang w:val="en-US"/>
        </w:rPr>
        <w:t xml:space="preserve">of them </w:t>
      </w:r>
      <w:r w:rsidR="00F07FB9">
        <w:rPr>
          <w:lang w:val="en-US"/>
        </w:rPr>
        <w:t xml:space="preserve">only </w:t>
      </w:r>
      <w:r w:rsidR="000275F7" w:rsidRPr="00DD0CE5">
        <w:rPr>
          <w:lang w:val="en-US"/>
        </w:rPr>
        <w:t xml:space="preserve">listing </w:t>
      </w:r>
      <w:r w:rsidR="00F07FB9">
        <w:rPr>
          <w:lang w:val="en-US"/>
        </w:rPr>
        <w:t xml:space="preserve">on NASDAQ without any listing on an </w:t>
      </w:r>
      <w:r w:rsidR="000275F7" w:rsidRPr="00DD0CE5">
        <w:rPr>
          <w:lang w:val="en-US"/>
        </w:rPr>
        <w:t>EU</w:t>
      </w:r>
      <w:r w:rsidR="00F07FB9">
        <w:rPr>
          <w:lang w:val="en-US"/>
        </w:rPr>
        <w:t xml:space="preserve"> exchange</w:t>
      </w:r>
      <w:r w:rsidR="00F0204B">
        <w:rPr>
          <w:lang w:val="en-US"/>
        </w:rPr>
        <w:t>.</w:t>
      </w:r>
      <w:r w:rsidRPr="3D5DF754">
        <w:rPr>
          <w:rStyle w:val="FootnoteReference"/>
          <w:lang w:val="en-US"/>
        </w:rPr>
        <w:footnoteReference w:id="96"/>
      </w:r>
    </w:p>
    <w:p w14:paraId="26C19E3E" w14:textId="06DAF865" w:rsidR="00227616" w:rsidRPr="00DD0CE5" w:rsidRDefault="00994167" w:rsidP="00A16F25">
      <w:r>
        <w:rPr>
          <w:lang w:val="en-IE"/>
        </w:rPr>
        <w:t xml:space="preserve">Similarly, in earlier stages of </w:t>
      </w:r>
      <w:r w:rsidR="00E404A3">
        <w:rPr>
          <w:lang w:val="en-IE"/>
        </w:rPr>
        <w:t xml:space="preserve">capital, </w:t>
      </w:r>
      <w:r w:rsidR="00E404A3" w:rsidRPr="00F533A5">
        <w:rPr>
          <w:b/>
          <w:bCs/>
          <w:lang w:val="en-IE"/>
        </w:rPr>
        <w:t>although</w:t>
      </w:r>
      <w:r w:rsidR="00A41ADD" w:rsidRPr="00F533A5">
        <w:rPr>
          <w:b/>
          <w:bCs/>
          <w:lang w:val="en-IE"/>
        </w:rPr>
        <w:t xml:space="preserve"> </w:t>
      </w:r>
      <w:r w:rsidR="00A41ADD" w:rsidRPr="00E404A3">
        <w:rPr>
          <w:b/>
          <w:bCs/>
        </w:rPr>
        <w:t>the EU biotech venture ecosystem has expanded materially in recent years</w:t>
      </w:r>
      <w:r w:rsidR="00E404A3" w:rsidRPr="00E404A3">
        <w:rPr>
          <w:b/>
          <w:bCs/>
        </w:rPr>
        <w:t xml:space="preserve">, </w:t>
      </w:r>
      <w:r w:rsidR="00E404A3">
        <w:rPr>
          <w:b/>
          <w:bCs/>
        </w:rPr>
        <w:t xml:space="preserve">it </w:t>
      </w:r>
      <w:r w:rsidR="00E404A3" w:rsidRPr="00F533A5">
        <w:rPr>
          <w:b/>
          <w:bCs/>
        </w:rPr>
        <w:t>remains a second-tier venture capital market in global biotechnology</w:t>
      </w:r>
      <w:r w:rsidR="00A41ADD" w:rsidRPr="00DD0CE5">
        <w:t xml:space="preserve">. </w:t>
      </w:r>
      <w:r w:rsidR="00A41ADD" w:rsidRPr="00551D03">
        <w:t xml:space="preserve">Annual investment increased from </w:t>
      </w:r>
      <w:r w:rsidR="00E404A3" w:rsidRPr="006E047A">
        <w:t xml:space="preserve">EUR </w:t>
      </w:r>
      <w:r w:rsidR="00A41ADD" w:rsidRPr="006E047A">
        <w:t>0.84</w:t>
      </w:r>
      <w:r w:rsidR="00E404A3" w:rsidRPr="006E047A">
        <w:t xml:space="preserve"> </w:t>
      </w:r>
      <w:r w:rsidR="00A41ADD" w:rsidRPr="006E047A">
        <w:t>b</w:t>
      </w:r>
      <w:r w:rsidR="00E404A3" w:rsidRPr="006E047A">
        <w:t>illio</w:t>
      </w:r>
      <w:r w:rsidR="00A41ADD" w:rsidRPr="006E047A">
        <w:t>n (2015)</w:t>
      </w:r>
      <w:r w:rsidR="00A41ADD" w:rsidRPr="00551D03">
        <w:t xml:space="preserve"> to a peak of </w:t>
      </w:r>
      <w:r w:rsidR="00E404A3" w:rsidRPr="006E047A">
        <w:t xml:space="preserve">EUR </w:t>
      </w:r>
      <w:r w:rsidR="00A41ADD" w:rsidRPr="006E047A">
        <w:t>5.47</w:t>
      </w:r>
      <w:r w:rsidR="00E404A3" w:rsidRPr="006E047A">
        <w:t xml:space="preserve"> </w:t>
      </w:r>
      <w:r w:rsidR="00A41ADD" w:rsidRPr="006E047A">
        <w:t>b</w:t>
      </w:r>
      <w:r w:rsidR="00E404A3" w:rsidRPr="006E047A">
        <w:t>illio</w:t>
      </w:r>
      <w:r w:rsidR="00A41ADD" w:rsidRPr="006E047A">
        <w:t>n (2021)</w:t>
      </w:r>
      <w:r w:rsidR="00A41ADD" w:rsidRPr="00551D03">
        <w:t xml:space="preserve"> during a rapid expansion phase, before partially normalising to </w:t>
      </w:r>
      <w:r w:rsidR="00E404A3" w:rsidRPr="006E047A">
        <w:t xml:space="preserve">EUR </w:t>
      </w:r>
      <w:r w:rsidR="00A41ADD" w:rsidRPr="006E047A">
        <w:t>3.89</w:t>
      </w:r>
      <w:r w:rsidR="00E404A3" w:rsidRPr="006E047A">
        <w:t xml:space="preserve"> </w:t>
      </w:r>
      <w:r w:rsidR="00A41ADD" w:rsidRPr="006E047A">
        <w:t>b</w:t>
      </w:r>
      <w:r w:rsidR="00E404A3" w:rsidRPr="006E047A">
        <w:t>illio</w:t>
      </w:r>
      <w:r w:rsidR="00A41ADD" w:rsidRPr="006E047A">
        <w:t>n (2025)</w:t>
      </w:r>
      <w:r w:rsidR="00A41ADD" w:rsidRPr="00551D03">
        <w:t xml:space="preserve"> (around </w:t>
      </w:r>
      <w:r w:rsidR="00A41ADD" w:rsidRPr="006E047A">
        <w:t>29</w:t>
      </w:r>
      <w:r w:rsidR="00405618">
        <w:t>%</w:t>
      </w:r>
      <w:r w:rsidR="00A41ADD" w:rsidRPr="00E87869">
        <w:t xml:space="preserve"> below</w:t>
      </w:r>
      <w:r w:rsidR="00A41ADD" w:rsidRPr="00551D03">
        <w:t xml:space="preserve"> the 2021 peak) consistent with post-pandemic slower deployment </w:t>
      </w:r>
      <w:r w:rsidR="0054729E">
        <w:t>(see Annex 5, Figure 7)</w:t>
      </w:r>
      <w:r w:rsidR="00D73D95">
        <w:t>.</w:t>
      </w:r>
      <w:r w:rsidR="0054729E">
        <w:t xml:space="preserve"> </w:t>
      </w:r>
      <w:r w:rsidR="00E404A3" w:rsidRPr="00551D03">
        <w:t>As a comparison</w:t>
      </w:r>
      <w:r w:rsidR="00E404A3">
        <w:t>, t</w:t>
      </w:r>
      <w:r w:rsidR="00A41ADD" w:rsidRPr="00DD0CE5">
        <w:t xml:space="preserve">he </w:t>
      </w:r>
      <w:r w:rsidR="00D536BB">
        <w:t>US</w:t>
      </w:r>
      <w:r w:rsidR="00A41ADD" w:rsidRPr="00DD0CE5">
        <w:t xml:space="preserve"> operates at a different order of magnitude across the cycle (peaking </w:t>
      </w:r>
      <w:r w:rsidR="00A227ED">
        <w:t xml:space="preserve">at </w:t>
      </w:r>
      <w:r w:rsidR="00A41ADD" w:rsidRPr="00DD0CE5">
        <w:t xml:space="preserve">around </w:t>
      </w:r>
      <w:r w:rsidR="008E4AD0">
        <w:t xml:space="preserve">EUR </w:t>
      </w:r>
      <w:r w:rsidR="00A41ADD" w:rsidRPr="00DD0CE5">
        <w:t>45</w:t>
      </w:r>
      <w:r w:rsidR="008E4AD0">
        <w:t xml:space="preserve"> </w:t>
      </w:r>
      <w:r w:rsidR="00A41ADD" w:rsidRPr="00DD0CE5">
        <w:t>b</w:t>
      </w:r>
      <w:r w:rsidR="008E4AD0">
        <w:t>illio</w:t>
      </w:r>
      <w:r w:rsidR="00A41ADD" w:rsidRPr="00DD0CE5">
        <w:t>n in 2021)</w:t>
      </w:r>
      <w:r w:rsidR="008D2114">
        <w:rPr>
          <w:rStyle w:val="FootnoteReference"/>
        </w:rPr>
        <w:footnoteReference w:id="97"/>
      </w:r>
      <w:r w:rsidR="00A41ADD" w:rsidRPr="00DD0CE5">
        <w:t xml:space="preserve">. </w:t>
      </w:r>
      <w:r w:rsidR="000275F7" w:rsidRPr="00DD0CE5">
        <w:t>In the public consultation</w:t>
      </w:r>
      <w:r w:rsidR="0032379B">
        <w:rPr>
          <w:rStyle w:val="FootnoteReference"/>
        </w:rPr>
        <w:footnoteReference w:id="98"/>
      </w:r>
      <w:r w:rsidR="000275F7" w:rsidRPr="00DD0CE5">
        <w:t xml:space="preserve">, stakeholders reported </w:t>
      </w:r>
      <w:r w:rsidR="000275F7" w:rsidRPr="00DD0CE5">
        <w:rPr>
          <w:b/>
        </w:rPr>
        <w:t>difficult access to private and some public investment instruments</w:t>
      </w:r>
      <w:r w:rsidR="000275F7" w:rsidRPr="00DD0CE5">
        <w:t xml:space="preserve"> in the EU in equity, debt, and commercialisation support</w:t>
      </w:r>
      <w:r w:rsidR="00EE4DA3" w:rsidRPr="00DD0CE5">
        <w:rPr>
          <w:iCs/>
        </w:rPr>
        <w:t xml:space="preserve"> (</w:t>
      </w:r>
      <w:r w:rsidR="000275F7" w:rsidRPr="00DD0CE5">
        <w:rPr>
          <w:iCs/>
        </w:rPr>
        <w:t xml:space="preserve">for </w:t>
      </w:r>
      <w:r w:rsidR="00EE4DA3" w:rsidRPr="00DD0CE5">
        <w:rPr>
          <w:iCs/>
        </w:rPr>
        <w:t xml:space="preserve">more information, see </w:t>
      </w:r>
      <w:r w:rsidR="00EE4DA3" w:rsidRPr="00DD0CE5">
        <w:rPr>
          <w:i/>
        </w:rPr>
        <w:t xml:space="preserve">synopsis report </w:t>
      </w:r>
      <w:r w:rsidR="00EE4DA3" w:rsidRPr="00DD0CE5">
        <w:rPr>
          <w:iCs/>
        </w:rPr>
        <w:t xml:space="preserve">in Annex </w:t>
      </w:r>
      <w:r w:rsidR="00A57464">
        <w:rPr>
          <w:iCs/>
        </w:rPr>
        <w:t>2</w:t>
      </w:r>
      <w:r w:rsidR="00EE4DA3" w:rsidRPr="00DD0CE5">
        <w:rPr>
          <w:iCs/>
        </w:rPr>
        <w:t>).</w:t>
      </w:r>
      <w:r w:rsidR="000275F7" w:rsidRPr="00DD0CE5">
        <w:rPr>
          <w:iCs/>
        </w:rPr>
        <w:t xml:space="preserve"> </w:t>
      </w:r>
      <w:r w:rsidR="000275F7" w:rsidRPr="00DD0CE5">
        <w:t>In their answers, companies also noted that public funding mechanisms, while supportive</w:t>
      </w:r>
      <w:r w:rsidR="000275F7" w:rsidRPr="00DD0CE5" w:rsidDel="00E823AB">
        <w:t xml:space="preserve"> </w:t>
      </w:r>
      <w:r w:rsidR="00E823AB">
        <w:t>for</w:t>
      </w:r>
      <w:r w:rsidR="00E823AB" w:rsidRPr="00DD0CE5">
        <w:t xml:space="preserve"> </w:t>
      </w:r>
      <w:r w:rsidR="000275F7" w:rsidRPr="00DD0CE5">
        <w:t xml:space="preserve">early R&amp;D stages are also insufficiently tailored to the needs of biotech scale-ups. Specific challenges of start-ups and SMEs were also underlined from both representatives of </w:t>
      </w:r>
      <w:r w:rsidR="000275F7" w:rsidRPr="00DD0CE5">
        <w:rPr>
          <w:b/>
        </w:rPr>
        <w:t>business associations and public authorities</w:t>
      </w:r>
      <w:r w:rsidR="000275F7" w:rsidRPr="00DD0CE5">
        <w:t xml:space="preserve">. Respondents from </w:t>
      </w:r>
      <w:r w:rsidR="000275F7" w:rsidRPr="00DD0CE5">
        <w:rPr>
          <w:b/>
          <w:bCs/>
        </w:rPr>
        <w:t>academic</w:t>
      </w:r>
      <w:r w:rsidR="000275F7" w:rsidRPr="00DD0CE5">
        <w:rPr>
          <w:b/>
        </w:rPr>
        <w:t xml:space="preserve"> and research</w:t>
      </w:r>
      <w:r w:rsidR="000275F7" w:rsidRPr="00DD0CE5">
        <w:t xml:space="preserve"> also pointed the fragmentation in funding rules and tax incentives across Member States, limited availability of large venture capital funds, and a lack of banking expertise in biotechnology. </w:t>
      </w:r>
      <w:r w:rsidR="003377CA" w:rsidRPr="00393702">
        <w:rPr>
          <w:b/>
        </w:rPr>
        <w:t>Non-Governmental Organisations</w:t>
      </w:r>
      <w:r w:rsidR="003377CA">
        <w:t xml:space="preserve"> </w:t>
      </w:r>
      <w:r w:rsidR="003377CA" w:rsidRPr="00CC56A5">
        <w:rPr>
          <w:b/>
          <w:bCs/>
        </w:rPr>
        <w:t>(</w:t>
      </w:r>
      <w:r w:rsidR="000275F7" w:rsidRPr="00DD0CE5">
        <w:rPr>
          <w:b/>
        </w:rPr>
        <w:t>NGOs</w:t>
      </w:r>
      <w:r w:rsidR="003377CA">
        <w:rPr>
          <w:b/>
        </w:rPr>
        <w:t>)</w:t>
      </w:r>
      <w:r w:rsidR="000275F7" w:rsidRPr="00DD0CE5">
        <w:t xml:space="preserve"> also reported challenges related to fragmented and insufficient public funding</w:t>
      </w:r>
      <w:r w:rsidR="002A1478" w:rsidRPr="00DD0CE5">
        <w:t xml:space="preserve"> and</w:t>
      </w:r>
      <w:r w:rsidR="000275F7" w:rsidRPr="00DD0CE5">
        <w:t xml:space="preserve"> a lack of significant grant-making institutions.</w:t>
      </w:r>
      <w:r w:rsidR="00D07F05">
        <w:t xml:space="preserve"> </w:t>
      </w:r>
      <w:r w:rsidR="000275F7" w:rsidRPr="00DD0CE5">
        <w:t>This shows a need to reinforce de-risking financial instruments and budgetary guarantees in the EU.</w:t>
      </w:r>
    </w:p>
    <w:p w14:paraId="151B3ED9" w14:textId="5C441239" w:rsidR="00B876AD" w:rsidDel="00B55487" w:rsidRDefault="00C04C4D" w:rsidP="00A16F25">
      <w:pPr>
        <w:rPr>
          <w:rFonts w:cs="Arial"/>
        </w:rPr>
      </w:pPr>
      <w:r>
        <w:rPr>
          <w:b/>
          <w:bCs/>
        </w:rPr>
        <w:t>B</w:t>
      </w:r>
      <w:r w:rsidR="00100763" w:rsidRPr="7E0A535E">
        <w:rPr>
          <w:b/>
          <w:bCs/>
        </w:rPr>
        <w:t>iological VMPs</w:t>
      </w:r>
      <w:r w:rsidR="00100763">
        <w:t xml:space="preserve"> </w:t>
      </w:r>
      <w:r w:rsidR="00AF2BEB">
        <w:t xml:space="preserve">benefit from </w:t>
      </w:r>
      <w:r w:rsidR="00100763">
        <w:t xml:space="preserve">two </w:t>
      </w:r>
      <w:r w:rsidR="007847AB">
        <w:t>protection mechanisms</w:t>
      </w:r>
      <w:r w:rsidR="00100763">
        <w:t>: regulatory data protection (Articles 39-40 of Regulation 2019/6) and intellectual property (IP) protection (patents and SPCs) under Regulation (EC) No 469/2009</w:t>
      </w:r>
      <w:r w:rsidR="00A95230">
        <w:rPr>
          <w:rStyle w:val="FootnoteReference"/>
        </w:rPr>
        <w:footnoteReference w:id="99"/>
      </w:r>
      <w:r w:rsidR="346E1FBB">
        <w:t>. Nevertheless</w:t>
      </w:r>
      <w:r w:rsidR="00100763">
        <w:t xml:space="preserve">, the veterinary pharmaceutical market presents </w:t>
      </w:r>
      <w:r w:rsidR="132672E3">
        <w:t>specific</w:t>
      </w:r>
      <w:r w:rsidR="00100763">
        <w:t xml:space="preserve"> challenges for innovation</w:t>
      </w:r>
      <w:r w:rsidR="002520F7">
        <w:t>, such as</w:t>
      </w:r>
      <w:r w:rsidR="00D96448">
        <w:t xml:space="preserve"> </w:t>
      </w:r>
      <w:r w:rsidR="00100763">
        <w:t>fragmented species-specific markets, low price</w:t>
      </w:r>
      <w:r w:rsidR="006062BD">
        <w:t xml:space="preserve"> level</w:t>
      </w:r>
      <w:r w:rsidR="00100763">
        <w:t xml:space="preserve">s, </w:t>
      </w:r>
      <w:r w:rsidR="52C9E2C2">
        <w:t>a</w:t>
      </w:r>
      <w:r w:rsidR="129C3CD9">
        <w:t xml:space="preserve">nd </w:t>
      </w:r>
      <w:r w:rsidR="00100763">
        <w:t xml:space="preserve">a small overall market size. In this context, there is a need for enhanced incentives </w:t>
      </w:r>
      <w:r w:rsidR="006062BD">
        <w:t>to</w:t>
      </w:r>
      <w:r w:rsidR="00100763">
        <w:t xml:space="preserve"> support the development of biotech</w:t>
      </w:r>
      <w:r w:rsidR="002F21AB">
        <w:t>nological</w:t>
      </w:r>
      <w:r w:rsidR="00100763">
        <w:t xml:space="preserve"> VMPs to diagnose, treat or prevent zoonotic diseases.</w:t>
      </w:r>
    </w:p>
    <w:p w14:paraId="22FB65DD" w14:textId="3AD39C71" w:rsidR="00160CFA" w:rsidRPr="00DD0CE5" w:rsidRDefault="006B3737" w:rsidP="00A16F25">
      <w:pPr>
        <w:rPr>
          <w:rFonts w:cs="Arial"/>
        </w:rPr>
      </w:pPr>
      <w:r>
        <w:rPr>
          <w:rFonts w:cs="Arial"/>
        </w:rPr>
        <w:t>Second</w:t>
      </w:r>
      <w:r w:rsidR="00227616">
        <w:rPr>
          <w:rFonts w:cs="Arial"/>
        </w:rPr>
        <w:t xml:space="preserve">, </w:t>
      </w:r>
      <w:r w:rsidR="00620DFA">
        <w:rPr>
          <w:rFonts w:cs="Arial"/>
        </w:rPr>
        <w:t xml:space="preserve">with regards to </w:t>
      </w:r>
      <w:r w:rsidR="00543A00" w:rsidRPr="00297E1F">
        <w:rPr>
          <w:rFonts w:cs="Arial"/>
          <w:b/>
        </w:rPr>
        <w:t>b</w:t>
      </w:r>
      <w:r w:rsidR="00011D73" w:rsidRPr="00297E1F">
        <w:rPr>
          <w:rFonts w:cs="Arial"/>
          <w:b/>
        </w:rPr>
        <w:t>iotechnology c</w:t>
      </w:r>
      <w:r w:rsidR="0076408C" w:rsidRPr="00297E1F">
        <w:rPr>
          <w:rFonts w:cs="Arial"/>
          <w:b/>
        </w:rPr>
        <w:t>luster</w:t>
      </w:r>
      <w:r w:rsidR="00A319FC" w:rsidRPr="00297E1F">
        <w:rPr>
          <w:rFonts w:cs="Arial"/>
          <w:b/>
        </w:rPr>
        <w:t>s</w:t>
      </w:r>
      <w:r w:rsidR="00620DFA">
        <w:rPr>
          <w:rFonts w:cs="Arial"/>
          <w:b/>
        </w:rPr>
        <w:t>,</w:t>
      </w:r>
      <w:r w:rsidR="0076408C" w:rsidRPr="00DD0CE5">
        <w:rPr>
          <w:rFonts w:cs="Arial"/>
        </w:rPr>
        <w:t xml:space="preserve"> </w:t>
      </w:r>
      <w:r w:rsidR="00620DFA">
        <w:rPr>
          <w:rFonts w:cs="Arial"/>
        </w:rPr>
        <w:t xml:space="preserve">their </w:t>
      </w:r>
      <w:r w:rsidR="00620DFA" w:rsidRPr="0026638B">
        <w:rPr>
          <w:rFonts w:cs="Arial"/>
          <w:b/>
          <w:bCs/>
        </w:rPr>
        <w:t>outreach in the EU remains fragmented</w:t>
      </w:r>
      <w:r w:rsidR="0060407D">
        <w:rPr>
          <w:rFonts w:cs="Arial"/>
        </w:rPr>
        <w:t xml:space="preserve">, </w:t>
      </w:r>
      <w:r w:rsidR="0060407D" w:rsidRPr="00DD0CE5">
        <w:rPr>
          <w:rFonts w:cs="Arial"/>
        </w:rPr>
        <w:t>with significant disparities in scope and resources</w:t>
      </w:r>
      <w:r w:rsidR="00282E68">
        <w:rPr>
          <w:rFonts w:cs="Arial"/>
        </w:rPr>
        <w:t>.</w:t>
      </w:r>
      <w:r w:rsidR="0060407D" w:rsidRPr="00DD0CE5">
        <w:rPr>
          <w:rFonts w:cs="Arial"/>
        </w:rPr>
        <w:t xml:space="preserve"> </w:t>
      </w:r>
      <w:r w:rsidR="00F463E7">
        <w:rPr>
          <w:rFonts w:cs="Arial"/>
        </w:rPr>
        <w:t>Biotechnology clusters</w:t>
      </w:r>
      <w:r w:rsidR="008215C1">
        <w:rPr>
          <w:rFonts w:cs="Arial"/>
        </w:rPr>
        <w:t xml:space="preserve"> </w:t>
      </w:r>
      <w:r w:rsidR="002047F2" w:rsidRPr="00DD0CE5">
        <w:rPr>
          <w:rFonts w:cs="Arial"/>
        </w:rPr>
        <w:t xml:space="preserve">foster collaboration across entities at different stages of the biotechnology value chain and across </w:t>
      </w:r>
      <w:r w:rsidR="00721C7B" w:rsidRPr="00DD0CE5">
        <w:rPr>
          <w:rFonts w:cs="Arial"/>
        </w:rPr>
        <w:t xml:space="preserve">biotech </w:t>
      </w:r>
      <w:r w:rsidR="002047F2" w:rsidRPr="00DD0CE5">
        <w:rPr>
          <w:rFonts w:cs="Arial"/>
        </w:rPr>
        <w:t>sectors</w:t>
      </w:r>
      <w:r w:rsidR="00B969AC">
        <w:rPr>
          <w:rFonts w:cs="Arial"/>
        </w:rPr>
        <w:t>. They</w:t>
      </w:r>
      <w:r w:rsidR="0076408C" w:rsidRPr="00DD0CE5">
        <w:rPr>
          <w:rFonts w:cs="Arial"/>
        </w:rPr>
        <w:t xml:space="preserve"> </w:t>
      </w:r>
      <w:r w:rsidR="007B0080" w:rsidRPr="00DD0CE5">
        <w:rPr>
          <w:rFonts w:cs="Arial"/>
        </w:rPr>
        <w:t xml:space="preserve">enable </w:t>
      </w:r>
      <w:r w:rsidR="00B36AB3" w:rsidRPr="00DD0CE5">
        <w:rPr>
          <w:rFonts w:cs="Arial"/>
        </w:rPr>
        <w:t xml:space="preserve">the transformation </w:t>
      </w:r>
      <w:r w:rsidR="00721C7B" w:rsidRPr="00DD0CE5">
        <w:rPr>
          <w:rFonts w:cs="Arial"/>
        </w:rPr>
        <w:t>and evolution</w:t>
      </w:r>
      <w:r w:rsidR="0060401D">
        <w:rPr>
          <w:rFonts w:cs="Arial"/>
        </w:rPr>
        <w:t xml:space="preserve"> of,</w:t>
      </w:r>
      <w:r w:rsidR="00721C7B" w:rsidRPr="00DD0CE5">
        <w:rPr>
          <w:rFonts w:cs="Arial"/>
        </w:rPr>
        <w:t xml:space="preserve"> </w:t>
      </w:r>
      <w:r w:rsidR="00D83FA4" w:rsidRPr="00DD0CE5">
        <w:rPr>
          <w:rFonts w:cs="Arial"/>
        </w:rPr>
        <w:t>for example</w:t>
      </w:r>
      <w:r w:rsidR="0060401D">
        <w:rPr>
          <w:rFonts w:cs="Arial"/>
        </w:rPr>
        <w:t>,</w:t>
      </w:r>
      <w:r w:rsidR="00D83FA4" w:rsidRPr="00DD0CE5" w:rsidDel="0060401D">
        <w:rPr>
          <w:rFonts w:cs="Arial"/>
        </w:rPr>
        <w:t xml:space="preserve"> </w:t>
      </w:r>
      <w:r w:rsidR="00D83FA4" w:rsidRPr="00DD0CE5">
        <w:rPr>
          <w:rFonts w:cs="Arial"/>
        </w:rPr>
        <w:t>university spin</w:t>
      </w:r>
      <w:r w:rsidR="16ED1D79" w:rsidRPr="00DD0CE5">
        <w:rPr>
          <w:rFonts w:cs="Arial"/>
        </w:rPr>
        <w:t>-</w:t>
      </w:r>
      <w:r w:rsidR="6553ADF1" w:rsidRPr="00DD0CE5">
        <w:rPr>
          <w:rFonts w:cs="Arial"/>
        </w:rPr>
        <w:t>off</w:t>
      </w:r>
      <w:r w:rsidR="0844E037" w:rsidRPr="00DD0CE5">
        <w:rPr>
          <w:rFonts w:cs="Arial"/>
        </w:rPr>
        <w:t>s</w:t>
      </w:r>
      <w:r w:rsidR="00D83FA4" w:rsidRPr="00DD0CE5">
        <w:rPr>
          <w:rFonts w:cs="Arial"/>
        </w:rPr>
        <w:t xml:space="preserve"> </w:t>
      </w:r>
      <w:r w:rsidR="00B36AB3" w:rsidRPr="00DD0CE5">
        <w:rPr>
          <w:rFonts w:cs="Arial"/>
        </w:rPr>
        <w:t xml:space="preserve">into </w:t>
      </w:r>
      <w:r w:rsidR="00BF26C1" w:rsidRPr="00DD0CE5">
        <w:rPr>
          <w:rFonts w:cs="Arial"/>
        </w:rPr>
        <w:t>c</w:t>
      </w:r>
      <w:r w:rsidR="00591887" w:rsidRPr="00DD0CE5">
        <w:rPr>
          <w:rFonts w:cs="Arial"/>
        </w:rPr>
        <w:t>ompanies ready for the commercialisation of their product</w:t>
      </w:r>
      <w:r w:rsidR="00B36AB3" w:rsidRPr="00DD0CE5">
        <w:rPr>
          <w:rStyle w:val="FootnoteReference"/>
          <w:rFonts w:cs="Arial"/>
        </w:rPr>
        <w:footnoteReference w:id="100"/>
      </w:r>
      <w:r w:rsidR="00EA16AF" w:rsidRPr="00DD0CE5">
        <w:rPr>
          <w:rFonts w:cs="Arial"/>
        </w:rPr>
        <w:t xml:space="preserve">. </w:t>
      </w:r>
      <w:r w:rsidR="0018192D" w:rsidRPr="001D4C3C">
        <w:rPr>
          <w:rFonts w:cs="Arial"/>
        </w:rPr>
        <w:t>While clusters</w:t>
      </w:r>
      <w:r w:rsidR="0018192D" w:rsidRPr="00C95477">
        <w:rPr>
          <w:rFonts w:cs="Arial"/>
        </w:rPr>
        <w:t xml:space="preserve"> compete for investment, talent and projects</w:t>
      </w:r>
      <w:r w:rsidR="0018192D" w:rsidRPr="001D4C3C">
        <w:rPr>
          <w:rFonts w:cs="Arial"/>
        </w:rPr>
        <w:t xml:space="preserve">, </w:t>
      </w:r>
      <w:r w:rsidR="6766748C" w:rsidRPr="001D4C3C">
        <w:rPr>
          <w:rFonts w:cs="Arial"/>
        </w:rPr>
        <w:t>there is substantial scope for</w:t>
      </w:r>
      <w:r w:rsidR="2EF04762" w:rsidRPr="001D4C3C">
        <w:rPr>
          <w:rFonts w:cs="Arial"/>
        </w:rPr>
        <w:t xml:space="preserve"> </w:t>
      </w:r>
      <w:r w:rsidR="2EF04762" w:rsidRPr="00C95477">
        <w:rPr>
          <w:rFonts w:cs="Arial"/>
        </w:rPr>
        <w:t>collaborat</w:t>
      </w:r>
      <w:r w:rsidR="5B5A8F60" w:rsidRPr="00C95477">
        <w:rPr>
          <w:rFonts w:cs="Arial"/>
        </w:rPr>
        <w:t>ion</w:t>
      </w:r>
      <w:r w:rsidR="2EF04762" w:rsidRPr="00C95477">
        <w:rPr>
          <w:rFonts w:cs="Arial"/>
        </w:rPr>
        <w:t xml:space="preserve">, </w:t>
      </w:r>
      <w:r w:rsidR="52C506DA" w:rsidRPr="00C95477">
        <w:rPr>
          <w:rFonts w:cs="Arial"/>
        </w:rPr>
        <w:t>exchange of</w:t>
      </w:r>
      <w:r w:rsidR="0018192D" w:rsidRPr="00C95477">
        <w:rPr>
          <w:rFonts w:cs="Arial"/>
        </w:rPr>
        <w:t xml:space="preserve"> best practices</w:t>
      </w:r>
      <w:r w:rsidR="138EEB62" w:rsidRPr="00C95477">
        <w:rPr>
          <w:rFonts w:cs="Arial"/>
        </w:rPr>
        <w:t xml:space="preserve"> allowing the realisation of scale effects that cannot be achieved at regional </w:t>
      </w:r>
      <w:r w:rsidR="00AE36F8" w:rsidRPr="00C95477">
        <w:rPr>
          <w:rFonts w:cs="Arial"/>
        </w:rPr>
        <w:t>level</w:t>
      </w:r>
      <w:r w:rsidR="2EF04762" w:rsidRPr="001D4C3C">
        <w:rPr>
          <w:rFonts w:cs="Arial"/>
        </w:rPr>
        <w:t>.</w:t>
      </w:r>
      <w:r w:rsidR="0018192D" w:rsidRPr="001D4C3C">
        <w:rPr>
          <w:rFonts w:cs="Arial"/>
        </w:rPr>
        <w:t xml:space="preserve"> </w:t>
      </w:r>
      <w:r w:rsidR="005A3727" w:rsidRPr="00DD0CE5">
        <w:rPr>
          <w:rFonts w:cs="Arial"/>
        </w:rPr>
        <w:t>The few clusters that have a</w:t>
      </w:r>
      <w:r w:rsidR="00EA16AF" w:rsidRPr="00DD0CE5">
        <w:rPr>
          <w:rFonts w:cs="Arial"/>
        </w:rPr>
        <w:t>n</w:t>
      </w:r>
      <w:r w:rsidR="005A3727" w:rsidRPr="00DD0CE5">
        <w:rPr>
          <w:rFonts w:cs="Arial"/>
        </w:rPr>
        <w:t xml:space="preserve"> EU-wide </w:t>
      </w:r>
      <w:r w:rsidR="00DE217C" w:rsidRPr="00DD0CE5">
        <w:rPr>
          <w:rFonts w:cs="Arial"/>
        </w:rPr>
        <w:t>relevance</w:t>
      </w:r>
      <w:r w:rsidR="005A3727" w:rsidRPr="00DD0CE5">
        <w:rPr>
          <w:rFonts w:cs="Arial"/>
        </w:rPr>
        <w:t xml:space="preserve"> provide networking and coordination support</w:t>
      </w:r>
      <w:r w:rsidR="729462D1" w:rsidRPr="00DD0CE5">
        <w:rPr>
          <w:rFonts w:cs="Arial"/>
        </w:rPr>
        <w:t xml:space="preserve">, yet </w:t>
      </w:r>
      <w:r w:rsidR="3A3DC9E7" w:rsidRPr="00DD0CE5">
        <w:rPr>
          <w:rFonts w:cs="Arial"/>
        </w:rPr>
        <w:t>the</w:t>
      </w:r>
      <w:r w:rsidR="00EA16AF" w:rsidRPr="00DD0CE5">
        <w:rPr>
          <w:rFonts w:cs="Arial"/>
        </w:rPr>
        <w:t xml:space="preserve"> </w:t>
      </w:r>
      <w:r w:rsidR="002579A6" w:rsidRPr="00DD0CE5">
        <w:rPr>
          <w:rFonts w:cs="Arial"/>
        </w:rPr>
        <w:t>landscape</w:t>
      </w:r>
      <w:r w:rsidR="4DFC706E" w:rsidRPr="00DD0CE5">
        <w:rPr>
          <w:rFonts w:cs="Arial"/>
        </w:rPr>
        <w:t xml:space="preserve"> </w:t>
      </w:r>
      <w:r w:rsidR="26BD7278" w:rsidRPr="00DD0CE5">
        <w:rPr>
          <w:rFonts w:cs="Arial"/>
        </w:rPr>
        <w:t>remains</w:t>
      </w:r>
      <w:r w:rsidR="002579A6" w:rsidRPr="00DD0CE5">
        <w:rPr>
          <w:rFonts w:cs="Arial"/>
        </w:rPr>
        <w:t xml:space="preserve"> fragmented</w:t>
      </w:r>
      <w:r w:rsidR="2BFBFBB3" w:rsidRPr="00DD0CE5">
        <w:rPr>
          <w:rFonts w:cs="Arial"/>
        </w:rPr>
        <w:t>, risking</w:t>
      </w:r>
      <w:r w:rsidR="002579A6" w:rsidRPr="00DD0CE5">
        <w:rPr>
          <w:rFonts w:cs="Arial"/>
        </w:rPr>
        <w:t xml:space="preserve"> </w:t>
      </w:r>
      <w:r w:rsidR="6FEF687B" w:rsidRPr="00DD0CE5">
        <w:rPr>
          <w:rFonts w:cs="Arial"/>
        </w:rPr>
        <w:t>duplicati</w:t>
      </w:r>
      <w:r w:rsidR="2898721A" w:rsidRPr="00DD0CE5">
        <w:rPr>
          <w:rFonts w:cs="Arial"/>
        </w:rPr>
        <w:t>on</w:t>
      </w:r>
      <w:r w:rsidR="005B3E85">
        <w:rPr>
          <w:rFonts w:cs="Arial"/>
        </w:rPr>
        <w:t xml:space="preserve"> </w:t>
      </w:r>
      <w:r w:rsidR="288A9CC6" w:rsidRPr="00DD0CE5">
        <w:rPr>
          <w:rFonts w:cs="Arial"/>
        </w:rPr>
        <w:t xml:space="preserve">of </w:t>
      </w:r>
      <w:r w:rsidR="00B7492B" w:rsidRPr="00DD0CE5">
        <w:rPr>
          <w:rFonts w:cs="Arial"/>
        </w:rPr>
        <w:t xml:space="preserve">efforts and </w:t>
      </w:r>
      <w:r w:rsidR="00B26E2B" w:rsidRPr="00DD0CE5">
        <w:rPr>
          <w:rFonts w:cs="Arial"/>
        </w:rPr>
        <w:t xml:space="preserve">limiting impacts. </w:t>
      </w:r>
      <w:r w:rsidR="00227616" w:rsidRPr="61513ED9" w:rsidDel="5BFB998D">
        <w:rPr>
          <w:rFonts w:cs="Arial"/>
        </w:rPr>
        <w:t>As a result</w:t>
      </w:r>
      <w:r w:rsidR="00EA16AF" w:rsidRPr="00DD0CE5">
        <w:rPr>
          <w:rFonts w:cs="Arial"/>
        </w:rPr>
        <w:t xml:space="preserve">, EU biotechnology </w:t>
      </w:r>
      <w:r w:rsidR="003D6264" w:rsidRPr="00DD0CE5">
        <w:rPr>
          <w:rFonts w:cs="Arial"/>
        </w:rPr>
        <w:t>clusters</w:t>
      </w:r>
      <w:r w:rsidR="00EA16AF" w:rsidRPr="00DD0CE5">
        <w:rPr>
          <w:rFonts w:cs="Arial"/>
        </w:rPr>
        <w:t xml:space="preserve"> </w:t>
      </w:r>
      <w:r w:rsidR="00EA1317" w:rsidRPr="00DD0CE5">
        <w:rPr>
          <w:rFonts w:cs="Arial"/>
        </w:rPr>
        <w:t xml:space="preserve">cannot </w:t>
      </w:r>
      <w:r w:rsidR="00992547" w:rsidRPr="00DD0CE5">
        <w:rPr>
          <w:rFonts w:cs="Arial"/>
        </w:rPr>
        <w:t>fully</w:t>
      </w:r>
      <w:r w:rsidR="0047774F">
        <w:rPr>
          <w:rFonts w:cs="Arial"/>
        </w:rPr>
        <w:t xml:space="preserve"> leverage their collective potential to</w:t>
      </w:r>
      <w:r w:rsidR="00992547" w:rsidRPr="00DD0CE5">
        <w:rPr>
          <w:rFonts w:cs="Arial"/>
        </w:rPr>
        <w:t xml:space="preserve"> </w:t>
      </w:r>
      <w:r w:rsidR="003D6264" w:rsidRPr="00DD0CE5">
        <w:rPr>
          <w:rFonts w:cs="Arial"/>
        </w:rPr>
        <w:t xml:space="preserve">compete with </w:t>
      </w:r>
      <w:r w:rsidR="00531E67" w:rsidRPr="00DD0CE5">
        <w:rPr>
          <w:rFonts w:cs="Arial"/>
        </w:rPr>
        <w:t xml:space="preserve">clusters in other </w:t>
      </w:r>
      <w:r w:rsidR="006F2CD6" w:rsidRPr="00DD0CE5">
        <w:rPr>
          <w:rFonts w:cs="Arial"/>
        </w:rPr>
        <w:t>regions</w:t>
      </w:r>
      <w:r w:rsidR="0686F0D6" w:rsidRPr="00DD0CE5">
        <w:rPr>
          <w:rFonts w:cs="Arial"/>
        </w:rPr>
        <w:t xml:space="preserve">, and the EU as a whole </w:t>
      </w:r>
      <w:r w:rsidR="30F94323" w:rsidRPr="00DD0CE5">
        <w:rPr>
          <w:rFonts w:cs="Arial"/>
        </w:rPr>
        <w:t>underperforms</w:t>
      </w:r>
      <w:r w:rsidR="0686F0D6" w:rsidRPr="00DD0CE5">
        <w:rPr>
          <w:rFonts w:cs="Arial"/>
        </w:rPr>
        <w:t xml:space="preserve"> in the field of biotechnology.</w:t>
      </w:r>
    </w:p>
    <w:p w14:paraId="287285B0" w14:textId="6AC03A10" w:rsidR="00FF539B" w:rsidRDefault="000275F7" w:rsidP="00A16F25">
      <w:pPr>
        <w:rPr>
          <w:lang w:val="en-IE"/>
        </w:rPr>
      </w:pPr>
      <w:r w:rsidRPr="00DD0CE5">
        <w:t>Respon</w:t>
      </w:r>
      <w:r w:rsidR="00071F6E">
        <w:t>dents</w:t>
      </w:r>
      <w:r w:rsidRPr="00DD0CE5">
        <w:t xml:space="preserve"> to the public consultation</w:t>
      </w:r>
      <w:r w:rsidR="006B3A6F">
        <w:rPr>
          <w:rStyle w:val="FootnoteReference"/>
        </w:rPr>
        <w:footnoteReference w:id="101"/>
      </w:r>
      <w:r w:rsidRPr="00DD0CE5">
        <w:t xml:space="preserve"> </w:t>
      </w:r>
      <w:r w:rsidR="00CF7BB0">
        <w:t>identified</w:t>
      </w:r>
      <w:r w:rsidR="00673C3B">
        <w:rPr>
          <w:b/>
          <w:bCs/>
        </w:rPr>
        <w:t xml:space="preserve"> </w:t>
      </w:r>
      <w:r w:rsidRPr="00DD0CE5">
        <w:rPr>
          <w:b/>
          <w:bCs/>
        </w:rPr>
        <w:t>five main barriers</w:t>
      </w:r>
      <w:r w:rsidRPr="00DD0CE5">
        <w:t xml:space="preserve"> </w:t>
      </w:r>
      <w:r w:rsidR="00B26E2B" w:rsidRPr="00DD0CE5">
        <w:t>to clusters</w:t>
      </w:r>
      <w:r w:rsidR="00673C3B">
        <w:t>:</w:t>
      </w:r>
      <w:r w:rsidRPr="00DD0CE5">
        <w:t xml:space="preserve"> </w:t>
      </w:r>
      <w:r w:rsidRPr="002B1531">
        <w:t>insufficient</w:t>
      </w:r>
      <w:r w:rsidRPr="00DD0CE5">
        <w:t xml:space="preserve"> </w:t>
      </w:r>
      <w:r w:rsidRPr="00DD0CE5">
        <w:rPr>
          <w:b/>
          <w:bCs/>
        </w:rPr>
        <w:t xml:space="preserve">financial support </w:t>
      </w:r>
      <w:r w:rsidRPr="00DD0CE5">
        <w:t>(58</w:t>
      </w:r>
      <w:r w:rsidR="00405618">
        <w:t>%</w:t>
      </w:r>
      <w:r w:rsidRPr="00DD0CE5">
        <w:t xml:space="preserve">), </w:t>
      </w:r>
      <w:r w:rsidRPr="009B1839">
        <w:rPr>
          <w:bCs/>
        </w:rPr>
        <w:t>insufficient</w:t>
      </w:r>
      <w:r w:rsidRPr="00DD0CE5">
        <w:t xml:space="preserve"> </w:t>
      </w:r>
      <w:r w:rsidRPr="00DD0CE5">
        <w:rPr>
          <w:b/>
          <w:bCs/>
        </w:rPr>
        <w:t xml:space="preserve">public support </w:t>
      </w:r>
      <w:r w:rsidRPr="00DD0CE5">
        <w:t>(54</w:t>
      </w:r>
      <w:r w:rsidR="00405618">
        <w:t>%</w:t>
      </w:r>
      <w:r w:rsidRPr="00DD0CE5">
        <w:t xml:space="preserve">), </w:t>
      </w:r>
      <w:r w:rsidRPr="00DD0CE5">
        <w:rPr>
          <w:b/>
          <w:bCs/>
        </w:rPr>
        <w:t xml:space="preserve">incapacity to reach a critical mass </w:t>
      </w:r>
      <w:r w:rsidRPr="00297E1F">
        <w:rPr>
          <w:b/>
        </w:rPr>
        <w:t>of stakeholders</w:t>
      </w:r>
      <w:r w:rsidRPr="00DD0CE5">
        <w:t xml:space="preserve"> (46</w:t>
      </w:r>
      <w:r w:rsidR="00405618">
        <w:t>%</w:t>
      </w:r>
      <w:r w:rsidRPr="00DD0CE5">
        <w:t xml:space="preserve">), </w:t>
      </w:r>
      <w:r w:rsidRPr="009B1839">
        <w:rPr>
          <w:bCs/>
        </w:rPr>
        <w:t>insufficient</w:t>
      </w:r>
      <w:r w:rsidRPr="00297E1F">
        <w:rPr>
          <w:b/>
        </w:rPr>
        <w:t xml:space="preserve"> </w:t>
      </w:r>
      <w:r w:rsidRPr="00DD0CE5">
        <w:rPr>
          <w:b/>
          <w:bCs/>
        </w:rPr>
        <w:t>collaboration</w:t>
      </w:r>
      <w:r w:rsidRPr="00297E1F">
        <w:rPr>
          <w:b/>
        </w:rPr>
        <w:t xml:space="preserve"> among existing clusters</w:t>
      </w:r>
      <w:r w:rsidRPr="00DD0CE5">
        <w:t xml:space="preserve"> (46</w:t>
      </w:r>
      <w:r w:rsidR="00405618">
        <w:t>%</w:t>
      </w:r>
      <w:r w:rsidRPr="00DD0CE5">
        <w:t xml:space="preserve">) and insufficient </w:t>
      </w:r>
      <w:r w:rsidRPr="00DD0CE5">
        <w:rPr>
          <w:b/>
          <w:bCs/>
        </w:rPr>
        <w:t>start-up incubators or business support infrastructure</w:t>
      </w:r>
      <w:r w:rsidRPr="00DD0CE5">
        <w:t xml:space="preserve"> (45</w:t>
      </w:r>
      <w:r w:rsidR="00405618">
        <w:t>%</w:t>
      </w:r>
      <w:r w:rsidRPr="00DD0CE5">
        <w:t>).</w:t>
      </w:r>
      <w:r w:rsidR="00B01618" w:rsidRPr="00DD0CE5">
        <w:t xml:space="preserve"> </w:t>
      </w:r>
      <w:r w:rsidR="00874EEB" w:rsidRPr="00DD0CE5">
        <w:rPr>
          <w:rFonts w:cs="Arial"/>
        </w:rPr>
        <w:t>Other barriers were identified</w:t>
      </w:r>
      <w:r w:rsidR="00B043D3" w:rsidRPr="00DD0CE5">
        <w:rPr>
          <w:rFonts w:cs="Arial"/>
        </w:rPr>
        <w:t xml:space="preserve">, </w:t>
      </w:r>
      <w:r w:rsidR="004222DA" w:rsidRPr="00DD0CE5">
        <w:rPr>
          <w:rFonts w:cs="Arial"/>
        </w:rPr>
        <w:t>with representative</w:t>
      </w:r>
      <w:r w:rsidR="00E32547">
        <w:rPr>
          <w:rFonts w:cs="Arial"/>
        </w:rPr>
        <w:t>s</w:t>
      </w:r>
      <w:r w:rsidR="004222DA" w:rsidRPr="00DD0CE5">
        <w:rPr>
          <w:rFonts w:cs="Arial"/>
        </w:rPr>
        <w:t xml:space="preserve"> of companies pointing </w:t>
      </w:r>
      <w:r w:rsidR="0056781F">
        <w:rPr>
          <w:rFonts w:cs="Arial"/>
        </w:rPr>
        <w:t xml:space="preserve">to </w:t>
      </w:r>
      <w:r w:rsidR="00FA1426" w:rsidRPr="00DD0CE5">
        <w:rPr>
          <w:rFonts w:cs="Arial"/>
        </w:rPr>
        <w:t xml:space="preserve">the </w:t>
      </w:r>
      <w:r w:rsidR="00FA1426" w:rsidRPr="00F857FA">
        <w:rPr>
          <w:rFonts w:cs="Arial"/>
        </w:rPr>
        <w:t xml:space="preserve">limited involvement of end-users </w:t>
      </w:r>
      <w:r w:rsidR="00874EEB" w:rsidRPr="00F857FA">
        <w:rPr>
          <w:rFonts w:cs="Arial"/>
        </w:rPr>
        <w:t>(</w:t>
      </w:r>
      <w:r w:rsidR="00FA1426" w:rsidRPr="00F857FA">
        <w:rPr>
          <w:rFonts w:cs="Arial"/>
        </w:rPr>
        <w:t>patients</w:t>
      </w:r>
      <w:r w:rsidR="00874EEB" w:rsidRPr="00F857FA">
        <w:rPr>
          <w:rFonts w:cs="Arial"/>
        </w:rPr>
        <w:t>,</w:t>
      </w:r>
      <w:r w:rsidR="00FA1426" w:rsidRPr="00F857FA">
        <w:rPr>
          <w:rFonts w:cs="Arial"/>
        </w:rPr>
        <w:t xml:space="preserve"> healthcare providers</w:t>
      </w:r>
      <w:r w:rsidR="00874EEB" w:rsidRPr="00F857FA">
        <w:rPr>
          <w:rFonts w:cs="Arial"/>
        </w:rPr>
        <w:t>)</w:t>
      </w:r>
      <w:r w:rsidR="00B01618" w:rsidRPr="00F857FA">
        <w:rPr>
          <w:rFonts w:cs="Arial"/>
        </w:rPr>
        <w:t xml:space="preserve"> and</w:t>
      </w:r>
      <w:r w:rsidR="004222DA" w:rsidRPr="00F857FA">
        <w:rPr>
          <w:rFonts w:cs="Arial"/>
        </w:rPr>
        <w:t xml:space="preserve"> public authorities </w:t>
      </w:r>
      <w:r w:rsidR="00B01618" w:rsidRPr="00F857FA">
        <w:rPr>
          <w:rFonts w:cs="Arial"/>
        </w:rPr>
        <w:t xml:space="preserve">underlining the insufficient support for </w:t>
      </w:r>
      <w:r w:rsidR="004645C4" w:rsidRPr="00F857FA">
        <w:t>product development</w:t>
      </w:r>
      <w:r w:rsidR="00B01618" w:rsidRPr="00F857FA">
        <w:t>.</w:t>
      </w:r>
      <w:r w:rsidR="00AB6EDD" w:rsidRPr="00F857FA">
        <w:t xml:space="preserve"> </w:t>
      </w:r>
      <w:r w:rsidR="0E1F92E8" w:rsidRPr="00F857FA">
        <w:t>I</w:t>
      </w:r>
      <w:r w:rsidR="48B721CA" w:rsidRPr="00F857FA">
        <w:t>n</w:t>
      </w:r>
      <w:r w:rsidR="00B01618" w:rsidRPr="00F857FA">
        <w:t xml:space="preserve"> the area of ATMPs</w:t>
      </w:r>
      <w:r w:rsidR="41AEAE90" w:rsidRPr="00F857FA">
        <w:t xml:space="preserve">, </w:t>
      </w:r>
      <w:r w:rsidR="00B01618" w:rsidRPr="00F857FA">
        <w:t>t</w:t>
      </w:r>
      <w:r w:rsidR="00B01618" w:rsidRPr="00F857FA" w:rsidDel="00952AE3">
        <w:t xml:space="preserve">he </w:t>
      </w:r>
      <w:r w:rsidR="4705606D" w:rsidRPr="00F857FA">
        <w:t>lack</w:t>
      </w:r>
      <w:r w:rsidR="00B01618" w:rsidRPr="00F857FA" w:rsidDel="00952AE3">
        <w:t xml:space="preserve"> of </w:t>
      </w:r>
      <w:r w:rsidR="06AD9EE3" w:rsidRPr="00F857FA">
        <w:t>innovation</w:t>
      </w:r>
      <w:r w:rsidR="00B01618" w:rsidRPr="00F857FA" w:rsidDel="00952AE3">
        <w:t xml:space="preserve"> hubs that combine emerging ATMP specialisation with infrastructure </w:t>
      </w:r>
      <w:r w:rsidR="00230F2E" w:rsidRPr="00F857FA">
        <w:t xml:space="preserve">capabilities, regulatory expertise and </w:t>
      </w:r>
      <w:r w:rsidR="00B01618" w:rsidRPr="00F857FA" w:rsidDel="00952AE3">
        <w:t>collaboration among</w:t>
      </w:r>
      <w:r w:rsidR="00B01618" w:rsidRPr="00F533A5" w:rsidDel="00952AE3">
        <w:t xml:space="preserve"> clinical</w:t>
      </w:r>
      <w:r w:rsidR="00230F2E" w:rsidRPr="00F533A5">
        <w:t xml:space="preserve"> centres</w:t>
      </w:r>
      <w:r w:rsidR="00B01618" w:rsidRPr="00F533A5" w:rsidDel="00952AE3">
        <w:t>, research</w:t>
      </w:r>
      <w:r w:rsidR="00230F2E" w:rsidRPr="00F533A5">
        <w:t xml:space="preserve"> bodies</w:t>
      </w:r>
      <w:r w:rsidR="00B01618" w:rsidRPr="00F533A5" w:rsidDel="00952AE3">
        <w:t>, industrial participants</w:t>
      </w:r>
      <w:r w:rsidR="00230F2E" w:rsidRPr="00F533A5">
        <w:t xml:space="preserve"> and commercialisation services</w:t>
      </w:r>
      <w:r w:rsidR="00126D70">
        <w:t>,</w:t>
      </w:r>
      <w:r w:rsidR="00B01618" w:rsidRPr="00F533A5" w:rsidDel="00952AE3">
        <w:t xml:space="preserve"> obstructs development</w:t>
      </w:r>
      <w:r w:rsidR="00230F2E" w:rsidRPr="00F533A5">
        <w:t xml:space="preserve"> </w:t>
      </w:r>
      <w:r w:rsidR="00390D6B" w:rsidRPr="00F533A5">
        <w:t>in the EU</w:t>
      </w:r>
      <w:r w:rsidR="00B01618" w:rsidRPr="00F533A5">
        <w:t>.</w:t>
      </w:r>
    </w:p>
    <w:p w14:paraId="2734017B" w14:textId="60FADAC1" w:rsidR="00ED14D3" w:rsidRPr="00DD0CE5" w:rsidRDefault="006B3737" w:rsidP="001A597F">
      <w:pPr>
        <w:rPr>
          <w:rFonts w:eastAsia="Calibri"/>
        </w:rPr>
      </w:pPr>
      <w:r>
        <w:rPr>
          <w:lang w:val="en-IE"/>
        </w:rPr>
        <w:t>Third</w:t>
      </w:r>
      <w:r w:rsidR="00FF539B">
        <w:rPr>
          <w:lang w:val="en-IE"/>
        </w:rPr>
        <w:t>,</w:t>
      </w:r>
      <w:r w:rsidR="00392E0C">
        <w:rPr>
          <w:lang w:val="en-IE"/>
        </w:rPr>
        <w:t xml:space="preserve"> </w:t>
      </w:r>
      <w:r w:rsidR="001A597F" w:rsidRPr="00DD0CE5">
        <w:t xml:space="preserve">productivity gains, acceleration of innovation and efficiency improvements associated with the </w:t>
      </w:r>
      <w:r w:rsidR="001A597F" w:rsidRPr="0026638B">
        <w:rPr>
          <w:b/>
          <w:bCs/>
        </w:rPr>
        <w:t xml:space="preserve">use of AI and big data remain below their potential in the </w:t>
      </w:r>
      <w:r w:rsidR="00073476" w:rsidRPr="0026638B">
        <w:rPr>
          <w:b/>
          <w:bCs/>
        </w:rPr>
        <w:t>EU’s</w:t>
      </w:r>
      <w:r w:rsidR="001A597F" w:rsidRPr="0026638B">
        <w:rPr>
          <w:b/>
          <w:bCs/>
        </w:rPr>
        <w:t xml:space="preserve"> biotechnology ecosystem</w:t>
      </w:r>
      <w:r w:rsidR="00A4301A">
        <w:rPr>
          <w:rStyle w:val="FootnoteReference"/>
        </w:rPr>
        <w:footnoteReference w:id="102"/>
      </w:r>
      <w:r w:rsidR="001A597F" w:rsidRPr="00DD0CE5">
        <w:t>.</w:t>
      </w:r>
      <w:r w:rsidR="001A597F">
        <w:t xml:space="preserve"> F</w:t>
      </w:r>
      <w:r w:rsidR="00017B71" w:rsidRPr="00DD0CE5">
        <w:t>ragmented, heterogeneous, and high-dimensional data</w:t>
      </w:r>
      <w:r w:rsidR="001A597F">
        <w:t xml:space="preserve"> is one of the challenges, as</w:t>
      </w:r>
      <w:r w:rsidR="00017B71" w:rsidRPr="75149255">
        <w:rPr>
          <w:rFonts w:eastAsia="Calibri"/>
        </w:rPr>
        <w:t xml:space="preserve"> datasets generated in healthcare or research contexts are often not readily usable for the training, testing and validation of AI systems without significant curation and standardisation efforts</w:t>
      </w:r>
      <w:r w:rsidR="00FD4CEE">
        <w:rPr>
          <w:rFonts w:eastAsia="Calibri"/>
        </w:rPr>
        <w:t xml:space="preserve">. </w:t>
      </w:r>
      <w:r w:rsidR="00FD4CEE" w:rsidRPr="271FBED8">
        <w:rPr>
          <w:rFonts w:eastAsia="Calibri"/>
        </w:rPr>
        <w:t xml:space="preserve">For health data, ongoing </w:t>
      </w:r>
      <w:r w:rsidR="00833954">
        <w:rPr>
          <w:rFonts w:eastAsia="Calibri"/>
        </w:rPr>
        <w:t>EU</w:t>
      </w:r>
      <w:r w:rsidR="00FD4CEE" w:rsidRPr="271FBED8">
        <w:rPr>
          <w:rFonts w:eastAsia="Calibri"/>
        </w:rPr>
        <w:t xml:space="preserve"> initiatives</w:t>
      </w:r>
      <w:r w:rsidR="00833954">
        <w:rPr>
          <w:rFonts w:eastAsia="Calibri"/>
        </w:rPr>
        <w:t>,</w:t>
      </w:r>
      <w:r w:rsidR="00FD4CEE" w:rsidRPr="271FBED8">
        <w:rPr>
          <w:rFonts w:eastAsia="Calibri"/>
        </w:rPr>
        <w:t xml:space="preserve"> such as the European Health Data Space</w:t>
      </w:r>
      <w:r w:rsidR="00833954">
        <w:rPr>
          <w:rFonts w:eastAsia="Calibri"/>
        </w:rPr>
        <w:t>,</w:t>
      </w:r>
      <w:r w:rsidR="00FD4CEE" w:rsidRPr="271FBED8">
        <w:rPr>
          <w:rFonts w:eastAsia="Calibri"/>
        </w:rPr>
        <w:t xml:space="preserve"> are expected </w:t>
      </w:r>
      <w:r w:rsidR="00795E0A" w:rsidRPr="271FBED8">
        <w:rPr>
          <w:rFonts w:eastAsia="Calibri"/>
        </w:rPr>
        <w:t>in the coming years</w:t>
      </w:r>
      <w:r w:rsidR="00FD4CEE" w:rsidRPr="271FBED8">
        <w:rPr>
          <w:rFonts w:eastAsia="Calibri"/>
        </w:rPr>
        <w:t xml:space="preserve"> to facilitate access and cross-border use; </w:t>
      </w:r>
      <w:r w:rsidR="00FD4CEE" w:rsidRPr="5BC4C099">
        <w:rPr>
          <w:rFonts w:eastAsia="Calibri"/>
        </w:rPr>
        <w:t>at the same time</w:t>
      </w:r>
      <w:r w:rsidR="00FD4CEE" w:rsidRPr="271FBED8">
        <w:rPr>
          <w:rFonts w:eastAsia="Calibri"/>
        </w:rPr>
        <w:t xml:space="preserve"> ensuring that such data are sufficiently curated, annotated and interoperable to support AI development remains a key challenge.</w:t>
      </w:r>
      <w:r w:rsidR="00017B71" w:rsidRPr="75149255">
        <w:rPr>
          <w:rFonts w:eastAsia="Calibri"/>
        </w:rPr>
        <w:t xml:space="preserve"> </w:t>
      </w:r>
      <w:r w:rsidR="081B82BE">
        <w:t xml:space="preserve">Data </w:t>
      </w:r>
      <w:r w:rsidR="777B5A41">
        <w:t>access</w:t>
      </w:r>
      <w:r w:rsidR="00ED14D3" w:rsidRPr="00DD0CE5">
        <w:t xml:space="preserve"> challenges affect non-health data relevant to biotech, such as </w:t>
      </w:r>
      <w:r w:rsidR="00783031" w:rsidRPr="00783031">
        <w:t xml:space="preserve">datasets on </w:t>
      </w:r>
      <w:r w:rsidR="00ED14D3" w:rsidRPr="00DD0CE5">
        <w:t>chemical reactions</w:t>
      </w:r>
      <w:r w:rsidR="00783031" w:rsidRPr="00783031">
        <w:t xml:space="preserve"> used in drug discovery and biomanufacturing processes</w:t>
      </w:r>
      <w:r w:rsidR="00B33038">
        <w:rPr>
          <w:rStyle w:val="FootnoteReference"/>
        </w:rPr>
        <w:footnoteReference w:id="103"/>
      </w:r>
      <w:r w:rsidR="00783031" w:rsidRPr="00783031">
        <w:t>.</w:t>
      </w:r>
      <w:r w:rsidR="00ED14D3" w:rsidRPr="00DD0CE5">
        <w:t xml:space="preserve"> Public consultation</w:t>
      </w:r>
      <w:r w:rsidR="000C1A11">
        <w:rPr>
          <w:rStyle w:val="FootnoteReference"/>
        </w:rPr>
        <w:footnoteReference w:id="104"/>
      </w:r>
      <w:r w:rsidR="00ED14D3" w:rsidRPr="00DD0CE5">
        <w:t xml:space="preserve"> results confirm these challenges. Companies, business associations and academic or research institutions report the highest levels of difficulty. Around two-thirds of companies and research institutions rely on data sourced from outside the EU/EEA, primarily due to higher reliability and quality of available datasets, as well as clearer legal frameworks for data access and lower perceived access costs.</w:t>
      </w:r>
      <w:r w:rsidR="00ED14D3" w:rsidRPr="1F3BE62B">
        <w:rPr>
          <w:rFonts w:eastAsia="Calibri"/>
        </w:rPr>
        <w:t xml:space="preserve"> This suggests that improving the quality, usability and interoperability of datasets available within the </w:t>
      </w:r>
      <w:r w:rsidR="00473E30">
        <w:rPr>
          <w:rFonts w:eastAsia="Calibri"/>
        </w:rPr>
        <w:t>EU</w:t>
      </w:r>
      <w:r w:rsidR="00ED14D3" w:rsidRPr="1F3BE62B">
        <w:rPr>
          <w:rFonts w:eastAsia="Calibri"/>
        </w:rPr>
        <w:t xml:space="preserve"> could significantly strengthen the competitiveness of the European biotechnology ecosystem.</w:t>
      </w:r>
    </w:p>
    <w:p w14:paraId="556E97FE" w14:textId="2AD9596F" w:rsidR="009E7085" w:rsidRPr="00DD0CE5" w:rsidRDefault="006B3737" w:rsidP="00A16F25">
      <w:pPr>
        <w:rPr>
          <w:lang w:val="en-IE"/>
        </w:rPr>
      </w:pPr>
      <w:r>
        <w:rPr>
          <w:lang w:val="en-IE"/>
        </w:rPr>
        <w:t>Fourth</w:t>
      </w:r>
      <w:r w:rsidR="00392E0C">
        <w:rPr>
          <w:lang w:val="en-IE"/>
        </w:rPr>
        <w:t>,</w:t>
      </w:r>
      <w:r w:rsidR="00FF539B">
        <w:rPr>
          <w:lang w:val="en-IE"/>
        </w:rPr>
        <w:t xml:space="preserve"> </w:t>
      </w:r>
      <w:r w:rsidR="00147AEB">
        <w:rPr>
          <w:lang w:val="en-IE"/>
        </w:rPr>
        <w:t>the</w:t>
      </w:r>
      <w:r w:rsidR="00FF539B">
        <w:rPr>
          <w:lang w:val="en-IE"/>
        </w:rPr>
        <w:t xml:space="preserve"> </w:t>
      </w:r>
      <w:r w:rsidR="5F0129B8" w:rsidRPr="00DD0CE5">
        <w:rPr>
          <w:lang w:val="en-IE"/>
        </w:rPr>
        <w:t>E</w:t>
      </w:r>
      <w:r w:rsidR="002F21AB">
        <w:rPr>
          <w:lang w:val="en-IE"/>
        </w:rPr>
        <w:t>U</w:t>
      </w:r>
      <w:r w:rsidR="5F0129B8" w:rsidRPr="00DD0CE5">
        <w:rPr>
          <w:lang w:val="en-IE"/>
        </w:rPr>
        <w:t xml:space="preserve">’s ambition to scale and industrialise biotechnology </w:t>
      </w:r>
      <w:r w:rsidR="003F3D83" w:rsidRPr="00DD0CE5">
        <w:rPr>
          <w:lang w:val="en-IE"/>
        </w:rPr>
        <w:t>also</w:t>
      </w:r>
      <w:r w:rsidR="5F0129B8" w:rsidRPr="00DD0CE5">
        <w:rPr>
          <w:lang w:val="en-IE"/>
        </w:rPr>
        <w:t xml:space="preserve"> depends on the </w:t>
      </w:r>
      <w:r w:rsidR="5F0129B8" w:rsidRPr="00297E1F">
        <w:rPr>
          <w:b/>
          <w:lang w:val="en-IE"/>
        </w:rPr>
        <w:t>availability of specialised talent</w:t>
      </w:r>
      <w:r w:rsidR="5F0129B8" w:rsidRPr="00DD0CE5">
        <w:rPr>
          <w:lang w:val="en-IE"/>
        </w:rPr>
        <w:t xml:space="preserve">. While the EU maintains a strong scientific base, stakeholder evidence points to persistent gaps in the workforce segments critical for scale-up and deployment. </w:t>
      </w:r>
    </w:p>
    <w:p w14:paraId="31D88AE3" w14:textId="05988A48" w:rsidR="000275F7" w:rsidRPr="00DD0CE5" w:rsidRDefault="00BC6769" w:rsidP="00A16F25">
      <w:r w:rsidRPr="00DD0CE5">
        <w:rPr>
          <w:lang w:val="en-IE"/>
        </w:rPr>
        <w:t>In the EU</w:t>
      </w:r>
      <w:r w:rsidR="003513D4">
        <w:rPr>
          <w:lang w:val="en-IE"/>
        </w:rPr>
        <w:t>’s</w:t>
      </w:r>
      <w:r w:rsidRPr="00DD0CE5">
        <w:rPr>
          <w:lang w:val="en-IE"/>
        </w:rPr>
        <w:t xml:space="preserve"> biotechnology sector, </w:t>
      </w:r>
      <w:r w:rsidR="00FE2D0C" w:rsidRPr="00DD0CE5">
        <w:rPr>
          <w:lang w:val="en-IE"/>
        </w:rPr>
        <w:t>stakeholders</w:t>
      </w:r>
      <w:r w:rsidR="008668FB" w:rsidRPr="00DD0CE5">
        <w:t xml:space="preserve"> </w:t>
      </w:r>
      <w:r w:rsidR="00D272CD" w:rsidRPr="00DD0CE5">
        <w:rPr>
          <w:lang w:val="en-IE"/>
        </w:rPr>
        <w:t xml:space="preserve">have identified </w:t>
      </w:r>
      <w:r w:rsidR="00D272CD" w:rsidRPr="00DD0CE5">
        <w:rPr>
          <w:b/>
          <w:bCs/>
          <w:lang w:val="en-IE"/>
        </w:rPr>
        <w:t>gaps in the workforce segments</w:t>
      </w:r>
      <w:r w:rsidR="00D272CD" w:rsidRPr="00DD0CE5">
        <w:rPr>
          <w:lang w:val="en-IE"/>
        </w:rPr>
        <w:t xml:space="preserve"> needed for </w:t>
      </w:r>
      <w:r w:rsidR="0023525C" w:rsidRPr="00DD0CE5">
        <w:t>scale-up</w:t>
      </w:r>
      <w:r w:rsidR="0056794E" w:rsidRPr="00DD0CE5">
        <w:t xml:space="preserve">, progression to commercial scale </w:t>
      </w:r>
      <w:r w:rsidR="0023525C" w:rsidRPr="00DD0CE5">
        <w:t>and manufacturing</w:t>
      </w:r>
      <w:r w:rsidRPr="00DD0CE5">
        <w:rPr>
          <w:rStyle w:val="FootnoteReference"/>
        </w:rPr>
        <w:footnoteReference w:id="105"/>
      </w:r>
      <w:r w:rsidRPr="00DD0CE5">
        <w:rPr>
          <w:lang w:val="en-IE"/>
        </w:rPr>
        <w:t xml:space="preserve">. </w:t>
      </w:r>
      <w:r w:rsidR="008668FB" w:rsidRPr="00DD0CE5">
        <w:t>T</w:t>
      </w:r>
      <w:r w:rsidR="00EF6739" w:rsidRPr="00DD0CE5">
        <w:t>here</w:t>
      </w:r>
      <w:r w:rsidR="00D45FC7" w:rsidRPr="00DD0CE5">
        <w:t xml:space="preserve"> </w:t>
      </w:r>
      <w:r w:rsidR="00CC1B0C" w:rsidRPr="00DD0CE5">
        <w:t>is a</w:t>
      </w:r>
      <w:r w:rsidR="00D45FC7" w:rsidRPr="00DD0CE5">
        <w:t xml:space="preserve"> </w:t>
      </w:r>
      <w:r w:rsidR="00806304" w:rsidRPr="00DD0CE5">
        <w:t>significant shortage</w:t>
      </w:r>
      <w:r w:rsidR="00D45FC7" w:rsidRPr="00DD0CE5">
        <w:t xml:space="preserve"> </w:t>
      </w:r>
      <w:r w:rsidR="00806304" w:rsidRPr="00DD0CE5">
        <w:t xml:space="preserve">in the total number of </w:t>
      </w:r>
      <w:r w:rsidR="00806304" w:rsidRPr="00DD0CE5">
        <w:rPr>
          <w:b/>
          <w:bCs/>
        </w:rPr>
        <w:t xml:space="preserve">higher education and </w:t>
      </w:r>
      <w:r w:rsidR="003F1626">
        <w:rPr>
          <w:b/>
          <w:bCs/>
        </w:rPr>
        <w:t>vocation</w:t>
      </w:r>
      <w:r w:rsidR="00EF6458">
        <w:rPr>
          <w:b/>
          <w:bCs/>
        </w:rPr>
        <w:t>al</w:t>
      </w:r>
      <w:r w:rsidR="003F1626">
        <w:rPr>
          <w:b/>
          <w:bCs/>
        </w:rPr>
        <w:t xml:space="preserve"> education </w:t>
      </w:r>
      <w:r w:rsidR="00EF6458">
        <w:rPr>
          <w:b/>
          <w:bCs/>
        </w:rPr>
        <w:t>and training</w:t>
      </w:r>
      <w:r w:rsidR="00806304" w:rsidRPr="00DD0CE5">
        <w:rPr>
          <w:b/>
          <w:bCs/>
        </w:rPr>
        <w:t xml:space="preserve"> graduates entering the biotechnology</w:t>
      </w:r>
      <w:r w:rsidR="00286D89">
        <w:rPr>
          <w:b/>
          <w:bCs/>
        </w:rPr>
        <w:t xml:space="preserve"> sector</w:t>
      </w:r>
      <w:r w:rsidR="00CC1B0C" w:rsidRPr="00DD0CE5">
        <w:rPr>
          <w:rStyle w:val="FootnoteReference"/>
        </w:rPr>
        <w:footnoteReference w:id="106"/>
      </w:r>
      <w:r w:rsidR="0044515F" w:rsidRPr="00DD0CE5">
        <w:t>, with shortages particularly observed</w:t>
      </w:r>
      <w:r w:rsidR="008668FB" w:rsidRPr="00DD0CE5">
        <w:t xml:space="preserve"> </w:t>
      </w:r>
      <w:r w:rsidR="009E7085" w:rsidRPr="00DD0CE5">
        <w:t xml:space="preserve">in the following competences: biomanufacturing and bioprocessing, regulatory and compliance (e.g. ATMPs and pharmacovigilance), </w:t>
      </w:r>
      <w:r w:rsidR="00B23E31">
        <w:t xml:space="preserve">and </w:t>
      </w:r>
      <w:r w:rsidR="009E7085" w:rsidRPr="00DD0CE5">
        <w:t>digital</w:t>
      </w:r>
      <w:r w:rsidR="00B23E31">
        <w:t xml:space="preserve"> skills</w:t>
      </w:r>
      <w:r w:rsidR="006D5178" w:rsidRPr="00DD0CE5">
        <w:rPr>
          <w:rStyle w:val="FootnoteReference"/>
        </w:rPr>
        <w:footnoteReference w:id="107"/>
      </w:r>
      <w:r w:rsidR="009E7085" w:rsidRPr="00DD0CE5">
        <w:t xml:space="preserve"> (e.g. bioinformatics, AI-enabled processes</w:t>
      </w:r>
      <w:r w:rsidR="0044515F" w:rsidRPr="00DD0CE5">
        <w:t xml:space="preserve">, </w:t>
      </w:r>
      <w:r w:rsidR="009E7085" w:rsidRPr="00DD0CE5">
        <w:t>data governance).</w:t>
      </w:r>
      <w:r w:rsidR="00011537" w:rsidRPr="00DD0CE5">
        <w:t xml:space="preserve"> Furthermore, </w:t>
      </w:r>
      <w:r w:rsidR="0034127F" w:rsidRPr="00DD0CE5">
        <w:rPr>
          <w:rFonts w:cs="Arial"/>
        </w:rPr>
        <w:t>for some profiles, stakeholder consultations indicated that</w:t>
      </w:r>
      <w:r w:rsidR="00011537" w:rsidRPr="00DD0CE5">
        <w:rPr>
          <w:rFonts w:cs="Arial"/>
        </w:rPr>
        <w:t xml:space="preserve"> technical skills </w:t>
      </w:r>
      <w:r w:rsidR="0034127F" w:rsidRPr="00DD0CE5">
        <w:rPr>
          <w:rFonts w:cs="Arial"/>
        </w:rPr>
        <w:t>would need to be</w:t>
      </w:r>
      <w:r w:rsidR="00011537" w:rsidRPr="00DD0CE5">
        <w:rPr>
          <w:rFonts w:cs="Arial"/>
        </w:rPr>
        <w:t xml:space="preserve"> complemented by additional competencies</w:t>
      </w:r>
      <w:r w:rsidR="00011537" w:rsidRPr="00DD0CE5">
        <w:rPr>
          <w:rStyle w:val="FootnoteReference"/>
          <w:rFonts w:cs="Arial"/>
        </w:rPr>
        <w:footnoteReference w:id="108"/>
      </w:r>
      <w:r w:rsidR="0034127F" w:rsidRPr="00DD0CE5">
        <w:rPr>
          <w:rFonts w:cs="Arial"/>
        </w:rPr>
        <w:t>.</w:t>
      </w:r>
      <w:r w:rsidR="0071101D">
        <w:rPr>
          <w:rFonts w:cs="Arial"/>
        </w:rPr>
        <w:t xml:space="preserve"> </w:t>
      </w:r>
      <w:r w:rsidR="00C5078C">
        <w:rPr>
          <w:rFonts w:cs="Arial"/>
        </w:rPr>
        <w:t>This challenge can be explained by several factors</w:t>
      </w:r>
      <w:r w:rsidR="00EB31C6">
        <w:rPr>
          <w:rStyle w:val="FootnoteReference"/>
          <w:rFonts w:cs="Arial"/>
        </w:rPr>
        <w:footnoteReference w:id="109"/>
      </w:r>
      <w:r w:rsidR="00C5078C">
        <w:rPr>
          <w:rFonts w:cs="Arial"/>
        </w:rPr>
        <w:t>, such as</w:t>
      </w:r>
      <w:r w:rsidR="00C861A4" w:rsidRPr="00C861A4">
        <w:rPr>
          <w:rFonts w:eastAsia="Aptos"/>
        </w:rPr>
        <w:t xml:space="preserve"> </w:t>
      </w:r>
      <w:r w:rsidR="00C861A4" w:rsidRPr="00485446">
        <w:rPr>
          <w:rFonts w:eastAsia="Aptos"/>
        </w:rPr>
        <w:t>constrained hands-on training capacity due to the scarcity and high cost of speciali</w:t>
      </w:r>
      <w:r w:rsidR="00E77692">
        <w:rPr>
          <w:rFonts w:eastAsia="Aptos"/>
        </w:rPr>
        <w:t>s</w:t>
      </w:r>
      <w:r w:rsidR="00C861A4" w:rsidRPr="00485446">
        <w:rPr>
          <w:rFonts w:eastAsia="Aptos"/>
        </w:rPr>
        <w:t>ed facilities</w:t>
      </w:r>
      <w:r w:rsidR="00C861A4">
        <w:rPr>
          <w:rFonts w:eastAsia="Aptos"/>
        </w:rPr>
        <w:t>,</w:t>
      </w:r>
      <w:r w:rsidR="00C5078C" w:rsidRPr="7E49C426">
        <w:rPr>
          <w:rFonts w:eastAsia="Aptos"/>
        </w:rPr>
        <w:t xml:space="preserve"> </w:t>
      </w:r>
      <w:r w:rsidR="00630F45" w:rsidRPr="00DD0CE5">
        <w:t>the f</w:t>
      </w:r>
      <w:r w:rsidR="000275F7" w:rsidRPr="00DD0CE5">
        <w:t>ragmentation of qualification systems across Member States</w:t>
      </w:r>
      <w:r w:rsidR="008D18B5">
        <w:t>,</w:t>
      </w:r>
      <w:r w:rsidR="000275F7" w:rsidRPr="00DD0CE5">
        <w:t xml:space="preserve"> </w:t>
      </w:r>
      <w:r w:rsidR="005E3530">
        <w:t>limiting</w:t>
      </w:r>
      <w:r w:rsidR="000275F7" w:rsidRPr="00DD0CE5">
        <w:t xml:space="preserve"> </w:t>
      </w:r>
      <w:r w:rsidR="000275F7" w:rsidRPr="00DD0CE5">
        <w:rPr>
          <w:b/>
        </w:rPr>
        <w:t>skills portability and talent mobility</w:t>
      </w:r>
      <w:r w:rsidR="006E3888">
        <w:t xml:space="preserve"> and</w:t>
      </w:r>
      <w:r w:rsidR="00A4783F" w:rsidRPr="00DD0CE5">
        <w:t xml:space="preserve"> the </w:t>
      </w:r>
      <w:r w:rsidR="00D35CDB">
        <w:rPr>
          <w:b/>
          <w:bCs/>
        </w:rPr>
        <w:t>lack</w:t>
      </w:r>
      <w:r w:rsidR="000275F7" w:rsidRPr="0075154B">
        <w:rPr>
          <w:b/>
        </w:rPr>
        <w:t xml:space="preserve"> of </w:t>
      </w:r>
      <w:r w:rsidR="000275F7" w:rsidRPr="00DD0CE5">
        <w:rPr>
          <w:b/>
        </w:rPr>
        <w:t>entrepreneurial</w:t>
      </w:r>
      <w:r w:rsidR="000275F7" w:rsidRPr="0075154B">
        <w:rPr>
          <w:b/>
        </w:rPr>
        <w:t xml:space="preserve"> skills</w:t>
      </w:r>
      <w:r w:rsidR="000275F7" w:rsidRPr="00DD0CE5">
        <w:t xml:space="preserve"> in the EU</w:t>
      </w:r>
      <w:r w:rsidR="00011537" w:rsidRPr="00DD0CE5">
        <w:t xml:space="preserve"> (</w:t>
      </w:r>
      <w:r w:rsidR="000275F7" w:rsidRPr="00DD0CE5">
        <w:rPr>
          <w:lang w:val="en-IE"/>
        </w:rPr>
        <w:t>l</w:t>
      </w:r>
      <w:r w:rsidR="000275F7" w:rsidRPr="00DD0CE5">
        <w:t>ess than 50</w:t>
      </w:r>
      <w:r w:rsidR="00405618">
        <w:t>%</w:t>
      </w:r>
      <w:r w:rsidR="000275F7" w:rsidRPr="00DD0CE5">
        <w:t xml:space="preserve"> of EU students have access to entrepreneurial education in secondary and higher education</w:t>
      </w:r>
      <w:r w:rsidR="000275F7" w:rsidRPr="00DD0CE5">
        <w:rPr>
          <w:rStyle w:val="FootnoteReference"/>
        </w:rPr>
        <w:footnoteReference w:id="110"/>
      </w:r>
      <w:r w:rsidR="00011537" w:rsidRPr="00DD0CE5">
        <w:t>)</w:t>
      </w:r>
      <w:r w:rsidR="00B43349" w:rsidRPr="00DD0CE5">
        <w:t xml:space="preserve">. Barriers to the </w:t>
      </w:r>
      <w:r w:rsidR="00B43349" w:rsidRPr="00DD0CE5">
        <w:rPr>
          <w:b/>
          <w:bCs/>
        </w:rPr>
        <w:t>upskilling</w:t>
      </w:r>
      <w:r w:rsidR="00B43349" w:rsidRPr="00DD0CE5">
        <w:t xml:space="preserve"> of workers are also </w:t>
      </w:r>
      <w:r w:rsidR="00961E8D">
        <w:t>relevant</w:t>
      </w:r>
      <w:r w:rsidR="00B71F1A">
        <w:t>.</w:t>
      </w:r>
    </w:p>
    <w:p w14:paraId="5B54EBEC" w14:textId="66CAA82F" w:rsidR="000275F7" w:rsidRPr="00DD0CE5" w:rsidRDefault="00061E47" w:rsidP="0010169A">
      <w:pPr>
        <w:pStyle w:val="Heading3"/>
      </w:pPr>
      <w:bookmarkStart w:id="66" w:name="_Toc224747200"/>
      <w:bookmarkStart w:id="67" w:name="_Toc224749670"/>
      <w:bookmarkStart w:id="68" w:name="_Toc225974548"/>
      <w:bookmarkStart w:id="69" w:name="_Toc225975221"/>
      <w:bookmarkStart w:id="70" w:name="_Toc225975278"/>
      <w:r>
        <w:t xml:space="preserve">Driver 3: </w:t>
      </w:r>
      <w:r w:rsidR="0002164C">
        <w:t>Rapid t</w:t>
      </w:r>
      <w:r w:rsidR="00D13702">
        <w:t xml:space="preserve">echnological developments &amp; </w:t>
      </w:r>
      <w:r w:rsidR="00C97A6E" w:rsidRPr="00C97A6E">
        <w:t>regulatory adaptation lag</w:t>
      </w:r>
      <w:bookmarkEnd w:id="66"/>
      <w:bookmarkEnd w:id="67"/>
      <w:bookmarkEnd w:id="68"/>
      <w:bookmarkEnd w:id="69"/>
      <w:bookmarkEnd w:id="70"/>
    </w:p>
    <w:p w14:paraId="341914B0" w14:textId="453F49E3" w:rsidR="005E3F26" w:rsidRDefault="00F75F45" w:rsidP="00A16F25">
      <w:pPr>
        <w:rPr>
          <w:lang w:val="en-US"/>
        </w:rPr>
      </w:pPr>
      <w:r>
        <w:rPr>
          <w:iCs/>
        </w:rPr>
        <w:t>EU biotechnology companies also face barriers</w:t>
      </w:r>
      <w:r w:rsidR="00D10B52">
        <w:t xml:space="preserve"> </w:t>
      </w:r>
      <w:r w:rsidR="00AB0014">
        <w:t xml:space="preserve">to </w:t>
      </w:r>
      <w:r w:rsidR="00DA6037">
        <w:rPr>
          <w:iCs/>
        </w:rPr>
        <w:t xml:space="preserve">manufacture, </w:t>
      </w:r>
      <w:r>
        <w:rPr>
          <w:iCs/>
        </w:rPr>
        <w:t>place products</w:t>
      </w:r>
      <w:r w:rsidR="00D10B52">
        <w:t xml:space="preserve"> on </w:t>
      </w:r>
      <w:r>
        <w:rPr>
          <w:iCs/>
        </w:rPr>
        <w:t xml:space="preserve">the market </w:t>
      </w:r>
      <w:r w:rsidR="00DA6037">
        <w:rPr>
          <w:iCs/>
        </w:rPr>
        <w:t xml:space="preserve">and grow </w:t>
      </w:r>
      <w:r>
        <w:rPr>
          <w:iCs/>
        </w:rPr>
        <w:t>due to EU</w:t>
      </w:r>
      <w:r w:rsidR="00D10B52">
        <w:t xml:space="preserve"> regulatory frameworks not </w:t>
      </w:r>
      <w:r w:rsidR="2CF3411C">
        <w:t>always</w:t>
      </w:r>
      <w:r w:rsidR="00D10B52">
        <w:t xml:space="preserve"> keeping </w:t>
      </w:r>
      <w:r w:rsidR="42E571C9">
        <w:t>up</w:t>
      </w:r>
      <w:r w:rsidR="00D10B52">
        <w:t xml:space="preserve"> with rapid technological advances</w:t>
      </w:r>
      <w:r w:rsidR="00F321F2">
        <w:t>.</w:t>
      </w:r>
      <w:r w:rsidR="00DA6037">
        <w:rPr>
          <w:iCs/>
        </w:rPr>
        <w:t xml:space="preserve"> This perception was confirmed in stakeholder consultations, </w:t>
      </w:r>
      <w:r w:rsidR="008C19CD">
        <w:rPr>
          <w:iCs/>
        </w:rPr>
        <w:t>as</w:t>
      </w:r>
      <w:r w:rsidR="005E3F26" w:rsidRPr="00DD0CE5">
        <w:rPr>
          <w:lang w:val="en-US"/>
        </w:rPr>
        <w:t xml:space="preserve"> regulatory </w:t>
      </w:r>
      <w:r w:rsidR="005E3F26" w:rsidRPr="186D60B4">
        <w:rPr>
          <w:lang w:val="en-US"/>
        </w:rPr>
        <w:t>framework</w:t>
      </w:r>
      <w:r w:rsidR="4951F7D0" w:rsidRPr="186D60B4">
        <w:rPr>
          <w:lang w:val="en-US"/>
        </w:rPr>
        <w:t>s</w:t>
      </w:r>
      <w:r w:rsidR="005E3F26" w:rsidRPr="00DD0CE5">
        <w:rPr>
          <w:lang w:val="en-US"/>
        </w:rPr>
        <w:t xml:space="preserve"> that insufficiently account for the innovative and rapidly</w:t>
      </w:r>
      <w:r w:rsidR="005E3F26">
        <w:rPr>
          <w:lang w:val="en-US"/>
        </w:rPr>
        <w:t xml:space="preserve"> </w:t>
      </w:r>
      <w:r w:rsidR="005E3F26" w:rsidRPr="00DD0CE5">
        <w:rPr>
          <w:lang w:val="en-US"/>
        </w:rPr>
        <w:t>developing nature of the biotech</w:t>
      </w:r>
      <w:r w:rsidR="00DC627E">
        <w:rPr>
          <w:lang w:val="en-US"/>
        </w:rPr>
        <w:t>nology</w:t>
      </w:r>
      <w:r w:rsidR="005E3F26" w:rsidRPr="00DD0CE5">
        <w:rPr>
          <w:lang w:val="en-US"/>
        </w:rPr>
        <w:t xml:space="preserve"> sector</w:t>
      </w:r>
      <w:r w:rsidR="005E3F26">
        <w:rPr>
          <w:lang w:val="en-US"/>
        </w:rPr>
        <w:t xml:space="preserve"> </w:t>
      </w:r>
      <w:r w:rsidR="005E3F26" w:rsidRPr="186D60B4">
        <w:rPr>
          <w:lang w:val="en-US"/>
        </w:rPr>
        <w:t>w</w:t>
      </w:r>
      <w:r w:rsidR="124B1150" w:rsidRPr="186D60B4">
        <w:rPr>
          <w:lang w:val="en-US"/>
        </w:rPr>
        <w:t>ere</w:t>
      </w:r>
      <w:r w:rsidR="00DC627E">
        <w:rPr>
          <w:lang w:val="en-US"/>
        </w:rPr>
        <w:t xml:space="preserve"> also</w:t>
      </w:r>
      <w:r w:rsidR="005E3F26">
        <w:rPr>
          <w:lang w:val="en-US"/>
        </w:rPr>
        <w:t xml:space="preserve"> identified as</w:t>
      </w:r>
      <w:r w:rsidR="00DC627E">
        <w:rPr>
          <w:lang w:val="en-US"/>
        </w:rPr>
        <w:t xml:space="preserve"> a</w:t>
      </w:r>
      <w:r w:rsidR="005E3F26">
        <w:rPr>
          <w:lang w:val="en-US"/>
        </w:rPr>
        <w:t xml:space="preserve"> barrier to the expansion</w:t>
      </w:r>
      <w:r w:rsidR="005E3F26" w:rsidRPr="00DD0CE5">
        <w:rPr>
          <w:lang w:val="en-US"/>
        </w:rPr>
        <w:t xml:space="preserve"> </w:t>
      </w:r>
      <w:r w:rsidR="005E3F26">
        <w:rPr>
          <w:lang w:val="en-US"/>
        </w:rPr>
        <w:t>of</w:t>
      </w:r>
      <w:r w:rsidR="005E3F26" w:rsidRPr="00DD0CE5">
        <w:rPr>
          <w:lang w:val="en-US"/>
        </w:rPr>
        <w:t xml:space="preserve"> </w:t>
      </w:r>
      <w:r w:rsidR="005E3F26">
        <w:rPr>
          <w:lang w:val="en-US"/>
        </w:rPr>
        <w:t xml:space="preserve">EU </w:t>
      </w:r>
      <w:r w:rsidR="005E3F26" w:rsidRPr="00DD0CE5">
        <w:rPr>
          <w:lang w:val="en-US"/>
        </w:rPr>
        <w:t>companies</w:t>
      </w:r>
      <w:r w:rsidR="005E3F26" w:rsidRPr="00D5228B">
        <w:rPr>
          <w:rStyle w:val="FootnoteReference"/>
          <w:lang w:val="en-US"/>
        </w:rPr>
        <w:footnoteReference w:id="111"/>
      </w:r>
      <w:r w:rsidR="005E3F26" w:rsidRPr="00DD0CE5">
        <w:rPr>
          <w:lang w:val="en-US"/>
        </w:rPr>
        <w:t>.</w:t>
      </w:r>
    </w:p>
    <w:p w14:paraId="0AC76645" w14:textId="2390C3EE" w:rsidR="000931D8" w:rsidRDefault="00585D14" w:rsidP="00A16F25">
      <w:pPr>
        <w:rPr>
          <w:lang w:eastAsia="en-IE"/>
        </w:rPr>
      </w:pPr>
      <w:r>
        <w:rPr>
          <w:lang w:eastAsia="en-IE"/>
        </w:rPr>
        <w:t>O</w:t>
      </w:r>
      <w:r w:rsidR="008E1F20" w:rsidRPr="00DD0CE5">
        <w:rPr>
          <w:lang w:eastAsia="en-IE"/>
        </w:rPr>
        <w:t>ne</w:t>
      </w:r>
      <w:r w:rsidR="000931D8" w:rsidRPr="00DD0CE5">
        <w:rPr>
          <w:lang w:eastAsia="en-IE"/>
        </w:rPr>
        <w:t xml:space="preserve"> major reason brought forward by stakeholders and some Member States is th</w:t>
      </w:r>
      <w:r w:rsidRPr="186D60B4">
        <w:rPr>
          <w:lang w:eastAsia="en-IE"/>
        </w:rPr>
        <w:t>e</w:t>
      </w:r>
      <w:r w:rsidR="000931D8" w:rsidRPr="00DD0CE5">
        <w:rPr>
          <w:lang w:eastAsia="en-IE"/>
        </w:rPr>
        <w:t xml:space="preserve"> complex, not innovation friendly and in part ill-fitting EU legislation on GMOs, </w:t>
      </w:r>
      <w:r w:rsidR="63BBDF41" w:rsidRPr="0265784B">
        <w:rPr>
          <w:lang w:eastAsia="en-IE"/>
        </w:rPr>
        <w:t xml:space="preserve">in </w:t>
      </w:r>
      <w:r w:rsidR="63BBDF41" w:rsidRPr="6EEBEEB9">
        <w:rPr>
          <w:lang w:eastAsia="en-IE"/>
        </w:rPr>
        <w:t>particular as regards</w:t>
      </w:r>
      <w:r w:rsidR="000931D8" w:rsidRPr="700D740A">
        <w:rPr>
          <w:lang w:eastAsia="en-IE"/>
        </w:rPr>
        <w:t xml:space="preserve"> GMMs.</w:t>
      </w:r>
      <w:r w:rsidR="000931D8" w:rsidRPr="00DD0CE5">
        <w:rPr>
          <w:lang w:eastAsia="en-IE"/>
        </w:rPr>
        <w:t xml:space="preserve"> </w:t>
      </w:r>
      <w:r w:rsidR="001C6304">
        <w:rPr>
          <w:lang w:eastAsia="en-IE"/>
        </w:rPr>
        <w:t>T</w:t>
      </w:r>
      <w:r w:rsidR="000931D8" w:rsidRPr="00DD0CE5">
        <w:rPr>
          <w:lang w:eastAsia="en-IE"/>
        </w:rPr>
        <w:t xml:space="preserve">he EU’s legal framework for GMOs </w:t>
      </w:r>
      <w:r w:rsidR="007346B1">
        <w:rPr>
          <w:lang w:eastAsia="en-IE"/>
        </w:rPr>
        <w:t>(</w:t>
      </w:r>
      <w:r w:rsidR="000931D8" w:rsidRPr="00DD0CE5">
        <w:rPr>
          <w:lang w:eastAsia="en-IE"/>
        </w:rPr>
        <w:t>including GMMs</w:t>
      </w:r>
      <w:r w:rsidR="000931D8" w:rsidRPr="00DD0CE5">
        <w:rPr>
          <w:rStyle w:val="FootnoteReference"/>
          <w:lang w:eastAsia="en-IE"/>
        </w:rPr>
        <w:footnoteReference w:id="112"/>
      </w:r>
      <w:r w:rsidR="74B37C24" w:rsidRPr="727CDC45">
        <w:rPr>
          <w:rStyle w:val="FootnoteReference"/>
          <w:vertAlign w:val="baseline"/>
          <w:lang w:eastAsia="en-IE"/>
        </w:rPr>
        <w:t xml:space="preserve">) </w:t>
      </w:r>
      <w:r w:rsidR="0200BE27" w:rsidRPr="007346B1">
        <w:rPr>
          <w:rFonts w:eastAsia="Times New Roman"/>
        </w:rPr>
        <w:t>originates from the 1990s and was primarily tailored to genetically modified plants. The framework as it currently stands</w:t>
      </w:r>
      <w:r w:rsidR="74B37C24" w:rsidRPr="00810744">
        <w:rPr>
          <w:rFonts w:eastAsia="Times New Roman"/>
        </w:rPr>
        <w:t xml:space="preserve"> </w:t>
      </w:r>
      <w:r w:rsidR="679469D5" w:rsidRPr="00810744">
        <w:rPr>
          <w:rFonts w:eastAsia="Times New Roman"/>
        </w:rPr>
        <w:t>is</w:t>
      </w:r>
      <w:r w:rsidR="74B37C24" w:rsidRPr="00810744">
        <w:rPr>
          <w:rFonts w:ascii="Times-Roman" w:eastAsia="Times-Roman" w:hAnsi="Times-Roman" w:cs="Times-Roman"/>
          <w:sz w:val="22"/>
          <w:szCs w:val="22"/>
        </w:rPr>
        <w:t xml:space="preserve"> </w:t>
      </w:r>
      <w:r w:rsidR="000931D8" w:rsidRPr="00DD0CE5">
        <w:rPr>
          <w:b/>
          <w:lang w:eastAsia="en-IE"/>
        </w:rPr>
        <w:t>less suitable to handle GMMs given the biological differences compared to plants and the variety of micro-organisms and their applications</w:t>
      </w:r>
      <w:r w:rsidR="00E37395">
        <w:rPr>
          <w:rStyle w:val="FootnoteReference"/>
          <w:b/>
          <w:lang w:eastAsia="en-IE"/>
        </w:rPr>
        <w:footnoteReference w:id="113"/>
      </w:r>
      <w:r w:rsidR="1B1909FF" w:rsidRPr="00986549">
        <w:rPr>
          <w:lang w:eastAsia="en-IE"/>
        </w:rPr>
        <w:t>.</w:t>
      </w:r>
      <w:r w:rsidR="1B1909FF" w:rsidRPr="2EB53C04">
        <w:rPr>
          <w:b/>
          <w:bCs/>
          <w:lang w:eastAsia="en-IE"/>
        </w:rPr>
        <w:t xml:space="preserve"> </w:t>
      </w:r>
      <w:r w:rsidR="1B1909FF" w:rsidRPr="2EB53C04">
        <w:rPr>
          <w:rFonts w:eastAsia="Times New Roman"/>
        </w:rPr>
        <w:t>In a recent scientific opinion, EFSA</w:t>
      </w:r>
      <w:r w:rsidR="49035DE5" w:rsidRPr="2EB53C04">
        <w:rPr>
          <w:lang w:eastAsia="en-IE"/>
        </w:rPr>
        <w:t xml:space="preserve"> </w:t>
      </w:r>
      <w:r w:rsidR="49035DE5" w:rsidRPr="2EB53C04">
        <w:rPr>
          <w:rFonts w:eastAsia="Times New Roman"/>
        </w:rPr>
        <w:t xml:space="preserve">concluded that the potential risk of a microbial product relates to the changes introduced in the micro-organism itself regardless of the method used to introduce them, </w:t>
      </w:r>
      <w:r w:rsidR="44C780E9" w:rsidRPr="17CB89F5">
        <w:rPr>
          <w:lang w:eastAsia="en-IE"/>
        </w:rPr>
        <w:t>supporting</w:t>
      </w:r>
      <w:r w:rsidR="000931D8" w:rsidRPr="00DD0CE5">
        <w:rPr>
          <w:lang w:eastAsia="en-IE"/>
        </w:rPr>
        <w:t xml:space="preserve"> a more holistic approach</w:t>
      </w:r>
      <w:r w:rsidR="1FB62196" w:rsidRPr="00DD0CE5">
        <w:rPr>
          <w:lang w:eastAsia="en-IE"/>
        </w:rPr>
        <w:t xml:space="preserve"> </w:t>
      </w:r>
      <w:r w:rsidR="1FB62196" w:rsidRPr="206E40A2">
        <w:rPr>
          <w:rFonts w:eastAsia="Times New Roman"/>
        </w:rPr>
        <w:t>to the assessment of micro-organisms based on the characteristics of the final product</w:t>
      </w:r>
      <w:r w:rsidR="1FB62196" w:rsidRPr="30C94250">
        <w:rPr>
          <w:rFonts w:eastAsia="Times New Roman"/>
        </w:rPr>
        <w:t>.</w:t>
      </w:r>
      <w:r w:rsidR="007346B1" w:rsidRPr="00DD0CE5">
        <w:rPr>
          <w:vertAlign w:val="superscript"/>
          <w:lang w:eastAsia="en-IE"/>
        </w:rPr>
        <w:footnoteReference w:id="114"/>
      </w:r>
      <w:r w:rsidR="1FB62196" w:rsidRPr="00DD0CE5">
        <w:rPr>
          <w:lang w:eastAsia="en-IE"/>
        </w:rPr>
        <w:t xml:space="preserve"> </w:t>
      </w:r>
      <w:r w:rsidR="1D1ED422" w:rsidRPr="74CA9FD4">
        <w:rPr>
          <w:rFonts w:eastAsia="Times New Roman"/>
        </w:rPr>
        <w:t xml:space="preserve">It further concluded that for certain GMMs less assessment requirements would be sufficient to ensure safety. In this respect, considering the risks of typical GMMs and derived products and the variety of risk profiles, </w:t>
      </w:r>
      <w:r w:rsidR="00495DC7">
        <w:rPr>
          <w:rFonts w:eastAsia="Times New Roman"/>
        </w:rPr>
        <w:t xml:space="preserve">the </w:t>
      </w:r>
      <w:r w:rsidR="1D1ED422" w:rsidRPr="74CA9FD4">
        <w:rPr>
          <w:rFonts w:eastAsia="Times New Roman"/>
        </w:rPr>
        <w:t>current GMO regulatory procedures are considered by many stakeholders and some Member States</w:t>
      </w:r>
      <w:r w:rsidR="1D1ED422" w:rsidRPr="403D32B0">
        <w:rPr>
          <w:lang w:eastAsia="en-IE"/>
        </w:rPr>
        <w:t xml:space="preserve"> </w:t>
      </w:r>
      <w:r w:rsidR="1D1ED422" w:rsidRPr="00DD0CE5">
        <w:rPr>
          <w:lang w:eastAsia="en-IE"/>
        </w:rPr>
        <w:t xml:space="preserve">as </w:t>
      </w:r>
      <w:r w:rsidR="000931D8" w:rsidRPr="00DD0CE5">
        <w:rPr>
          <w:b/>
          <w:lang w:eastAsia="en-IE"/>
        </w:rPr>
        <w:t>disproportionate, overly rigid and time consuming</w:t>
      </w:r>
      <w:r w:rsidR="000931D8" w:rsidRPr="00DD0CE5">
        <w:rPr>
          <w:lang w:eastAsia="en-IE"/>
        </w:rPr>
        <w:t xml:space="preserve">, rendering the EU unattractive for </w:t>
      </w:r>
      <w:r w:rsidR="5F0809F2" w:rsidRPr="43FCB043">
        <w:rPr>
          <w:lang w:eastAsia="en-IE"/>
        </w:rPr>
        <w:t>invest</w:t>
      </w:r>
      <w:r w:rsidR="00147AEB">
        <w:rPr>
          <w:lang w:eastAsia="en-IE"/>
        </w:rPr>
        <w:t>ing</w:t>
      </w:r>
      <w:r w:rsidR="5F0809F2" w:rsidRPr="6BA164E0">
        <w:rPr>
          <w:lang w:eastAsia="en-IE"/>
        </w:rPr>
        <w:t xml:space="preserve"> and </w:t>
      </w:r>
      <w:r w:rsidR="000931D8" w:rsidRPr="00DD0CE5">
        <w:rPr>
          <w:lang w:eastAsia="en-IE"/>
        </w:rPr>
        <w:t xml:space="preserve">bringing such GMMs </w:t>
      </w:r>
      <w:r w:rsidR="00C63CA2">
        <w:rPr>
          <w:lang w:eastAsia="en-IE"/>
        </w:rPr>
        <w:t>to the market</w:t>
      </w:r>
      <w:r w:rsidR="003C1C9A">
        <w:rPr>
          <w:lang w:eastAsia="en-IE"/>
        </w:rPr>
        <w:t xml:space="preserve"> as </w:t>
      </w:r>
      <w:r w:rsidR="000931D8" w:rsidRPr="00DD0CE5">
        <w:rPr>
          <w:lang w:eastAsia="en-IE"/>
        </w:rPr>
        <w:t>products</w:t>
      </w:r>
      <w:r w:rsidR="000931D8">
        <w:rPr>
          <w:lang w:eastAsia="en-IE"/>
        </w:rPr>
        <w:t>.</w:t>
      </w:r>
      <w:r w:rsidR="000931D8" w:rsidRPr="00DD0CE5">
        <w:rPr>
          <w:lang w:eastAsia="en-IE"/>
        </w:rPr>
        <w:t xml:space="preserve"> In addition, the particularly short development cycles of GMMs, with one product frequently being based on a previous product, </w:t>
      </w:r>
      <w:r w:rsidR="006C380B">
        <w:rPr>
          <w:lang w:eastAsia="en-IE"/>
        </w:rPr>
        <w:t xml:space="preserve">mean </w:t>
      </w:r>
      <w:r w:rsidR="00EC7E97">
        <w:rPr>
          <w:lang w:eastAsia="en-IE"/>
        </w:rPr>
        <w:t xml:space="preserve">that a quick, </w:t>
      </w:r>
      <w:r w:rsidR="000931D8" w:rsidRPr="00DD0CE5">
        <w:rPr>
          <w:lang w:eastAsia="en-IE"/>
        </w:rPr>
        <w:t xml:space="preserve">efficient authorisation path </w:t>
      </w:r>
      <w:r w:rsidR="00EC7E97">
        <w:rPr>
          <w:lang w:eastAsia="en-IE"/>
        </w:rPr>
        <w:t xml:space="preserve">is very </w:t>
      </w:r>
      <w:r w:rsidR="000931D8" w:rsidRPr="00DD0CE5">
        <w:rPr>
          <w:lang w:eastAsia="en-IE"/>
        </w:rPr>
        <w:t>important.</w:t>
      </w:r>
      <w:r w:rsidR="00407F41">
        <w:rPr>
          <w:lang w:eastAsia="en-IE"/>
        </w:rPr>
        <w:t xml:space="preserve"> </w:t>
      </w:r>
    </w:p>
    <w:p w14:paraId="7DE7C7DF" w14:textId="024ADBB7" w:rsidR="00F33EA0" w:rsidRDefault="00D64981" w:rsidP="00F33EA0">
      <w:pPr>
        <w:rPr>
          <w:lang w:eastAsia="en-IE"/>
        </w:rPr>
      </w:pPr>
      <w:r>
        <w:t>There is also</w:t>
      </w:r>
      <w:r w:rsidR="00AB351F" w:rsidRPr="004D7DE9">
        <w:t xml:space="preserve"> a </w:t>
      </w:r>
      <w:r w:rsidR="00AB351F" w:rsidRPr="004F48D9">
        <w:t>regulatory gap between the existing EU legal framework</w:t>
      </w:r>
      <w:r>
        <w:t xml:space="preserve"> </w:t>
      </w:r>
      <w:r w:rsidRPr="001A46C7">
        <w:t xml:space="preserve">on the </w:t>
      </w:r>
      <w:r w:rsidRPr="001A46C7">
        <w:rPr>
          <w:b/>
        </w:rPr>
        <w:t>quality and safety of human organs</w:t>
      </w:r>
      <w:r w:rsidRPr="001A46C7">
        <w:t xml:space="preserve"> intended for transplantation</w:t>
      </w:r>
      <w:r w:rsidR="00AB351F" w:rsidRPr="004F48D9">
        <w:t xml:space="preserve"> and current medical practice on organ preservations, </w:t>
      </w:r>
      <w:r w:rsidR="00AB351F" w:rsidRPr="00D93378">
        <w:t>leading to</w:t>
      </w:r>
      <w:r w:rsidR="00AB351F" w:rsidRPr="00810744">
        <w:rPr>
          <w:b/>
          <w:bCs/>
        </w:rPr>
        <w:t xml:space="preserve"> diverging interpretations across Member States and hence legal uncertainty</w:t>
      </w:r>
      <w:r w:rsidR="00AB351F" w:rsidRPr="004F48D9">
        <w:t>.</w:t>
      </w:r>
      <w:r w:rsidR="00AB351F">
        <w:t xml:space="preserve"> T</w:t>
      </w:r>
      <w:r w:rsidR="00AB351F" w:rsidRPr="00DD0CE5">
        <w:t>he current EU framework was designed for preservation rather than processing and does not provide a clear, harmonised approach for these activities</w:t>
      </w:r>
      <w:r w:rsidR="00AB351F">
        <w:t>.</w:t>
      </w:r>
      <w:r w:rsidR="0052189B">
        <w:t xml:space="preserve"> </w:t>
      </w:r>
      <w:r w:rsidR="005C0930">
        <w:t>It</w:t>
      </w:r>
      <w:r w:rsidR="0052189B">
        <w:t xml:space="preserve"> does not include a </w:t>
      </w:r>
      <w:r w:rsidR="005C0930">
        <w:t xml:space="preserve">particular </w:t>
      </w:r>
      <w:r w:rsidR="0052189B" w:rsidRPr="00FB408F">
        <w:t xml:space="preserve">framework for authorising processing operations, </w:t>
      </w:r>
      <w:r w:rsidR="0052189B">
        <w:t>nor a</w:t>
      </w:r>
      <w:r w:rsidR="0052189B" w:rsidRPr="00FB408F">
        <w:t xml:space="preserve"> mechanism for benefit-risk assessment of these interventions, and no provisions </w:t>
      </w:r>
      <w:r w:rsidR="78AFE5EB">
        <w:t>for oversight of</w:t>
      </w:r>
      <w:r w:rsidR="0052189B" w:rsidRPr="00FB408F">
        <w:t xml:space="preserve"> transplantation centres </w:t>
      </w:r>
      <w:r w:rsidR="0052189B">
        <w:t>t</w:t>
      </w:r>
      <w:r w:rsidR="341F66AD">
        <w:t>hat</w:t>
      </w:r>
      <w:r w:rsidR="0052189B">
        <w:t xml:space="preserve"> </w:t>
      </w:r>
      <w:r w:rsidR="0052189B" w:rsidRPr="00FB408F">
        <w:t xml:space="preserve">seek </w:t>
      </w:r>
      <w:r w:rsidR="0280660D">
        <w:t xml:space="preserve">to </w:t>
      </w:r>
      <w:r w:rsidR="0052189B">
        <w:t>apply</w:t>
      </w:r>
      <w:r w:rsidR="0052189B" w:rsidRPr="00FB408F">
        <w:t xml:space="preserve"> a specific processing technique.</w:t>
      </w:r>
      <w:r w:rsidR="008A6635">
        <w:t xml:space="preserve"> Furthermore, the current framework does not </w:t>
      </w:r>
      <w:r w:rsidR="008A6635" w:rsidRPr="00FB408F">
        <w:t>contain</w:t>
      </w:r>
      <w:r w:rsidR="00E0181F">
        <w:t xml:space="preserve"> a</w:t>
      </w:r>
      <w:r w:rsidR="008A6635" w:rsidRPr="00FB408F">
        <w:t xml:space="preserve"> mechanism for coordination between the organ transplant competent authority and the competent authorities operating under other legislative frameworks</w:t>
      </w:r>
      <w:r w:rsidR="00E0181F">
        <w:t xml:space="preserve"> (e.g. on medical devices, medici</w:t>
      </w:r>
      <w:r w:rsidR="00E915F8">
        <w:t>n</w:t>
      </w:r>
      <w:r w:rsidR="00E0181F">
        <w:t xml:space="preserve">al products, </w:t>
      </w:r>
      <w:r w:rsidR="00E915F8">
        <w:t xml:space="preserve">or on </w:t>
      </w:r>
      <w:r w:rsidR="01948054">
        <w:t>SoHO</w:t>
      </w:r>
      <w:r w:rsidR="00E0181F">
        <w:t>)</w:t>
      </w:r>
      <w:r w:rsidR="00E915F8">
        <w:t>.</w:t>
      </w:r>
      <w:r w:rsidR="00F33EA0">
        <w:t xml:space="preserve"> In 2024, although over 32,000 organ transplants were performed across the EU, the gap between the supply of transplantable organs and clinical demand remain</w:t>
      </w:r>
      <w:r w:rsidR="002B4025">
        <w:t>ed</w:t>
      </w:r>
      <w:r w:rsidR="00E91C05">
        <w:t xml:space="preserve">, with </w:t>
      </w:r>
      <w:r w:rsidR="00F33EA0">
        <w:t>over 52,000 patients registered on transplant waiting lists across the EU</w:t>
      </w:r>
      <w:r w:rsidR="00E91C05">
        <w:t xml:space="preserve"> (as of 31 December 2024)</w:t>
      </w:r>
      <w:r w:rsidR="008D64C5">
        <w:rPr>
          <w:rStyle w:val="FootnoteReference"/>
        </w:rPr>
        <w:footnoteReference w:id="115"/>
      </w:r>
      <w:r w:rsidR="00E91C05">
        <w:t>.</w:t>
      </w:r>
    </w:p>
    <w:p w14:paraId="3CD603D6" w14:textId="441666F3" w:rsidR="000D7118" w:rsidRDefault="0059322C" w:rsidP="00A16F25">
      <w:r>
        <w:t xml:space="preserve">Similarly, in the </w:t>
      </w:r>
      <w:r w:rsidRPr="00766769">
        <w:rPr>
          <w:b/>
        </w:rPr>
        <w:t>ATMP</w:t>
      </w:r>
      <w:r>
        <w:t xml:space="preserve"> area</w:t>
      </w:r>
      <w:r w:rsidR="00380685">
        <w:t>,</w:t>
      </w:r>
      <w:r>
        <w:t xml:space="preserve"> o</w:t>
      </w:r>
      <w:r w:rsidR="000D7118" w:rsidRPr="00DD0CE5">
        <w:t>utdated definitions and technological lag in the regulatory framework</w:t>
      </w:r>
      <w:r>
        <w:t xml:space="preserve"> are</w:t>
      </w:r>
      <w:r w:rsidR="000D7118">
        <w:t xml:space="preserve"> leading to discrepancies between the</w:t>
      </w:r>
      <w:r w:rsidR="00CC0C1C">
        <w:t xml:space="preserve"> legal</w:t>
      </w:r>
      <w:r w:rsidR="000D7118">
        <w:t xml:space="preserve"> framework </w:t>
      </w:r>
      <w:r w:rsidR="000941D1">
        <w:t>(</w:t>
      </w:r>
      <w:r w:rsidR="000941D1" w:rsidRPr="002E5AC4">
        <w:t>classification uncertainty</w:t>
      </w:r>
      <w:r w:rsidR="000941D1">
        <w:t>)</w:t>
      </w:r>
      <w:r w:rsidR="000941D1" w:rsidRPr="002E5AC4">
        <w:t xml:space="preserve"> </w:t>
      </w:r>
      <w:r w:rsidR="000D7118">
        <w:t xml:space="preserve">and progressing science, </w:t>
      </w:r>
      <w:r w:rsidR="000D7118" w:rsidRPr="00C818A6">
        <w:t>hampering market access</w:t>
      </w:r>
      <w:r>
        <w:t xml:space="preserve"> for these products</w:t>
      </w:r>
      <w:r w:rsidR="000941D1">
        <w:t xml:space="preserve"> (e.g. affecting </w:t>
      </w:r>
      <w:r w:rsidR="000941D1" w:rsidRPr="002E5AC4">
        <w:t>in vivo tissue generation, acellular therapies, and bio-synthetic hybrids</w:t>
      </w:r>
      <w:r w:rsidR="000941D1">
        <w:t>)</w:t>
      </w:r>
      <w:r>
        <w:t>.</w:t>
      </w:r>
    </w:p>
    <w:p w14:paraId="7DDF56AB" w14:textId="11775C30" w:rsidR="00365E08" w:rsidRDefault="7C214466" w:rsidP="00A16F25">
      <w:r w:rsidRPr="2BBCA5A0">
        <w:rPr>
          <w:rFonts w:eastAsia="Calibri"/>
        </w:rPr>
        <w:t>The r</w:t>
      </w:r>
      <w:r w:rsidR="6A94E89D" w:rsidRPr="2BBCA5A0">
        <w:rPr>
          <w:rFonts w:eastAsia="Calibri"/>
        </w:rPr>
        <w:t>apid</w:t>
      </w:r>
      <w:r w:rsidR="003A5D57">
        <w:rPr>
          <w:rFonts w:eastAsia="Calibri"/>
        </w:rPr>
        <w:t xml:space="preserve"> </w:t>
      </w:r>
      <w:r w:rsidR="098F117A" w:rsidRPr="4FA458B6">
        <w:rPr>
          <w:lang w:val="en-IE"/>
        </w:rPr>
        <w:t>technological advances</w:t>
      </w:r>
      <w:r w:rsidR="00446CD4">
        <w:rPr>
          <w:rFonts w:eastAsia="Calibri"/>
        </w:rPr>
        <w:t xml:space="preserve"> </w:t>
      </w:r>
      <w:r w:rsidR="453C1C86" w:rsidRPr="6C185D8D">
        <w:rPr>
          <w:rFonts w:eastAsia="Calibri"/>
        </w:rPr>
        <w:t>characteri</w:t>
      </w:r>
      <w:r w:rsidR="00C0456B">
        <w:rPr>
          <w:rFonts w:eastAsia="Calibri"/>
        </w:rPr>
        <w:t>s</w:t>
      </w:r>
      <w:r w:rsidR="453C1C86" w:rsidRPr="6C185D8D">
        <w:rPr>
          <w:rFonts w:eastAsia="Calibri"/>
        </w:rPr>
        <w:t>ing</w:t>
      </w:r>
      <w:r w:rsidR="5713656A" w:rsidRPr="2BBCA5A0">
        <w:rPr>
          <w:rFonts w:eastAsia="Calibri"/>
        </w:rPr>
        <w:t xml:space="preserve"> the biotechnology sector </w:t>
      </w:r>
      <w:r w:rsidR="00C958BB">
        <w:rPr>
          <w:rFonts w:eastAsia="Calibri"/>
        </w:rPr>
        <w:t xml:space="preserve">challenge </w:t>
      </w:r>
      <w:r w:rsidR="00B164C5" w:rsidRPr="00B164C5">
        <w:rPr>
          <w:lang w:val="en-IE"/>
        </w:rPr>
        <w:t>existing regulatory frameworks</w:t>
      </w:r>
      <w:r w:rsidR="0003329E">
        <w:rPr>
          <w:lang w:val="en-IE"/>
        </w:rPr>
        <w:t xml:space="preserve">. </w:t>
      </w:r>
      <w:r w:rsidR="00711A0F">
        <w:rPr>
          <w:lang w:val="en-IE"/>
        </w:rPr>
        <w:t xml:space="preserve">While these frameworks ensure high safety standards, they offer limited regulatory flexibility in a </w:t>
      </w:r>
      <w:r w:rsidR="00711A0F" w:rsidRPr="00D63DC4">
        <w:rPr>
          <w:lang w:val="en-IE"/>
        </w:rPr>
        <w:t>context of rapid</w:t>
      </w:r>
      <w:r w:rsidR="00B164C5" w:rsidRPr="00D63DC4">
        <w:rPr>
          <w:lang w:val="en-IE"/>
        </w:rPr>
        <w:t xml:space="preserve"> </w:t>
      </w:r>
      <w:r w:rsidR="008F4472" w:rsidRPr="00D63DC4">
        <w:rPr>
          <w:lang w:val="en-IE"/>
        </w:rPr>
        <w:t>technological advances</w:t>
      </w:r>
      <w:r w:rsidR="00C33406" w:rsidRPr="00D63DC4">
        <w:rPr>
          <w:lang w:val="en-IE"/>
        </w:rPr>
        <w:t xml:space="preserve">. As a result, </w:t>
      </w:r>
      <w:r w:rsidR="006E6A46" w:rsidRPr="00D63DC4">
        <w:t xml:space="preserve">innovative biotechnology applications </w:t>
      </w:r>
      <w:r w:rsidR="00961E2E" w:rsidRPr="00D63DC4">
        <w:rPr>
          <w:rStyle w:val="normaltextrun"/>
          <w:shd w:val="clear" w:color="auto" w:fill="FFFFFF"/>
        </w:rPr>
        <w:t>m</w:t>
      </w:r>
      <w:r w:rsidR="006B4AE5" w:rsidRPr="00D63DC4">
        <w:rPr>
          <w:rStyle w:val="normaltextrun"/>
          <w:shd w:val="clear" w:color="auto" w:fill="FFFFFF"/>
        </w:rPr>
        <w:t>ay</w:t>
      </w:r>
      <w:r w:rsidR="006E6A46" w:rsidRPr="00D63DC4">
        <w:rPr>
          <w:rStyle w:val="normaltextrun"/>
          <w:shd w:val="clear" w:color="auto" w:fill="FFFFFF"/>
        </w:rPr>
        <w:t xml:space="preserve"> struggle to progress efficiently from development to market deployment across these sectors when regulatory frameworks are not sufficiently adapted to emerging technologies</w:t>
      </w:r>
      <w:r w:rsidR="00B164C5" w:rsidRPr="00D63DC4">
        <w:rPr>
          <w:lang w:val="en-IE"/>
        </w:rPr>
        <w:t xml:space="preserve">. </w:t>
      </w:r>
      <w:r w:rsidR="00C46DB2">
        <w:rPr>
          <w:lang w:val="en-IE"/>
        </w:rPr>
        <w:t xml:space="preserve">In </w:t>
      </w:r>
      <w:r w:rsidR="00C46DB2" w:rsidRPr="00D93378">
        <w:rPr>
          <w:lang w:val="en-IE"/>
        </w:rPr>
        <w:t xml:space="preserve">the </w:t>
      </w:r>
      <w:r w:rsidR="00C46DB2" w:rsidRPr="006B4AE5">
        <w:rPr>
          <w:lang w:val="en-IE"/>
        </w:rPr>
        <w:t>health area</w:t>
      </w:r>
      <w:r w:rsidR="00C46DB2" w:rsidRPr="00D93378">
        <w:rPr>
          <w:lang w:val="en-IE"/>
        </w:rPr>
        <w:t xml:space="preserve">, </w:t>
      </w:r>
      <w:r w:rsidR="005A6055" w:rsidRPr="00D93378">
        <w:t>existing regulatory frameworks</w:t>
      </w:r>
      <w:r w:rsidR="002A755E">
        <w:t xml:space="preserve"> </w:t>
      </w:r>
      <w:r w:rsidR="005A6055" w:rsidRPr="009979AE">
        <w:t xml:space="preserve">are </w:t>
      </w:r>
      <w:r w:rsidR="005A6055" w:rsidRPr="004F48D9">
        <w:t>not fully adapted</w:t>
      </w:r>
      <w:r w:rsidR="005A6055">
        <w:t xml:space="preserve"> </w:t>
      </w:r>
      <w:r w:rsidR="5ADEEFD7">
        <w:t>or adaptable</w:t>
      </w:r>
      <w:r w:rsidR="005A6055" w:rsidRPr="004F48D9">
        <w:t xml:space="preserve"> to </w:t>
      </w:r>
      <w:r w:rsidR="005A6055" w:rsidRPr="0025097C">
        <w:rPr>
          <w:b/>
          <w:bCs/>
        </w:rPr>
        <w:t>complex and hybrid emerging health biotechnology products</w:t>
      </w:r>
      <w:r w:rsidR="009B14F6" w:rsidRPr="004F48D9">
        <w:t>,</w:t>
      </w:r>
      <w:r w:rsidR="00C8719C" w:rsidRPr="004F48D9">
        <w:t xml:space="preserve"> </w:t>
      </w:r>
      <w:r w:rsidR="009E51F0" w:rsidRPr="004F48D9">
        <w:t>leading to barriers such as a l</w:t>
      </w:r>
      <w:r w:rsidR="005A6055" w:rsidRPr="004F48D9">
        <w:t xml:space="preserve">ack of legal certainty on </w:t>
      </w:r>
      <w:r w:rsidR="005A6055" w:rsidRPr="0025097C">
        <w:rPr>
          <w:b/>
          <w:bCs/>
        </w:rPr>
        <w:t>products classification and evaluation</w:t>
      </w:r>
      <w:r w:rsidR="009E51F0">
        <w:t>.</w:t>
      </w:r>
      <w:r w:rsidR="0091206E">
        <w:t xml:space="preserve"> </w:t>
      </w:r>
      <w:r w:rsidR="0091206E" w:rsidRPr="004F48D9">
        <w:t xml:space="preserve">In the </w:t>
      </w:r>
      <w:r w:rsidR="3339F6A3" w:rsidRPr="4AC05D79">
        <w:rPr>
          <w:b/>
          <w:bCs/>
        </w:rPr>
        <w:t>VMPs</w:t>
      </w:r>
      <w:r w:rsidR="0091206E" w:rsidRPr="004F48D9">
        <w:rPr>
          <w:b/>
          <w:bCs/>
        </w:rPr>
        <w:t xml:space="preserve"> sector</w:t>
      </w:r>
      <w:r w:rsidR="0091206E" w:rsidRPr="004F48D9">
        <w:t>,</w:t>
      </w:r>
      <w:r w:rsidR="0091206E" w:rsidRPr="00826A5E">
        <w:t xml:space="preserve"> r</w:t>
      </w:r>
      <w:r w:rsidR="00365E08" w:rsidRPr="00826A5E">
        <w:t>egulatory</w:t>
      </w:r>
      <w:r w:rsidR="00365E08" w:rsidRPr="00826A5E">
        <w:rPr>
          <w:lang w:val="en-IE"/>
        </w:rPr>
        <w:t xml:space="preserve"> uncertainty </w:t>
      </w:r>
      <w:r w:rsidR="00D94330">
        <w:rPr>
          <w:lang w:val="en-IE"/>
        </w:rPr>
        <w:t xml:space="preserve">also </w:t>
      </w:r>
      <w:r w:rsidR="00365E08" w:rsidRPr="00826A5E">
        <w:rPr>
          <w:lang w:val="en-IE"/>
        </w:rPr>
        <w:t>represents a serious hurdle to</w:t>
      </w:r>
      <w:r w:rsidR="00365E08" w:rsidRPr="009979AE">
        <w:rPr>
          <w:lang w:val="en-IE"/>
        </w:rPr>
        <w:t xml:space="preserve"> the marketing or use of </w:t>
      </w:r>
      <w:r w:rsidR="00365E08" w:rsidRPr="0025097C">
        <w:rPr>
          <w:b/>
          <w:bCs/>
          <w:lang w:val="en-IE"/>
        </w:rPr>
        <w:t>novel technologies, methods or products</w:t>
      </w:r>
      <w:r w:rsidR="00365E08" w:rsidRPr="009979AE">
        <w:t>.</w:t>
      </w:r>
      <w:r w:rsidR="00C13212" w:rsidDel="001A66F2">
        <w:t xml:space="preserve"> </w:t>
      </w:r>
      <w:r w:rsidR="00C13212" w:rsidRPr="00C13212">
        <w:t xml:space="preserve">In the </w:t>
      </w:r>
      <w:r w:rsidR="00C13212" w:rsidRPr="00C13212">
        <w:rPr>
          <w:b/>
          <w:bCs/>
        </w:rPr>
        <w:t xml:space="preserve">food </w:t>
      </w:r>
      <w:r w:rsidR="00DF48D1">
        <w:rPr>
          <w:b/>
          <w:bCs/>
        </w:rPr>
        <w:t>chain</w:t>
      </w:r>
      <w:r w:rsidR="00C13212" w:rsidRPr="00C13212">
        <w:rPr>
          <w:b/>
          <w:bCs/>
        </w:rPr>
        <w:t xml:space="preserve"> sector</w:t>
      </w:r>
      <w:r w:rsidR="00C13212" w:rsidRPr="00C13212">
        <w:t xml:space="preserve">, </w:t>
      </w:r>
      <w:r w:rsidR="00DA0AD4">
        <w:t>EU legislation</w:t>
      </w:r>
      <w:r w:rsidR="00C13212" w:rsidRPr="00C13212">
        <w:t xml:space="preserve"> requires pre-market authorisations for several categories of </w:t>
      </w:r>
      <w:r w:rsidR="004B48D2">
        <w:t>food, feed and related food chain inputs</w:t>
      </w:r>
      <w:r w:rsidR="008D3CFF">
        <w:t xml:space="preserve"> but </w:t>
      </w:r>
      <w:r w:rsidR="00903BF5">
        <w:t>also provide for limited regulatory flexibility</w:t>
      </w:r>
      <w:r w:rsidR="00380685">
        <w:t xml:space="preserve">. </w:t>
      </w:r>
    </w:p>
    <w:p w14:paraId="69832A4E" w14:textId="62323277" w:rsidR="00795AC7" w:rsidRDefault="000275F7" w:rsidP="00A16F25">
      <w:pPr>
        <w:rPr>
          <w:iCs/>
        </w:rPr>
      </w:pPr>
      <w:r w:rsidRPr="00DD0CE5">
        <w:rPr>
          <w:iCs/>
        </w:rPr>
        <w:t xml:space="preserve">Biotechnologies are critical for the </w:t>
      </w:r>
      <w:r w:rsidRPr="00E627D6">
        <w:rPr>
          <w:b/>
        </w:rPr>
        <w:t>Union's defence and security</w:t>
      </w:r>
      <w:r w:rsidRPr="00DD0CE5">
        <w:rPr>
          <w:iCs/>
        </w:rPr>
        <w:t xml:space="preserve">. And while rapid advances in biotechnology over the last decades </w:t>
      </w:r>
      <w:r w:rsidR="00E97E3C">
        <w:rPr>
          <w:iCs/>
        </w:rPr>
        <w:t>ha</w:t>
      </w:r>
      <w:r w:rsidR="002D3D34">
        <w:rPr>
          <w:iCs/>
        </w:rPr>
        <w:t>ve</w:t>
      </w:r>
      <w:r w:rsidR="00E97E3C">
        <w:rPr>
          <w:iCs/>
        </w:rPr>
        <w:t xml:space="preserve"> </w:t>
      </w:r>
      <w:r w:rsidRPr="00DD0CE5">
        <w:rPr>
          <w:iCs/>
        </w:rPr>
        <w:t xml:space="preserve">brought </w:t>
      </w:r>
      <w:r w:rsidR="00E97E3C">
        <w:rPr>
          <w:iCs/>
        </w:rPr>
        <w:t>considerable</w:t>
      </w:r>
      <w:r w:rsidR="00E97E3C" w:rsidRPr="00DD0CE5">
        <w:rPr>
          <w:iCs/>
        </w:rPr>
        <w:t xml:space="preserve"> </w:t>
      </w:r>
      <w:r w:rsidRPr="00DD0CE5">
        <w:rPr>
          <w:iCs/>
        </w:rPr>
        <w:t xml:space="preserve">benefits for healthcare, research and the economy, such </w:t>
      </w:r>
      <w:r w:rsidRPr="00DD680E">
        <w:rPr>
          <w:iCs/>
        </w:rPr>
        <w:t xml:space="preserve">advances </w:t>
      </w:r>
      <w:r w:rsidR="00123842">
        <w:rPr>
          <w:iCs/>
        </w:rPr>
        <w:t xml:space="preserve">also </w:t>
      </w:r>
      <w:r w:rsidRPr="00DD680E">
        <w:rPr>
          <w:iCs/>
        </w:rPr>
        <w:t xml:space="preserve">make biological agents more widely accessible, </w:t>
      </w:r>
      <w:r w:rsidR="00DD680E" w:rsidRPr="00DD680E">
        <w:rPr>
          <w:rFonts w:eastAsia="Times New Roman"/>
        </w:rPr>
        <w:t xml:space="preserve">increasing risk of </w:t>
      </w:r>
      <w:r w:rsidR="00123842">
        <w:rPr>
          <w:rFonts w:eastAsia="Times New Roman"/>
        </w:rPr>
        <w:t xml:space="preserve">their </w:t>
      </w:r>
      <w:r w:rsidR="00DD680E" w:rsidRPr="00DD680E">
        <w:rPr>
          <w:rFonts w:eastAsia="Times New Roman"/>
        </w:rPr>
        <w:t>misuse</w:t>
      </w:r>
      <w:r w:rsidR="00DD680E" w:rsidRPr="00DD680E">
        <w:t>.</w:t>
      </w:r>
      <w:r w:rsidRPr="00DD680E">
        <w:rPr>
          <w:iCs/>
        </w:rPr>
        <w:t xml:space="preserve"> For example, the price of synthetic </w:t>
      </w:r>
      <w:r w:rsidR="00474241" w:rsidRPr="00DD680E">
        <w:rPr>
          <w:iCs/>
        </w:rPr>
        <w:t>nucleic acids (such as DNA or RNA)</w:t>
      </w:r>
      <w:r w:rsidRPr="00DD680E">
        <w:rPr>
          <w:iCs/>
        </w:rPr>
        <w:t xml:space="preserve"> has decreased more than 100-fold over the past 20 years</w:t>
      </w:r>
      <w:r w:rsidRPr="00DD0CE5">
        <w:rPr>
          <w:rStyle w:val="FootnoteReference"/>
          <w:iCs/>
        </w:rPr>
        <w:footnoteReference w:id="116"/>
      </w:r>
      <w:r w:rsidRPr="00DD0CE5">
        <w:rPr>
          <w:iCs/>
        </w:rPr>
        <w:t xml:space="preserve">, making it increasingly feasible to synthesise </w:t>
      </w:r>
      <w:r w:rsidR="001C1C74">
        <w:rPr>
          <w:iCs/>
        </w:rPr>
        <w:t xml:space="preserve">potentially dangerous genomic sequences, such as the DNA or RNA </w:t>
      </w:r>
      <w:r w:rsidRPr="00DD0CE5">
        <w:rPr>
          <w:iCs/>
        </w:rPr>
        <w:t>of viruses</w:t>
      </w:r>
      <w:r w:rsidR="00442090">
        <w:rPr>
          <w:iCs/>
        </w:rPr>
        <w:t>,</w:t>
      </w:r>
      <w:r w:rsidRPr="00DD0CE5">
        <w:rPr>
          <w:iCs/>
        </w:rPr>
        <w:t xml:space="preserve"> at limited cost. </w:t>
      </w:r>
    </w:p>
    <w:p w14:paraId="7F3EF3D8" w14:textId="44E2C556" w:rsidR="003C6751" w:rsidRDefault="00795AC7" w:rsidP="00A16F25">
      <w:pPr>
        <w:rPr>
          <w:iCs/>
        </w:rPr>
      </w:pPr>
      <w:r>
        <w:rPr>
          <w:iCs/>
        </w:rPr>
        <w:t xml:space="preserve">While </w:t>
      </w:r>
      <w:r w:rsidRPr="00F833CD">
        <w:rPr>
          <w:iCs/>
        </w:rPr>
        <w:t xml:space="preserve">some commercial </w:t>
      </w:r>
      <w:r w:rsidR="00EE7822">
        <w:rPr>
          <w:iCs/>
        </w:rPr>
        <w:t xml:space="preserve">nucleic acid synthesis </w:t>
      </w:r>
      <w:r w:rsidRPr="00F833CD">
        <w:rPr>
          <w:iCs/>
        </w:rPr>
        <w:t xml:space="preserve">providers screen orders to identify </w:t>
      </w:r>
      <w:r w:rsidR="00EE7822">
        <w:rPr>
          <w:iCs/>
        </w:rPr>
        <w:t xml:space="preserve">potentially dangerous </w:t>
      </w:r>
      <w:r w:rsidRPr="00F833CD">
        <w:rPr>
          <w:iCs/>
        </w:rPr>
        <w:t>sequences and verify the legitimacy of their customers</w:t>
      </w:r>
      <w:r w:rsidR="00EE7822">
        <w:rPr>
          <w:iCs/>
        </w:rPr>
        <w:t xml:space="preserve">, there </w:t>
      </w:r>
      <w:r w:rsidR="00F613E1">
        <w:rPr>
          <w:iCs/>
        </w:rPr>
        <w:t xml:space="preserve">are </w:t>
      </w:r>
      <w:r w:rsidR="00EE7822">
        <w:rPr>
          <w:iCs/>
        </w:rPr>
        <w:t>currently no EU</w:t>
      </w:r>
      <w:r w:rsidR="003773EC">
        <w:rPr>
          <w:iCs/>
        </w:rPr>
        <w:t>-level</w:t>
      </w:r>
      <w:r w:rsidR="00EE7822">
        <w:rPr>
          <w:iCs/>
        </w:rPr>
        <w:t xml:space="preserve"> </w:t>
      </w:r>
      <w:r w:rsidR="00157C9F">
        <w:rPr>
          <w:iCs/>
        </w:rPr>
        <w:t>rules on this</w:t>
      </w:r>
      <w:r w:rsidR="00522B91">
        <w:rPr>
          <w:iCs/>
        </w:rPr>
        <w:t>.</w:t>
      </w:r>
      <w:r w:rsidR="00EE7822">
        <w:rPr>
          <w:iCs/>
        </w:rPr>
        <w:t xml:space="preserve"> </w:t>
      </w:r>
      <w:r w:rsidR="00E77516">
        <w:rPr>
          <w:iCs/>
        </w:rPr>
        <w:t>N</w:t>
      </w:r>
      <w:r w:rsidR="000275F7" w:rsidRPr="00DD0CE5">
        <w:rPr>
          <w:iCs/>
        </w:rPr>
        <w:t>ational rules diverge</w:t>
      </w:r>
      <w:r w:rsidR="008E6CB3">
        <w:rPr>
          <w:rStyle w:val="FootnoteReference"/>
          <w:iCs/>
        </w:rPr>
        <w:footnoteReference w:id="117"/>
      </w:r>
      <w:r w:rsidR="000275F7" w:rsidRPr="00DD0CE5">
        <w:rPr>
          <w:iCs/>
        </w:rPr>
        <w:t>, failing to offer a level playing field</w:t>
      </w:r>
      <w:r w:rsidR="008E6CB3">
        <w:rPr>
          <w:iCs/>
        </w:rPr>
        <w:t xml:space="preserve">, </w:t>
      </w:r>
      <w:r w:rsidR="000275F7" w:rsidRPr="00DD0CE5">
        <w:rPr>
          <w:iCs/>
        </w:rPr>
        <w:t xml:space="preserve">fragmenting the </w:t>
      </w:r>
      <w:r w:rsidR="00D57762">
        <w:rPr>
          <w:iCs/>
        </w:rPr>
        <w:t>single</w:t>
      </w:r>
      <w:r w:rsidR="000275F7" w:rsidRPr="00DD0CE5">
        <w:rPr>
          <w:iCs/>
        </w:rPr>
        <w:t xml:space="preserve"> market</w:t>
      </w:r>
      <w:r w:rsidR="008E6CB3">
        <w:rPr>
          <w:iCs/>
        </w:rPr>
        <w:t xml:space="preserve"> and undermining the </w:t>
      </w:r>
      <w:r w:rsidR="00B31A81">
        <w:rPr>
          <w:iCs/>
        </w:rPr>
        <w:t>EU</w:t>
      </w:r>
      <w:r w:rsidR="008E6CB3">
        <w:rPr>
          <w:iCs/>
        </w:rPr>
        <w:t>’s prevention and biosecurity efforts</w:t>
      </w:r>
      <w:r w:rsidR="000275F7" w:rsidRPr="00DD0CE5">
        <w:rPr>
          <w:iCs/>
        </w:rPr>
        <w:t>.</w:t>
      </w:r>
      <w:r w:rsidR="00592307">
        <w:rPr>
          <w:rStyle w:val="FootnoteReference"/>
          <w:iCs/>
        </w:rPr>
        <w:footnoteReference w:id="118"/>
      </w:r>
      <w:r w:rsidR="000275F7" w:rsidRPr="00DD0CE5">
        <w:rPr>
          <w:iCs/>
        </w:rPr>
        <w:t xml:space="preserve"> In stakeholder consultations, </w:t>
      </w:r>
      <w:r w:rsidR="009F4C10">
        <w:rPr>
          <w:iCs/>
        </w:rPr>
        <w:t>several</w:t>
      </w:r>
      <w:r w:rsidR="000275F7" w:rsidRPr="00DD0CE5">
        <w:rPr>
          <w:iCs/>
        </w:rPr>
        <w:t xml:space="preserve"> industry actors, including SMEs, have therefore called for harmonised EU </w:t>
      </w:r>
      <w:r w:rsidR="009F4C10">
        <w:rPr>
          <w:iCs/>
        </w:rPr>
        <w:t xml:space="preserve">biosecurity </w:t>
      </w:r>
      <w:r w:rsidR="00182A52">
        <w:rPr>
          <w:iCs/>
        </w:rPr>
        <w:t>rules</w:t>
      </w:r>
      <w:r w:rsidR="000275F7" w:rsidRPr="00DD0CE5">
        <w:rPr>
          <w:iCs/>
        </w:rPr>
        <w:t>.</w:t>
      </w:r>
    </w:p>
    <w:p w14:paraId="0EC540CB" w14:textId="29A3E808" w:rsidR="009D2151" w:rsidRPr="00FE42C8" w:rsidRDefault="00B57A9B" w:rsidP="00107001">
      <w:r w:rsidRPr="00514904">
        <w:t xml:space="preserve">Finally, </w:t>
      </w:r>
      <w:r w:rsidR="00564050">
        <w:t xml:space="preserve">the </w:t>
      </w:r>
      <w:r w:rsidR="00564050" w:rsidRPr="00107001">
        <w:rPr>
          <w:b/>
          <w:bCs/>
        </w:rPr>
        <w:t xml:space="preserve">potential of data and AI </w:t>
      </w:r>
      <w:r w:rsidR="00564050">
        <w:t xml:space="preserve">remains largely untapped in the EU. </w:t>
      </w:r>
      <w:r w:rsidR="003F653F">
        <w:t>Despite new regulatory frameworks (</w:t>
      </w:r>
      <w:r w:rsidR="003F653F" w:rsidRPr="003F653F">
        <w:t>European Open Science Cloud, AI regulatory sandboxes mandated in the AI Act, EuroHPC/AI factories/gigafactories</w:t>
      </w:r>
      <w:r w:rsidR="003F653F">
        <w:t>), some challenges remain.</w:t>
      </w:r>
      <w:r w:rsidR="00564050">
        <w:t xml:space="preserve"> </w:t>
      </w:r>
      <w:r w:rsidR="00C323B7" w:rsidRPr="00107001">
        <w:rPr>
          <w:b/>
          <w:bCs/>
        </w:rPr>
        <w:t>AI</w:t>
      </w:r>
      <w:r w:rsidR="00C323B7">
        <w:t xml:space="preserve"> </w:t>
      </w:r>
      <w:r w:rsidR="00C323B7" w:rsidRPr="00ED1875">
        <w:rPr>
          <w:b/>
        </w:rPr>
        <w:t>biotech platforms</w:t>
      </w:r>
      <w:r w:rsidR="00C323B7">
        <w:t xml:space="preserve"> are inherently capital-intensive, relying on costly model training and large-scale data generation, </w:t>
      </w:r>
      <w:r w:rsidR="00C323B7" w:rsidRPr="001E6721">
        <w:t xml:space="preserve">and depend on access to </w:t>
      </w:r>
      <w:r w:rsidR="00C323B7" w:rsidRPr="007F3BFB">
        <w:rPr>
          <w:b/>
          <w:bCs/>
        </w:rPr>
        <w:t>high-quality data</w:t>
      </w:r>
      <w:r w:rsidR="00C323B7" w:rsidRPr="001E6721">
        <w:t xml:space="preserve"> and advanced comput</w:t>
      </w:r>
      <w:r w:rsidR="00C323B7">
        <w:t>ing</w:t>
      </w:r>
      <w:r w:rsidR="00C323B7" w:rsidRPr="001E6721">
        <w:t xml:space="preserve"> infrastructure, which remain comparatively limited in the EU</w:t>
      </w:r>
      <w:r w:rsidR="00C323B7" w:rsidRPr="0091272B">
        <w:rPr>
          <w:rStyle w:val="FootnoteReference"/>
          <w:rFonts w:cs="Arial"/>
        </w:rPr>
        <w:footnoteReference w:id="119"/>
      </w:r>
      <w:r w:rsidR="00C323B7" w:rsidRPr="00E84E83">
        <w:rPr>
          <w:rFonts w:cs="Arial"/>
        </w:rPr>
        <w:t>.</w:t>
      </w:r>
      <w:r w:rsidR="00C323B7" w:rsidRPr="25492587">
        <w:rPr>
          <w:lang w:val="en-IE"/>
        </w:rPr>
        <w:t xml:space="preserve"> </w:t>
      </w:r>
      <w:r w:rsidR="00C323B7">
        <w:t xml:space="preserve">Furthermore, </w:t>
      </w:r>
      <w:r w:rsidRPr="00514904">
        <w:t>t</w:t>
      </w:r>
      <w:r w:rsidR="000275F7" w:rsidRPr="00514904">
        <w:t xml:space="preserve">he </w:t>
      </w:r>
      <w:r w:rsidR="000275F7" w:rsidRPr="00514904">
        <w:rPr>
          <w:b/>
        </w:rPr>
        <w:t>scaling of AI</w:t>
      </w:r>
      <w:r w:rsidR="00A0029A" w:rsidRPr="00514904">
        <w:rPr>
          <w:rStyle w:val="FootnoteReference"/>
        </w:rPr>
        <w:footnoteReference w:id="120"/>
      </w:r>
      <w:r w:rsidR="000275F7" w:rsidRPr="00514904">
        <w:t xml:space="preserve"> in biotechnology</w:t>
      </w:r>
      <w:r w:rsidR="00931C1D">
        <w:t xml:space="preserve"> </w:t>
      </w:r>
      <w:r w:rsidR="008B22F2" w:rsidRPr="00514904">
        <w:rPr>
          <w:color w:val="000000" w:themeColor="text1"/>
        </w:rPr>
        <w:t>require</w:t>
      </w:r>
      <w:r w:rsidR="00E12871">
        <w:rPr>
          <w:color w:val="000000" w:themeColor="text1"/>
        </w:rPr>
        <w:t>s</w:t>
      </w:r>
      <w:r w:rsidR="008B22F2" w:rsidRPr="00514904">
        <w:rPr>
          <w:color w:val="000000" w:themeColor="text1"/>
        </w:rPr>
        <w:t xml:space="preserve"> </w:t>
      </w:r>
      <w:r w:rsidR="00863BE7" w:rsidRPr="00514904">
        <w:rPr>
          <w:color w:val="000000" w:themeColor="text1"/>
        </w:rPr>
        <w:t>sophisticated experimentation environments capable of integrating high-</w:t>
      </w:r>
      <w:r w:rsidR="00863BE7" w:rsidRPr="00143261">
        <w:rPr>
          <w:rStyle w:val="BodyTextChar"/>
        </w:rPr>
        <w:t>performance computing, biological laboratories and advanced data infrastructures</w:t>
      </w:r>
      <w:r w:rsidR="00863BE7" w:rsidRPr="00753E5D">
        <w:rPr>
          <w:rStyle w:val="BodyTextChar"/>
        </w:rPr>
        <w:t>.</w:t>
      </w:r>
      <w:r w:rsidR="007F3BFB" w:rsidRPr="00753E5D">
        <w:rPr>
          <w:rStyle w:val="BodyTextChar"/>
          <w:vertAlign w:val="superscript"/>
        </w:rPr>
        <w:footnoteReference w:id="121"/>
      </w:r>
      <w:r w:rsidR="00863BE7" w:rsidRPr="00753E5D">
        <w:rPr>
          <w:rStyle w:val="BodyTextChar"/>
        </w:rPr>
        <w:t xml:space="preserve"> </w:t>
      </w:r>
      <w:r w:rsidR="005012BB" w:rsidRPr="00753E5D">
        <w:rPr>
          <w:rStyle w:val="BodyTextChar"/>
        </w:rPr>
        <w:t xml:space="preserve">However, the availability of such integrated environments remains limited in the </w:t>
      </w:r>
      <w:r w:rsidR="00753E5D" w:rsidRPr="00753E5D">
        <w:rPr>
          <w:rStyle w:val="BodyTextChar"/>
        </w:rPr>
        <w:t>EU</w:t>
      </w:r>
      <w:r w:rsidR="005012BB" w:rsidRPr="00753E5D">
        <w:rPr>
          <w:rStyle w:val="BodyTextChar"/>
        </w:rPr>
        <w:t>.</w:t>
      </w:r>
      <w:r w:rsidR="0038396B" w:rsidRPr="00753E5D">
        <w:rPr>
          <w:rStyle w:val="BodyTextChar"/>
        </w:rPr>
        <w:t xml:space="preserve"> </w:t>
      </w:r>
      <w:r w:rsidR="00FE495E" w:rsidRPr="00753E5D">
        <w:rPr>
          <w:rStyle w:val="BodyTextChar"/>
        </w:rPr>
        <w:t>S</w:t>
      </w:r>
      <w:r w:rsidR="00875CBA" w:rsidRPr="00753E5D">
        <w:rPr>
          <w:rStyle w:val="BodyTextChar"/>
        </w:rPr>
        <w:t xml:space="preserve">takeholders </w:t>
      </w:r>
      <w:r w:rsidR="005A7598" w:rsidRPr="00753E5D">
        <w:rPr>
          <w:rStyle w:val="BodyTextChar"/>
        </w:rPr>
        <w:t xml:space="preserve">underlined </w:t>
      </w:r>
      <w:r w:rsidR="00875CBA" w:rsidRPr="00753E5D">
        <w:rPr>
          <w:rStyle w:val="BodyTextChar"/>
        </w:rPr>
        <w:t>the importance of</w:t>
      </w:r>
      <w:r w:rsidR="0038396B" w:rsidRPr="00753E5D">
        <w:rPr>
          <w:rStyle w:val="BodyTextChar"/>
        </w:rPr>
        <w:t xml:space="preserve"> collaborative environments that facilitate the responsible testing, validation and deployment of AI-enabled biotechnology solutions while ensuring compliance with </w:t>
      </w:r>
      <w:r w:rsidR="00DA0AD4" w:rsidRPr="00753E5D">
        <w:rPr>
          <w:rStyle w:val="BodyTextChar"/>
        </w:rPr>
        <w:t>EU legislation</w:t>
      </w:r>
      <w:r w:rsidR="005A7598" w:rsidRPr="00D63DC4">
        <w:rPr>
          <w:rStyle w:val="FootnoteReference"/>
        </w:rPr>
        <w:footnoteReference w:id="122"/>
      </w:r>
      <w:r w:rsidR="0038396B" w:rsidRPr="00753E5D">
        <w:rPr>
          <w:rStyle w:val="BodyTextChar"/>
        </w:rPr>
        <w:t>.</w:t>
      </w:r>
      <w:r w:rsidR="0038396B" w:rsidRPr="00143261">
        <w:rPr>
          <w:rStyle w:val="BodyTextChar"/>
        </w:rPr>
        <w:t xml:space="preserve"> </w:t>
      </w:r>
    </w:p>
    <w:p w14:paraId="16D974DE" w14:textId="64F6F988" w:rsidR="002B17D2" w:rsidRDefault="002B17D2" w:rsidP="00743AFD">
      <w:pPr>
        <w:pStyle w:val="Heading2"/>
      </w:pPr>
      <w:bookmarkStart w:id="71" w:name="_Toc224747201"/>
      <w:bookmarkStart w:id="72" w:name="_Toc224749671"/>
      <w:bookmarkStart w:id="73" w:name="_Toc225974549"/>
      <w:bookmarkStart w:id="74" w:name="_Toc225975222"/>
      <w:bookmarkStart w:id="75" w:name="_Toc225975279"/>
      <w:bookmarkStart w:id="76" w:name="_Toc227941840"/>
      <w:r>
        <w:t>Consequences</w:t>
      </w:r>
      <w:bookmarkEnd w:id="71"/>
      <w:bookmarkEnd w:id="72"/>
      <w:bookmarkEnd w:id="73"/>
      <w:bookmarkEnd w:id="74"/>
      <w:bookmarkEnd w:id="75"/>
      <w:bookmarkEnd w:id="76"/>
    </w:p>
    <w:p w14:paraId="5C4C784F" w14:textId="5B1DD014" w:rsidR="002B17D2" w:rsidRDefault="002B17D2" w:rsidP="002B17D2">
      <w:pPr>
        <w:pStyle w:val="Heading3"/>
      </w:pPr>
      <w:bookmarkStart w:id="77" w:name="_Toc224747202"/>
      <w:bookmarkStart w:id="78" w:name="_Toc224749672"/>
      <w:bookmarkStart w:id="79" w:name="_Toc225974550"/>
      <w:bookmarkStart w:id="80" w:name="_Toc225975223"/>
      <w:bookmarkStart w:id="81" w:name="_Toc225975280"/>
      <w:r>
        <w:t>EU is facing a major competitiveness gap in biotech, despite being a leader in science</w:t>
      </w:r>
      <w:bookmarkEnd w:id="77"/>
      <w:bookmarkEnd w:id="78"/>
      <w:bookmarkEnd w:id="79"/>
      <w:bookmarkEnd w:id="80"/>
      <w:bookmarkEnd w:id="81"/>
    </w:p>
    <w:p w14:paraId="70D151CD" w14:textId="34C48D5C" w:rsidR="002B17D2" w:rsidRPr="002B17D2" w:rsidRDefault="000D6884" w:rsidP="00D60200">
      <w:r>
        <w:t xml:space="preserve">The problem </w:t>
      </w:r>
      <w:r w:rsidR="00B10A6E">
        <w:t xml:space="preserve">presented in section 3.1. </w:t>
      </w:r>
      <w:r w:rsidR="00CA7770">
        <w:t xml:space="preserve">results in </w:t>
      </w:r>
      <w:r w:rsidR="00B10A6E">
        <w:t>a</w:t>
      </w:r>
      <w:r w:rsidR="00CA7770">
        <w:t xml:space="preserve"> </w:t>
      </w:r>
      <w:r w:rsidR="00CA7770" w:rsidRPr="00D63DC4">
        <w:rPr>
          <w:b/>
          <w:bCs/>
        </w:rPr>
        <w:t xml:space="preserve">gap </w:t>
      </w:r>
      <w:r w:rsidR="00CA7770" w:rsidRPr="00CA7770">
        <w:rPr>
          <w:b/>
          <w:bCs/>
        </w:rPr>
        <w:t>between the EU and the US</w:t>
      </w:r>
      <w:r w:rsidR="00CA7770" w:rsidRPr="00753E5D">
        <w:rPr>
          <w:b/>
          <w:bCs/>
        </w:rPr>
        <w:t xml:space="preserve"> in terms of</w:t>
      </w:r>
      <w:r w:rsidR="002B17D2" w:rsidRPr="00753E5D">
        <w:rPr>
          <w:b/>
          <w:bCs/>
        </w:rPr>
        <w:t xml:space="preserve"> </w:t>
      </w:r>
      <w:r w:rsidR="002B17D2" w:rsidRPr="00CA7770">
        <w:rPr>
          <w:b/>
          <w:bCs/>
        </w:rPr>
        <w:t>entrepreneurial dynamism</w:t>
      </w:r>
      <w:r w:rsidR="001B7072">
        <w:t>. T</w:t>
      </w:r>
      <w:r w:rsidR="002B17D2" w:rsidRPr="00DD0CE5">
        <w:t>he EU only represent</w:t>
      </w:r>
      <w:r w:rsidR="001B7072">
        <w:t>s</w:t>
      </w:r>
      <w:r w:rsidR="002B17D2" w:rsidRPr="00DD0CE5">
        <w:t xml:space="preserve"> 22</w:t>
      </w:r>
      <w:r w:rsidR="00405618">
        <w:t>%</w:t>
      </w:r>
      <w:r w:rsidR="002B17D2" w:rsidRPr="00DD0CE5">
        <w:t xml:space="preserve"> of </w:t>
      </w:r>
      <w:r w:rsidR="00272EA2">
        <w:t xml:space="preserve">the </w:t>
      </w:r>
      <w:r w:rsidR="002B17D2" w:rsidRPr="00DD0CE5">
        <w:t>global biotech start</w:t>
      </w:r>
      <w:r w:rsidR="229725CE" w:rsidRPr="00DD0CE5">
        <w:t>-</w:t>
      </w:r>
      <w:r w:rsidR="002B17D2" w:rsidRPr="00DD0CE5">
        <w:t xml:space="preserve">up activity </w:t>
      </w:r>
      <w:r w:rsidR="00653D76">
        <w:t>(</w:t>
      </w:r>
      <w:r w:rsidR="00272EA2">
        <w:t xml:space="preserve">i.e. </w:t>
      </w:r>
      <w:r w:rsidR="00653D76">
        <w:t xml:space="preserve">start-ups founded since 2015) </w:t>
      </w:r>
      <w:r w:rsidR="002B17D2" w:rsidRPr="00DD0CE5">
        <w:t>while the U</w:t>
      </w:r>
      <w:r w:rsidR="002243E4">
        <w:t>S</w:t>
      </w:r>
      <w:r w:rsidR="002B17D2" w:rsidRPr="00DD0CE5">
        <w:t xml:space="preserve"> accoun</w:t>
      </w:r>
      <w:r w:rsidR="001B7072">
        <w:t>ts</w:t>
      </w:r>
      <w:r w:rsidR="002B17D2" w:rsidRPr="00DD0CE5">
        <w:t xml:space="preserve"> for nearly half (49</w:t>
      </w:r>
      <w:r w:rsidR="00405618">
        <w:t>%</w:t>
      </w:r>
      <w:r w:rsidR="002B17D2" w:rsidRPr="00DD0CE5">
        <w:t xml:space="preserve">) of </w:t>
      </w:r>
      <w:r w:rsidR="00653D76">
        <w:t>them</w:t>
      </w:r>
      <w:r w:rsidR="002B17D2">
        <w:t xml:space="preserve"> (see Annex 5, Figure </w:t>
      </w:r>
      <w:r w:rsidR="002B17D2" w:rsidRPr="00887E80">
        <w:t>6)</w:t>
      </w:r>
      <w:r w:rsidR="00653D76" w:rsidRPr="00887E80">
        <w:rPr>
          <w:rStyle w:val="FootnoteReference"/>
        </w:rPr>
        <w:footnoteReference w:id="123"/>
      </w:r>
      <w:r w:rsidR="002B17D2" w:rsidRPr="00887E80">
        <w:t xml:space="preserve">. </w:t>
      </w:r>
    </w:p>
    <w:p w14:paraId="7E22CA3E" w14:textId="5B5B4C7F" w:rsidR="001476C3" w:rsidRPr="00542C02" w:rsidRDefault="00402A5A" w:rsidP="00D60200">
      <w:pPr>
        <w:rPr>
          <w:b/>
          <w:bCs/>
        </w:rPr>
      </w:pPr>
      <w:r>
        <w:rPr>
          <w:b/>
          <w:bCs/>
        </w:rPr>
        <w:t>This competitiveness gap</w:t>
      </w:r>
      <w:r w:rsidR="001476C3" w:rsidRPr="00542C02">
        <w:rPr>
          <w:b/>
          <w:bCs/>
        </w:rPr>
        <w:t xml:space="preserve"> </w:t>
      </w:r>
      <w:r w:rsidR="00551D03">
        <w:rPr>
          <w:b/>
          <w:bCs/>
        </w:rPr>
        <w:t xml:space="preserve">is </w:t>
      </w:r>
      <w:r w:rsidR="001476C3" w:rsidRPr="00542C02">
        <w:rPr>
          <w:b/>
          <w:bCs/>
        </w:rPr>
        <w:t>observed across the health and agri-food biotechnology sectors:</w:t>
      </w:r>
    </w:p>
    <w:p w14:paraId="2DB08457" w14:textId="1BECA9EC" w:rsidR="001476C3" w:rsidRPr="00DD0CE5" w:rsidRDefault="001476C3" w:rsidP="00D60200">
      <w:r w:rsidRPr="00DD0CE5">
        <w:t xml:space="preserve">The EU is becoming less attractive to sponsors for </w:t>
      </w:r>
      <w:r w:rsidRPr="00457F03">
        <w:rPr>
          <w:b/>
        </w:rPr>
        <w:t xml:space="preserve">conducting </w:t>
      </w:r>
      <w:r w:rsidR="00B94FEA">
        <w:rPr>
          <w:b/>
        </w:rPr>
        <w:t>clinical trials</w:t>
      </w:r>
      <w:r w:rsidRPr="00DD0CE5">
        <w:t xml:space="preserve"> in global comparison</w:t>
      </w:r>
      <w:r w:rsidR="005B2DC1">
        <w:t>,</w:t>
      </w:r>
      <w:r w:rsidRPr="00DD0CE5">
        <w:t xml:space="preserve"> affecting the economy</w:t>
      </w:r>
      <w:r w:rsidR="496698D6" w:rsidRPr="00DD0CE5">
        <w:t>,</w:t>
      </w:r>
      <w:r w:rsidRPr="00DD0CE5">
        <w:t xml:space="preserve"> public health</w:t>
      </w:r>
      <w:r w:rsidR="2E77DB9C" w:rsidRPr="00DD0CE5">
        <w:t>, and skill capacity building</w:t>
      </w:r>
      <w:r>
        <w:t>.</w:t>
      </w:r>
      <w:r w:rsidR="699DB00D">
        <w:t xml:space="preserve"> </w:t>
      </w:r>
      <w:r w:rsidRPr="00DD0CE5">
        <w:t xml:space="preserve">The number of </w:t>
      </w:r>
      <w:r w:rsidR="00CA06F8">
        <w:t>clinical trials</w:t>
      </w:r>
      <w:r w:rsidRPr="00DD0CE5">
        <w:t xml:space="preserve"> conducted worldwide has increased substantially over the past decade, rising from approximately 13,000 in 2013 to 22,000 in 2023. Over the same period, the geographical distribution of </w:t>
      </w:r>
      <w:r w:rsidR="00DA5AC5">
        <w:t>clinical trial</w:t>
      </w:r>
      <w:r w:rsidR="00735EC1">
        <w:t>s</w:t>
      </w:r>
      <w:r w:rsidRPr="00DD0CE5">
        <w:t xml:space="preserve"> has shifted markedly. While the </w:t>
      </w:r>
      <w:r w:rsidRPr="281AABB8">
        <w:rPr>
          <w:b/>
          <w:bCs/>
        </w:rPr>
        <w:t xml:space="preserve">EEA’s share of global </w:t>
      </w:r>
      <w:r w:rsidR="00B94FEA">
        <w:rPr>
          <w:b/>
          <w:bCs/>
        </w:rPr>
        <w:t>clinical trial</w:t>
      </w:r>
      <w:r w:rsidR="00735EC1">
        <w:rPr>
          <w:b/>
          <w:bCs/>
        </w:rPr>
        <w:t>s</w:t>
      </w:r>
      <w:r w:rsidRPr="281AABB8">
        <w:rPr>
          <w:b/>
          <w:bCs/>
        </w:rPr>
        <w:t xml:space="preserve"> declined</w:t>
      </w:r>
      <w:r w:rsidRPr="00DD0CE5" w:rsidDel="00CD6DB1">
        <w:t xml:space="preserve"> from 18</w:t>
      </w:r>
      <w:r w:rsidR="00405618">
        <w:t>%</w:t>
      </w:r>
      <w:r w:rsidRPr="00DD0CE5" w:rsidDel="00CD6DB1">
        <w:t xml:space="preserve"> in 2013 to 9</w:t>
      </w:r>
      <w:r w:rsidR="00405618">
        <w:t>%</w:t>
      </w:r>
      <w:r w:rsidRPr="00DD0CE5" w:rsidDel="00CD6DB1">
        <w:t xml:space="preserve"> in 2023</w:t>
      </w:r>
      <w:r w:rsidRPr="00DD0CE5">
        <w:t>, China’s share increased from less than 10</w:t>
      </w:r>
      <w:r w:rsidR="00405618">
        <w:t>%</w:t>
      </w:r>
      <w:r w:rsidRPr="00DD0CE5">
        <w:t xml:space="preserve"> to nearly 30</w:t>
      </w:r>
      <w:r w:rsidR="00405618">
        <w:t>%</w:t>
      </w:r>
      <w:r w:rsidR="00446956">
        <w:rPr>
          <w:rStyle w:val="FootnoteReference"/>
        </w:rPr>
        <w:footnoteReference w:id="124"/>
      </w:r>
      <w:r w:rsidR="006A42EF">
        <w:t xml:space="preserve">. </w:t>
      </w:r>
      <w:r w:rsidR="00F30B10" w:rsidRPr="00F30B10">
        <w:t xml:space="preserve">A similar trend is observed in cell and gene therapy trials: between 2013 and 2023, Europe’s </w:t>
      </w:r>
      <w:r w:rsidR="000F70D6">
        <w:t>global</w:t>
      </w:r>
      <w:r w:rsidR="00025547">
        <w:t xml:space="preserve"> share </w:t>
      </w:r>
      <w:r w:rsidR="00F30B10" w:rsidRPr="00F30B10">
        <w:t>steadily declined, whereas China experienced a dramatic rise over the same period, emerging as the leading region</w:t>
      </w:r>
      <w:r w:rsidR="0002171D" w:rsidRPr="0002171D">
        <w:t>.</w:t>
      </w:r>
      <w:r w:rsidR="0002171D">
        <w:rPr>
          <w:rStyle w:val="FootnoteReference"/>
        </w:rPr>
        <w:footnoteReference w:id="125"/>
      </w:r>
      <w:r w:rsidR="007A59D2">
        <w:t xml:space="preserve"> </w:t>
      </w:r>
      <w:r w:rsidR="1ADB6797" w:rsidRPr="52D7A634">
        <w:rPr>
          <w:rFonts w:eastAsia="Times New Roman"/>
        </w:rPr>
        <w:t>This growth also reflects a different portfolio structure, with China placing stronger emphasis on early-stage</w:t>
      </w:r>
      <w:r w:rsidR="00DD7AED">
        <w:rPr>
          <w:rFonts w:eastAsia="Times New Roman"/>
        </w:rPr>
        <w:t xml:space="preserve"> and </w:t>
      </w:r>
      <w:r w:rsidR="004B69C8" w:rsidRPr="004B69C8">
        <w:rPr>
          <w:rFonts w:eastAsia="Times New Roman"/>
        </w:rPr>
        <w:t>post-marketing</w:t>
      </w:r>
      <w:r w:rsidR="1ADB6797" w:rsidRPr="52D7A634">
        <w:rPr>
          <w:rFonts w:eastAsia="Times New Roman"/>
        </w:rPr>
        <w:t xml:space="preserve"> development, particularly </w:t>
      </w:r>
      <w:r w:rsidR="00543855">
        <w:rPr>
          <w:rFonts w:eastAsia="Times New Roman"/>
        </w:rPr>
        <w:t>mono</w:t>
      </w:r>
      <w:r w:rsidR="1ADB6797" w:rsidRPr="6EA4DCA1">
        <w:rPr>
          <w:rFonts w:eastAsia="Times New Roman"/>
        </w:rPr>
        <w:t>national</w:t>
      </w:r>
      <w:r w:rsidR="1ADB6797" w:rsidRPr="52D7A634">
        <w:rPr>
          <w:rFonts w:eastAsia="Times New Roman"/>
        </w:rPr>
        <w:t xml:space="preserve"> Phase I</w:t>
      </w:r>
      <w:r w:rsidR="004B69C8">
        <w:rPr>
          <w:rFonts w:eastAsia="Times New Roman"/>
        </w:rPr>
        <w:t xml:space="preserve"> and Part IV</w:t>
      </w:r>
      <w:r w:rsidR="1ADB6797" w:rsidRPr="52D7A634">
        <w:rPr>
          <w:rFonts w:eastAsia="Times New Roman"/>
        </w:rPr>
        <w:t xml:space="preserve"> trials, compared to the</w:t>
      </w:r>
      <w:r w:rsidR="004F4F99">
        <w:rPr>
          <w:rFonts w:eastAsia="Times New Roman"/>
        </w:rPr>
        <w:t xml:space="preserve"> EEA’s stronger focus on</w:t>
      </w:r>
      <w:r w:rsidR="1ADB6797" w:rsidRPr="52D7A634">
        <w:rPr>
          <w:rFonts w:eastAsia="Times New Roman"/>
        </w:rPr>
        <w:t xml:space="preserve"> </w:t>
      </w:r>
      <w:r w:rsidR="1ADB6797" w:rsidRPr="6EA4DCA1">
        <w:rPr>
          <w:rFonts w:eastAsia="Times New Roman"/>
        </w:rPr>
        <w:t>mult</w:t>
      </w:r>
      <w:r w:rsidR="5E92523C" w:rsidRPr="6EA4DCA1">
        <w:rPr>
          <w:rFonts w:eastAsia="Times New Roman"/>
        </w:rPr>
        <w:t>inational</w:t>
      </w:r>
      <w:r w:rsidR="1ADB6797" w:rsidRPr="52D7A634">
        <w:rPr>
          <w:rFonts w:eastAsia="Times New Roman"/>
        </w:rPr>
        <w:t xml:space="preserve"> </w:t>
      </w:r>
      <w:r w:rsidR="00543855">
        <w:rPr>
          <w:rFonts w:eastAsia="Times New Roman"/>
        </w:rPr>
        <w:t>Phase II</w:t>
      </w:r>
      <w:r w:rsidR="00AA2F7D">
        <w:rPr>
          <w:rFonts w:eastAsia="Times New Roman"/>
        </w:rPr>
        <w:t xml:space="preserve"> </w:t>
      </w:r>
      <w:r w:rsidR="00543855">
        <w:rPr>
          <w:rFonts w:eastAsia="Times New Roman"/>
        </w:rPr>
        <w:t xml:space="preserve">and </w:t>
      </w:r>
      <w:r w:rsidR="00AA2F7D">
        <w:rPr>
          <w:rFonts w:eastAsia="Times New Roman"/>
        </w:rPr>
        <w:t>Phase III</w:t>
      </w:r>
      <w:r w:rsidR="00543855">
        <w:rPr>
          <w:rFonts w:eastAsia="Times New Roman"/>
        </w:rPr>
        <w:t xml:space="preserve"> trials</w:t>
      </w:r>
      <w:r w:rsidRPr="52D7A634">
        <w:rPr>
          <w:rFonts w:eastAsia="Times New Roman"/>
          <w:vertAlign w:val="superscript"/>
        </w:rPr>
        <w:footnoteReference w:id="126"/>
      </w:r>
      <w:r w:rsidR="1ADB6797" w:rsidRPr="52D7A634">
        <w:rPr>
          <w:rFonts w:eastAsia="Times New Roman"/>
        </w:rPr>
        <w:t>.</w:t>
      </w:r>
      <w:r w:rsidR="006A42EF" w:rsidRPr="52D7A634">
        <w:rPr>
          <w:rFonts w:eastAsia="Times New Roman"/>
        </w:rPr>
        <w:t xml:space="preserve"> </w:t>
      </w:r>
      <w:r>
        <w:t xml:space="preserve">Despite </w:t>
      </w:r>
      <w:r w:rsidR="31F34F40">
        <w:t>the</w:t>
      </w:r>
      <w:r>
        <w:t xml:space="preserve"> strong growth in global clinical trial activity, the level of activity </w:t>
      </w:r>
      <w:r w:rsidR="41A16460" w:rsidRPr="00ED1875">
        <w:rPr>
          <w:rFonts w:eastAsia="Times New Roman"/>
        </w:rPr>
        <w:t xml:space="preserve">in terms of number of clinical trials submissions </w:t>
      </w:r>
      <w:r>
        <w:t>in the EU remained broadly stable between 2013 and 2025</w:t>
      </w:r>
      <w:r w:rsidR="50243868" w:rsidRPr="7ED2B1D5">
        <w:rPr>
          <w:vertAlign w:val="superscript"/>
        </w:rPr>
        <w:footnoteReference w:id="127"/>
      </w:r>
      <w:r w:rsidR="00053107">
        <w:t xml:space="preserve">. </w:t>
      </w:r>
      <w:r w:rsidRPr="00DD0CE5">
        <w:t xml:space="preserve">Consequently, the EU did not capture a proportional share of this growth, leading to a widening competitiveness gap relative to other regions with potential implications for economic performance and timely access </w:t>
      </w:r>
      <w:r w:rsidR="51561497" w:rsidRPr="00DD0CE5">
        <w:t xml:space="preserve">by patients </w:t>
      </w:r>
      <w:r w:rsidRPr="00DD0CE5">
        <w:t>to innovative treatments</w:t>
      </w:r>
      <w:r w:rsidRPr="04068A55">
        <w:rPr>
          <w:vertAlign w:val="superscript"/>
        </w:rPr>
        <w:footnoteReference w:id="128"/>
      </w:r>
      <w:r w:rsidRPr="00DD0CE5">
        <w:t>.</w:t>
      </w:r>
      <w:r w:rsidR="67E261AE" w:rsidRPr="00DD0CE5">
        <w:t xml:space="preserve"> </w:t>
      </w:r>
    </w:p>
    <w:p w14:paraId="67D1BC3E" w14:textId="0ADD66FC" w:rsidR="001476C3" w:rsidRPr="00DD0CE5" w:rsidRDefault="000F4799" w:rsidP="00D60200">
      <w:pPr>
        <w:rPr>
          <w:b/>
          <w:bCs/>
        </w:rPr>
      </w:pPr>
      <w:r w:rsidRPr="00DD0CE5">
        <w:rPr>
          <w:noProof/>
          <w:sz w:val="20"/>
          <w:szCs w:val="20"/>
        </w:rPr>
        <w:drawing>
          <wp:anchor distT="0" distB="0" distL="114300" distR="114300" simplePos="0" relativeHeight="251658241" behindDoc="0" locked="0" layoutInCell="1" allowOverlap="1" wp14:anchorId="20E9C863" wp14:editId="252F2F79">
            <wp:simplePos x="0" y="0"/>
            <wp:positionH relativeFrom="column">
              <wp:posOffset>-17145</wp:posOffset>
            </wp:positionH>
            <wp:positionV relativeFrom="paragraph">
              <wp:posOffset>346075</wp:posOffset>
            </wp:positionV>
            <wp:extent cx="5467350" cy="3534410"/>
            <wp:effectExtent l="0" t="0" r="0" b="8890"/>
            <wp:wrapSquare wrapText="bothSides"/>
            <wp:docPr id="1255851359" name="drawing" descr="A graph with lines and number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44457533" name="drawing" descr="A graph with lines and numbers&#10;&#10;AI-generated content may be incorrect."/>
                    <pic:cNvPicPr/>
                  </pic:nvPicPr>
                  <pic:blipFill>
                    <a:blip r:embed="rId19">
                      <a:extLst>
                        <a:ext uri="{28A0092B-C50C-407E-A947-70E740481C1C}">
                          <a14:useLocalDpi xmlns:a14="http://schemas.microsoft.com/office/drawing/2010/main"/>
                        </a:ext>
                      </a:extLst>
                    </a:blip>
                    <a:stretch>
                      <a:fillRect/>
                    </a:stretch>
                  </pic:blipFill>
                  <pic:spPr>
                    <a:xfrm>
                      <a:off x="0" y="0"/>
                      <a:ext cx="5467350" cy="3534410"/>
                    </a:xfrm>
                    <a:prstGeom prst="rect">
                      <a:avLst/>
                    </a:prstGeom>
                  </pic:spPr>
                </pic:pic>
              </a:graphicData>
            </a:graphic>
            <wp14:sizeRelH relativeFrom="page">
              <wp14:pctWidth>0</wp14:pctWidth>
            </wp14:sizeRelH>
            <wp14:sizeRelV relativeFrom="page">
              <wp14:pctHeight>0</wp14:pctHeight>
            </wp14:sizeRelV>
          </wp:anchor>
        </w:drawing>
      </w:r>
      <w:r w:rsidR="001476C3" w:rsidRPr="00DD0CE5">
        <w:rPr>
          <w:b/>
          <w:bCs/>
        </w:rPr>
        <w:t xml:space="preserve">Figure </w:t>
      </w:r>
      <w:r w:rsidR="001476C3">
        <w:rPr>
          <w:b/>
          <w:bCs/>
        </w:rPr>
        <w:t>2</w:t>
      </w:r>
      <w:r w:rsidR="00603F93">
        <w:rPr>
          <w:b/>
          <w:bCs/>
        </w:rPr>
        <w:t xml:space="preserve">. </w:t>
      </w:r>
      <w:r w:rsidR="001476C3" w:rsidRPr="00DD0CE5">
        <w:rPr>
          <w:b/>
          <w:bCs/>
        </w:rPr>
        <w:t>Clinical trial activity in the EU</w:t>
      </w:r>
      <w:r w:rsidR="001476C3" w:rsidRPr="00DD0CE5">
        <w:rPr>
          <w:rStyle w:val="FootnoteReference"/>
          <w:b/>
          <w:bCs/>
        </w:rPr>
        <w:footnoteReference w:id="129"/>
      </w:r>
    </w:p>
    <w:p w14:paraId="742F9107" w14:textId="613F72C3" w:rsidR="001476C3" w:rsidRPr="00DD0CE5" w:rsidRDefault="001476C3" w:rsidP="00D60200">
      <w:pPr>
        <w:rPr>
          <w:i/>
          <w:iCs/>
        </w:rPr>
      </w:pPr>
      <w:r w:rsidRPr="00672185">
        <w:rPr>
          <w:b/>
          <w:i/>
        </w:rPr>
        <w:t>N</w:t>
      </w:r>
      <w:r w:rsidRPr="00DD0CE5">
        <w:rPr>
          <w:b/>
          <w:bCs/>
          <w:i/>
          <w:iCs/>
        </w:rPr>
        <w:t>ote</w:t>
      </w:r>
      <w:r w:rsidRPr="00DD0CE5">
        <w:rPr>
          <w:i/>
          <w:iCs/>
        </w:rPr>
        <w:t xml:space="preserve">: Figure </w:t>
      </w:r>
      <w:r>
        <w:rPr>
          <w:i/>
          <w:iCs/>
        </w:rPr>
        <w:t>2</w:t>
      </w:r>
      <w:r w:rsidRPr="00DD0CE5">
        <w:rPr>
          <w:i/>
          <w:iCs/>
        </w:rPr>
        <w:t xml:space="preserve"> describes the trend in the submission of clinical trial applications in the EU between 2013 and 2025. The bars illustrate the total number of applications per year, while the remaining lines show the share of the applications for mononational, commercial, paediatric and rare-disease trials.</w:t>
      </w:r>
    </w:p>
    <w:p w14:paraId="213135BF" w14:textId="5E91765C" w:rsidR="007B738C" w:rsidRDefault="06B5A198" w:rsidP="00D60200">
      <w:r w:rsidRPr="00DD0CE5">
        <w:t xml:space="preserve">The gap in </w:t>
      </w:r>
      <w:r w:rsidR="0064060E">
        <w:t>clinical trial</w:t>
      </w:r>
      <w:r w:rsidRPr="00DD0CE5">
        <w:t xml:space="preserve"> activity between the EU and other </w:t>
      </w:r>
      <w:r w:rsidR="13A79391" w:rsidRPr="00DD0CE5">
        <w:t>markets</w:t>
      </w:r>
      <w:r w:rsidRPr="00DD0CE5">
        <w:t xml:space="preserve">, particularly China, is also reflected in </w:t>
      </w:r>
      <w:r w:rsidRPr="00DD0CE5">
        <w:rPr>
          <w:b/>
          <w:bCs/>
        </w:rPr>
        <w:t>changes in annual pharmaceutical R&amp;D expenditure</w:t>
      </w:r>
      <w:r w:rsidRPr="00DD0CE5">
        <w:t xml:space="preserve"> of which approximately 60</w:t>
      </w:r>
      <w:r w:rsidR="00405618">
        <w:t>%</w:t>
      </w:r>
      <w:r w:rsidR="37F16A46" w:rsidRPr="00DD0CE5">
        <w:t xml:space="preserve"> </w:t>
      </w:r>
      <w:r w:rsidRPr="00DD0CE5">
        <w:t>can be on average allocated to clinical trials</w:t>
      </w:r>
      <w:r w:rsidR="001476C3" w:rsidRPr="00DD0CE5">
        <w:rPr>
          <w:rStyle w:val="FootnoteReference"/>
        </w:rPr>
        <w:footnoteReference w:id="130"/>
      </w:r>
      <w:r w:rsidRPr="00DD0CE5">
        <w:t>. Using overall pharmaceutical R&amp;D expenditure as a proxy, China experienced a significantly larger increase in R&amp;D expenditure compared to the other regions</w:t>
      </w:r>
      <w:r w:rsidR="001476C3" w:rsidRPr="64D6064B">
        <w:rPr>
          <w:vertAlign w:val="superscript"/>
        </w:rPr>
        <w:footnoteReference w:id="131"/>
      </w:r>
      <w:r w:rsidRPr="00DD0CE5">
        <w:t>.</w:t>
      </w:r>
    </w:p>
    <w:p w14:paraId="2012DC78" w14:textId="77777777" w:rsidR="000F4799" w:rsidRDefault="000F4799" w:rsidP="00D60200">
      <w:pPr>
        <w:rPr>
          <w:b/>
          <w:bCs/>
        </w:rPr>
      </w:pPr>
    </w:p>
    <w:p w14:paraId="484838C8" w14:textId="77777777" w:rsidR="000F4799" w:rsidRDefault="000F4799" w:rsidP="00D60200">
      <w:pPr>
        <w:rPr>
          <w:b/>
          <w:bCs/>
        </w:rPr>
      </w:pPr>
    </w:p>
    <w:p w14:paraId="0B57C760" w14:textId="27C61246" w:rsidR="001476C3" w:rsidRPr="00DD0CE5" w:rsidRDefault="001476C3" w:rsidP="00D60200">
      <w:pPr>
        <w:rPr>
          <w:b/>
          <w:bCs/>
        </w:rPr>
      </w:pPr>
      <w:r w:rsidRPr="00DD0CE5">
        <w:rPr>
          <w:b/>
          <w:bCs/>
        </w:rPr>
        <w:t xml:space="preserve">Figure </w:t>
      </w:r>
      <w:r>
        <w:rPr>
          <w:b/>
          <w:bCs/>
        </w:rPr>
        <w:t>3</w:t>
      </w:r>
      <w:r w:rsidR="00603F93">
        <w:rPr>
          <w:b/>
          <w:bCs/>
        </w:rPr>
        <w:t>.</w:t>
      </w:r>
      <w:r w:rsidRPr="00DD0CE5">
        <w:rPr>
          <w:i/>
          <w:iCs/>
        </w:rPr>
        <w:t xml:space="preserve"> </w:t>
      </w:r>
      <w:r w:rsidRPr="00DD0CE5">
        <w:rPr>
          <w:b/>
          <w:bCs/>
        </w:rPr>
        <w:t>Pharmaceutical R&amp;D expenditure in selected regions in 2010 and 2022</w:t>
      </w:r>
      <w:r w:rsidRPr="00DD0CE5">
        <w:rPr>
          <w:rStyle w:val="FootnoteReference"/>
          <w:b/>
          <w:bCs/>
        </w:rPr>
        <w:footnoteReference w:id="132"/>
      </w:r>
      <w:r w:rsidRPr="00DD0CE5">
        <w:rPr>
          <w:b/>
          <w:bCs/>
        </w:rPr>
        <w:t xml:space="preserve">.  </w:t>
      </w:r>
    </w:p>
    <w:p w14:paraId="1B55E44A" w14:textId="77777777" w:rsidR="009B49FB" w:rsidRDefault="3AFF394B" w:rsidP="00D60200">
      <w:pPr>
        <w:rPr>
          <w:b/>
          <w:bCs/>
          <w:i/>
          <w:iCs/>
        </w:rPr>
      </w:pPr>
      <w:r>
        <w:rPr>
          <w:noProof/>
        </w:rPr>
        <w:drawing>
          <wp:inline distT="0" distB="0" distL="0" distR="0" wp14:anchorId="5D5C6F1C" wp14:editId="08F4966D">
            <wp:extent cx="4511685" cy="3169949"/>
            <wp:effectExtent l="0" t="0" r="0" b="0"/>
            <wp:docPr id="987912333"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87912333" name="Picture 987912333"/>
                    <pic:cNvPicPr/>
                  </pic:nvPicPr>
                  <pic:blipFill>
                    <a:blip r:embed="rId20">
                      <a:extLst>
                        <a:ext uri="{28A0092B-C50C-407E-A947-70E740481C1C}">
                          <a14:useLocalDpi xmlns:a14="http://schemas.microsoft.com/office/drawing/2010/main"/>
                        </a:ext>
                      </a:extLst>
                    </a:blip>
                    <a:stretch>
                      <a:fillRect/>
                    </a:stretch>
                  </pic:blipFill>
                  <pic:spPr>
                    <a:xfrm>
                      <a:off x="0" y="0"/>
                      <a:ext cx="4511685" cy="3169949"/>
                    </a:xfrm>
                    <a:prstGeom prst="rect">
                      <a:avLst/>
                    </a:prstGeom>
                  </pic:spPr>
                </pic:pic>
              </a:graphicData>
            </a:graphic>
          </wp:inline>
        </w:drawing>
      </w:r>
    </w:p>
    <w:p w14:paraId="41886D90" w14:textId="024D9D5E" w:rsidR="001476C3" w:rsidRDefault="001476C3" w:rsidP="00D60200">
      <w:pPr>
        <w:rPr>
          <w:i/>
        </w:rPr>
      </w:pPr>
      <w:r w:rsidRPr="00DD0CE5">
        <w:rPr>
          <w:b/>
          <w:bCs/>
          <w:i/>
          <w:iCs/>
        </w:rPr>
        <w:t>Note</w:t>
      </w:r>
      <w:r w:rsidRPr="00DD0CE5">
        <w:t xml:space="preserve">: </w:t>
      </w:r>
      <w:r>
        <w:rPr>
          <w:i/>
          <w:iCs/>
        </w:rPr>
        <w:t>F</w:t>
      </w:r>
      <w:r w:rsidRPr="00DD0CE5">
        <w:rPr>
          <w:i/>
          <w:iCs/>
        </w:rPr>
        <w:t>igure</w:t>
      </w:r>
      <w:r>
        <w:rPr>
          <w:i/>
          <w:iCs/>
        </w:rPr>
        <w:t xml:space="preserve"> 3</w:t>
      </w:r>
      <w:r w:rsidRPr="00DD0CE5">
        <w:rPr>
          <w:i/>
          <w:iCs/>
        </w:rPr>
        <w:t xml:space="preserve"> illustrates annual pharmaceutical R&amp;D expenditures in 2010 and 2022 for China, Europe</w:t>
      </w:r>
      <w:r w:rsidR="0072209D">
        <w:rPr>
          <w:i/>
          <w:iCs/>
        </w:rPr>
        <w:t>, Japan</w:t>
      </w:r>
      <w:r w:rsidRPr="00DD0CE5">
        <w:rPr>
          <w:i/>
          <w:iCs/>
        </w:rPr>
        <w:t xml:space="preserve"> and the USA. </w:t>
      </w:r>
    </w:p>
    <w:p w14:paraId="29E0164A" w14:textId="3FD972FD" w:rsidR="001476C3" w:rsidRPr="00DD0CE5" w:rsidRDefault="001476C3" w:rsidP="00D60200">
      <w:r w:rsidRPr="00DD0CE5">
        <w:t>The</w:t>
      </w:r>
      <w:r w:rsidR="00491FA1">
        <w:t>se trends</w:t>
      </w:r>
      <w:r w:rsidRPr="00DD0CE5">
        <w:t xml:space="preserve"> show that Europe’s position in global pharmaceutical R&amp;D, including its </w:t>
      </w:r>
      <w:r w:rsidR="00CA06F8">
        <w:t xml:space="preserve">clinical trial </w:t>
      </w:r>
      <w:r w:rsidRPr="00DD0CE5">
        <w:t>activity, is facing increasing challenges in maintaining its competitive edge</w:t>
      </w:r>
      <w:r w:rsidRPr="00DD0CE5">
        <w:rPr>
          <w:rStyle w:val="FootnoteReference"/>
        </w:rPr>
        <w:footnoteReference w:id="133"/>
      </w:r>
      <w:r w:rsidRPr="00DD0CE5">
        <w:t xml:space="preserve">. </w:t>
      </w:r>
    </w:p>
    <w:p w14:paraId="478B11EB" w14:textId="0E14B653" w:rsidR="001476C3" w:rsidRPr="00DD0CE5" w:rsidRDefault="001476C3" w:rsidP="00D60200">
      <w:r>
        <w:t xml:space="preserve">The relative decline in </w:t>
      </w:r>
      <w:r w:rsidR="00CA06F8">
        <w:t>clinical trial</w:t>
      </w:r>
      <w:r>
        <w:t xml:space="preserve"> activity is likely to come along with adverse effects on the public healthcare systems, </w:t>
      </w:r>
      <w:r w:rsidR="05621019">
        <w:t>the economy</w:t>
      </w:r>
      <w:r>
        <w:t xml:space="preserve"> and the development of skills</w:t>
      </w:r>
      <w:r w:rsidR="00672185">
        <w:t>,</w:t>
      </w:r>
      <w:r>
        <w:t xml:space="preserve"> and capacity within the Union. Although estimating the economic impact of </w:t>
      </w:r>
      <w:r w:rsidR="00CA06F8">
        <w:t>clinical trial</w:t>
      </w:r>
      <w:r>
        <w:t xml:space="preserve"> activity is inherently complex and dependent on multiple model assumptions, recent studies based on national and EU-wide data indicate that each euro invested in clinical trials generates between EUR 1.6</w:t>
      </w:r>
      <w:r w:rsidR="71D90D72">
        <w:t>0</w:t>
      </w:r>
      <w:r>
        <w:t xml:space="preserve"> and 2</w:t>
      </w:r>
      <w:r w:rsidR="55FDA065">
        <w:t>.5</w:t>
      </w:r>
      <w:r w:rsidR="00606DE4">
        <w:t>0</w:t>
      </w:r>
      <w:r>
        <w:t xml:space="preserve"> of added value for the economy, along positive effects on employment</w:t>
      </w:r>
      <w:r w:rsidRPr="00DD0CE5">
        <w:rPr>
          <w:rStyle w:val="FootnoteReference"/>
        </w:rPr>
        <w:footnoteReference w:id="134"/>
      </w:r>
      <w:r>
        <w:t xml:space="preserve">. </w:t>
      </w:r>
      <w:r w:rsidR="40DB09E8">
        <w:t xml:space="preserve">A recent report </w:t>
      </w:r>
      <w:r w:rsidR="26380CDA">
        <w:t>estimates that commercial trials, which acco</w:t>
      </w:r>
      <w:r w:rsidR="45CE8342">
        <w:t>unt for 53.1</w:t>
      </w:r>
      <w:r w:rsidR="00405618">
        <w:t>%</w:t>
      </w:r>
      <w:r w:rsidR="45CE8342">
        <w:t xml:space="preserve"> of the trials authorised in the </w:t>
      </w:r>
      <w:r w:rsidR="58A65659">
        <w:t>Union</w:t>
      </w:r>
      <w:r w:rsidRPr="5ED74A2A">
        <w:rPr>
          <w:vertAlign w:val="superscript"/>
        </w:rPr>
        <w:footnoteReference w:id="135"/>
      </w:r>
      <w:r w:rsidR="45CE8342">
        <w:t xml:space="preserve">, create </w:t>
      </w:r>
      <w:r w:rsidR="5CBE200E">
        <w:t>annually about EUR 35.7</w:t>
      </w:r>
      <w:r w:rsidR="008F0BAF">
        <w:t xml:space="preserve"> </w:t>
      </w:r>
      <w:r w:rsidR="5CBE200E">
        <w:t>b</w:t>
      </w:r>
      <w:r w:rsidR="008F0BAF">
        <w:t>illio</w:t>
      </w:r>
      <w:r w:rsidR="5CBE200E">
        <w:t xml:space="preserve">n </w:t>
      </w:r>
      <w:r w:rsidR="7D4F9553">
        <w:t>in gross value added to the economy in</w:t>
      </w:r>
      <w:r w:rsidR="3FED9DBB">
        <w:t xml:space="preserve"> the EEA</w:t>
      </w:r>
      <w:r w:rsidR="639D6F3A">
        <w:t xml:space="preserve"> </w:t>
      </w:r>
      <w:r w:rsidR="00577B95">
        <w:t xml:space="preserve">and </w:t>
      </w:r>
      <w:r w:rsidR="639D6F3A">
        <w:t>support the creation of over 165,000 jobs</w:t>
      </w:r>
      <w:r w:rsidRPr="2BFF4BA1">
        <w:rPr>
          <w:vertAlign w:val="superscript"/>
        </w:rPr>
        <w:footnoteReference w:id="136"/>
      </w:r>
      <w:r w:rsidR="00AA4F26">
        <w:t>.</w:t>
      </w:r>
    </w:p>
    <w:p w14:paraId="14C3DAB8" w14:textId="269A7AE6" w:rsidR="001476C3" w:rsidRPr="00DD0CE5" w:rsidRDefault="001476C3" w:rsidP="00D60200">
      <w:r>
        <w:t xml:space="preserve">In addition, </w:t>
      </w:r>
      <w:r w:rsidR="00CA06F8">
        <w:t>clinical trial</w:t>
      </w:r>
      <w:r>
        <w:t xml:space="preserve"> activities are estimated to reduce costs for national healthcare systems. For example, two studies conducted in Italy indicate a leverage effect of avoided costs between 2.2 and 3.5; that is, for every euro invested in clinical trials or disbursed by sponsoring companies to health facilities, the Italian national health system saved more than two euros</w:t>
      </w:r>
      <w:r w:rsidRPr="00DD0CE5">
        <w:rPr>
          <w:rStyle w:val="FootnoteReference"/>
        </w:rPr>
        <w:footnoteReference w:id="137"/>
      </w:r>
      <w:r>
        <w:t xml:space="preserve">. Finally, </w:t>
      </w:r>
      <w:r w:rsidR="00CA06F8">
        <w:t>clinical trial</w:t>
      </w:r>
      <w:r>
        <w:t xml:space="preserve"> activities also affect the health of European citizens. For example, patients participating in </w:t>
      </w:r>
      <w:r w:rsidR="00CA06F8">
        <w:t>clinical trials</w:t>
      </w:r>
      <w:r>
        <w:t xml:space="preserve"> can access innovative medicines up to 5 to 10 years before commercial launch in the EU.</w:t>
      </w:r>
      <w:r w:rsidRPr="00DD0CE5">
        <w:rPr>
          <w:rStyle w:val="FootnoteReference"/>
        </w:rPr>
        <w:footnoteReference w:id="138"/>
      </w:r>
      <w:r>
        <w:t xml:space="preserve"> </w:t>
      </w:r>
    </w:p>
    <w:p w14:paraId="38AA8369" w14:textId="04D58316" w:rsidR="001476C3" w:rsidRPr="00457F03" w:rsidRDefault="12890A29" w:rsidP="00D60200">
      <w:r>
        <w:t>The</w:t>
      </w:r>
      <w:r w:rsidR="06B5A198" w:rsidRPr="00DD0CE5">
        <w:t xml:space="preserve"> innovation and competitiveness gap in the </w:t>
      </w:r>
      <w:r w:rsidR="06B5A198">
        <w:t>EU</w:t>
      </w:r>
      <w:r w:rsidR="2C72B220">
        <w:t>’s ATMP sector</w:t>
      </w:r>
      <w:r w:rsidR="06B5A198" w:rsidRPr="00DD0CE5">
        <w:t xml:space="preserve"> is </w:t>
      </w:r>
      <w:r w:rsidR="00591DF7">
        <w:t xml:space="preserve">also </w:t>
      </w:r>
      <w:r w:rsidR="6289E2A6">
        <w:t>becoming increasingly evident. Although</w:t>
      </w:r>
      <w:r w:rsidR="06B5A198">
        <w:t xml:space="preserve"> </w:t>
      </w:r>
      <w:r w:rsidR="320BBF72">
        <w:t>Europe</w:t>
      </w:r>
      <w:r w:rsidR="6100230A">
        <w:t xml:space="preserve"> currently holds a </w:t>
      </w:r>
      <w:r w:rsidR="320BBF72" w:rsidRPr="4E4E88A2">
        <w:rPr>
          <w:b/>
          <w:bCs/>
        </w:rPr>
        <w:t>22.1</w:t>
      </w:r>
      <w:r w:rsidR="00405618">
        <w:rPr>
          <w:b/>
          <w:bCs/>
        </w:rPr>
        <w:t>%</w:t>
      </w:r>
      <w:r w:rsidR="320BBF72" w:rsidRPr="4E4E88A2">
        <w:rPr>
          <w:b/>
          <w:bCs/>
        </w:rPr>
        <w:t xml:space="preserve"> </w:t>
      </w:r>
      <w:r w:rsidR="2563602C" w:rsidRPr="4E4E88A2">
        <w:rPr>
          <w:b/>
          <w:bCs/>
        </w:rPr>
        <w:t>share</w:t>
      </w:r>
      <w:r w:rsidR="2563602C">
        <w:t xml:space="preserve"> of the global gene therapy market (2025) and the sector is </w:t>
      </w:r>
      <w:r w:rsidR="3A2ED6A9" w:rsidRPr="4E4E88A2">
        <w:t>projected</w:t>
      </w:r>
      <w:r w:rsidR="06B5A198" w:rsidRPr="00DD0CE5">
        <w:t xml:space="preserve"> </w:t>
      </w:r>
      <w:r w:rsidR="2C0B27DD">
        <w:t xml:space="preserve">to grow at a </w:t>
      </w:r>
      <w:r w:rsidR="408BF8E6">
        <w:t>c</w:t>
      </w:r>
      <w:r w:rsidR="06B5A198">
        <w:t xml:space="preserve">ompound </w:t>
      </w:r>
      <w:r w:rsidR="67B3E7BE" w:rsidRPr="4E4E88A2">
        <w:rPr>
          <w:b/>
          <w:bCs/>
        </w:rPr>
        <w:t>a</w:t>
      </w:r>
      <w:r w:rsidR="06B5A198" w:rsidRPr="4E4E88A2">
        <w:rPr>
          <w:b/>
          <w:bCs/>
        </w:rPr>
        <w:t xml:space="preserve">nnual </w:t>
      </w:r>
      <w:r w:rsidR="26CC0165" w:rsidRPr="4E4E88A2">
        <w:rPr>
          <w:b/>
          <w:bCs/>
        </w:rPr>
        <w:t>g</w:t>
      </w:r>
      <w:r w:rsidR="06B5A198" w:rsidRPr="4E4E88A2">
        <w:rPr>
          <w:b/>
          <w:bCs/>
        </w:rPr>
        <w:t xml:space="preserve">rowth </w:t>
      </w:r>
      <w:r w:rsidR="697ADD81" w:rsidRPr="4E4E88A2">
        <w:rPr>
          <w:b/>
          <w:bCs/>
        </w:rPr>
        <w:t>r</w:t>
      </w:r>
      <w:r w:rsidR="06B5A198" w:rsidRPr="4E4E88A2">
        <w:rPr>
          <w:b/>
          <w:bCs/>
        </w:rPr>
        <w:t>ate</w:t>
      </w:r>
      <w:r w:rsidR="753903D8" w:rsidRPr="4E4E88A2">
        <w:rPr>
          <w:b/>
          <w:bCs/>
        </w:rPr>
        <w:t xml:space="preserve"> of 14,6</w:t>
      </w:r>
      <w:r w:rsidR="00405618">
        <w:rPr>
          <w:b/>
          <w:bCs/>
        </w:rPr>
        <w:t>%</w:t>
      </w:r>
      <w:r w:rsidR="06B5A198" w:rsidRPr="00DD0CE5">
        <w:t xml:space="preserve"> (2026–2033), </w:t>
      </w:r>
      <w:r w:rsidR="221DBA81">
        <w:t xml:space="preserve">the region </w:t>
      </w:r>
      <w:r w:rsidR="06B5A198" w:rsidRPr="4E4E88A2">
        <w:rPr>
          <w:b/>
          <w:bCs/>
        </w:rPr>
        <w:t xml:space="preserve">risks </w:t>
      </w:r>
      <w:r w:rsidR="373B5398" w:rsidRPr="663DB91C">
        <w:rPr>
          <w:b/>
          <w:bCs/>
        </w:rPr>
        <w:t>falling</w:t>
      </w:r>
      <w:r w:rsidR="06B5A198" w:rsidRPr="4E4E88A2">
        <w:rPr>
          <w:b/>
          <w:bCs/>
        </w:rPr>
        <w:t xml:space="preserve"> behind North America and</w:t>
      </w:r>
      <w:r w:rsidR="47A17568" w:rsidRPr="4E4E88A2">
        <w:rPr>
          <w:b/>
          <w:bCs/>
        </w:rPr>
        <w:t xml:space="preserve"> the</w:t>
      </w:r>
      <w:r w:rsidR="06B5A198" w:rsidRPr="4E4E88A2">
        <w:rPr>
          <w:b/>
          <w:bCs/>
        </w:rPr>
        <w:t xml:space="preserve"> Asia-Pacific</w:t>
      </w:r>
      <w:r w:rsidR="47A17568" w:rsidRPr="4E4E88A2">
        <w:rPr>
          <w:b/>
          <w:bCs/>
        </w:rPr>
        <w:t xml:space="preserve"> region</w:t>
      </w:r>
      <w:r w:rsidR="06B5A198">
        <w:t xml:space="preserve">. </w:t>
      </w:r>
      <w:r w:rsidR="399271AE">
        <w:t>Forecasts indicate that</w:t>
      </w:r>
      <w:r w:rsidR="06B5A198">
        <w:t xml:space="preserve"> North America </w:t>
      </w:r>
      <w:r w:rsidR="495FD05A">
        <w:t>will generate</w:t>
      </w:r>
      <w:r w:rsidR="06B5A198">
        <w:t xml:space="preserve"> the highest revenue in </w:t>
      </w:r>
      <w:r w:rsidR="052B8648">
        <w:t xml:space="preserve">the sector by </w:t>
      </w:r>
      <w:r w:rsidR="06B5A198">
        <w:t>2033</w:t>
      </w:r>
      <w:r w:rsidR="7349A8D9">
        <w:t xml:space="preserve">, while </w:t>
      </w:r>
      <w:r w:rsidR="06B5A198">
        <w:t xml:space="preserve">the Asia-Pacific </w:t>
      </w:r>
      <w:r w:rsidR="1F37C103">
        <w:t>market</w:t>
      </w:r>
      <w:r w:rsidR="06B5A198" w:rsidRPr="00DD0CE5">
        <w:t xml:space="preserve"> is expected to reach USD 4,193.1 million </w:t>
      </w:r>
      <w:r w:rsidR="245B9110">
        <w:t>in the same year</w:t>
      </w:r>
      <w:r w:rsidR="001476C3" w:rsidRPr="00DD0CE5">
        <w:rPr>
          <w:rStyle w:val="FootnoteReference"/>
          <w:lang w:val="en-IE"/>
        </w:rPr>
        <w:footnoteReference w:id="139"/>
      </w:r>
      <w:r w:rsidR="06B5A198" w:rsidRPr="00DD0CE5">
        <w:rPr>
          <w:lang w:val="en-IE"/>
        </w:rPr>
        <w:t>.</w:t>
      </w:r>
      <w:r w:rsidR="06B5A198">
        <w:t xml:space="preserve"> </w:t>
      </w:r>
      <w:r w:rsidR="019A063E">
        <w:t>This trend,</w:t>
      </w:r>
      <w:r w:rsidR="06B5A198" w:rsidRPr="00DD0CE5">
        <w:t xml:space="preserve"> </w:t>
      </w:r>
      <w:r w:rsidR="370A2CD3">
        <w:t xml:space="preserve">also </w:t>
      </w:r>
      <w:r w:rsidR="7F777EE5">
        <w:t xml:space="preserve">highlighted in </w:t>
      </w:r>
      <w:r w:rsidR="27BA43A5">
        <w:t>t</w:t>
      </w:r>
      <w:r w:rsidR="06B5A198">
        <w:t>he</w:t>
      </w:r>
      <w:r w:rsidR="06B5A198" w:rsidRPr="00DD0CE5">
        <w:t xml:space="preserve"> Draghi Report</w:t>
      </w:r>
      <w:r w:rsidR="00DC2340">
        <w:rPr>
          <w:rStyle w:val="FootnoteReference"/>
        </w:rPr>
        <w:footnoteReference w:id="140"/>
      </w:r>
      <w:r w:rsidR="6847B2C5" w:rsidRPr="00DD0CE5">
        <w:t xml:space="preserve">, </w:t>
      </w:r>
      <w:r w:rsidR="06B5A198" w:rsidRPr="00DD0CE5">
        <w:t xml:space="preserve">underscores </w:t>
      </w:r>
      <w:r w:rsidR="47A17568">
        <w:t xml:space="preserve">the </w:t>
      </w:r>
      <w:r w:rsidR="22C70AF9">
        <w:t xml:space="preserve">EU‘s struggle to strengthen its R&amp;D capabilities and </w:t>
      </w:r>
      <w:r w:rsidR="7EF4AF6C">
        <w:t xml:space="preserve">address </w:t>
      </w:r>
      <w:r w:rsidR="75C10774">
        <w:t xml:space="preserve">the </w:t>
      </w:r>
      <w:r w:rsidR="06B5A198" w:rsidRPr="4E4E88A2">
        <w:rPr>
          <w:b/>
          <w:bCs/>
        </w:rPr>
        <w:t>innovation and competitiveness</w:t>
      </w:r>
      <w:r w:rsidR="06B5A198" w:rsidRPr="00DD0CE5">
        <w:t xml:space="preserve"> </w:t>
      </w:r>
      <w:r w:rsidR="44547D7C">
        <w:t xml:space="preserve">gap </w:t>
      </w:r>
      <w:r w:rsidR="7314780F">
        <w:t>in the region’s</w:t>
      </w:r>
      <w:r w:rsidR="06B5A198" w:rsidRPr="00DD0CE5">
        <w:t xml:space="preserve"> ATMP market.</w:t>
      </w:r>
      <w:r w:rsidR="06B5A198">
        <w:t xml:space="preserve"> </w:t>
      </w:r>
      <w:r w:rsidR="06B5A198" w:rsidRPr="00DD0CE5">
        <w:t xml:space="preserve">Slow progress in ATMP development threatens the EU's position in </w:t>
      </w:r>
      <w:r w:rsidR="1F4A1947">
        <w:t xml:space="preserve">the </w:t>
      </w:r>
      <w:r w:rsidR="06B5A198" w:rsidRPr="00DD0CE5">
        <w:t xml:space="preserve">global healthcare and biotechnology sectors, as innovators may </w:t>
      </w:r>
      <w:r w:rsidR="3AF5A0C5">
        <w:t>increasingly choose to operate in</w:t>
      </w:r>
      <w:r w:rsidR="06B5A198" w:rsidRPr="00DD0CE5">
        <w:t xml:space="preserve"> jurisdictions with more </w:t>
      </w:r>
      <w:r w:rsidR="3FAE4D73">
        <w:t>agile</w:t>
      </w:r>
      <w:r w:rsidR="06B5A198">
        <w:t xml:space="preserve"> regulat</w:t>
      </w:r>
      <w:r w:rsidR="5B85AD4F">
        <w:t>ory frameworks</w:t>
      </w:r>
      <w:r w:rsidR="568F8E6B">
        <w:t>.</w:t>
      </w:r>
    </w:p>
    <w:p w14:paraId="00802053" w14:textId="2088C449" w:rsidR="001476C3" w:rsidRPr="00514904" w:rsidRDefault="001476C3" w:rsidP="00D60200">
      <w:pPr>
        <w:rPr>
          <w:lang w:val="en-IE"/>
        </w:rPr>
      </w:pPr>
      <w:r>
        <w:t xml:space="preserve">When it </w:t>
      </w:r>
      <w:r w:rsidRPr="00E86B7E">
        <w:t xml:space="preserve">comes to </w:t>
      </w:r>
      <w:r w:rsidRPr="00E86B7E">
        <w:rPr>
          <w:b/>
        </w:rPr>
        <w:t>biosimilars</w:t>
      </w:r>
      <w:r w:rsidRPr="00E86B7E">
        <w:t xml:space="preserve">, the EU’s biomanufacturing capacity </w:t>
      </w:r>
      <w:r w:rsidR="005A0516" w:rsidRPr="00E86B7E">
        <w:t>can be further</w:t>
      </w:r>
      <w:r w:rsidRPr="00E86B7E">
        <w:t xml:space="preserve"> </w:t>
      </w:r>
      <w:r w:rsidR="001B0971">
        <w:t>utilised</w:t>
      </w:r>
      <w:r w:rsidRPr="00E86B7E">
        <w:t xml:space="preserve">. </w:t>
      </w:r>
      <w:r w:rsidR="00C6682B" w:rsidRPr="00C6682B">
        <w:rPr>
          <w:lang w:val="en-IE"/>
        </w:rPr>
        <w:t xml:space="preserve">The EU has significant untapped potential in biosimilar manufacturing. </w:t>
      </w:r>
      <w:r w:rsidR="00C6682B" w:rsidRPr="00B14EED">
        <w:rPr>
          <w:lang w:val="en-IE"/>
        </w:rPr>
        <w:t xml:space="preserve">The </w:t>
      </w:r>
      <w:r w:rsidR="7BDAB6F2" w:rsidRPr="00DC7CED">
        <w:rPr>
          <w:rFonts w:eastAsia="Segoe UI"/>
          <w:color w:val="242424"/>
        </w:rPr>
        <w:t>EU retains the largest cumulative authorisations of biosimilars (151 products vs. 72 in the US and 66 in Canada) and leads the global market in revenue</w:t>
      </w:r>
      <w:r w:rsidR="00C6682B" w:rsidRPr="00B14EED">
        <w:rPr>
          <w:rFonts w:eastAsia="Times New Roman"/>
        </w:rPr>
        <w:t xml:space="preserve"> </w:t>
      </w:r>
      <w:r w:rsidR="00C6682B" w:rsidRPr="00C6682B">
        <w:rPr>
          <w:lang w:val="en-IE"/>
        </w:rPr>
        <w:t xml:space="preserve">valued at approximately </w:t>
      </w:r>
      <w:r w:rsidR="00EF4C9F">
        <w:rPr>
          <w:lang w:val="en-IE"/>
        </w:rPr>
        <w:t xml:space="preserve">EUR </w:t>
      </w:r>
      <w:r w:rsidR="00C6682B" w:rsidRPr="00C6682B">
        <w:rPr>
          <w:lang w:val="en-IE"/>
        </w:rPr>
        <w:t>25.6 billion in 2024, representing around 6</w:t>
      </w:r>
      <w:r w:rsidR="00405618">
        <w:rPr>
          <w:lang w:val="en-IE"/>
        </w:rPr>
        <w:t>%</w:t>
      </w:r>
      <w:r w:rsidR="00C6682B" w:rsidRPr="00C6682B">
        <w:rPr>
          <w:lang w:val="en-IE"/>
        </w:rPr>
        <w:t xml:space="preserve"> of the total pharmaceutical industry's contribution to GDP. Sales grew at 15</w:t>
      </w:r>
      <w:r w:rsidR="00405618">
        <w:rPr>
          <w:lang w:val="en-IE"/>
        </w:rPr>
        <w:t>%</w:t>
      </w:r>
      <w:r w:rsidR="00C6682B" w:rsidRPr="00C6682B">
        <w:rPr>
          <w:lang w:val="en-IE"/>
        </w:rPr>
        <w:t xml:space="preserve"> annually between 2020 and 2024 across five core therapeutic areas, and the sector supports around 81,000 jobs in Europe: 16,000 direct (20</w:t>
      </w:r>
      <w:r w:rsidR="00405618">
        <w:rPr>
          <w:lang w:val="en-IE"/>
        </w:rPr>
        <w:t>%</w:t>
      </w:r>
      <w:r w:rsidR="00C6682B" w:rsidRPr="00C6682B">
        <w:rPr>
          <w:lang w:val="en-IE"/>
        </w:rPr>
        <w:t>), with the remainder split between indirect roles such as clinical research (30</w:t>
      </w:r>
      <w:r w:rsidR="00405618">
        <w:rPr>
          <w:lang w:val="en-IE"/>
        </w:rPr>
        <w:t>%</w:t>
      </w:r>
      <w:r w:rsidR="00C6682B" w:rsidRPr="00C6682B">
        <w:rPr>
          <w:lang w:val="en-IE"/>
        </w:rPr>
        <w:t>) and induced employment (50</w:t>
      </w:r>
      <w:r w:rsidR="00405618">
        <w:rPr>
          <w:lang w:val="en-IE"/>
        </w:rPr>
        <w:t>%</w:t>
      </w:r>
      <w:r w:rsidR="00C6682B" w:rsidRPr="00C6682B">
        <w:rPr>
          <w:lang w:val="en-IE"/>
        </w:rPr>
        <w:t>).</w:t>
      </w:r>
      <w:r w:rsidR="00EF4C9F">
        <w:rPr>
          <w:lang w:val="en-IE"/>
        </w:rPr>
        <w:t xml:space="preserve"> </w:t>
      </w:r>
      <w:r w:rsidR="00C6682B" w:rsidRPr="00C6682B">
        <w:rPr>
          <w:lang w:val="en-IE"/>
        </w:rPr>
        <w:t>The sector depends on a highly skilled workforce, with 40</w:t>
      </w:r>
      <w:r w:rsidR="00405618">
        <w:rPr>
          <w:lang w:val="en-IE"/>
        </w:rPr>
        <w:t>%</w:t>
      </w:r>
      <w:r w:rsidR="00C6682B" w:rsidRPr="00C6682B">
        <w:rPr>
          <w:lang w:val="en-IE"/>
        </w:rPr>
        <w:t xml:space="preserve"> of direct employees (~7,000) in technical roles and 70</w:t>
      </w:r>
      <w:r w:rsidR="00405618">
        <w:rPr>
          <w:lang w:val="en-IE"/>
        </w:rPr>
        <w:t>%</w:t>
      </w:r>
      <w:r w:rsidR="00C6682B" w:rsidRPr="00C6682B">
        <w:rPr>
          <w:lang w:val="en-IE"/>
        </w:rPr>
        <w:t xml:space="preserve"> holding university degrees.</w:t>
      </w:r>
      <w:r w:rsidRPr="00165819">
        <w:rPr>
          <w:vertAlign w:val="superscript"/>
          <w:lang w:val="en-IE"/>
        </w:rPr>
        <w:footnoteReference w:id="141"/>
      </w:r>
      <w:r w:rsidR="4ED63295" w:rsidRPr="01EA3125">
        <w:rPr>
          <w:b/>
          <w:bCs/>
          <w:lang w:val="en-IE"/>
        </w:rPr>
        <w:t xml:space="preserve"> </w:t>
      </w:r>
      <w:r w:rsidR="00A951DE">
        <w:t xml:space="preserve">However, </w:t>
      </w:r>
      <w:r w:rsidRPr="00E86B7E">
        <w:t>manufacturing activity is increasingly migrating to Asia, particularly South Korea and India</w:t>
      </w:r>
      <w:r w:rsidR="000A25B5" w:rsidRPr="00E86B7E">
        <w:rPr>
          <w:rStyle w:val="FootnoteReference"/>
        </w:rPr>
        <w:footnoteReference w:id="142"/>
      </w:r>
      <w:r w:rsidRPr="00E86B7E">
        <w:t xml:space="preserve">. </w:t>
      </w:r>
      <w:r w:rsidR="00BE4318" w:rsidRPr="00BE4318">
        <w:t xml:space="preserve">While the EU remains a key innovation hub — </w:t>
      </w:r>
      <w:r w:rsidR="00BE4318" w:rsidRPr="00514904">
        <w:rPr>
          <w:b/>
          <w:bCs/>
        </w:rPr>
        <w:t>supplying over 75</w:t>
      </w:r>
      <w:r w:rsidR="00405618">
        <w:rPr>
          <w:b/>
          <w:bCs/>
        </w:rPr>
        <w:t>%</w:t>
      </w:r>
      <w:r w:rsidR="00BE4318" w:rsidRPr="00514904">
        <w:rPr>
          <w:b/>
          <w:bCs/>
        </w:rPr>
        <w:t xml:space="preserve"> of active ingredients</w:t>
      </w:r>
      <w:r w:rsidR="00BE4318" w:rsidRPr="00BE4318">
        <w:t xml:space="preserve"> for innovative biologics — it must develop more dedicated and cost-efficient manufacturing infrastructure to keep pace with international competitors</w:t>
      </w:r>
      <w:r w:rsidR="00BE4318">
        <w:t>.</w:t>
      </w:r>
      <w:r w:rsidR="00F94F44">
        <w:rPr>
          <w:rStyle w:val="FootnoteReference"/>
        </w:rPr>
        <w:footnoteReference w:id="143"/>
      </w:r>
      <w:r w:rsidR="053D305A" w:rsidRPr="69A5308F">
        <w:rPr>
          <w:rStyle w:val="FootnoteReference"/>
        </w:rPr>
        <w:t xml:space="preserve"> </w:t>
      </w:r>
    </w:p>
    <w:p w14:paraId="4E64C713" w14:textId="65BC4FBC" w:rsidR="001476C3" w:rsidRPr="00981357" w:rsidRDefault="001476C3" w:rsidP="00D60200">
      <w:r>
        <w:t xml:space="preserve">Similarly, challenges </w:t>
      </w:r>
      <w:r w:rsidRPr="00457F03">
        <w:t xml:space="preserve">to bring </w:t>
      </w:r>
      <w:r w:rsidRPr="00457F03">
        <w:rPr>
          <w:b/>
        </w:rPr>
        <w:t>novel health biotechnology products</w:t>
      </w:r>
      <w:r w:rsidRPr="00457F03">
        <w:t xml:space="preserve"> to the market have been observed</w:t>
      </w:r>
      <w:r w:rsidRPr="62266DD7">
        <w:rPr>
          <w:vertAlign w:val="superscript"/>
        </w:rPr>
        <w:footnoteReference w:id="144"/>
      </w:r>
      <w:r>
        <w:t>,</w:t>
      </w:r>
      <w:r w:rsidR="3D814710">
        <w:t xml:space="preserve"> </w:t>
      </w:r>
      <w:r w:rsidR="3D814710" w:rsidRPr="00981357">
        <w:t>and are generally expected to increase given the increasing complexity and hybrid nature of novel products.</w:t>
      </w:r>
      <w:r w:rsidRPr="00981357">
        <w:t xml:space="preserve"> </w:t>
      </w:r>
      <w:r w:rsidR="4739BF92" w:rsidRPr="00981357">
        <w:t>These challenges</w:t>
      </w:r>
      <w:r w:rsidRPr="00981357">
        <w:t xml:space="preserve"> further weaken the EU’s position in the global innovation race</w:t>
      </w:r>
      <w:r w:rsidR="004D466C">
        <w:t>,</w:t>
      </w:r>
      <w:r w:rsidRPr="00981357">
        <w:t xml:space="preserve"> delaying the availability of these products to patients across </w:t>
      </w:r>
      <w:r w:rsidR="00B14EED">
        <w:t>the EU</w:t>
      </w:r>
      <w:r w:rsidRPr="00981357">
        <w:t>.</w:t>
      </w:r>
    </w:p>
    <w:p w14:paraId="0B360337" w14:textId="1D4FB864" w:rsidR="001476C3" w:rsidRPr="00457F03" w:rsidRDefault="00B169E9" w:rsidP="00D60200">
      <w:r w:rsidRPr="00165819">
        <w:t>R</w:t>
      </w:r>
      <w:r w:rsidR="001476C3" w:rsidRPr="00165819">
        <w:t>egulatory uncertainty</w:t>
      </w:r>
      <w:r w:rsidR="001476C3" w:rsidRPr="00981357">
        <w:t xml:space="preserve"> </w:t>
      </w:r>
      <w:r>
        <w:t xml:space="preserve">also </w:t>
      </w:r>
      <w:r w:rsidR="001476C3" w:rsidRPr="00981357">
        <w:t xml:space="preserve">has practical implications for cross-border exchange of processed </w:t>
      </w:r>
      <w:r w:rsidR="001476C3" w:rsidRPr="00B169E9">
        <w:rPr>
          <w:b/>
          <w:bCs/>
        </w:rPr>
        <w:t>organs</w:t>
      </w:r>
      <w:r w:rsidR="001476C3" w:rsidRPr="00981357">
        <w:t xml:space="preserve"> and for the scaling of machine perfusion technologies, contributing to uneven uptake and fragmentation</w:t>
      </w:r>
      <w:r w:rsidR="001476C3" w:rsidRPr="004F48D9">
        <w:t xml:space="preserve"> within the </w:t>
      </w:r>
      <w:r w:rsidR="006E79C4">
        <w:t>EU</w:t>
      </w:r>
      <w:r>
        <w:rPr>
          <w:rStyle w:val="FootnoteReference"/>
        </w:rPr>
        <w:footnoteReference w:id="145"/>
      </w:r>
      <w:r w:rsidR="677DC9D2">
        <w:t>, and eventually reducing the potential for optimal matching of organs and recipients</w:t>
      </w:r>
      <w:r w:rsidR="00161744">
        <w:t>.</w:t>
      </w:r>
      <w:r w:rsidR="004331AB">
        <w:t xml:space="preserve"> </w:t>
      </w:r>
      <w:r w:rsidR="00AE1171" w:rsidRPr="00BC6A77">
        <w:rPr>
          <w:lang w:val="en-US"/>
        </w:rPr>
        <w:t>Over th</w:t>
      </w:r>
      <w:r w:rsidR="00AE1171">
        <w:rPr>
          <w:lang w:val="en-US"/>
        </w:rPr>
        <w:t>e last three years</w:t>
      </w:r>
      <w:r w:rsidR="00AE1171" w:rsidRPr="00BC6A77">
        <w:rPr>
          <w:lang w:val="en-US"/>
        </w:rPr>
        <w:t>, the</w:t>
      </w:r>
      <w:r w:rsidR="003366C9">
        <w:rPr>
          <w:lang w:val="en-US"/>
        </w:rPr>
        <w:t xml:space="preserve"> </w:t>
      </w:r>
      <w:r w:rsidR="00AE1171" w:rsidRPr="00BC6A77">
        <w:rPr>
          <w:lang w:val="en-US"/>
        </w:rPr>
        <w:t xml:space="preserve">cross-border exchange </w:t>
      </w:r>
      <w:r w:rsidR="00FC7996">
        <w:rPr>
          <w:lang w:val="en-US"/>
        </w:rPr>
        <w:t>rate of allocated organs</w:t>
      </w:r>
      <w:r w:rsidR="00AE1171" w:rsidRPr="00BC6A77">
        <w:rPr>
          <w:lang w:val="en-US"/>
        </w:rPr>
        <w:t xml:space="preserve"> fluctuated </w:t>
      </w:r>
      <w:r w:rsidR="00AE1171">
        <w:rPr>
          <w:lang w:val="en-US"/>
        </w:rPr>
        <w:t xml:space="preserve">between </w:t>
      </w:r>
      <w:r w:rsidR="00231CC7">
        <w:rPr>
          <w:lang w:val="en-US"/>
        </w:rPr>
        <w:t>20-23</w:t>
      </w:r>
      <w:r w:rsidR="00AE1171">
        <w:rPr>
          <w:lang w:val="en-US"/>
        </w:rPr>
        <w:t>%</w:t>
      </w:r>
      <w:r w:rsidR="00231CC7">
        <w:rPr>
          <w:rStyle w:val="FootnoteReference"/>
          <w:lang w:val="en-US"/>
        </w:rPr>
        <w:footnoteReference w:id="146"/>
      </w:r>
      <w:r w:rsidR="00AE1171">
        <w:rPr>
          <w:lang w:val="en-US"/>
        </w:rPr>
        <w:t>.</w:t>
      </w:r>
    </w:p>
    <w:p w14:paraId="322615B8" w14:textId="68B28FF6" w:rsidR="001476C3" w:rsidRPr="00DD0CE5" w:rsidRDefault="001476C3" w:rsidP="00D60200">
      <w:pPr>
        <w:rPr>
          <w:lang w:eastAsia="en-IE"/>
        </w:rPr>
      </w:pPr>
      <w:r>
        <w:rPr>
          <w:lang w:val="en-IE"/>
        </w:rPr>
        <w:t xml:space="preserve">In the field of </w:t>
      </w:r>
      <w:r w:rsidR="006E79C4">
        <w:rPr>
          <w:b/>
        </w:rPr>
        <w:t>GMMs</w:t>
      </w:r>
      <w:r>
        <w:t>, r</w:t>
      </w:r>
      <w:r w:rsidRPr="00DD0CE5">
        <w:rPr>
          <w:lang w:eastAsia="en-IE"/>
        </w:rPr>
        <w:t>ecent evidence shows that there is significant activity in the development of innovative GMMs by both private and public/academic entities</w:t>
      </w:r>
      <w:r w:rsidR="356783D1" w:rsidRPr="52F84C72">
        <w:rPr>
          <w:lang w:eastAsia="en-IE"/>
        </w:rPr>
        <w:t>.</w:t>
      </w:r>
      <w:r w:rsidRPr="00DD0CE5">
        <w:rPr>
          <w:lang w:eastAsia="en-IE"/>
        </w:rPr>
        <w:t xml:space="preserve">  </w:t>
      </w:r>
      <w:r w:rsidR="06C132F2" w:rsidRPr="00DD0CE5">
        <w:rPr>
          <w:lang w:eastAsia="en-IE"/>
        </w:rPr>
        <w:t>However, t</w:t>
      </w:r>
      <w:r w:rsidRPr="00DD0CE5">
        <w:rPr>
          <w:lang w:eastAsia="en-IE"/>
        </w:rPr>
        <w:t>he majority of the identified GMMs originate</w:t>
      </w:r>
      <w:r w:rsidR="41B08688" w:rsidRPr="00DD0CE5">
        <w:rPr>
          <w:lang w:eastAsia="en-IE"/>
        </w:rPr>
        <w:t>s</w:t>
      </w:r>
      <w:r w:rsidRPr="00DD0CE5">
        <w:rPr>
          <w:lang w:eastAsia="en-IE"/>
        </w:rPr>
        <w:t xml:space="preserve"> from the US or China, while </w:t>
      </w:r>
      <w:r w:rsidRPr="00DD0CE5">
        <w:rPr>
          <w:b/>
          <w:bCs/>
          <w:lang w:eastAsia="en-IE"/>
        </w:rPr>
        <w:t>only a limited number were developed within the EU</w:t>
      </w:r>
      <w:r w:rsidRPr="00DD0CE5">
        <w:rPr>
          <w:vertAlign w:val="superscript"/>
          <w:lang w:eastAsia="en-IE"/>
        </w:rPr>
        <w:footnoteReference w:id="147"/>
      </w:r>
      <w:r w:rsidRPr="00DD0CE5">
        <w:rPr>
          <w:lang w:eastAsia="en-IE"/>
        </w:rPr>
        <w:t xml:space="preserve">. </w:t>
      </w:r>
      <w:r w:rsidR="052479A4" w:rsidRPr="00DD0CE5">
        <w:rPr>
          <w:lang w:eastAsia="en-IE"/>
        </w:rPr>
        <w:t>Notably, t</w:t>
      </w:r>
      <w:r w:rsidRPr="00DD0CE5">
        <w:rPr>
          <w:lang w:eastAsia="en-IE"/>
        </w:rPr>
        <w:t xml:space="preserve">here are </w:t>
      </w:r>
      <w:r w:rsidRPr="00DD0CE5">
        <w:rPr>
          <w:b/>
          <w:bCs/>
          <w:lang w:eastAsia="en-IE"/>
        </w:rPr>
        <w:t xml:space="preserve">currently no products on the </w:t>
      </w:r>
      <w:r>
        <w:rPr>
          <w:b/>
          <w:bCs/>
          <w:lang w:eastAsia="en-IE"/>
        </w:rPr>
        <w:t>single</w:t>
      </w:r>
      <w:r w:rsidRPr="00DD0CE5">
        <w:rPr>
          <w:b/>
          <w:bCs/>
          <w:lang w:eastAsia="en-IE"/>
        </w:rPr>
        <w:t xml:space="preserve"> market that contain or consist of GMMs</w:t>
      </w:r>
      <w:r w:rsidRPr="00DD0CE5">
        <w:rPr>
          <w:lang w:eastAsia="en-IE"/>
        </w:rPr>
        <w:t xml:space="preserve">, </w:t>
      </w:r>
      <w:r w:rsidR="00AA1918" w:rsidRPr="00DD0CE5">
        <w:rPr>
          <w:lang w:eastAsia="en-IE"/>
        </w:rPr>
        <w:t>except for</w:t>
      </w:r>
      <w:r w:rsidRPr="00DD0CE5">
        <w:rPr>
          <w:lang w:eastAsia="en-IE"/>
        </w:rPr>
        <w:t xml:space="preserve"> medicinal products which are, however, not authorised under the GMO legal framework but under the </w:t>
      </w:r>
      <w:r>
        <w:rPr>
          <w:lang w:eastAsia="en-IE"/>
        </w:rPr>
        <w:t>EU</w:t>
      </w:r>
      <w:r w:rsidRPr="00DD0CE5">
        <w:rPr>
          <w:lang w:eastAsia="en-IE"/>
        </w:rPr>
        <w:t xml:space="preserve"> framework</w:t>
      </w:r>
      <w:r>
        <w:rPr>
          <w:lang w:eastAsia="en-IE"/>
        </w:rPr>
        <w:t xml:space="preserve"> on pharmaceuticals</w:t>
      </w:r>
      <w:r w:rsidRPr="00DD0CE5">
        <w:rPr>
          <w:lang w:eastAsia="en-IE"/>
        </w:rPr>
        <w:t xml:space="preserve">. This is particularly affecting the competitiveness of SMEs </w:t>
      </w:r>
      <w:r w:rsidR="006D34C5">
        <w:rPr>
          <w:lang w:eastAsia="en-IE"/>
        </w:rPr>
        <w:t>in th</w:t>
      </w:r>
      <w:r w:rsidR="00477D8A">
        <w:rPr>
          <w:lang w:eastAsia="en-IE"/>
        </w:rPr>
        <w:t>e GMM field,</w:t>
      </w:r>
      <w:r w:rsidRPr="00DD0CE5">
        <w:rPr>
          <w:lang w:eastAsia="en-IE"/>
        </w:rPr>
        <w:t xml:space="preserve"> since they are typically among the most innovative companies in the biotechnology sector but may lack the regulatory expertise and financial resources to navigate complex legal frameworks that may not adequately fit their innovative products. At the same time, this lack of products on the markets</w:t>
      </w:r>
      <w:r w:rsidR="00387412">
        <w:rPr>
          <w:lang w:eastAsia="en-IE"/>
        </w:rPr>
        <w:t>,</w:t>
      </w:r>
      <w:r w:rsidRPr="00DD0CE5">
        <w:rPr>
          <w:lang w:eastAsia="en-IE"/>
        </w:rPr>
        <w:t xml:space="preserve"> or prospect to bring products efficiently to the market</w:t>
      </w:r>
      <w:r w:rsidR="00905B83">
        <w:rPr>
          <w:lang w:eastAsia="en-IE"/>
        </w:rPr>
        <w:t>,</w:t>
      </w:r>
      <w:r w:rsidRPr="00DD0CE5">
        <w:rPr>
          <w:lang w:eastAsia="en-IE"/>
        </w:rPr>
        <w:t xml:space="preserve"> </w:t>
      </w:r>
      <w:r w:rsidR="547C553F" w:rsidRPr="00DD0CE5">
        <w:rPr>
          <w:lang w:eastAsia="en-IE"/>
        </w:rPr>
        <w:t>is</w:t>
      </w:r>
      <w:r w:rsidRPr="00DD0CE5">
        <w:rPr>
          <w:lang w:eastAsia="en-IE"/>
        </w:rPr>
        <w:t xml:space="preserve"> </w:t>
      </w:r>
      <w:r w:rsidRPr="00DD0CE5">
        <w:rPr>
          <w:b/>
          <w:bCs/>
          <w:lang w:eastAsia="en-IE"/>
        </w:rPr>
        <w:t xml:space="preserve">discouraging investments in </w:t>
      </w:r>
      <w:r w:rsidR="4C271382" w:rsidRPr="00DD0CE5">
        <w:rPr>
          <w:b/>
          <w:bCs/>
          <w:lang w:eastAsia="en-IE"/>
        </w:rPr>
        <w:t>R&amp;D</w:t>
      </w:r>
      <w:r w:rsidR="6DD74A73" w:rsidRPr="2D5D6B79">
        <w:rPr>
          <w:b/>
          <w:bCs/>
          <w:lang w:eastAsia="en-IE"/>
        </w:rPr>
        <w:t>,</w:t>
      </w:r>
      <w:r w:rsidRPr="00DD0CE5">
        <w:rPr>
          <w:b/>
          <w:bCs/>
          <w:lang w:eastAsia="en-IE"/>
        </w:rPr>
        <w:t xml:space="preserve"> thus negatively impacting the wider science community in the EU</w:t>
      </w:r>
      <w:r w:rsidRPr="00DD0CE5">
        <w:rPr>
          <w:lang w:eastAsia="en-IE"/>
        </w:rPr>
        <w:t xml:space="preserve">. </w:t>
      </w:r>
      <w:r w:rsidRPr="00DD0CE5">
        <w:rPr>
          <w:lang w:val="en-US"/>
        </w:rPr>
        <w:t>EU economic sectors, foremost the agricultural</w:t>
      </w:r>
      <w:r w:rsidR="78222412" w:rsidRPr="0CEAF181">
        <w:rPr>
          <w:lang w:val="en-US"/>
        </w:rPr>
        <w:t xml:space="preserve">, industrial and </w:t>
      </w:r>
      <w:r w:rsidR="78222412" w:rsidRPr="0EF66264">
        <w:rPr>
          <w:lang w:val="en-US"/>
        </w:rPr>
        <w:t>environmental</w:t>
      </w:r>
      <w:r w:rsidRPr="0EF66264">
        <w:rPr>
          <w:lang w:val="en-US"/>
        </w:rPr>
        <w:t xml:space="preserve"> sector</w:t>
      </w:r>
      <w:r w:rsidR="40E65255" w:rsidRPr="0EF66264">
        <w:rPr>
          <w:lang w:val="en-US"/>
        </w:rPr>
        <w:t>s</w:t>
      </w:r>
      <w:r w:rsidRPr="00DD0CE5">
        <w:rPr>
          <w:lang w:val="en-US"/>
        </w:rPr>
        <w:t>, are negatively impacted as they cannot easily make use of novel tools available in third countries that make operations more efficient.</w:t>
      </w:r>
    </w:p>
    <w:p w14:paraId="7A1C0B48" w14:textId="57666859" w:rsidR="001476C3" w:rsidRDefault="00570356" w:rsidP="000861D7">
      <w:pPr>
        <w:rPr>
          <w:lang w:eastAsia="en-IE"/>
        </w:rPr>
      </w:pPr>
      <w:r>
        <w:t>A</w:t>
      </w:r>
      <w:r w:rsidR="00392BF4">
        <w:rPr>
          <w:lang w:eastAsia="en-IE"/>
        </w:rPr>
        <w:t xml:space="preserve">s a </w:t>
      </w:r>
      <w:r w:rsidR="00850CE6">
        <w:rPr>
          <w:lang w:eastAsia="en-IE"/>
        </w:rPr>
        <w:t>consequence</w:t>
      </w:r>
      <w:r w:rsidR="001403B2">
        <w:rPr>
          <w:lang w:eastAsia="en-IE"/>
        </w:rPr>
        <w:t xml:space="preserve"> of </w:t>
      </w:r>
      <w:r w:rsidR="006B1858">
        <w:rPr>
          <w:lang w:eastAsia="en-IE"/>
        </w:rPr>
        <w:t xml:space="preserve">the </w:t>
      </w:r>
      <w:r w:rsidR="001403B2">
        <w:rPr>
          <w:lang w:eastAsia="en-IE"/>
        </w:rPr>
        <w:t>issues outlined under</w:t>
      </w:r>
      <w:r w:rsidR="00850CE6">
        <w:rPr>
          <w:lang w:eastAsia="en-IE"/>
        </w:rPr>
        <w:t xml:space="preserve"> </w:t>
      </w:r>
      <w:r w:rsidR="001403B2">
        <w:rPr>
          <w:lang w:eastAsia="en-IE"/>
        </w:rPr>
        <w:t>drivers 1 and 3, a</w:t>
      </w:r>
      <w:r w:rsidR="002E5709" w:rsidRPr="00BD5F05">
        <w:rPr>
          <w:lang w:eastAsia="en-IE"/>
        </w:rPr>
        <w:t xml:space="preserve"> competitiveness gap</w:t>
      </w:r>
      <w:r w:rsidR="002E5709">
        <w:rPr>
          <w:lang w:eastAsia="en-IE"/>
        </w:rPr>
        <w:t xml:space="preserve"> is also observable </w:t>
      </w:r>
      <w:r w:rsidR="002E5709" w:rsidRPr="00BD5F05">
        <w:rPr>
          <w:lang w:eastAsia="en-IE"/>
        </w:rPr>
        <w:t>for biotechnology products in the food chain</w:t>
      </w:r>
      <w:r w:rsidR="0038484C">
        <w:t xml:space="preserve"> </w:t>
      </w:r>
      <w:r w:rsidR="0038484C">
        <w:rPr>
          <w:lang w:eastAsia="en-IE"/>
        </w:rPr>
        <w:t>(</w:t>
      </w:r>
      <w:r w:rsidR="001476C3" w:rsidRPr="00BD5F05">
        <w:rPr>
          <w:b/>
          <w:lang w:eastAsia="en-IE"/>
        </w:rPr>
        <w:t>food and feed products</w:t>
      </w:r>
      <w:r w:rsidR="00590170">
        <w:rPr>
          <w:b/>
          <w:lang w:eastAsia="en-IE"/>
        </w:rPr>
        <w:t>)</w:t>
      </w:r>
      <w:r w:rsidR="0038484C" w:rsidRPr="00D3253A">
        <w:rPr>
          <w:bCs/>
          <w:lang w:eastAsia="en-IE"/>
        </w:rPr>
        <w:t>,</w:t>
      </w:r>
      <w:r w:rsidR="0038484C">
        <w:rPr>
          <w:lang w:eastAsia="en-IE"/>
        </w:rPr>
        <w:t xml:space="preserve"> </w:t>
      </w:r>
      <w:r w:rsidR="001476C3" w:rsidRPr="00BD5F05">
        <w:rPr>
          <w:lang w:eastAsia="en-IE"/>
        </w:rPr>
        <w:t>including substances</w:t>
      </w:r>
      <w:r w:rsidR="00D83A22">
        <w:rPr>
          <w:lang w:eastAsia="en-IE"/>
        </w:rPr>
        <w:t xml:space="preserve"> (e.g. additives, enzymes etc)</w:t>
      </w:r>
      <w:r w:rsidR="0038484C">
        <w:rPr>
          <w:lang w:eastAsia="en-IE"/>
        </w:rPr>
        <w:t>,</w:t>
      </w:r>
      <w:r w:rsidR="001476C3" w:rsidRPr="00BD5F05">
        <w:rPr>
          <w:lang w:eastAsia="en-IE"/>
        </w:rPr>
        <w:t xml:space="preserve"> and other food chain inputs</w:t>
      </w:r>
      <w:r w:rsidR="00517237">
        <w:rPr>
          <w:lang w:eastAsia="en-IE"/>
        </w:rPr>
        <w:t xml:space="preserve"> (</w:t>
      </w:r>
      <w:r w:rsidR="000601D5">
        <w:rPr>
          <w:lang w:eastAsia="en-IE"/>
        </w:rPr>
        <w:t>e.g. food contact materials</w:t>
      </w:r>
      <w:r w:rsidR="0038484C">
        <w:rPr>
          <w:lang w:eastAsia="en-IE"/>
        </w:rPr>
        <w:t>)</w:t>
      </w:r>
      <w:r w:rsidR="001476C3" w:rsidRPr="00BD5F05">
        <w:rPr>
          <w:lang w:eastAsia="en-IE"/>
        </w:rPr>
        <w:t>.</w:t>
      </w:r>
    </w:p>
    <w:p w14:paraId="372E49B1" w14:textId="565E8D26" w:rsidR="002E5709" w:rsidRPr="00BD5F05" w:rsidRDefault="0070124F" w:rsidP="00D60200">
      <w:pPr>
        <w:rPr>
          <w:lang w:eastAsia="en-IE"/>
        </w:rPr>
      </w:pPr>
      <w:r w:rsidRPr="0070124F">
        <w:rPr>
          <w:lang w:eastAsia="en-IE"/>
        </w:rPr>
        <w:t xml:space="preserve">Finally, as </w:t>
      </w:r>
      <w:r w:rsidRPr="000C01D8">
        <w:rPr>
          <w:b/>
          <w:lang w:eastAsia="en-IE"/>
        </w:rPr>
        <w:t>AI</w:t>
      </w:r>
      <w:r w:rsidRPr="0070124F">
        <w:rPr>
          <w:lang w:eastAsia="en-IE"/>
        </w:rPr>
        <w:t xml:space="preserve"> continues to expand across the biotechnology lifecycle in the health and food sectors, the bottlenecks innovators face when attempting to develop, validate and deploy AI-enabled biotechnology solutions in the EU slow the transition from scientific discovery to real-world deployment. As a result, the Union risks failing to fully capture the productivity gains, efficiency improvements and innovation opportunities associated with the large-scale use of AI in biotechnology. This under-utilisation of AI may therefore translate into a growing competitiveness gap, as other jurisdictions more effectively integrate AI into biotechnology research, development and production across multiple biotech sectors.</w:t>
      </w:r>
      <w:r w:rsidR="002E5709" w:rsidRPr="002E5709">
        <w:rPr>
          <w:lang w:eastAsia="en-IE"/>
        </w:rPr>
        <w:t xml:space="preserve"> </w:t>
      </w:r>
    </w:p>
    <w:p w14:paraId="55907E7D" w14:textId="3FE2C650" w:rsidR="002B17D2" w:rsidRDefault="002B17D2" w:rsidP="002B17D2">
      <w:pPr>
        <w:pStyle w:val="Heading3"/>
      </w:pPr>
      <w:bookmarkStart w:id="82" w:name="_Toc224747203"/>
      <w:bookmarkStart w:id="83" w:name="_Toc224749673"/>
      <w:bookmarkStart w:id="84" w:name="_Toc225974551"/>
      <w:bookmarkStart w:id="85" w:name="_Toc225975224"/>
      <w:bookmarkStart w:id="86" w:name="_Toc225975281"/>
      <w:r>
        <w:t>Biotech</w:t>
      </w:r>
      <w:r w:rsidR="004D757E">
        <w:t>’s</w:t>
      </w:r>
      <w:r>
        <w:t xml:space="preserve"> potential to </w:t>
      </w:r>
      <w:r w:rsidR="00985B03">
        <w:t>help address</w:t>
      </w:r>
      <w:r>
        <w:t xml:space="preserve"> major societal challenges is underexploited</w:t>
      </w:r>
      <w:bookmarkEnd w:id="82"/>
      <w:bookmarkEnd w:id="83"/>
      <w:bookmarkEnd w:id="84"/>
      <w:bookmarkEnd w:id="85"/>
      <w:bookmarkEnd w:id="86"/>
      <w:r>
        <w:t xml:space="preserve"> </w:t>
      </w:r>
    </w:p>
    <w:p w14:paraId="0B5CF354" w14:textId="023A1D12" w:rsidR="00040A4C" w:rsidRPr="00DD0CE5" w:rsidRDefault="00040A4C" w:rsidP="000C01D8">
      <w:r w:rsidRPr="00100D74">
        <w:rPr>
          <w:lang w:val="en-IE"/>
        </w:rPr>
        <w:t>Despite its innovation and growth potential, and expected benefits for patients and society at large, the potential of biotechnology remains largely underexploited in the EU, across the different biotechnology areas</w:t>
      </w:r>
      <w:r w:rsidR="0037477F">
        <w:rPr>
          <w:lang w:val="en-IE"/>
        </w:rPr>
        <w:t>.</w:t>
      </w:r>
    </w:p>
    <w:p w14:paraId="07EF8156" w14:textId="12DE96F5" w:rsidR="00040A4C" w:rsidRDefault="00040A4C" w:rsidP="00320D23">
      <w:pPr>
        <w:rPr>
          <w:lang w:val="en-IE"/>
        </w:rPr>
      </w:pPr>
      <w:r>
        <w:t xml:space="preserve">In the health sector, </w:t>
      </w:r>
      <w:r w:rsidRPr="00B53FFB">
        <w:rPr>
          <w:b/>
          <w:lang w:val="en-IE"/>
        </w:rPr>
        <w:t>ATMPs</w:t>
      </w:r>
      <w:r w:rsidR="59383324" w:rsidRPr="20A51076">
        <w:rPr>
          <w:lang w:val="en-IE"/>
        </w:rPr>
        <w:t xml:space="preserve"> – </w:t>
      </w:r>
      <w:r w:rsidRPr="044CB3F6">
        <w:rPr>
          <w:lang w:val="en-IE"/>
        </w:rPr>
        <w:t>such</w:t>
      </w:r>
      <w:r w:rsidR="59383324" w:rsidRPr="20A51076">
        <w:rPr>
          <w:lang w:val="en-IE"/>
        </w:rPr>
        <w:t xml:space="preserve"> </w:t>
      </w:r>
      <w:r w:rsidRPr="044CB3F6">
        <w:rPr>
          <w:lang w:val="en-IE"/>
        </w:rPr>
        <w:t>as gene therapies</w:t>
      </w:r>
      <w:r w:rsidR="4DDFEF18" w:rsidRPr="20A51076">
        <w:rPr>
          <w:lang w:val="en-IE"/>
        </w:rPr>
        <w:t xml:space="preserve"> – </w:t>
      </w:r>
      <w:r w:rsidR="6CFDBD98" w:rsidRPr="7AE95E51">
        <w:rPr>
          <w:lang w:val="en-IE"/>
        </w:rPr>
        <w:t xml:space="preserve">offer a </w:t>
      </w:r>
      <w:r w:rsidR="6CFDBD98" w:rsidRPr="161D6977">
        <w:rPr>
          <w:lang w:val="en-IE"/>
        </w:rPr>
        <w:t>transf</w:t>
      </w:r>
      <w:r w:rsidR="00161744">
        <w:rPr>
          <w:lang w:val="en-IE"/>
        </w:rPr>
        <w:t>or</w:t>
      </w:r>
      <w:r w:rsidR="6CFDBD98" w:rsidRPr="161D6977">
        <w:rPr>
          <w:lang w:val="en-IE"/>
        </w:rPr>
        <w:t>mative</w:t>
      </w:r>
      <w:r w:rsidR="6CFDBD98" w:rsidRPr="7AE95E51">
        <w:rPr>
          <w:lang w:val="en-IE"/>
        </w:rPr>
        <w:t xml:space="preserve"> </w:t>
      </w:r>
      <w:r w:rsidR="6CFDBD98" w:rsidRPr="161D6977">
        <w:rPr>
          <w:lang w:val="en-IE"/>
        </w:rPr>
        <w:t xml:space="preserve">potential for treating </w:t>
      </w:r>
      <w:r w:rsidRPr="044CB3F6">
        <w:rPr>
          <w:lang w:val="en-IE"/>
        </w:rPr>
        <w:t xml:space="preserve">a </w:t>
      </w:r>
      <w:r w:rsidR="1543832B" w:rsidRPr="161D6977">
        <w:rPr>
          <w:lang w:val="en-IE"/>
        </w:rPr>
        <w:t xml:space="preserve">broad </w:t>
      </w:r>
      <w:r w:rsidR="1543832B" w:rsidRPr="247D0911">
        <w:rPr>
          <w:lang w:val="en-IE"/>
        </w:rPr>
        <w:t>spectrum</w:t>
      </w:r>
      <w:r w:rsidRPr="044CB3F6">
        <w:rPr>
          <w:lang w:val="en-IE"/>
        </w:rPr>
        <w:t xml:space="preserve"> of diseases, </w:t>
      </w:r>
      <w:r w:rsidR="281A30A1" w:rsidRPr="2929EF72">
        <w:rPr>
          <w:lang w:val="en-IE"/>
        </w:rPr>
        <w:t>from</w:t>
      </w:r>
      <w:r w:rsidRPr="044CB3F6">
        <w:rPr>
          <w:lang w:val="en-IE"/>
        </w:rPr>
        <w:t xml:space="preserve"> rare genetic disorders </w:t>
      </w:r>
      <w:r w:rsidR="5D623939" w:rsidRPr="2929EF72">
        <w:rPr>
          <w:lang w:val="en-IE"/>
        </w:rPr>
        <w:t>to common</w:t>
      </w:r>
      <w:r w:rsidRPr="044CB3F6">
        <w:rPr>
          <w:lang w:val="en-IE"/>
        </w:rPr>
        <w:t xml:space="preserve"> chronic conditions. </w:t>
      </w:r>
      <w:r w:rsidR="1C3B61D7" w:rsidRPr="5E42575B">
        <w:rPr>
          <w:lang w:val="en-IE"/>
        </w:rPr>
        <w:t>Despite this promise</w:t>
      </w:r>
      <w:r w:rsidR="001B41BB">
        <w:rPr>
          <w:lang w:val="en-IE"/>
        </w:rPr>
        <w:t xml:space="preserve"> and the innovative potential in the </w:t>
      </w:r>
      <w:r w:rsidR="00D3253A">
        <w:rPr>
          <w:lang w:val="en-IE"/>
        </w:rPr>
        <w:t>EU</w:t>
      </w:r>
      <w:r w:rsidR="00D3253A" w:rsidRPr="044CB3F6">
        <w:rPr>
          <w:lang w:val="en-IE"/>
        </w:rPr>
        <w:t>, patient</w:t>
      </w:r>
      <w:r w:rsidRPr="044CB3F6">
        <w:rPr>
          <w:lang w:val="en-IE"/>
        </w:rPr>
        <w:t xml:space="preserve"> access in the EU remain</w:t>
      </w:r>
      <w:r w:rsidR="00317E7F">
        <w:rPr>
          <w:lang w:val="en-IE"/>
        </w:rPr>
        <w:t>s</w:t>
      </w:r>
      <w:r w:rsidRPr="044CB3F6">
        <w:rPr>
          <w:lang w:val="en-IE"/>
        </w:rPr>
        <w:t xml:space="preserve"> </w:t>
      </w:r>
      <w:r w:rsidR="526D94F3" w:rsidRPr="6731803B">
        <w:rPr>
          <w:lang w:val="en-IE"/>
        </w:rPr>
        <w:t xml:space="preserve">severely </w:t>
      </w:r>
      <w:r w:rsidRPr="6731803B">
        <w:rPr>
          <w:lang w:val="en-IE"/>
        </w:rPr>
        <w:t>limited</w:t>
      </w:r>
      <w:r w:rsidRPr="044CB3F6">
        <w:rPr>
          <w:lang w:val="en-IE"/>
        </w:rPr>
        <w:t>.</w:t>
      </w:r>
    </w:p>
    <w:p w14:paraId="0A417B5B" w14:textId="6539AB1F" w:rsidR="00040A4C" w:rsidRPr="00DD0CE5" w:rsidRDefault="00040A4C" w:rsidP="00320D23">
      <w:r w:rsidRPr="00B53FFB">
        <w:rPr>
          <w:b/>
        </w:rPr>
        <w:t>Organ transplantation</w:t>
      </w:r>
      <w:r w:rsidRPr="00DD0CE5">
        <w:t xml:space="preserve"> </w:t>
      </w:r>
      <w:r>
        <w:t>also</w:t>
      </w:r>
      <w:r w:rsidRPr="00DD0CE5">
        <w:t xml:space="preserve"> increasingly involves </w:t>
      </w:r>
      <w:r w:rsidRPr="00A41F2E">
        <w:rPr>
          <w:i/>
          <w:iCs/>
        </w:rPr>
        <w:t>ex-vivo</w:t>
      </w:r>
      <w:r w:rsidRPr="00DD0CE5">
        <w:t xml:space="preserve"> organ processing, such as machine perfusion to assess and recondition donor organs prior to transplantation. These techniques can expand the pool of transplantable organs, improve </w:t>
      </w:r>
      <w:r w:rsidR="00E8028F">
        <w:t xml:space="preserve">matching of organs and recipients, improve </w:t>
      </w:r>
      <w:r w:rsidRPr="00DD0CE5">
        <w:t>clinical outcomes and strengthen health-system resilience. However</w:t>
      </w:r>
      <w:r w:rsidDel="00614E33">
        <w:t>,</w:t>
      </w:r>
      <w:r>
        <w:t xml:space="preserve"> there is limited </w:t>
      </w:r>
      <w:r w:rsidRPr="00DD0CE5">
        <w:t xml:space="preserve">cross-border exchange and slow </w:t>
      </w:r>
      <w:r w:rsidR="002837E0">
        <w:t>EU</w:t>
      </w:r>
      <w:r w:rsidRPr="00DD0CE5">
        <w:t>-wide uptake of innovative processing technologies</w:t>
      </w:r>
      <w:r w:rsidR="007E26EE">
        <w:rPr>
          <w:rStyle w:val="FootnoteReference"/>
        </w:rPr>
        <w:footnoteReference w:id="148"/>
      </w:r>
      <w:r w:rsidRPr="00DD0CE5">
        <w:t>.</w:t>
      </w:r>
    </w:p>
    <w:p w14:paraId="0D260258" w14:textId="30E7BE93" w:rsidR="00040A4C" w:rsidRPr="00DD0CE5" w:rsidRDefault="00040A4C" w:rsidP="00320D23">
      <w:r w:rsidRPr="002B2BEB">
        <w:t xml:space="preserve">In the </w:t>
      </w:r>
      <w:r w:rsidR="00E61FF5">
        <w:rPr>
          <w:b/>
        </w:rPr>
        <w:t>VMP</w:t>
      </w:r>
      <w:r w:rsidRPr="00100D74">
        <w:rPr>
          <w:b/>
        </w:rPr>
        <w:t xml:space="preserve"> sector</w:t>
      </w:r>
      <w:r w:rsidRPr="002B2BEB">
        <w:t xml:space="preserve">, the potential of biotechnology to improve animal health and strengthen food </w:t>
      </w:r>
      <w:r>
        <w:t>supply chain</w:t>
      </w:r>
      <w:r w:rsidRPr="002B2BEB">
        <w:t xml:space="preserve"> resilience remains under</w:t>
      </w:r>
      <w:r w:rsidR="00676957">
        <w:t>developed</w:t>
      </w:r>
      <w:r w:rsidRPr="002B2BEB">
        <w:t xml:space="preserve">. </w:t>
      </w:r>
      <w:r w:rsidR="00842F62">
        <w:t>Favourable r</w:t>
      </w:r>
      <w:r w:rsidR="00975986">
        <w:t xml:space="preserve">egulatory conditions </w:t>
      </w:r>
      <w:r w:rsidR="00965F13">
        <w:t>for the use</w:t>
      </w:r>
      <w:r w:rsidR="00660213">
        <w:t xml:space="preserve"> of</w:t>
      </w:r>
      <w:r w:rsidR="00C45A08">
        <w:t xml:space="preserve"> </w:t>
      </w:r>
      <w:r w:rsidR="00BC7186">
        <w:t>biotechnology in animal health will not</w:t>
      </w:r>
      <w:r w:rsidR="00965F13">
        <w:t xml:space="preserve"> only</w:t>
      </w:r>
      <w:r w:rsidRPr="00DD0CE5">
        <w:t xml:space="preserve"> </w:t>
      </w:r>
      <w:r w:rsidR="00545315">
        <w:t>benefit</w:t>
      </w:r>
      <w:r w:rsidR="00087ECD">
        <w:t xml:space="preserve"> </w:t>
      </w:r>
      <w:r w:rsidRPr="00DD0CE5">
        <w:t xml:space="preserve">the biotech pharmaceutical industry, but also farmers, animal health, the food supply chain and human health (zoonotic diseases). </w:t>
      </w:r>
      <w:r w:rsidRPr="00B53FFB">
        <w:t>When</w:t>
      </w:r>
      <w:r w:rsidRPr="00DD0CE5">
        <w:t xml:space="preserve"> disease spreads in food-producing animals, the impact on farmers can be dire and food security </w:t>
      </w:r>
      <w:r w:rsidR="00B24BB8">
        <w:t xml:space="preserve">can be </w:t>
      </w:r>
      <w:r w:rsidRPr="00DD0CE5">
        <w:t xml:space="preserve">put at risk. Vaccination is a powerful tool to prevent and control animal diseases and contributes to reducing </w:t>
      </w:r>
      <w:r w:rsidR="00B24BB8">
        <w:t>the</w:t>
      </w:r>
      <w:r w:rsidRPr="00DD0CE5">
        <w:t xml:space="preserve"> use</w:t>
      </w:r>
      <w:r w:rsidR="00B24BB8">
        <w:t xml:space="preserve"> of </w:t>
      </w:r>
      <w:r w:rsidRPr="00DD0CE5">
        <w:t xml:space="preserve">antimicrobials. As a large share of emerging infectious diseases in humans has a zoonotic origin, preventing animal diseases also has positive effects on human health. Novel biotechnology tools enable the development of safer and more effective vaccines, as well as the distinction of vaccinated animals from those infected, and allow vaccines to be developed or adapted much faster than with conventional approaches, which is critical to prevent and control animal diseases. </w:t>
      </w:r>
    </w:p>
    <w:p w14:paraId="0634A3F5" w14:textId="2B193A36" w:rsidR="00040A4C" w:rsidRPr="00DD0CE5" w:rsidRDefault="00040A4C" w:rsidP="00320D23">
      <w:pPr>
        <w:rPr>
          <w:lang w:eastAsia="en-IE"/>
        </w:rPr>
      </w:pPr>
      <w:r w:rsidRPr="00E9004F">
        <w:t xml:space="preserve">When it comes to </w:t>
      </w:r>
      <w:r w:rsidRPr="6F1916E9">
        <w:rPr>
          <w:b/>
          <w:bCs/>
        </w:rPr>
        <w:t>innovative GMMs</w:t>
      </w:r>
      <w:r w:rsidR="004158E1">
        <w:rPr>
          <w:rStyle w:val="FootnoteReference"/>
          <w:b/>
          <w:bCs/>
        </w:rPr>
        <w:footnoteReference w:id="149"/>
      </w:r>
      <w:r w:rsidR="006C1D09">
        <w:t xml:space="preserve">, </w:t>
      </w:r>
      <w:r w:rsidRPr="00E9004F">
        <w:t xml:space="preserve">their non-deployment in the </w:t>
      </w:r>
      <w:r w:rsidR="3BBE5B0F">
        <w:t>EU</w:t>
      </w:r>
      <w:r w:rsidRPr="00E9004F">
        <w:t xml:space="preserve"> market, in addition to the loss of competitiveness opportunities outlined under </w:t>
      </w:r>
      <w:r w:rsidR="006C1D09">
        <w:t>the driver 3</w:t>
      </w:r>
      <w:r w:rsidRPr="00E9004F">
        <w:t xml:space="preserve">, result in an unfulfilled potential for GMMs to contribute to other social and environmental objectives. </w:t>
      </w:r>
      <w:r w:rsidR="733BA3A2">
        <w:t>For example, GMMs can now be used as or in biofertilisers, biostimulants, biopesticides, biocides, bioremediation, wastewater treatment, biomining and bioleaching, offering benefits in the wider agri-food, industrial</w:t>
      </w:r>
      <w:r w:rsidR="2FA7B48D">
        <w:t>, marine</w:t>
      </w:r>
      <w:r w:rsidR="733BA3A2">
        <w:t xml:space="preserve"> and environmental sectors. </w:t>
      </w:r>
      <w:r w:rsidRPr="00E9004F">
        <w:t xml:space="preserve">As GMM-based products that would be more efficient or environmentally friendly than the alternatives are not being used, </w:t>
      </w:r>
      <w:r w:rsidRPr="00DD0CE5">
        <w:rPr>
          <w:lang w:eastAsia="en-IE"/>
        </w:rPr>
        <w:t xml:space="preserve">EU society and consumers are negatively impacted as they are being deprived of innovative solutions to important challenges </w:t>
      </w:r>
      <w:r w:rsidRPr="17B72E14">
        <w:rPr>
          <w:lang w:eastAsia="en-IE"/>
        </w:rPr>
        <w:t>li</w:t>
      </w:r>
      <w:r w:rsidR="3D43A7A0" w:rsidRPr="17B72E14">
        <w:rPr>
          <w:lang w:eastAsia="en-IE"/>
        </w:rPr>
        <w:t>n</w:t>
      </w:r>
      <w:r w:rsidRPr="17B72E14">
        <w:rPr>
          <w:lang w:eastAsia="en-IE"/>
        </w:rPr>
        <w:t>ke</w:t>
      </w:r>
      <w:r w:rsidR="2268F180" w:rsidRPr="17B72E14">
        <w:rPr>
          <w:lang w:eastAsia="en-IE"/>
        </w:rPr>
        <w:t>d to</w:t>
      </w:r>
      <w:r w:rsidRPr="00DD0CE5">
        <w:rPr>
          <w:lang w:eastAsia="en-IE"/>
        </w:rPr>
        <w:t xml:space="preserve"> climate change, environmental pollution and food </w:t>
      </w:r>
      <w:r w:rsidR="77ABEF1F" w:rsidRPr="6564747F">
        <w:rPr>
          <w:lang w:eastAsia="en-IE"/>
        </w:rPr>
        <w:t>and feed</w:t>
      </w:r>
      <w:r w:rsidRPr="2F1550DE">
        <w:rPr>
          <w:lang w:eastAsia="en-IE"/>
        </w:rPr>
        <w:t xml:space="preserve"> </w:t>
      </w:r>
      <w:r w:rsidRPr="00DD0CE5">
        <w:rPr>
          <w:lang w:eastAsia="en-IE"/>
        </w:rPr>
        <w:t>security.</w:t>
      </w:r>
    </w:p>
    <w:p w14:paraId="2C82A8DA" w14:textId="32DF4B44" w:rsidR="00040A4C" w:rsidRPr="00DD0CE5" w:rsidRDefault="00040A4C" w:rsidP="00320D23">
      <w:pPr>
        <w:rPr>
          <w:iCs/>
        </w:rPr>
      </w:pPr>
      <w:r w:rsidRPr="00B64067">
        <w:t xml:space="preserve">Moreover, in the </w:t>
      </w:r>
      <w:r w:rsidRPr="00B64067">
        <w:rPr>
          <w:b/>
        </w:rPr>
        <w:t>food and feed sector</w:t>
      </w:r>
      <w:r w:rsidRPr="00DA450F">
        <w:t xml:space="preserve">, </w:t>
      </w:r>
      <w:r w:rsidRPr="00B64067">
        <w:t>the potential of biotechnology remains underexploited and experimentation in real conditions</w:t>
      </w:r>
      <w:r w:rsidR="006C4D6F">
        <w:t xml:space="preserve"> (e.g. </w:t>
      </w:r>
      <w:r w:rsidR="006C4D6F" w:rsidRPr="006C4D6F">
        <w:t>real-world food production and processing environments</w:t>
      </w:r>
      <w:r w:rsidR="006C4D6F">
        <w:t>)</w:t>
      </w:r>
      <w:r w:rsidRPr="00B64067">
        <w:t xml:space="preserve"> is constrained. Biotechnology tools can support more efficient production processes across the food chain. These technologies can improve the safety and quality of food products, for example by reducing pathogens and toxins and enhancing nutritional properties</w:t>
      </w:r>
      <w:r w:rsidRPr="00B64067">
        <w:rPr>
          <w:rStyle w:val="FootnoteReference"/>
        </w:rPr>
        <w:footnoteReference w:id="150"/>
      </w:r>
      <w:r w:rsidRPr="00B64067">
        <w:t>. Enzymes and biocatalysts can reduce environmental impacts by replacing chemical processes and improving process efficiency</w:t>
      </w:r>
      <w:r w:rsidRPr="00B64067">
        <w:rPr>
          <w:rStyle w:val="FootnoteReference"/>
        </w:rPr>
        <w:footnoteReference w:id="151"/>
      </w:r>
      <w:r w:rsidRPr="00B64067">
        <w:t>. As regulatory drivers constrain the deployment of innovations in such areas</w:t>
      </w:r>
      <w:r w:rsidR="001F19AD">
        <w:t xml:space="preserve">, </w:t>
      </w:r>
      <w:r w:rsidRPr="00B64067">
        <w:t xml:space="preserve">the </w:t>
      </w:r>
      <w:r>
        <w:t>single</w:t>
      </w:r>
      <w:r w:rsidRPr="00B64067">
        <w:t xml:space="preserve"> market</w:t>
      </w:r>
      <w:r w:rsidR="001B647F">
        <w:t xml:space="preserve"> as well as </w:t>
      </w:r>
      <w:r w:rsidRPr="00B64067">
        <w:t xml:space="preserve">the contribution of biotechnology to food safety </w:t>
      </w:r>
      <w:r w:rsidR="00565527">
        <w:t>and</w:t>
      </w:r>
      <w:r w:rsidRPr="00B64067">
        <w:t xml:space="preserve"> security, resource efficiency, environmental sustainability and </w:t>
      </w:r>
      <w:r w:rsidR="00031FF9">
        <w:t>the</w:t>
      </w:r>
      <w:r w:rsidRPr="00B64067">
        <w:t xml:space="preserve"> EU</w:t>
      </w:r>
      <w:r w:rsidR="00031FF9">
        <w:t>’s</w:t>
      </w:r>
      <w:r w:rsidRPr="00B64067">
        <w:t xml:space="preserve"> strategic autonomy</w:t>
      </w:r>
      <w:r w:rsidR="001B647F">
        <w:t>,</w:t>
      </w:r>
      <w:r w:rsidRPr="00B64067">
        <w:t xml:space="preserve"> </w:t>
      </w:r>
      <w:r w:rsidR="00692592">
        <w:t>are</w:t>
      </w:r>
      <w:r w:rsidRPr="00B64067">
        <w:t xml:space="preserve"> not fully realised.</w:t>
      </w:r>
    </w:p>
    <w:p w14:paraId="77D7F701" w14:textId="409C8AAA" w:rsidR="00040A4C" w:rsidRDefault="00187B53" w:rsidP="00320D23">
      <w:r>
        <w:rPr>
          <w:lang w:val="en-US"/>
        </w:rPr>
        <w:t>Furthermore, t</w:t>
      </w:r>
      <w:r w:rsidR="00040A4C" w:rsidRPr="00DD0CE5">
        <w:rPr>
          <w:lang w:val="en-US"/>
        </w:rPr>
        <w:t xml:space="preserve">he </w:t>
      </w:r>
      <w:r w:rsidR="00040A4C" w:rsidRPr="6F1916E9">
        <w:rPr>
          <w:b/>
          <w:bCs/>
          <w:lang w:val="en-US"/>
        </w:rPr>
        <w:t>rapid advancement of technology</w:t>
      </w:r>
      <w:r w:rsidR="00111F33" w:rsidRPr="6F1916E9">
        <w:rPr>
          <w:b/>
          <w:bCs/>
          <w:lang w:val="en-US"/>
        </w:rPr>
        <w:t xml:space="preserve">, </w:t>
      </w:r>
      <w:r w:rsidR="00396BC8">
        <w:rPr>
          <w:b/>
          <w:bCs/>
          <w:lang w:val="en-US"/>
        </w:rPr>
        <w:t>including</w:t>
      </w:r>
      <w:r w:rsidR="00111F33" w:rsidRPr="6F1916E9">
        <w:rPr>
          <w:b/>
          <w:bCs/>
          <w:lang w:val="en-US"/>
        </w:rPr>
        <w:t xml:space="preserve"> </w:t>
      </w:r>
      <w:r w:rsidR="00040A4C" w:rsidRPr="6F1916E9">
        <w:rPr>
          <w:b/>
          <w:bCs/>
          <w:lang w:val="en-US"/>
        </w:rPr>
        <w:t>AI</w:t>
      </w:r>
      <w:r w:rsidR="0CA6778C" w:rsidRPr="22E5B1BF">
        <w:rPr>
          <w:b/>
          <w:bCs/>
          <w:lang w:val="en-US"/>
        </w:rPr>
        <w:t>,</w:t>
      </w:r>
      <w:r w:rsidR="00040A4C" w:rsidRPr="6F1916E9">
        <w:rPr>
          <w:b/>
          <w:bCs/>
          <w:lang w:val="en-US"/>
        </w:rPr>
        <w:t xml:space="preserve"> a</w:t>
      </w:r>
      <w:r w:rsidR="003A2B56">
        <w:rPr>
          <w:b/>
          <w:bCs/>
          <w:lang w:val="en-US"/>
        </w:rPr>
        <w:t>longside</w:t>
      </w:r>
      <w:r w:rsidR="00040A4C" w:rsidRPr="6F1916E9">
        <w:rPr>
          <w:b/>
          <w:bCs/>
          <w:lang w:val="en-US"/>
        </w:rPr>
        <w:t xml:space="preserve"> increased</w:t>
      </w:r>
      <w:r w:rsidR="00040A4C" w:rsidRPr="00DD0CE5">
        <w:rPr>
          <w:lang w:val="en-US"/>
        </w:rPr>
        <w:t xml:space="preserve"> </w:t>
      </w:r>
      <w:r w:rsidR="00040A4C" w:rsidRPr="6F1916E9">
        <w:rPr>
          <w:b/>
          <w:bCs/>
          <w:lang w:val="en-US"/>
        </w:rPr>
        <w:t>data</w:t>
      </w:r>
      <w:r w:rsidR="00040A4C" w:rsidRPr="00DD0CE5">
        <w:rPr>
          <w:lang w:val="en-US"/>
        </w:rPr>
        <w:t xml:space="preserve"> </w:t>
      </w:r>
      <w:r w:rsidR="00040A4C" w:rsidRPr="6F1916E9">
        <w:rPr>
          <w:b/>
          <w:bCs/>
          <w:lang w:val="en-US"/>
        </w:rPr>
        <w:t xml:space="preserve">collection and use </w:t>
      </w:r>
      <w:r w:rsidR="00040A4C" w:rsidRPr="00C6261E">
        <w:rPr>
          <w:lang w:val="en-US"/>
        </w:rPr>
        <w:t>are cross-cutting enabler</w:t>
      </w:r>
      <w:r w:rsidR="00164CD0">
        <w:rPr>
          <w:lang w:val="en-US"/>
        </w:rPr>
        <w:t>s</w:t>
      </w:r>
      <w:r w:rsidR="00040A4C" w:rsidRPr="00C6261E">
        <w:rPr>
          <w:lang w:val="en-US"/>
        </w:rPr>
        <w:t xml:space="preserve"> with </w:t>
      </w:r>
      <w:r w:rsidR="00040A4C" w:rsidRPr="00DD0CE5">
        <w:rPr>
          <w:lang w:val="en-US"/>
        </w:rPr>
        <w:t xml:space="preserve">huge potential </w:t>
      </w:r>
      <w:r w:rsidR="00040A4C" w:rsidRPr="00C6261E">
        <w:rPr>
          <w:lang w:val="en-US"/>
        </w:rPr>
        <w:t>across the</w:t>
      </w:r>
      <w:r w:rsidR="00040A4C" w:rsidRPr="00DD0CE5">
        <w:rPr>
          <w:lang w:val="en-US"/>
        </w:rPr>
        <w:t xml:space="preserve"> </w:t>
      </w:r>
      <w:r w:rsidR="00040A4C" w:rsidRPr="00C6261E">
        <w:rPr>
          <w:lang w:val="en-US"/>
        </w:rPr>
        <w:t xml:space="preserve">different areas of the </w:t>
      </w:r>
      <w:r w:rsidR="00040A4C" w:rsidRPr="00DD0CE5">
        <w:rPr>
          <w:lang w:val="en-US"/>
        </w:rPr>
        <w:t xml:space="preserve">biotech sector, yet to be fully </w:t>
      </w:r>
      <w:r w:rsidR="007D324B">
        <w:rPr>
          <w:lang w:val="en-US"/>
        </w:rPr>
        <w:t>utilised</w:t>
      </w:r>
      <w:r w:rsidR="00040A4C" w:rsidRPr="00DD0CE5">
        <w:rPr>
          <w:lang w:val="en-US"/>
        </w:rPr>
        <w:t xml:space="preserve">. </w:t>
      </w:r>
      <w:r w:rsidR="00040A4C" w:rsidRPr="00B64067">
        <w:t xml:space="preserve">AI and advanced data use act as key enablers of biotechnology innovation across health and agri-food applications. AI-driven tools support target identification, molecular design, optimisation of biological processes, </w:t>
      </w:r>
      <w:r w:rsidR="00306984">
        <w:t>CT</w:t>
      </w:r>
      <w:r w:rsidR="00040A4C" w:rsidRPr="00B64067">
        <w:t xml:space="preserve"> design and manufacturing efficiency, while in the agri-food sector they enable </w:t>
      </w:r>
      <w:r w:rsidR="006C4D6F">
        <w:t>advanced</w:t>
      </w:r>
      <w:r w:rsidR="006C4D6F" w:rsidRPr="00B64067">
        <w:t xml:space="preserve"> </w:t>
      </w:r>
      <w:r w:rsidR="00040A4C" w:rsidRPr="00B64067">
        <w:t xml:space="preserve">fermentation, strain optimisation and resource-efficient production. These applications can accelerate innovation cycles, reduce development costs and strengthen resilience in areas such as medical countermeasures, disease detection and sustainable food systems. However, the full potential of AI-enabled biotechnology remains underexploited in the </w:t>
      </w:r>
      <w:r w:rsidR="00F16B7A">
        <w:t>EU</w:t>
      </w:r>
      <w:r w:rsidR="00040A4C" w:rsidRPr="00B64067">
        <w:t xml:space="preserve">. The effective deployment of these technologies requires </w:t>
      </w:r>
      <w:r w:rsidR="00607865" w:rsidRPr="00B64067">
        <w:t>clear lifecycle guidance</w:t>
      </w:r>
      <w:r w:rsidR="00607865">
        <w:t>, as well as</w:t>
      </w:r>
      <w:r w:rsidR="00607865" w:rsidRPr="00B64067" w:rsidDel="00607865">
        <w:t xml:space="preserve"> </w:t>
      </w:r>
      <w:r w:rsidR="00040A4C" w:rsidRPr="00B64067">
        <w:t xml:space="preserve">access to integrated environments combining experimental and computational capabilities for testing and validation, and high-quality, well-curated datasets that allow AI systems to be trained and deployed reliably. The absence of these enabling conditions limits the </w:t>
      </w:r>
      <w:r w:rsidR="00073476">
        <w:t>EU’s</w:t>
      </w:r>
      <w:r w:rsidR="00040A4C" w:rsidRPr="00B64067">
        <w:t xml:space="preserve"> ability to fully harness biotechnology to address major societal challenges and strengthen its strategic autonomy in health and food systems.</w:t>
      </w:r>
    </w:p>
    <w:p w14:paraId="43D497C9" w14:textId="69EAB4CF" w:rsidR="009E4D67" w:rsidRDefault="000107DB" w:rsidP="00320D23">
      <w:pPr>
        <w:rPr>
          <w:lang w:eastAsia="en-IE"/>
        </w:rPr>
      </w:pPr>
      <w:r w:rsidRPr="00DD0CE5">
        <w:rPr>
          <w:iCs/>
        </w:rPr>
        <w:t xml:space="preserve">Regarding the application of biotechnology to defence and security, the primary challenges identified by stakeholders in the public consultation were the </w:t>
      </w:r>
      <w:r w:rsidRPr="00DD0CE5">
        <w:rPr>
          <w:b/>
          <w:bCs/>
          <w:iCs/>
        </w:rPr>
        <w:t>risks to strategic autonomy</w:t>
      </w:r>
      <w:r w:rsidRPr="00DD0CE5">
        <w:rPr>
          <w:iCs/>
        </w:rPr>
        <w:t xml:space="preserve"> in biomanufacturing and </w:t>
      </w:r>
      <w:r w:rsidRPr="003A17FD">
        <w:rPr>
          <w:iCs/>
        </w:rPr>
        <w:t>availability of countermeasures (5</w:t>
      </w:r>
      <w:r w:rsidRPr="00E627D6">
        <w:t>0</w:t>
      </w:r>
      <w:r w:rsidR="00405618">
        <w:t>%</w:t>
      </w:r>
      <w:r w:rsidRPr="003A17FD">
        <w:rPr>
          <w:iCs/>
        </w:rPr>
        <w:t xml:space="preserve">), </w:t>
      </w:r>
      <w:r w:rsidRPr="003A17FD">
        <w:rPr>
          <w:b/>
          <w:bCs/>
          <w:iCs/>
        </w:rPr>
        <w:t>cybersecurity risks</w:t>
      </w:r>
      <w:r w:rsidRPr="003A17FD">
        <w:rPr>
          <w:iCs/>
        </w:rPr>
        <w:t xml:space="preserve"> (e.g. biotechnology infrastructure, AI tools used) (4</w:t>
      </w:r>
      <w:r w:rsidRPr="00E627D6">
        <w:t>5</w:t>
      </w:r>
      <w:r w:rsidR="00405618">
        <w:t>%</w:t>
      </w:r>
      <w:r w:rsidRPr="003A17FD">
        <w:rPr>
          <w:iCs/>
        </w:rPr>
        <w:t xml:space="preserve">), vulnerabilities in the </w:t>
      </w:r>
      <w:r w:rsidRPr="003A17FD">
        <w:rPr>
          <w:b/>
          <w:bCs/>
          <w:iCs/>
        </w:rPr>
        <w:t xml:space="preserve">resilience of biotechnology supply chains </w:t>
      </w:r>
      <w:r w:rsidRPr="003A17FD">
        <w:rPr>
          <w:iCs/>
        </w:rPr>
        <w:t>(4</w:t>
      </w:r>
      <w:r w:rsidRPr="00E627D6">
        <w:t>4</w:t>
      </w:r>
      <w:r w:rsidR="00405618">
        <w:t>%</w:t>
      </w:r>
      <w:r w:rsidRPr="003A17FD">
        <w:rPr>
          <w:iCs/>
        </w:rPr>
        <w:t xml:space="preserve">), and threats related to biosecurity and biosafety including </w:t>
      </w:r>
      <w:r w:rsidRPr="003A17FD">
        <w:rPr>
          <w:b/>
          <w:bCs/>
          <w:iCs/>
        </w:rPr>
        <w:t xml:space="preserve">misuse of biotechnology </w:t>
      </w:r>
      <w:r w:rsidRPr="003A17FD">
        <w:rPr>
          <w:iCs/>
        </w:rPr>
        <w:t>(40</w:t>
      </w:r>
      <w:r w:rsidR="00405618">
        <w:t>%</w:t>
      </w:r>
      <w:r w:rsidRPr="003A17FD">
        <w:rPr>
          <w:iCs/>
        </w:rPr>
        <w:t>).</w:t>
      </w:r>
      <w:r w:rsidR="00C40BA8">
        <w:rPr>
          <w:iCs/>
          <w:vertAlign w:val="superscript"/>
        </w:rPr>
        <w:t xml:space="preserve"> </w:t>
      </w:r>
      <w:r w:rsidR="009E4D67">
        <w:t xml:space="preserve">Finally, </w:t>
      </w:r>
      <w:r w:rsidR="009E4D67" w:rsidRPr="439FD4AD">
        <w:rPr>
          <w:b/>
          <w:bCs/>
          <w:lang w:val="en-IE"/>
        </w:rPr>
        <w:t>opportunities</w:t>
      </w:r>
      <w:r w:rsidR="009E4D67" w:rsidRPr="439FD4AD">
        <w:rPr>
          <w:lang w:val="en-IE"/>
        </w:rPr>
        <w:t xml:space="preserve"> in biosecurity were also particularly underlined in the public </w:t>
      </w:r>
      <w:r w:rsidR="009E4D67" w:rsidRPr="009B49FB">
        <w:rPr>
          <w:lang w:val="en-IE"/>
        </w:rPr>
        <w:t>consultation</w:t>
      </w:r>
      <w:r w:rsidR="00E63BFC" w:rsidRPr="009B49FB">
        <w:rPr>
          <w:rStyle w:val="FootnoteReference"/>
          <w:lang w:val="en-IE"/>
        </w:rPr>
        <w:footnoteReference w:id="152"/>
      </w:r>
      <w:r w:rsidR="009E4D67" w:rsidRPr="009B49FB">
        <w:rPr>
          <w:lang w:val="en-IE"/>
        </w:rPr>
        <w:t>:</w:t>
      </w:r>
      <w:r w:rsidR="009E4D67" w:rsidRPr="009B49FB">
        <w:t xml:space="preserve"> the development</w:t>
      </w:r>
      <w:r w:rsidR="009E4D67">
        <w:t xml:space="preserve"> of new innovative medical countermeasures (45</w:t>
      </w:r>
      <w:r w:rsidR="00405618">
        <w:t>%</w:t>
      </w:r>
      <w:r w:rsidR="009E4D67">
        <w:t>), detecti</w:t>
      </w:r>
      <w:r w:rsidR="0084650D">
        <w:t>on of</w:t>
      </w:r>
      <w:r w:rsidR="009E4D67">
        <w:t xml:space="preserve"> biological threats (45</w:t>
      </w:r>
      <w:r w:rsidR="00405618">
        <w:t>%</w:t>
      </w:r>
      <w:r w:rsidR="009E4D67">
        <w:t>), as well as increased food security (43</w:t>
      </w:r>
      <w:r w:rsidR="00405618">
        <w:t>%</w:t>
      </w:r>
      <w:r w:rsidR="009E4D67">
        <w:t>).</w:t>
      </w:r>
    </w:p>
    <w:p w14:paraId="6EC25371" w14:textId="6EEB57B4" w:rsidR="002B17D2" w:rsidRPr="002B17D2" w:rsidRDefault="002B17D2" w:rsidP="00C67AA1">
      <w:pPr>
        <w:pStyle w:val="Heading3"/>
      </w:pPr>
      <w:bookmarkStart w:id="87" w:name="_Toc224747204"/>
      <w:bookmarkStart w:id="88" w:name="_Toc224749674"/>
      <w:bookmarkStart w:id="89" w:name="_Toc225974552"/>
      <w:bookmarkStart w:id="90" w:name="_Toc225975225"/>
      <w:bookmarkStart w:id="91" w:name="_Toc225975282"/>
      <w:r>
        <w:t>Potential for misuse of biotechnology poses growing biosecurity risks</w:t>
      </w:r>
      <w:bookmarkEnd w:id="87"/>
      <w:bookmarkEnd w:id="88"/>
      <w:bookmarkEnd w:id="89"/>
      <w:bookmarkEnd w:id="90"/>
      <w:bookmarkEnd w:id="91"/>
    </w:p>
    <w:p w14:paraId="6DA7E9F1" w14:textId="16A615EB" w:rsidR="0064368B" w:rsidRDefault="00040A4C" w:rsidP="00320D23">
      <w:r w:rsidRPr="00DD0CE5">
        <w:t xml:space="preserve">In addition, </w:t>
      </w:r>
      <w:r w:rsidR="00FB1C69">
        <w:t>the</w:t>
      </w:r>
      <w:r w:rsidRPr="00DD0CE5">
        <w:t xml:space="preserve"> </w:t>
      </w:r>
      <w:r w:rsidR="00645A63">
        <w:t>rapid progress</w:t>
      </w:r>
      <w:r w:rsidR="00FB07C5">
        <w:t xml:space="preserve"> </w:t>
      </w:r>
      <w:r w:rsidR="00A50055">
        <w:t>in</w:t>
      </w:r>
      <w:r w:rsidR="00FB07C5">
        <w:t xml:space="preserve"> and </w:t>
      </w:r>
      <w:r w:rsidR="00647C50">
        <w:t>increasing</w:t>
      </w:r>
      <w:r w:rsidR="00FB07C5">
        <w:t xml:space="preserve"> </w:t>
      </w:r>
      <w:r w:rsidR="00894E43">
        <w:t>accessibility of</w:t>
      </w:r>
      <w:r w:rsidR="00E35781">
        <w:t xml:space="preserve"> biotech</w:t>
      </w:r>
      <w:r w:rsidR="00894E43">
        <w:t xml:space="preserve"> innovations</w:t>
      </w:r>
      <w:r w:rsidR="00737992">
        <w:t xml:space="preserve"> </w:t>
      </w:r>
      <w:r w:rsidRPr="00DD0CE5">
        <w:t xml:space="preserve">also </w:t>
      </w:r>
      <w:r w:rsidR="00C25566">
        <w:t>increase the likelihood and impact of biosecurity incidents</w:t>
      </w:r>
      <w:r w:rsidRPr="00DD0CE5">
        <w:t xml:space="preserve">, as certain </w:t>
      </w:r>
      <w:r w:rsidR="000C08D7">
        <w:t xml:space="preserve">applications of </w:t>
      </w:r>
      <w:r w:rsidRPr="00DD0CE5">
        <w:t>technologies and products may have the potential for misuse, posing threats to public health and safety.</w:t>
      </w:r>
      <w:r w:rsidR="00014011">
        <w:t xml:space="preserve"> </w:t>
      </w:r>
    </w:p>
    <w:p w14:paraId="64BDECB8" w14:textId="70311F35" w:rsidR="0064368B" w:rsidRPr="00514904" w:rsidRDefault="0064368B" w:rsidP="00320D23">
      <w:pPr>
        <w:rPr>
          <w:lang w:val="en-IE"/>
        </w:rPr>
      </w:pPr>
      <w:r w:rsidRPr="0064368B">
        <w:rPr>
          <w:lang w:val="en-IE"/>
        </w:rPr>
        <w:t xml:space="preserve">The exponential decrease in the cost of synthesising DNA and RNA has made the physical material needed to </w:t>
      </w:r>
      <w:r w:rsidR="00D52D1F">
        <w:rPr>
          <w:lang w:val="en-IE"/>
        </w:rPr>
        <w:t xml:space="preserve">create </w:t>
      </w:r>
      <w:r w:rsidR="00E37F94">
        <w:rPr>
          <w:lang w:val="en-IE"/>
        </w:rPr>
        <w:t xml:space="preserve">biological </w:t>
      </w:r>
      <w:r w:rsidR="003E571C">
        <w:rPr>
          <w:lang w:val="en-IE"/>
        </w:rPr>
        <w:t>agents</w:t>
      </w:r>
      <w:r w:rsidR="00D52D1F">
        <w:rPr>
          <w:lang w:val="en-IE"/>
        </w:rPr>
        <w:t xml:space="preserve">, including </w:t>
      </w:r>
      <w:r w:rsidRPr="0064368B">
        <w:rPr>
          <w:lang w:val="en-IE"/>
        </w:rPr>
        <w:t>dangerous pathogens</w:t>
      </w:r>
      <w:r w:rsidR="00D52D1F">
        <w:rPr>
          <w:lang w:val="en-IE"/>
        </w:rPr>
        <w:t>,</w:t>
      </w:r>
      <w:r w:rsidRPr="0064368B">
        <w:rPr>
          <w:lang w:val="en-IE"/>
        </w:rPr>
        <w:t xml:space="preserve"> increasingly accessible. </w:t>
      </w:r>
      <w:r w:rsidR="006A07AD">
        <w:t>Studies by RAND Europe</w:t>
      </w:r>
      <w:r w:rsidR="006A07AD">
        <w:rPr>
          <w:rStyle w:val="FootnoteReference"/>
        </w:rPr>
        <w:footnoteReference w:id="153"/>
      </w:r>
      <w:r w:rsidR="006A07AD">
        <w:t xml:space="preserve"> and CLTR</w:t>
      </w:r>
      <w:r w:rsidR="006A07AD" w:rsidRPr="00C0431E">
        <w:rPr>
          <w:rStyle w:val="FootnoteReference"/>
        </w:rPr>
        <w:footnoteReference w:id="154"/>
      </w:r>
      <w:r w:rsidR="006A07AD">
        <w:t>, two independent non-profits,</w:t>
      </w:r>
      <w:r w:rsidR="00E4297D">
        <w:t xml:space="preserve"> </w:t>
      </w:r>
      <w:r w:rsidRPr="0064368B">
        <w:rPr>
          <w:lang w:val="en-IE"/>
        </w:rPr>
        <w:t>estimate the current annual probability of a large-scale biological attack using synthetic nucleic acid at 1</w:t>
      </w:r>
      <w:r w:rsidR="00405618">
        <w:rPr>
          <w:lang w:val="en-IE"/>
        </w:rPr>
        <w:t>%</w:t>
      </w:r>
      <w:r w:rsidRPr="0064368B">
        <w:rPr>
          <w:lang w:val="en-IE"/>
        </w:rPr>
        <w:t>, and accidents from their use at 1.5</w:t>
      </w:r>
      <w:r w:rsidR="00405618">
        <w:rPr>
          <w:lang w:val="en-IE"/>
        </w:rPr>
        <w:t>%</w:t>
      </w:r>
      <w:r w:rsidRPr="0064368B">
        <w:rPr>
          <w:lang w:val="en-IE"/>
        </w:rPr>
        <w:t xml:space="preserve">, with expected economic harm to the EU </w:t>
      </w:r>
      <w:r w:rsidR="00E2002C">
        <w:rPr>
          <w:lang w:val="en-IE"/>
        </w:rPr>
        <w:t>of almost EUR 20 trillion</w:t>
      </w:r>
      <w:r w:rsidRPr="0064368B">
        <w:rPr>
          <w:lang w:val="en-IE"/>
        </w:rPr>
        <w:t xml:space="preserve"> for a large-scale event. </w:t>
      </w:r>
    </w:p>
    <w:p w14:paraId="0600972D" w14:textId="2BF9EB8E" w:rsidR="003E571C" w:rsidRDefault="00E37F94" w:rsidP="00320D23">
      <w:r>
        <w:t xml:space="preserve">The EU joint </w:t>
      </w:r>
      <w:r w:rsidR="00F16B7A">
        <w:rPr>
          <w:lang w:val="en-US"/>
        </w:rPr>
        <w:t>b</w:t>
      </w:r>
      <w:r w:rsidR="00D2010D">
        <w:rPr>
          <w:lang w:val="en-US"/>
        </w:rPr>
        <w:t xml:space="preserve">iotechnology risk assessment </w:t>
      </w:r>
      <w:r w:rsidR="00A22C84">
        <w:rPr>
          <w:lang w:val="en-US"/>
        </w:rPr>
        <w:t>carried out</w:t>
      </w:r>
      <w:r w:rsidR="00D2010D">
        <w:rPr>
          <w:lang w:val="en-US"/>
        </w:rPr>
        <w:t xml:space="preserve"> under the EU’s Economic Security </w:t>
      </w:r>
      <w:r w:rsidR="00ED41AE">
        <w:rPr>
          <w:lang w:val="en-US"/>
        </w:rPr>
        <w:t>Strategy</w:t>
      </w:r>
      <w:r w:rsidR="00617243">
        <w:rPr>
          <w:lang w:val="en-US"/>
        </w:rPr>
        <w:t xml:space="preserve"> </w:t>
      </w:r>
      <w:r w:rsidR="00533CC7">
        <w:rPr>
          <w:lang w:val="en-US"/>
        </w:rPr>
        <w:t>argues</w:t>
      </w:r>
      <w:r w:rsidR="00A900D1">
        <w:rPr>
          <w:lang w:val="en-US"/>
        </w:rPr>
        <w:t xml:space="preserve"> that</w:t>
      </w:r>
      <w:r w:rsidR="00617243">
        <w:rPr>
          <w:lang w:val="en-US"/>
        </w:rPr>
        <w:t xml:space="preserve"> t</w:t>
      </w:r>
      <w:r w:rsidR="00867D18">
        <w:t xml:space="preserve">he likelihood and impact of such incidents is </w:t>
      </w:r>
      <w:r w:rsidR="0DB7F302">
        <w:t>further amplified by advance</w:t>
      </w:r>
      <w:r w:rsidR="00867D18">
        <w:t>ment</w:t>
      </w:r>
      <w:r w:rsidR="0DB7F302">
        <w:t xml:space="preserve">s in AI and computational tools in biological applications, which can lower </w:t>
      </w:r>
      <w:r w:rsidR="00A7151E">
        <w:t xml:space="preserve">the </w:t>
      </w:r>
      <w:r w:rsidR="0DB7F302">
        <w:t xml:space="preserve">technical barriers to the design, optimisation and misuse </w:t>
      </w:r>
      <w:r w:rsidR="00A7151E">
        <w:t xml:space="preserve">application </w:t>
      </w:r>
      <w:r w:rsidR="0DB7F302">
        <w:t>of biological agents.</w:t>
      </w:r>
    </w:p>
    <w:p w14:paraId="26C45824" w14:textId="1A9E2B3B" w:rsidR="007A1BDC" w:rsidRDefault="004D6296" w:rsidP="00320D23">
      <w:pPr>
        <w:rPr>
          <w:rFonts w:eastAsia="Times New Roman"/>
          <w:vertAlign w:val="superscript"/>
        </w:rPr>
      </w:pPr>
      <w:r>
        <w:t xml:space="preserve">These </w:t>
      </w:r>
      <w:r w:rsidR="005B5655" w:rsidRPr="005B5655">
        <w:t xml:space="preserve">advances could significantly expand the pool of individuals capable of </w:t>
      </w:r>
      <w:r w:rsidRPr="00A226ED">
        <w:t xml:space="preserve">conducting technical tasks with biotechnology products that could be misused for </w:t>
      </w:r>
      <w:r w:rsidRPr="007B58C3">
        <w:t xml:space="preserve">malicious purposes, such as </w:t>
      </w:r>
      <w:r w:rsidR="005B5655" w:rsidRPr="007B58C3">
        <w:t>synthesising dangerous pathogens</w:t>
      </w:r>
      <w:r w:rsidRPr="007B58C3">
        <w:t xml:space="preserve">. </w:t>
      </w:r>
      <w:r w:rsidR="00F765A3" w:rsidRPr="007B58C3">
        <w:t>M</w:t>
      </w:r>
      <w:r w:rsidRPr="007B58C3">
        <w:t>odelling published in 2025 suggests that,</w:t>
      </w:r>
      <w:r w:rsidR="00F401DF" w:rsidRPr="007B58C3">
        <w:t xml:space="preserve"> under</w:t>
      </w:r>
      <w:r w:rsidRPr="007B58C3">
        <w:t xml:space="preserve"> a set of assumptions about near-term AI capabilities</w:t>
      </w:r>
      <w:r w:rsidR="00F401DF" w:rsidRPr="007B58C3">
        <w:t>,</w:t>
      </w:r>
      <w:r w:rsidR="005B5655" w:rsidRPr="007B58C3">
        <w:t xml:space="preserve"> </w:t>
      </w:r>
      <w:r w:rsidR="00426E75" w:rsidRPr="007B58C3">
        <w:t xml:space="preserve">could </w:t>
      </w:r>
      <w:r w:rsidR="005B5655" w:rsidRPr="007B58C3">
        <w:t>increas</w:t>
      </w:r>
      <w:r w:rsidR="00426E75" w:rsidRPr="007B58C3">
        <w:t>e</w:t>
      </w:r>
      <w:r w:rsidR="005B5655" w:rsidRPr="007B58C3">
        <w:t xml:space="preserve"> the annual probability of an epidemic from biological misuse </w:t>
      </w:r>
      <w:r w:rsidR="00426E75" w:rsidRPr="007B58C3">
        <w:t xml:space="preserve">by a non-state actor </w:t>
      </w:r>
      <w:r w:rsidR="005B5655" w:rsidRPr="007B58C3">
        <w:t>roughly</w:t>
      </w:r>
      <w:r w:rsidR="005B5655" w:rsidRPr="005B5655">
        <w:t xml:space="preserve"> sixfold</w:t>
      </w:r>
      <w:r w:rsidR="00426E75">
        <w:t>, from 0.15% to 1%</w:t>
      </w:r>
      <w:r w:rsidR="005B5655" w:rsidRPr="006AFD62">
        <w:rPr>
          <w:rStyle w:val="FootnoteReference"/>
          <w:lang w:val="en-IE"/>
        </w:rPr>
        <w:footnoteReference w:id="155"/>
      </w:r>
      <w:r w:rsidR="005B5655">
        <w:t>.</w:t>
      </w:r>
      <w:r w:rsidR="2C507665">
        <w:t xml:space="preserve"> T</w:t>
      </w:r>
      <w:r w:rsidR="2C507665" w:rsidRPr="51EDDA0C">
        <w:rPr>
          <w:rFonts w:eastAsia="Times New Roman"/>
        </w:rPr>
        <w:t>his reflects broader concerns that AI tools developed for beneficial applications in life sciences may also present dual-use risks if misapplied</w:t>
      </w:r>
      <w:r w:rsidR="69C1A3FA" w:rsidRPr="6F7BF1D7">
        <w:rPr>
          <w:rFonts w:eastAsia="Times New Roman"/>
        </w:rPr>
        <w:t>.</w:t>
      </w:r>
      <w:r w:rsidR="0085045E" w:rsidRPr="1AB90D36">
        <w:rPr>
          <w:rFonts w:eastAsia="Times New Roman"/>
          <w:vertAlign w:val="superscript"/>
        </w:rPr>
        <w:footnoteReference w:id="156"/>
      </w:r>
    </w:p>
    <w:p w14:paraId="6CC092BF" w14:textId="5E82A013" w:rsidR="00743AFD" w:rsidRPr="000C1EE1" w:rsidRDefault="00743AFD" w:rsidP="00743AFD">
      <w:pPr>
        <w:pStyle w:val="Heading2"/>
      </w:pPr>
      <w:bookmarkStart w:id="92" w:name="_Toc224747205"/>
      <w:bookmarkStart w:id="93" w:name="_Toc224749675"/>
      <w:bookmarkStart w:id="94" w:name="_Toc225974553"/>
      <w:bookmarkStart w:id="95" w:name="_Toc225975226"/>
      <w:bookmarkStart w:id="96" w:name="_Toc225975283"/>
      <w:bookmarkStart w:id="97" w:name="_Toc227941841"/>
      <w:r w:rsidRPr="000C1EE1">
        <w:t>What is the baseline from which measures are assessed?</w:t>
      </w:r>
      <w:bookmarkEnd w:id="92"/>
      <w:bookmarkEnd w:id="93"/>
      <w:bookmarkEnd w:id="94"/>
      <w:bookmarkEnd w:id="95"/>
      <w:bookmarkEnd w:id="96"/>
      <w:bookmarkEnd w:id="97"/>
      <w:r w:rsidRPr="000C1EE1">
        <w:t xml:space="preserve"> </w:t>
      </w:r>
    </w:p>
    <w:p w14:paraId="0110E1EF" w14:textId="674CBEE2" w:rsidR="000C1EE1" w:rsidRPr="00CF69B4" w:rsidRDefault="000C1EE1" w:rsidP="00514904">
      <w:r>
        <w:t>T</w:t>
      </w:r>
      <w:r w:rsidRPr="00CF69B4">
        <w:t xml:space="preserve">he baseline trajectory </w:t>
      </w:r>
      <w:r w:rsidRPr="00F401DF">
        <w:t>through 2038</w:t>
      </w:r>
      <w:r w:rsidR="0038786F" w:rsidRPr="00F401DF">
        <w:rPr>
          <w:rStyle w:val="FootnoteReference"/>
        </w:rPr>
        <w:footnoteReference w:id="157"/>
      </w:r>
      <w:r w:rsidRPr="00F401DF">
        <w:t xml:space="preserve"> is</w:t>
      </w:r>
      <w:r w:rsidRPr="00CF69B4">
        <w:t xml:space="preserve"> </w:t>
      </w:r>
      <w:r w:rsidR="00F77048" w:rsidRPr="439FD4AD">
        <w:rPr>
          <w:b/>
          <w:bCs/>
        </w:rPr>
        <w:t>expected to</w:t>
      </w:r>
      <w:r w:rsidR="00EC7912" w:rsidRPr="439FD4AD">
        <w:rPr>
          <w:b/>
          <w:bCs/>
        </w:rPr>
        <w:t xml:space="preserve"> show </w:t>
      </w:r>
      <w:r w:rsidR="006D3337" w:rsidRPr="439FD4AD">
        <w:rPr>
          <w:b/>
          <w:bCs/>
        </w:rPr>
        <w:t xml:space="preserve">a </w:t>
      </w:r>
      <w:r w:rsidR="1CC3332C" w:rsidRPr="439FD4AD">
        <w:rPr>
          <w:b/>
          <w:bCs/>
        </w:rPr>
        <w:t>widening</w:t>
      </w:r>
      <w:r w:rsidR="006D3337" w:rsidRPr="439FD4AD">
        <w:rPr>
          <w:b/>
          <w:bCs/>
        </w:rPr>
        <w:t xml:space="preserve"> of the</w:t>
      </w:r>
      <w:r w:rsidRPr="00665387">
        <w:rPr>
          <w:b/>
          <w:bCs/>
        </w:rPr>
        <w:t xml:space="preserve"> </w:t>
      </w:r>
      <w:r w:rsidR="00E964BC" w:rsidRPr="439FD4AD">
        <w:rPr>
          <w:b/>
          <w:bCs/>
        </w:rPr>
        <w:t>competitiveness gap between</w:t>
      </w:r>
      <w:r w:rsidRPr="00665387">
        <w:rPr>
          <w:b/>
          <w:bCs/>
        </w:rPr>
        <w:t xml:space="preserve"> the EU</w:t>
      </w:r>
      <w:r w:rsidR="00E964BC" w:rsidRPr="439FD4AD">
        <w:rPr>
          <w:b/>
          <w:bCs/>
        </w:rPr>
        <w:t xml:space="preserve"> and </w:t>
      </w:r>
      <w:r w:rsidR="07BF0088" w:rsidRPr="5CDFDAA8">
        <w:rPr>
          <w:b/>
          <w:bCs/>
        </w:rPr>
        <w:t xml:space="preserve">its </w:t>
      </w:r>
      <w:r w:rsidR="00E964BC" w:rsidRPr="439FD4AD">
        <w:rPr>
          <w:b/>
          <w:bCs/>
        </w:rPr>
        <w:t xml:space="preserve">main </w:t>
      </w:r>
      <w:r w:rsidRPr="00665387">
        <w:rPr>
          <w:b/>
          <w:bCs/>
        </w:rPr>
        <w:t>competitors</w:t>
      </w:r>
      <w:r w:rsidR="46779431" w:rsidRPr="00665387">
        <w:rPr>
          <w:b/>
          <w:bCs/>
        </w:rPr>
        <w:t xml:space="preserve">. </w:t>
      </w:r>
      <w:r w:rsidR="46779431" w:rsidRPr="005A4EDE">
        <w:t>This is</w:t>
      </w:r>
      <w:r w:rsidRPr="00CF69B4">
        <w:t xml:space="preserve"> driven by the compounding interaction of the</w:t>
      </w:r>
      <w:r w:rsidR="001C2B65">
        <w:t xml:space="preserve"> identified drivers. R</w:t>
      </w:r>
      <w:r w:rsidRPr="00CF69B4">
        <w:t>egulatory complexity deters investment</w:t>
      </w:r>
      <w:r w:rsidR="00127F86">
        <w:t>;</w:t>
      </w:r>
      <w:r w:rsidRPr="00CF69B4">
        <w:t xml:space="preserve"> </w:t>
      </w:r>
      <w:r w:rsidR="006B2945">
        <w:t xml:space="preserve">market fragmentation, in particular </w:t>
      </w:r>
      <w:r w:rsidRPr="00CF69B4">
        <w:t xml:space="preserve">capital </w:t>
      </w:r>
      <w:r w:rsidR="25D2947E" w:rsidRPr="00CF69B4">
        <w:t>scarcity, constrain</w:t>
      </w:r>
      <w:r w:rsidR="006243C7">
        <w:t>ed</w:t>
      </w:r>
      <w:r w:rsidRPr="00CF69B4">
        <w:t xml:space="preserve"> innovation</w:t>
      </w:r>
      <w:r w:rsidR="00127F86">
        <w:t>;</w:t>
      </w:r>
      <w:r w:rsidRPr="00CF69B4">
        <w:t xml:space="preserve"> and the expanding pipeline of frontier technologies amplifies </w:t>
      </w:r>
      <w:r w:rsidR="00127F86">
        <w:t xml:space="preserve">administrative </w:t>
      </w:r>
      <w:r w:rsidRPr="00CF69B4">
        <w:t>burdens</w:t>
      </w:r>
      <w:r w:rsidR="00127F86">
        <w:t xml:space="preserve"> </w:t>
      </w:r>
      <w:r w:rsidR="4798FE69">
        <w:t xml:space="preserve">and </w:t>
      </w:r>
      <w:r w:rsidR="00127F86">
        <w:t>regulatory barriers,</w:t>
      </w:r>
      <w:r w:rsidRPr="00CF69B4">
        <w:t xml:space="preserve"> within an ecosystem that is not positioned to absorb them. The thematic sections that follow detail these dynamics across five interconnected dimensions</w:t>
      </w:r>
      <w:r w:rsidR="00EE135C">
        <w:rPr>
          <w:rStyle w:val="FootnoteReference"/>
        </w:rPr>
        <w:footnoteReference w:id="158"/>
      </w:r>
      <w:r w:rsidRPr="00CF69B4">
        <w:t>.</w:t>
      </w:r>
      <w:r w:rsidR="006243C7">
        <w:t xml:space="preserve"> </w:t>
      </w:r>
    </w:p>
    <w:p w14:paraId="7FB83F20" w14:textId="77777777" w:rsidR="000C1EE1" w:rsidRPr="00C1519C" w:rsidRDefault="000C1EE1" w:rsidP="00514904">
      <w:pPr>
        <w:rPr>
          <w:b/>
          <w:bCs/>
          <w:u w:val="single"/>
        </w:rPr>
      </w:pPr>
      <w:r w:rsidRPr="00C1519C">
        <w:rPr>
          <w:b/>
          <w:bCs/>
          <w:u w:val="single"/>
        </w:rPr>
        <w:t>Regulatory landscape and administrative burdens</w:t>
      </w:r>
    </w:p>
    <w:p w14:paraId="5A5A9C65" w14:textId="4276F509" w:rsidR="000C1EE1" w:rsidRPr="00CF69B4" w:rsidRDefault="004D776A" w:rsidP="00514904">
      <w:r>
        <w:t>Under the</w:t>
      </w:r>
      <w:r w:rsidR="000A2E51">
        <w:t xml:space="preserve"> baseline,</w:t>
      </w:r>
      <w:r w:rsidRPr="00CF69B4">
        <w:t xml:space="preserve"> </w:t>
      </w:r>
      <w:r w:rsidR="000C1EE1" w:rsidRPr="00CF69B4">
        <w:t xml:space="preserve">biotechnology developers </w:t>
      </w:r>
      <w:r w:rsidR="00544079">
        <w:t xml:space="preserve">will be confronted </w:t>
      </w:r>
      <w:r w:rsidR="00724668">
        <w:t>with</w:t>
      </w:r>
      <w:r w:rsidR="00544079">
        <w:t xml:space="preserve"> a</w:t>
      </w:r>
      <w:r w:rsidR="005A4EDE">
        <w:t>n</w:t>
      </w:r>
      <w:r w:rsidR="00415518">
        <w:t xml:space="preserve"> EU</w:t>
      </w:r>
      <w:r w:rsidR="00544079">
        <w:t xml:space="preserve"> regulatory landscape </w:t>
      </w:r>
      <w:r w:rsidR="000C1EE1" w:rsidRPr="00CF69B4">
        <w:t xml:space="preserve">characterised by three mutually reinforcing deficiencies: the proliferation of overlapping and partially incompatible regulatory frameworks, </w:t>
      </w:r>
      <w:r w:rsidR="005577E8">
        <w:t xml:space="preserve">the </w:t>
      </w:r>
      <w:r w:rsidR="000C1EE1" w:rsidRPr="00CF69B4">
        <w:t xml:space="preserve">persistent national heterogeneity in the implementation </w:t>
      </w:r>
      <w:r w:rsidR="000C1EE1">
        <w:t>of</w:t>
      </w:r>
      <w:r w:rsidR="000C1EE1" w:rsidRPr="00CF69B4">
        <w:t xml:space="preserve"> procedures, and the absence of structured pathways for innovations that do not fit neatly within existing legislative </w:t>
      </w:r>
      <w:r w:rsidR="61F6352B">
        <w:t>frameworks</w:t>
      </w:r>
      <w:r w:rsidR="000C1EE1" w:rsidRPr="00CF69B4">
        <w:t xml:space="preserve">. </w:t>
      </w:r>
    </w:p>
    <w:p w14:paraId="612EB81D" w14:textId="21BE06CE" w:rsidR="000C1EE1" w:rsidRDefault="000C1EE1" w:rsidP="00514904">
      <w:r w:rsidRPr="00CF69B4">
        <w:t xml:space="preserve">The most pervasive source of regulatory burden is </w:t>
      </w:r>
      <w:r w:rsidRPr="00AC3DCD">
        <w:rPr>
          <w:b/>
          <w:bCs/>
        </w:rPr>
        <w:t>procedural duplication across intersecting frameworks</w:t>
      </w:r>
      <w:r w:rsidRPr="00CF69B4">
        <w:t xml:space="preserve">. </w:t>
      </w:r>
      <w:r>
        <w:t>Under the baseline, d</w:t>
      </w:r>
      <w:r w:rsidRPr="00CF69B4">
        <w:t xml:space="preserve">evelopers of </w:t>
      </w:r>
      <w:r w:rsidRPr="005A4EDE">
        <w:rPr>
          <w:b/>
          <w:bCs/>
        </w:rPr>
        <w:t>GMO-containing ATMPs</w:t>
      </w:r>
      <w:r>
        <w:t xml:space="preserve"> will continue to</w:t>
      </w:r>
      <w:r w:rsidRPr="00CF69B4">
        <w:t xml:space="preserve"> </w:t>
      </w:r>
      <w:r>
        <w:t xml:space="preserve">incur in </w:t>
      </w:r>
      <w:r w:rsidRPr="00CF69B4">
        <w:t xml:space="preserve">up to 50 additional days </w:t>
      </w:r>
      <w:r>
        <w:t xml:space="preserve">in </w:t>
      </w:r>
      <w:r w:rsidR="005577E8">
        <w:t>CT</w:t>
      </w:r>
      <w:r>
        <w:t xml:space="preserve"> authorisation timelines</w:t>
      </w:r>
      <w:r w:rsidRPr="00CF69B4">
        <w:t xml:space="preserve"> beyond conventional medicines, with further extensions for substantial modifications. </w:t>
      </w:r>
      <w:r w:rsidR="002B769C">
        <w:t>For</w:t>
      </w:r>
      <w:r w:rsidRPr="00CF69B4">
        <w:t xml:space="preserve"> </w:t>
      </w:r>
      <w:r w:rsidRPr="005577E8">
        <w:rPr>
          <w:b/>
          <w:bCs/>
        </w:rPr>
        <w:t>VMPs, GMO-containing products</w:t>
      </w:r>
      <w:r w:rsidRPr="00CF69B4">
        <w:t xml:space="preserve"> </w:t>
      </w:r>
      <w:r>
        <w:t xml:space="preserve">will continue to </w:t>
      </w:r>
      <w:r w:rsidRPr="00CF69B4">
        <w:t xml:space="preserve">face approval timelines two to three times longer than non-GMO equivalents despite the fact that no GMO-containing VMP has ever received a negative opinion on the basis of its GMO component, </w:t>
      </w:r>
      <w:r>
        <w:t>triggering an</w:t>
      </w:r>
      <w:r w:rsidRPr="00CF69B4">
        <w:t xml:space="preserve"> 'innovation tax'</w:t>
      </w:r>
      <w:r>
        <w:t>,</w:t>
      </w:r>
      <w:r w:rsidRPr="008413B7">
        <w:t xml:space="preserve"> </w:t>
      </w:r>
      <w:r w:rsidRPr="001A219E">
        <w:t xml:space="preserve">estimated at EUR 269,000-840,000 per year in FTE burden. Such a burden is set to compound, reaching EUR 403,000-1,119,000 by 2040, as the pipeline is projected to encompass approximately 100 GMO-containing VMPs in various stages of development at any point through 2040. In addition, </w:t>
      </w:r>
      <w:r w:rsidR="009D0CDD">
        <w:rPr>
          <w:b/>
          <w:bCs/>
        </w:rPr>
        <w:t>CT</w:t>
      </w:r>
      <w:r w:rsidRPr="00D7063F">
        <w:rPr>
          <w:b/>
          <w:bCs/>
        </w:rPr>
        <w:t xml:space="preserve"> applications</w:t>
      </w:r>
      <w:r w:rsidRPr="001A219E">
        <w:t xml:space="preserve"> subject to dual-track requirements will increase from 8-15 to 12-20 per year and annual GMO-containing marketing authorisation applications are expected to rise from </w:t>
      </w:r>
      <w:r w:rsidRPr="000F5957">
        <w:t xml:space="preserve">the current 3-5 to approximately 5-8 per year by 2040. Meanwhile, the administrative burden from variations not requiring assessment (VNRA) is projected to scale proportionally with the expanding marketing authorisation base: the number of active veterinary </w:t>
      </w:r>
      <w:r w:rsidR="00BD5517" w:rsidRPr="000F5957">
        <w:t>Marketing Authorisations</w:t>
      </w:r>
      <w:r w:rsidRPr="000F5957">
        <w:t xml:space="preserve"> is expected to grow to approximately 55,000-60,000 by 2040, with annual VNRA volumes scaling accordingly. The aggregate annual VNRA fee burden is projected to grow in proportion</w:t>
      </w:r>
      <w:r>
        <w:t xml:space="preserve">. </w:t>
      </w:r>
    </w:p>
    <w:p w14:paraId="585A202D" w14:textId="1154C02D" w:rsidR="000C1EE1" w:rsidRPr="00CF69B4" w:rsidRDefault="004D0418" w:rsidP="00514904">
      <w:r w:rsidRPr="00D7063F">
        <w:t>In the</w:t>
      </w:r>
      <w:r>
        <w:rPr>
          <w:b/>
          <w:bCs/>
        </w:rPr>
        <w:t xml:space="preserve"> </w:t>
      </w:r>
      <w:r w:rsidRPr="00836EE2">
        <w:rPr>
          <w:b/>
          <w:bCs/>
        </w:rPr>
        <w:t>biosimilar</w:t>
      </w:r>
      <w:r w:rsidRPr="00CF69B4">
        <w:t xml:space="preserve"> domain</w:t>
      </w:r>
      <w:r>
        <w:t xml:space="preserve">, the </w:t>
      </w:r>
      <w:r w:rsidR="000C1EE1" w:rsidRPr="00DF2FDD">
        <w:rPr>
          <w:b/>
          <w:bCs/>
        </w:rPr>
        <w:t>disproportionality of certain regulatory requirements</w:t>
      </w:r>
      <w:r w:rsidR="000C1EE1" w:rsidRPr="00CF69B4">
        <w:t xml:space="preserve"> </w:t>
      </w:r>
      <w:r w:rsidR="000C1EE1">
        <w:t>will also persist</w:t>
      </w:r>
      <w:r w:rsidR="003212E7">
        <w:t>. B</w:t>
      </w:r>
      <w:r w:rsidR="000C1EE1" w:rsidRPr="00CF69B4">
        <w:t>etween 2012 and 2022, 100</w:t>
      </w:r>
      <w:r w:rsidR="00405618">
        <w:t>%</w:t>
      </w:r>
      <w:r w:rsidR="000C1EE1" w:rsidRPr="00CF69B4">
        <w:t xml:space="preserve"> of all 36 monoclonal antibody and fusion protein marketing authorisation applications included a Phase III comparative efficacy study, yet in no case did the clinical data determine the regulatory decision</w:t>
      </w:r>
      <w:r w:rsidR="003970AB">
        <w:t>.</w:t>
      </w:r>
      <w:r w:rsidR="000C1EE1">
        <w:t xml:space="preserve"> </w:t>
      </w:r>
      <w:r w:rsidR="003970AB">
        <w:t>T</w:t>
      </w:r>
      <w:r w:rsidR="000C1EE1">
        <w:t>hus</w:t>
      </w:r>
      <w:r w:rsidR="008108D0">
        <w:t>,</w:t>
      </w:r>
      <w:r w:rsidR="000C1EE1" w:rsidRPr="00CF69B4">
        <w:t xml:space="preserve"> th</w:t>
      </w:r>
      <w:r w:rsidR="00A321E0">
        <w:t>e</w:t>
      </w:r>
      <w:r w:rsidR="000C1EE1" w:rsidRPr="00CF69B4">
        <w:t xml:space="preserve"> most costly component of biosimilar development (EUR 19</w:t>
      </w:r>
      <w:r w:rsidR="000C1EE1">
        <w:t>-</w:t>
      </w:r>
      <w:r w:rsidR="000C1EE1" w:rsidRPr="00CF69B4">
        <w:t>26 million per study, representing 20</w:t>
      </w:r>
      <w:r w:rsidR="000C1EE1">
        <w:t>-</w:t>
      </w:r>
      <w:r w:rsidR="000C1EE1" w:rsidRPr="00CF69B4">
        <w:t>50</w:t>
      </w:r>
      <w:r w:rsidR="00405618">
        <w:t>%</w:t>
      </w:r>
      <w:r w:rsidR="000C1EE1" w:rsidRPr="00CF69B4">
        <w:t xml:space="preserve"> of total expenditure</w:t>
      </w:r>
      <w:r w:rsidR="000C1EE1">
        <w:t xml:space="preserve"> </w:t>
      </w:r>
      <w:r w:rsidR="000C1EE1" w:rsidRPr="00CF69B4">
        <w:t>and adding 12</w:t>
      </w:r>
      <w:r w:rsidR="000C1EE1">
        <w:t>-</w:t>
      </w:r>
      <w:r w:rsidR="000C1EE1" w:rsidRPr="00CF69B4">
        <w:t>24 months to timelines)</w:t>
      </w:r>
      <w:r w:rsidR="000C1EE1">
        <w:t>,</w:t>
      </w:r>
      <w:r w:rsidR="000C1EE1" w:rsidRPr="00CF69B4">
        <w:t xml:space="preserve"> </w:t>
      </w:r>
      <w:r w:rsidR="000C1EE1">
        <w:t>is likely to</w:t>
      </w:r>
      <w:r w:rsidR="000C1EE1" w:rsidRPr="00CF69B4">
        <w:t xml:space="preserve"> function as a </w:t>
      </w:r>
      <w:r w:rsidR="000C1EE1" w:rsidRPr="00C15204">
        <w:rPr>
          <w:b/>
          <w:bCs/>
          <w:i/>
          <w:iCs/>
        </w:rPr>
        <w:t>de facto</w:t>
      </w:r>
      <w:r w:rsidR="000C1EE1" w:rsidRPr="00C15204">
        <w:rPr>
          <w:b/>
          <w:bCs/>
        </w:rPr>
        <w:t xml:space="preserve"> procedural requirement</w:t>
      </w:r>
      <w:r w:rsidR="000C1EE1" w:rsidRPr="00CF69B4">
        <w:t xml:space="preserve"> rather than a scientifically decisive evidentiary input</w:t>
      </w:r>
      <w:r w:rsidR="000C1EE1" w:rsidRPr="067CA7CD">
        <w:t xml:space="preserve">. </w:t>
      </w:r>
      <w:r w:rsidR="1672CEE0">
        <w:t>Indeed, t</w:t>
      </w:r>
      <w:r w:rsidR="70D709F3" w:rsidRPr="62C4C1EC">
        <w:rPr>
          <w:rFonts w:eastAsia="Times New Roman"/>
        </w:rPr>
        <w:t>here is increasing experience with tailored clinical efficacy and safety approaches for biosimilars at the Committee for Medicinal Products for Human Use</w:t>
      </w:r>
      <w:r w:rsidR="377338DD" w:rsidRPr="62C4C1EC">
        <w:rPr>
          <w:rFonts w:eastAsia="Times New Roman"/>
        </w:rPr>
        <w:t xml:space="preserve"> </w:t>
      </w:r>
      <w:r w:rsidR="5F700039" w:rsidRPr="62C4C1EC">
        <w:rPr>
          <w:rFonts w:eastAsia="Times New Roman"/>
        </w:rPr>
        <w:t xml:space="preserve">(CHMP) </w:t>
      </w:r>
      <w:r w:rsidR="377338DD" w:rsidRPr="62C4C1EC">
        <w:rPr>
          <w:rFonts w:eastAsia="Times New Roman"/>
        </w:rPr>
        <w:t>of the</w:t>
      </w:r>
      <w:r w:rsidR="70D709F3" w:rsidRPr="62C4C1EC">
        <w:rPr>
          <w:rFonts w:eastAsia="Times New Roman"/>
        </w:rPr>
        <w:t xml:space="preserve"> European Medicines</w:t>
      </w:r>
      <w:r w:rsidR="377338DD" w:rsidRPr="62C4C1EC">
        <w:rPr>
          <w:rFonts w:eastAsia="Times New Roman"/>
        </w:rPr>
        <w:t xml:space="preserve"> Agency</w:t>
      </w:r>
      <w:r w:rsidR="00222B82">
        <w:rPr>
          <w:rFonts w:eastAsia="Times New Roman"/>
        </w:rPr>
        <w:t xml:space="preserve"> (EMA)</w:t>
      </w:r>
      <w:r w:rsidR="70D709F3" w:rsidRPr="62C4C1EC">
        <w:rPr>
          <w:rFonts w:eastAsia="Times New Roman"/>
        </w:rPr>
        <w:t xml:space="preserve">. Based on </w:t>
      </w:r>
      <w:r w:rsidR="00C15204">
        <w:rPr>
          <w:rFonts w:eastAsia="Times New Roman"/>
        </w:rPr>
        <w:t>EMA</w:t>
      </w:r>
      <w:r w:rsidR="70D709F3" w:rsidRPr="62C4C1EC">
        <w:rPr>
          <w:rFonts w:eastAsia="Times New Roman"/>
        </w:rPr>
        <w:t xml:space="preserve"> data, in 2025 more than 70</w:t>
      </w:r>
      <w:r w:rsidR="004249C3">
        <w:rPr>
          <w:rFonts w:eastAsia="Times New Roman"/>
        </w:rPr>
        <w:t>%</w:t>
      </w:r>
      <w:r w:rsidR="70D709F3" w:rsidRPr="62C4C1EC">
        <w:rPr>
          <w:rFonts w:eastAsia="Times New Roman"/>
        </w:rPr>
        <w:t xml:space="preserve"> of adopted scientific advice procedures for biosimilars incorporated a tailored clinical efficacy and safety approach. </w:t>
      </w:r>
      <w:r w:rsidR="67F796C8" w:rsidRPr="28B7C9F9">
        <w:rPr>
          <w:rFonts w:eastAsia="Times New Roman"/>
        </w:rPr>
        <w:t>In addition, among all biosimilar</w:t>
      </w:r>
      <w:r w:rsidR="70D709F3" w:rsidRPr="62C4C1EC">
        <w:rPr>
          <w:rFonts w:eastAsia="Times New Roman"/>
        </w:rPr>
        <w:t xml:space="preserve"> marketing authorisation applications </w:t>
      </w:r>
      <w:r w:rsidR="67F796C8" w:rsidRPr="28B7C9F9">
        <w:rPr>
          <w:rFonts w:eastAsia="Times New Roman"/>
        </w:rPr>
        <w:t xml:space="preserve">submitted </w:t>
      </w:r>
      <w:r w:rsidR="70D709F3" w:rsidRPr="62C4C1EC">
        <w:rPr>
          <w:rFonts w:eastAsia="Times New Roman"/>
        </w:rPr>
        <w:t xml:space="preserve">last year </w:t>
      </w:r>
      <w:r w:rsidR="67F796C8" w:rsidRPr="28B7C9F9">
        <w:rPr>
          <w:rFonts w:eastAsia="Times New Roman"/>
        </w:rPr>
        <w:t>under Article 10(4)</w:t>
      </w:r>
      <w:r w:rsidR="70D709F3" w:rsidRPr="62C4C1EC">
        <w:rPr>
          <w:rFonts w:eastAsia="Times New Roman"/>
        </w:rPr>
        <w:t xml:space="preserve"> of </w:t>
      </w:r>
      <w:r w:rsidR="67F796C8" w:rsidRPr="28B7C9F9">
        <w:rPr>
          <w:rFonts w:eastAsia="Times New Roman"/>
        </w:rPr>
        <w:t>Directive 2001/83/EC, approximately 8</w:t>
      </w:r>
      <w:r w:rsidR="00154E1C">
        <w:rPr>
          <w:rFonts w:eastAsia="Times New Roman"/>
        </w:rPr>
        <w:t xml:space="preserve">% </w:t>
      </w:r>
      <w:r w:rsidR="67F796C8" w:rsidRPr="28B7C9F9">
        <w:rPr>
          <w:rFonts w:eastAsia="Times New Roman"/>
        </w:rPr>
        <w:t>proposed a tailored clinical efficacy and safety approach</w:t>
      </w:r>
      <w:r w:rsidR="67F796C8" w:rsidRPr="72869706">
        <w:rPr>
          <w:rFonts w:eastAsia="Times New Roman"/>
        </w:rPr>
        <w:t>.</w:t>
      </w:r>
      <w:r w:rsidR="70D709F3" w:rsidRPr="00154E1C">
        <w:rPr>
          <w:rFonts w:asciiTheme="minorHAnsi" w:eastAsiaTheme="minorEastAsia" w:hAnsiTheme="minorHAnsi" w:cstheme="minorBidi"/>
        </w:rPr>
        <w:t xml:space="preserve"> </w:t>
      </w:r>
      <w:r w:rsidR="000C1EE1" w:rsidRPr="78853C7D">
        <w:t>While there is a gradual shift toward more tailored approaches</w:t>
      </w:r>
      <w:r w:rsidR="000C1EE1" w:rsidRPr="188A3837">
        <w:t xml:space="preserve"> </w:t>
      </w:r>
      <w:r w:rsidR="000C1EE1" w:rsidRPr="57BE25D5">
        <w:t xml:space="preserve">by </w:t>
      </w:r>
      <w:r w:rsidR="000C1EE1" w:rsidRPr="7C4DAFA2">
        <w:t>EMA</w:t>
      </w:r>
      <w:r w:rsidR="000C1EE1">
        <w:rPr>
          <w:rStyle w:val="FootnoteReference"/>
        </w:rPr>
        <w:footnoteReference w:id="159"/>
      </w:r>
      <w:r w:rsidR="000C1EE1" w:rsidRPr="78853C7D">
        <w:t xml:space="preserve">, </w:t>
      </w:r>
      <w:r w:rsidR="44BDA608">
        <w:t xml:space="preserve">a </w:t>
      </w:r>
      <w:r w:rsidR="000C1EE1" w:rsidRPr="469873DF">
        <w:t>slow</w:t>
      </w:r>
      <w:r w:rsidR="000C1EE1" w:rsidRPr="78853C7D">
        <w:t xml:space="preserve"> uptake of these changes risks </w:t>
      </w:r>
      <w:r w:rsidR="000C1EE1" w:rsidRPr="43D22953">
        <w:t>put</w:t>
      </w:r>
      <w:r w:rsidR="000C1EE1">
        <w:t>ting</w:t>
      </w:r>
      <w:r w:rsidR="000C1EE1" w:rsidRPr="78853C7D">
        <w:t xml:space="preserve"> Europe at a competitive disadvantage compared with other regions that operate under more agile frameworks.</w:t>
      </w:r>
      <w:r w:rsidR="000C1EE1">
        <w:t xml:space="preserve"> </w:t>
      </w:r>
    </w:p>
    <w:p w14:paraId="1A361B95" w14:textId="4E8CD7F6" w:rsidR="00DF5CAF" w:rsidRDefault="000C1EE1" w:rsidP="00D47790">
      <w:pPr>
        <w:rPr>
          <w:rFonts w:eastAsia="Times New Roman"/>
          <w:b/>
          <w:lang w:val="en-US"/>
        </w:rPr>
      </w:pPr>
      <w:r w:rsidRPr="00CF69B4">
        <w:t xml:space="preserve">The </w:t>
      </w:r>
      <w:r w:rsidR="243D5BC9">
        <w:t>EU</w:t>
      </w:r>
      <w:r w:rsidR="66488D2C">
        <w:t>’s</w:t>
      </w:r>
      <w:r w:rsidR="00324FAE">
        <w:t xml:space="preserve"> regulatory</w:t>
      </w:r>
      <w:r w:rsidRPr="00CF69B4">
        <w:t xml:space="preserve"> framework </w:t>
      </w:r>
      <w:r>
        <w:t xml:space="preserve">will </w:t>
      </w:r>
      <w:r w:rsidR="70D8BF97">
        <w:t xml:space="preserve">be marked </w:t>
      </w:r>
      <w:r w:rsidRPr="00CF69B4">
        <w:t xml:space="preserve">by </w:t>
      </w:r>
      <w:r w:rsidRPr="00154E1C">
        <w:t xml:space="preserve">persistent </w:t>
      </w:r>
      <w:r w:rsidR="19A33F66" w:rsidRPr="00154E1C">
        <w:t>fragmentation</w:t>
      </w:r>
      <w:r w:rsidR="009D248B">
        <w:t xml:space="preserve"> in the implementation of </w:t>
      </w:r>
      <w:r w:rsidR="00990AE3">
        <w:t>clinical trial</w:t>
      </w:r>
      <w:r w:rsidR="00501686">
        <w:t>s</w:t>
      </w:r>
      <w:r w:rsidR="009D248B">
        <w:t xml:space="preserve"> across </w:t>
      </w:r>
      <w:r w:rsidR="00E45C77">
        <w:t>Member States</w:t>
      </w:r>
      <w:r w:rsidRPr="00CF69B4">
        <w:t>.</w:t>
      </w:r>
      <w:r w:rsidR="009D248B">
        <w:t xml:space="preserve"> </w:t>
      </w:r>
      <w:r w:rsidR="75FC237B">
        <w:t>T</w:t>
      </w:r>
      <w:r w:rsidRPr="0029723B">
        <w:t>he EU’s share of global</w:t>
      </w:r>
      <w:r w:rsidR="7AB966D8">
        <w:t xml:space="preserve"> </w:t>
      </w:r>
      <w:r w:rsidR="00990AE3">
        <w:t>clinical trial</w:t>
      </w:r>
      <w:r w:rsidRPr="0029723B">
        <w:t xml:space="preserve"> initiations </w:t>
      </w:r>
      <w:r w:rsidR="774AAFB8">
        <w:t>has halved</w:t>
      </w:r>
      <w:r w:rsidR="70E8A557">
        <w:t>,</w:t>
      </w:r>
      <w:r w:rsidRPr="0029723B">
        <w:t xml:space="preserve"> </w:t>
      </w:r>
      <w:r w:rsidR="18547644">
        <w:t>declining</w:t>
      </w:r>
      <w:r>
        <w:t xml:space="preserve"> </w:t>
      </w:r>
      <w:r w:rsidRPr="0029723B">
        <w:t>from 18</w:t>
      </w:r>
      <w:r w:rsidR="00405618">
        <w:t>%</w:t>
      </w:r>
      <w:r w:rsidRPr="0029723B">
        <w:t xml:space="preserve"> in 2013 to 9</w:t>
      </w:r>
      <w:r w:rsidR="00405618">
        <w:t>%</w:t>
      </w:r>
      <w:r w:rsidRPr="0029723B">
        <w:t xml:space="preserve"> in 2023. </w:t>
      </w:r>
      <w:r w:rsidR="32026749" w:rsidRPr="7B900B23">
        <w:rPr>
          <w:rFonts w:eastAsia="Calibri"/>
          <w:lang w:val="en-US"/>
        </w:rPr>
        <w:t>Without fundamental reforms, particularly in streamlin</w:t>
      </w:r>
      <w:r w:rsidR="26CE98E1" w:rsidRPr="7B900B23">
        <w:rPr>
          <w:rFonts w:eastAsia="Calibri"/>
          <w:lang w:val="en-US"/>
        </w:rPr>
        <w:t xml:space="preserve">ing </w:t>
      </w:r>
      <w:r w:rsidR="32026749" w:rsidRPr="7B900B23">
        <w:rPr>
          <w:rFonts w:eastAsia="Calibri"/>
          <w:lang w:val="en-US"/>
        </w:rPr>
        <w:t>authorisation procedur</w:t>
      </w:r>
      <w:r w:rsidR="7A6AD3B4" w:rsidRPr="7B900B23">
        <w:rPr>
          <w:rFonts w:eastAsia="Calibri"/>
          <w:lang w:val="en-US"/>
        </w:rPr>
        <w:t>es and simplifying regulatory requirements</w:t>
      </w:r>
      <w:r w:rsidR="32026749" w:rsidRPr="7B900B23">
        <w:rPr>
          <w:rFonts w:eastAsia="Calibri"/>
          <w:lang w:val="en-US"/>
        </w:rPr>
        <w:t xml:space="preserve">, the EU risks </w:t>
      </w:r>
      <w:r w:rsidR="00934134">
        <w:rPr>
          <w:rFonts w:eastAsia="Calibri"/>
          <w:lang w:val="en-US"/>
        </w:rPr>
        <w:t xml:space="preserve">a </w:t>
      </w:r>
      <w:r w:rsidR="32026749" w:rsidRPr="7B900B23">
        <w:rPr>
          <w:rFonts w:eastAsia="Calibri"/>
          <w:lang w:val="en-US"/>
        </w:rPr>
        <w:t xml:space="preserve">further decline </w:t>
      </w:r>
      <w:r w:rsidR="32026749" w:rsidRPr="7B900B23">
        <w:rPr>
          <w:rFonts w:eastAsia="Times New Roman"/>
          <w:lang w:val="en-US"/>
        </w:rPr>
        <w:t>in its clinical research competitiveness</w:t>
      </w:r>
      <w:r w:rsidR="32026749" w:rsidRPr="7B900B23">
        <w:rPr>
          <w:rFonts w:eastAsia="Calibri"/>
          <w:lang w:val="en-US"/>
        </w:rPr>
        <w:t xml:space="preserve">. </w:t>
      </w:r>
      <w:r w:rsidR="562BCC30" w:rsidRPr="7B900B23">
        <w:rPr>
          <w:rFonts w:eastAsia="Times New Roman"/>
          <w:lang w:val="en-US"/>
        </w:rPr>
        <w:t xml:space="preserve">Meanwhile, the </w:t>
      </w:r>
      <w:r w:rsidR="562BCC30" w:rsidRPr="00BD5517">
        <w:rPr>
          <w:rFonts w:eastAsia="Times New Roman"/>
          <w:lang w:val="en-US"/>
        </w:rPr>
        <w:t>more centralised</w:t>
      </w:r>
      <w:r w:rsidR="562BCC30" w:rsidRPr="7B900B23">
        <w:rPr>
          <w:rFonts w:eastAsia="Times New Roman"/>
          <w:lang w:val="en-US"/>
        </w:rPr>
        <w:t xml:space="preserve"> markets of the US and China continue to outperform the EU, further consolidating their dominance. China’s share of global </w:t>
      </w:r>
      <w:r w:rsidR="00990AE3">
        <w:rPr>
          <w:rFonts w:eastAsia="Times New Roman"/>
          <w:lang w:val="en-US"/>
        </w:rPr>
        <w:t>clinical trial</w:t>
      </w:r>
      <w:r w:rsidR="00BD5517">
        <w:rPr>
          <w:rFonts w:eastAsia="Times New Roman"/>
          <w:lang w:val="en-US"/>
        </w:rPr>
        <w:t>s</w:t>
      </w:r>
      <w:r w:rsidR="562BCC30" w:rsidRPr="7B900B23">
        <w:rPr>
          <w:rFonts w:eastAsia="Times New Roman"/>
          <w:lang w:val="en-US"/>
        </w:rPr>
        <w:t xml:space="preserve">, for instance, has surged from 8% to 29% over the </w:t>
      </w:r>
      <w:r w:rsidR="063380A1" w:rsidRPr="7B900B23">
        <w:rPr>
          <w:rFonts w:eastAsia="Times New Roman"/>
          <w:lang w:val="en-US"/>
        </w:rPr>
        <w:t>last decade</w:t>
      </w:r>
      <w:r w:rsidR="562BCC30" w:rsidRPr="7B900B23">
        <w:rPr>
          <w:rFonts w:eastAsia="Times New Roman"/>
          <w:lang w:val="en-US"/>
        </w:rPr>
        <w:t>, while the US maintains its strong position.</w:t>
      </w:r>
      <w:r w:rsidR="562BCC30" w:rsidRPr="00BD5517">
        <w:rPr>
          <w:rFonts w:eastAsia="Times New Roman"/>
          <w:b/>
          <w:lang w:val="en-US"/>
        </w:rPr>
        <w:t xml:space="preserve"> Current projections suggest that the EU’s growth in </w:t>
      </w:r>
      <w:r w:rsidR="00990AE3">
        <w:rPr>
          <w:rFonts w:eastAsia="Times New Roman"/>
          <w:b/>
          <w:lang w:val="en-US"/>
        </w:rPr>
        <w:t>clinical trial</w:t>
      </w:r>
      <w:r w:rsidR="562BCC30" w:rsidRPr="00BD5517">
        <w:rPr>
          <w:rFonts w:eastAsia="Times New Roman"/>
          <w:b/>
          <w:lang w:val="en-US"/>
        </w:rPr>
        <w:t xml:space="preserve"> activity will remain sluggish compared to these faster-expanding regions, risking a further relative decline in its standing as a key hub for clinical research.</w:t>
      </w:r>
    </w:p>
    <w:p w14:paraId="539E82D1" w14:textId="346717C8" w:rsidR="000C1EE1" w:rsidRPr="00CF69B4" w:rsidRDefault="000C1EE1" w:rsidP="00D47790">
      <w:r w:rsidRPr="0029723B">
        <w:t>However, this does not imply a decline in the absolute number of EEA trials</w:t>
      </w:r>
      <w:r w:rsidR="00CB22A1">
        <w:t xml:space="preserve"> as</w:t>
      </w:r>
      <w:r w:rsidRPr="0029723B">
        <w:t xml:space="preserve"> the </w:t>
      </w:r>
      <w:r w:rsidR="003E17C0">
        <w:t xml:space="preserve">Clinical Trial Regulation </w:t>
      </w:r>
      <w:r w:rsidRPr="0029723B">
        <w:t xml:space="preserve">(fully applicable </w:t>
      </w:r>
      <w:r w:rsidR="00031923">
        <w:t xml:space="preserve">to all </w:t>
      </w:r>
      <w:r w:rsidR="00E529D0">
        <w:t>clinical trials</w:t>
      </w:r>
      <w:r w:rsidR="00031923">
        <w:t xml:space="preserve"> </w:t>
      </w:r>
      <w:r w:rsidRPr="0029723B">
        <w:t xml:space="preserve">since January 2025) is expected to generate a ‘learning effect’ as sponsors and national authorities gain experience with </w:t>
      </w:r>
      <w:r w:rsidR="007A036E">
        <w:t xml:space="preserve">the </w:t>
      </w:r>
      <w:r w:rsidR="007A036E" w:rsidRPr="007A036E">
        <w:t xml:space="preserve">Clinical Trials Information System </w:t>
      </w:r>
      <w:r w:rsidR="007A036E">
        <w:t>(</w:t>
      </w:r>
      <w:r w:rsidRPr="0029723B">
        <w:t>CTIS</w:t>
      </w:r>
      <w:r w:rsidR="007A036E">
        <w:t>)</w:t>
      </w:r>
      <w:r w:rsidR="00CB22A1">
        <w:t>. This</w:t>
      </w:r>
      <w:r w:rsidRPr="0029723B">
        <w:t xml:space="preserve"> </w:t>
      </w:r>
      <w:r w:rsidR="004C629A">
        <w:t xml:space="preserve">will </w:t>
      </w:r>
      <w:r w:rsidRPr="0029723B">
        <w:t>lead to moderate improvements in median authorisation times and greater procedural stability over 2025</w:t>
      </w:r>
      <w:r>
        <w:t>-</w:t>
      </w:r>
      <w:r w:rsidRPr="0029723B">
        <w:t>2030.</w:t>
      </w:r>
      <w:r w:rsidR="001E212F" w:rsidRPr="008E2957">
        <w:rPr>
          <w:rFonts w:eastAsia="Palatino Linotype" w:cs="Palatino Linotype"/>
          <w:color w:val="191919" w:themeColor="text1" w:themeTint="E6"/>
        </w:rPr>
        <w:t> </w:t>
      </w:r>
      <w:r w:rsidR="00F555A6">
        <w:t>Between</w:t>
      </w:r>
      <w:r w:rsidRPr="009D5648">
        <w:t xml:space="preserve"> 2025</w:t>
      </w:r>
      <w:r w:rsidR="00F555A6">
        <w:t xml:space="preserve"> and </w:t>
      </w:r>
      <w:r w:rsidRPr="009D5648">
        <w:t xml:space="preserve">2030, AI tools are projected to </w:t>
      </w:r>
      <w:r w:rsidR="001B4D58">
        <w:t xml:space="preserve">achieve </w:t>
      </w:r>
      <w:r w:rsidRPr="009D5648">
        <w:t>60</w:t>
      </w:r>
      <w:r>
        <w:t>-</w:t>
      </w:r>
      <w:r w:rsidRPr="009D5648">
        <w:t>70</w:t>
      </w:r>
      <w:r w:rsidR="00405618">
        <w:t>%</w:t>
      </w:r>
      <w:r w:rsidRPr="009D5648">
        <w:t xml:space="preserve"> routine </w:t>
      </w:r>
      <w:r w:rsidR="00F26E7F">
        <w:t>adoption</w:t>
      </w:r>
      <w:r w:rsidR="002B0F22">
        <w:t xml:space="preserve">, </w:t>
      </w:r>
      <w:r w:rsidR="00300EB6" w:rsidRPr="00300EB6">
        <w:t>e.g.</w:t>
      </w:r>
      <w:r w:rsidRPr="009D5648">
        <w:t xml:space="preserve"> in trial </w:t>
      </w:r>
      <w:r w:rsidR="007B3605">
        <w:t xml:space="preserve">design and </w:t>
      </w:r>
      <w:r w:rsidR="002B0F22">
        <w:t>conduct,</w:t>
      </w:r>
      <w:r w:rsidRPr="009D5648">
        <w:t xml:space="preserve"> and digital trial components are expected to become increasingly integrated into standard protocol design</w:t>
      </w:r>
      <w:r w:rsidR="00153220">
        <w:t>.</w:t>
      </w:r>
      <w:r>
        <w:t xml:space="preserve"> </w:t>
      </w:r>
      <w:r w:rsidR="00153220">
        <w:t>H</w:t>
      </w:r>
      <w:r w:rsidRPr="009D5648">
        <w:t>owever, national heterogeneity in ethics review, contracting, insurance, and site activation will persist</w:t>
      </w:r>
      <w:r>
        <w:t xml:space="preserve">. </w:t>
      </w:r>
      <w:r w:rsidR="00522E63">
        <w:rPr>
          <w:rFonts w:eastAsia="Palatino Linotype" w:cs="Palatino Linotype"/>
          <w:color w:val="191919" w:themeColor="text1" w:themeTint="E6"/>
        </w:rPr>
        <w:t>C</w:t>
      </w:r>
      <w:r w:rsidR="00990AE3">
        <w:rPr>
          <w:rFonts w:eastAsia="Palatino Linotype" w:cs="Palatino Linotype"/>
          <w:color w:val="191919" w:themeColor="text1" w:themeTint="E6"/>
        </w:rPr>
        <w:t>linical trial</w:t>
      </w:r>
      <w:r w:rsidR="001142A4" w:rsidRPr="005134A4">
        <w:rPr>
          <w:rFonts w:eastAsia="Palatino Linotype" w:cs="Palatino Linotype"/>
          <w:color w:val="191919" w:themeColor="text1" w:themeTint="E6"/>
        </w:rPr>
        <w:t xml:space="preserve"> activity concentrates further in a few Member States, large firms widen their advantage over SMEs, and clinical translation of the EU's strong scientific output stagnates. SMEs and academic innovators increasingly rely on partnerships with larger companies, slowing EU-based evidence generation and eroding Europe's leadership in emerging technologies.</w:t>
      </w:r>
      <w:r w:rsidR="00297A73">
        <w:rPr>
          <w:rFonts w:eastAsia="Palatino Linotype" w:cs="Palatino Linotype"/>
          <w:color w:val="191919" w:themeColor="text1" w:themeTint="E6"/>
        </w:rPr>
        <w:t xml:space="preserve"> </w:t>
      </w:r>
      <w:r w:rsidR="00297A73" w:rsidRPr="001E212F">
        <w:rPr>
          <w:rFonts w:eastAsia="Palatino Linotype" w:cs="Palatino Linotype"/>
          <w:color w:val="191919" w:themeColor="text1" w:themeTint="E6"/>
        </w:rPr>
        <w:t xml:space="preserve">In </w:t>
      </w:r>
      <w:r w:rsidR="00297A73" w:rsidRPr="00916467">
        <w:rPr>
          <w:rFonts w:eastAsia="Palatino Linotype" w:cs="Palatino Linotype"/>
          <w:color w:val="191919" w:themeColor="text1" w:themeTint="E6"/>
        </w:rPr>
        <w:t>absolute terms</w:t>
      </w:r>
      <w:r w:rsidR="00297A73" w:rsidRPr="001E212F">
        <w:rPr>
          <w:rFonts w:eastAsia="Palatino Linotype" w:cs="Palatino Linotype"/>
          <w:color w:val="191919" w:themeColor="text1" w:themeTint="E6"/>
        </w:rPr>
        <w:t xml:space="preserve">, the number of EU </w:t>
      </w:r>
      <w:r w:rsidR="00990AE3">
        <w:rPr>
          <w:rFonts w:eastAsia="Palatino Linotype" w:cs="Palatino Linotype"/>
          <w:color w:val="191919" w:themeColor="text1" w:themeTint="E6"/>
        </w:rPr>
        <w:t>clinical trial</w:t>
      </w:r>
      <w:r w:rsidR="00522E63">
        <w:rPr>
          <w:rFonts w:eastAsia="Palatino Linotype" w:cs="Palatino Linotype"/>
          <w:color w:val="191919" w:themeColor="text1" w:themeTint="E6"/>
        </w:rPr>
        <w:t>s</w:t>
      </w:r>
      <w:r w:rsidR="00297A73" w:rsidRPr="001E212F">
        <w:rPr>
          <w:rFonts w:eastAsia="Palatino Linotype" w:cs="Palatino Linotype"/>
          <w:color w:val="191919" w:themeColor="text1" w:themeTint="E6"/>
        </w:rPr>
        <w:t xml:space="preserve"> has remained broadly stable over the past decade at approximately </w:t>
      </w:r>
      <w:r w:rsidR="00297A73" w:rsidRPr="00916467">
        <w:rPr>
          <w:rFonts w:eastAsia="Palatino Linotype" w:cs="Palatino Linotype"/>
          <w:color w:val="191919" w:themeColor="text1" w:themeTint="E6"/>
        </w:rPr>
        <w:t>~2,400–2,500 trials per year</w:t>
      </w:r>
      <w:r w:rsidR="00297A73" w:rsidRPr="001E212F">
        <w:rPr>
          <w:rFonts w:eastAsia="Palatino Linotype" w:cs="Palatino Linotype"/>
          <w:color w:val="191919" w:themeColor="text1" w:themeTint="E6"/>
        </w:rPr>
        <w:t xml:space="preserve">, with </w:t>
      </w:r>
      <w:r w:rsidR="00297A73" w:rsidRPr="00916467">
        <w:rPr>
          <w:rFonts w:eastAsia="Palatino Linotype" w:cs="Palatino Linotype"/>
          <w:color w:val="191919" w:themeColor="text1" w:themeTint="E6"/>
        </w:rPr>
        <w:t>no structural upward trend expected</w:t>
      </w:r>
      <w:r w:rsidR="00297A73" w:rsidRPr="001E212F">
        <w:rPr>
          <w:rFonts w:eastAsia="Palatino Linotype" w:cs="Palatino Linotype"/>
          <w:color w:val="191919" w:themeColor="text1" w:themeTint="E6"/>
        </w:rPr>
        <w:t xml:space="preserve"> under the baseline</w:t>
      </w:r>
      <w:r w:rsidR="007C2DF5">
        <w:rPr>
          <w:rStyle w:val="FootnoteReference"/>
          <w:rFonts w:eastAsia="Palatino Linotype" w:cs="Palatino Linotype"/>
          <w:color w:val="191919" w:themeColor="text1" w:themeTint="E6"/>
        </w:rPr>
        <w:footnoteReference w:id="160"/>
      </w:r>
      <w:r w:rsidR="00CF6D26">
        <w:rPr>
          <w:rFonts w:eastAsia="Palatino Linotype" w:cs="Palatino Linotype"/>
          <w:color w:val="191919" w:themeColor="text1" w:themeTint="E6"/>
        </w:rPr>
        <w:t>.</w:t>
      </w:r>
    </w:p>
    <w:p w14:paraId="149150EA" w14:textId="51BFA50A" w:rsidR="000C1EE1" w:rsidRPr="00CF69B4" w:rsidRDefault="000C1EE1" w:rsidP="00514904">
      <w:pPr>
        <w:rPr>
          <w:rFonts w:eastAsia="Calibri"/>
          <w:lang w:val="en-US"/>
        </w:rPr>
      </w:pPr>
      <w:r w:rsidRPr="00CF69B4">
        <w:t xml:space="preserve">For </w:t>
      </w:r>
      <w:r w:rsidRPr="00522E63">
        <w:rPr>
          <w:b/>
          <w:bCs/>
        </w:rPr>
        <w:t>SoHO</w:t>
      </w:r>
      <w:r w:rsidRPr="00CF69B4">
        <w:t xml:space="preserve">, 50 national competent authorities </w:t>
      </w:r>
      <w:r>
        <w:t xml:space="preserve">will continue to </w:t>
      </w:r>
      <w:r w:rsidRPr="00CF69B4">
        <w:t>oversee blood and tissue establishments</w:t>
      </w:r>
      <w:r>
        <w:t xml:space="preserve"> (currently at 1,400 and 3,258, respectively)</w:t>
      </w:r>
      <w:r w:rsidRPr="00CF69B4">
        <w:t>, with recurring administrative costs to businesses estimated at EUR 4.1</w:t>
      </w:r>
      <w:r>
        <w:t>4</w:t>
      </w:r>
      <w:r w:rsidRPr="00CF69B4">
        <w:t xml:space="preserve"> million over ten years under the incoming risk-based authorisation model. </w:t>
      </w:r>
      <w:r w:rsidRPr="009B1A95">
        <w:t>While Regulation (EU) 2024/1938</w:t>
      </w:r>
      <w:r>
        <w:t xml:space="preserve"> </w:t>
      </w:r>
      <w:r w:rsidRPr="009B1A95">
        <w:t xml:space="preserve">introduces a more unified SoHO Preparation Authorisation (SPA) model, regulatory uncertainty will persist for novel, complex, and cross-framework SoHO innovations. </w:t>
      </w:r>
      <w:r>
        <w:t xml:space="preserve">Meanwhile, </w:t>
      </w:r>
      <w:r w:rsidRPr="00857CD9">
        <w:rPr>
          <w:b/>
          <w:bCs/>
        </w:rPr>
        <w:t>permitting for strategic health biotechnology projects</w:t>
      </w:r>
      <w:r w:rsidRPr="00CF69B4">
        <w:t xml:space="preserve"> </w:t>
      </w:r>
      <w:r>
        <w:t xml:space="preserve">is projected to </w:t>
      </w:r>
      <w:r w:rsidRPr="00CF69B4">
        <w:t>remain fragmented and slow</w:t>
      </w:r>
      <w:r>
        <w:t xml:space="preserve"> under the lack</w:t>
      </w:r>
      <w:r w:rsidRPr="00CF69B4">
        <w:t xml:space="preserve"> </w:t>
      </w:r>
      <w:r>
        <w:t>of</w:t>
      </w:r>
      <w:r w:rsidRPr="00CF69B4">
        <w:t xml:space="preserve"> EU-level priority-project recognition or fast-track governance mechanism</w:t>
      </w:r>
      <w:r>
        <w:t xml:space="preserve">s. </w:t>
      </w:r>
    </w:p>
    <w:p w14:paraId="25D9F06F" w14:textId="6E197E10" w:rsidR="000C1EE1" w:rsidRPr="002E5AC4" w:rsidRDefault="000C1EE1" w:rsidP="00514904">
      <w:r w:rsidRPr="00CF69B4">
        <w:t xml:space="preserve">These burdens are further aggravated by the </w:t>
      </w:r>
      <w:r w:rsidRPr="00A6711B">
        <w:rPr>
          <w:b/>
          <w:bCs/>
        </w:rPr>
        <w:t>absence of structured innovation support</w:t>
      </w:r>
      <w:r w:rsidRPr="00CF69B4">
        <w:t xml:space="preserve">. In the </w:t>
      </w:r>
      <w:r w:rsidR="00C42F60" w:rsidRPr="00C42F60">
        <w:rPr>
          <w:b/>
          <w:bCs/>
        </w:rPr>
        <w:t>fo</w:t>
      </w:r>
      <w:r w:rsidR="00C42F60">
        <w:rPr>
          <w:b/>
          <w:bCs/>
        </w:rPr>
        <w:t>od</w:t>
      </w:r>
      <w:r w:rsidR="00C42F60" w:rsidRPr="00C42F60">
        <w:rPr>
          <w:b/>
          <w:bCs/>
        </w:rPr>
        <w:t xml:space="preserve"> and feed</w:t>
      </w:r>
      <w:r w:rsidRPr="00857CD9">
        <w:rPr>
          <w:b/>
          <w:bCs/>
        </w:rPr>
        <w:t xml:space="preserve"> domain</w:t>
      </w:r>
      <w:r w:rsidRPr="00CF69B4">
        <w:t>, over 90</w:t>
      </w:r>
      <w:r w:rsidR="00405618">
        <w:t>%</w:t>
      </w:r>
      <w:r w:rsidRPr="00CF69B4">
        <w:t xml:space="preserve"> of </w:t>
      </w:r>
      <w:r w:rsidR="00733F6C">
        <w:t>application</w:t>
      </w:r>
      <w:r w:rsidR="00733F6C" w:rsidRPr="00CF69B4">
        <w:t xml:space="preserve"> </w:t>
      </w:r>
      <w:r w:rsidRPr="00CF69B4">
        <w:t>dossiers</w:t>
      </w:r>
      <w:r w:rsidR="00733F6C">
        <w:t xml:space="preserve"> assessed by EFSA</w:t>
      </w:r>
      <w:r w:rsidRPr="00CF69B4">
        <w:t xml:space="preserve"> in 2021</w:t>
      </w:r>
      <w:r>
        <w:t>-</w:t>
      </w:r>
      <w:r w:rsidRPr="00CF69B4">
        <w:t xml:space="preserve">2023 contained administrative or scientific errors leading to </w:t>
      </w:r>
      <w:r w:rsidR="00D7389D">
        <w:t xml:space="preserve">the suspension of the </w:t>
      </w:r>
      <w:r w:rsidR="005C6E83">
        <w:t>legal deadlines for risk assessment (</w:t>
      </w:r>
      <w:r w:rsidRPr="00CF69B4">
        <w:t>the</w:t>
      </w:r>
      <w:r w:rsidR="005C6E83">
        <w:t xml:space="preserve"> so-called </w:t>
      </w:r>
      <w:r w:rsidRPr="00CF69B4">
        <w:t>stop-the-clock</w:t>
      </w:r>
      <w:r w:rsidR="005C6E83">
        <w:t xml:space="preserve"> procedure) resulting in</w:t>
      </w:r>
      <w:r w:rsidRPr="00CF69B4">
        <w:t xml:space="preserve"> delays</w:t>
      </w:r>
      <w:r w:rsidR="005C6E83">
        <w:t xml:space="preserve"> in the overall authorisation process</w:t>
      </w:r>
      <w:r>
        <w:t>, which are likely to persist under the baseline scenario.</w:t>
      </w:r>
      <w:r w:rsidRPr="00CF69B4">
        <w:t xml:space="preserve"> For </w:t>
      </w:r>
      <w:r w:rsidRPr="00857CD9">
        <w:rPr>
          <w:b/>
          <w:bCs/>
        </w:rPr>
        <w:t>AI-enabled methodologies</w:t>
      </w:r>
      <w:r w:rsidRPr="00CF69B4">
        <w:t>, EMA's Qualification Procedure for Novel Methodologies costs EUR 89,000 per request, takes 160</w:t>
      </w:r>
      <w:r>
        <w:t>-</w:t>
      </w:r>
      <w:r w:rsidRPr="00CF69B4">
        <w:t xml:space="preserve">250 days, and produces confidential, non-reusable outcomes, meaning each new entrant faces identical navigation costs with no cumulative learning. The scale of regulatory demand on the </w:t>
      </w:r>
      <w:r w:rsidR="00857CD9">
        <w:t>EMA</w:t>
      </w:r>
      <w:r w:rsidRPr="00CF69B4">
        <w:t xml:space="preserve"> is itself accelerating</w:t>
      </w:r>
      <w:r w:rsidR="00857CD9">
        <w:t>. It</w:t>
      </w:r>
      <w:r w:rsidRPr="00CF69B4">
        <w:t xml:space="preserve"> received 635 scientific advice requests in 2024, a figure that grew 16</w:t>
      </w:r>
      <w:r w:rsidR="00405618">
        <w:t>%</w:t>
      </w:r>
      <w:r w:rsidRPr="00CF69B4">
        <w:t xml:space="preserve"> year-on-year in the first half of 2024 alone, </w:t>
      </w:r>
      <w:r>
        <w:t>this</w:t>
      </w:r>
      <w:r w:rsidRPr="00CF69B4">
        <w:t xml:space="preserve"> mismatch between the pace of technological innovation and the capacity of existing regulatory infrastructure to absorb it</w:t>
      </w:r>
      <w:r>
        <w:t xml:space="preserve"> is </w:t>
      </w:r>
      <w:r w:rsidRPr="002E5AC4">
        <w:t>expected to grow under the dynamic baseline.</w:t>
      </w:r>
    </w:p>
    <w:p w14:paraId="34E99A7B" w14:textId="77777777" w:rsidR="000C1EE1" w:rsidRPr="00C1519C" w:rsidRDefault="000C1EE1" w:rsidP="00514904">
      <w:pPr>
        <w:rPr>
          <w:b/>
          <w:bCs/>
          <w:u w:val="single"/>
        </w:rPr>
      </w:pPr>
      <w:r w:rsidRPr="00C1519C">
        <w:rPr>
          <w:b/>
          <w:bCs/>
          <w:u w:val="single"/>
        </w:rPr>
        <w:t>Competitiveness and investment attractiveness</w:t>
      </w:r>
    </w:p>
    <w:p w14:paraId="00D83774" w14:textId="66E2F5B1" w:rsidR="000C1EE1" w:rsidRPr="002E5AC4" w:rsidRDefault="000C1EE1" w:rsidP="37F682A4">
      <w:pPr>
        <w:spacing w:before="240"/>
      </w:pPr>
      <w:r w:rsidRPr="002E5AC4">
        <w:t xml:space="preserve">The capital base underpinning the biotech sector shows a </w:t>
      </w:r>
      <w:r w:rsidRPr="002E5AC4">
        <w:rPr>
          <w:b/>
          <w:bCs/>
        </w:rPr>
        <w:t>pronounced investment gap</w:t>
      </w:r>
      <w:r w:rsidR="001B7D57">
        <w:rPr>
          <w:b/>
          <w:bCs/>
        </w:rPr>
        <w:t xml:space="preserve">. </w:t>
      </w:r>
      <w:r w:rsidR="001B7D57" w:rsidRPr="00857CD9">
        <w:t>A</w:t>
      </w:r>
      <w:r w:rsidRPr="00F93FBE">
        <w:t>s</w:t>
      </w:r>
      <w:r w:rsidRPr="002E5AC4">
        <w:t xml:space="preserve"> presented under section 3.2.2, EU biotech venture capital stood at approximately EUR 4.8 billion across 243 rounds in 2024, roughly six times below US levels. The average EU late-stage financing round (approximately USD 49 million) is around half</w:t>
      </w:r>
      <w:r w:rsidR="1BC92DA6">
        <w:t xml:space="preserve"> of</w:t>
      </w:r>
      <w:r w:rsidRPr="002E5AC4">
        <w:t xml:space="preserve"> the US equivalent, and the EIB estimates the structural annual investment gap at approximately EUR 40 billion. This capital shortfall is not merely quantitative; it is structurally embedded (see sections 3.1 and 3.2.2). </w:t>
      </w:r>
      <w:r w:rsidRPr="002E5AC4">
        <w:rPr>
          <w:b/>
          <w:bCs/>
        </w:rPr>
        <w:t>Despite the existence of significant public financial engagement, this gap shows no prospect of autonomous closure under the baseline</w:t>
      </w:r>
      <w:r w:rsidR="54AE5F7F" w:rsidRPr="7438A298">
        <w:rPr>
          <w:b/>
          <w:bCs/>
        </w:rPr>
        <w:t>.</w:t>
      </w:r>
      <w:r w:rsidRPr="002E5AC4">
        <w:rPr>
          <w:b/>
          <w:bCs/>
        </w:rPr>
        <w:t xml:space="preserve"> </w:t>
      </w:r>
      <w:r w:rsidRPr="002E5AC4">
        <w:t xml:space="preserve"> </w:t>
      </w:r>
      <w:r w:rsidR="6CBCF124" w:rsidRPr="37F682A4">
        <w:rPr>
          <w:rFonts w:eastAsia="Times New Roman"/>
        </w:rPr>
        <w:t>The deep dependence on external capital, which weakens strategic autonomy over the direction and location of value creation, is expected to grow.</w:t>
      </w:r>
      <w:r w:rsidR="6CBCF124">
        <w:t xml:space="preserve"> </w:t>
      </w:r>
      <w:r w:rsidRPr="002E5AC4">
        <w:t>The median time gap between funding rounds has increased from 17 to 20 months, with higher incidence of down rounds at Series C stage</w:t>
      </w:r>
      <w:r w:rsidR="003837B6">
        <w:t xml:space="preserve"> (growth stage)</w:t>
      </w:r>
      <w:r w:rsidRPr="002E5AC4">
        <w:t xml:space="preserve">, signalling that investor confidence in the EU’s late-stage pipeline remains fragile. Without </w:t>
      </w:r>
      <w:r w:rsidR="00955450">
        <w:t>sufficient</w:t>
      </w:r>
      <w:r w:rsidRPr="002E5AC4">
        <w:t xml:space="preserve"> </w:t>
      </w:r>
      <w:r w:rsidR="00874297">
        <w:t>public investment</w:t>
      </w:r>
      <w:r w:rsidRPr="002E5AC4">
        <w:t xml:space="preserve"> to bridge the late-stage capital gap and catalyse private co-investment, the structural investment deficit is projected to persist through 2038.</w:t>
      </w:r>
    </w:p>
    <w:p w14:paraId="01D41DA8" w14:textId="41A33CAF" w:rsidR="000C1EE1" w:rsidRPr="002E5AC4" w:rsidRDefault="000C1EE1" w:rsidP="00514904">
      <w:r w:rsidRPr="002E5AC4">
        <w:t xml:space="preserve">The </w:t>
      </w:r>
      <w:r w:rsidRPr="002E5AC4">
        <w:rPr>
          <w:b/>
          <w:bCs/>
        </w:rPr>
        <w:t>exit asymmetry</w:t>
      </w:r>
      <w:r w:rsidRPr="002E5AC4">
        <w:t xml:space="preserve"> is equally stark</w:t>
      </w:r>
      <w:r w:rsidR="00F93FBE">
        <w:t xml:space="preserve"> and is expected to continue. O</w:t>
      </w:r>
      <w:r w:rsidRPr="002E5AC4">
        <w:t xml:space="preserve">nly 138 EU biotech healthcare companies completed an IPO compared to 451 in the </w:t>
      </w:r>
      <w:r>
        <w:t>U</w:t>
      </w:r>
      <w:r w:rsidR="7C6179C6">
        <w:t>S</w:t>
      </w:r>
      <w:r w:rsidRPr="002E5AC4">
        <w:t xml:space="preserve"> (over the period 2013-2023)</w:t>
      </w:r>
      <w:r w:rsidR="00CA1BF4">
        <w:t>. I</w:t>
      </w:r>
      <w:r w:rsidRPr="002E5AC4">
        <w:t xml:space="preserve">n 2024, no European biotech raised more than </w:t>
      </w:r>
      <w:r w:rsidR="00170185">
        <w:t>EUR</w:t>
      </w:r>
      <w:r w:rsidR="00170185" w:rsidRPr="002E5AC4">
        <w:t xml:space="preserve"> </w:t>
      </w:r>
      <w:r w:rsidR="00170185">
        <w:t>58.1</w:t>
      </w:r>
      <w:r w:rsidR="00170185" w:rsidRPr="002E5AC4">
        <w:t xml:space="preserve"> </w:t>
      </w:r>
      <w:r w:rsidRPr="002E5AC4">
        <w:t xml:space="preserve">million in IPO proceeds. </w:t>
      </w:r>
    </w:p>
    <w:p w14:paraId="41827892" w14:textId="69EEE640" w:rsidR="000C1EE1" w:rsidRPr="002E5AC4" w:rsidRDefault="000C1EE1" w:rsidP="00514904">
      <w:r w:rsidRPr="002E5AC4">
        <w:t xml:space="preserve">The commercial viability of biotechnology investments is further conditioned by the existing </w:t>
      </w:r>
      <w:r w:rsidRPr="002E5AC4">
        <w:rPr>
          <w:b/>
          <w:bCs/>
        </w:rPr>
        <w:t>IP protection framework</w:t>
      </w:r>
      <w:r w:rsidRPr="002E5AC4">
        <w:t xml:space="preserve">. </w:t>
      </w:r>
      <w:r w:rsidRPr="002E5AC4">
        <w:rPr>
          <w:rFonts w:eastAsia="Times New Roman"/>
          <w:lang w:val="en-US"/>
        </w:rPr>
        <w:t xml:space="preserve">Health biotech innovators reinvest a large portion of their revenue back into R&amp;D. By ensuring a viable commercial timeframe, the </w:t>
      </w:r>
      <w:r w:rsidRPr="002E5AC4">
        <w:t xml:space="preserve">SPC </w:t>
      </w:r>
      <w:r w:rsidRPr="002E5AC4">
        <w:rPr>
          <w:rFonts w:eastAsia="Times New Roman"/>
          <w:lang w:val="en-US"/>
        </w:rPr>
        <w:t xml:space="preserve">is one of the measures that enables innovative companies to re-invest their revenue in additional research and development, improving patient access to innovative therapies, and generating broader economic benefits. </w:t>
      </w:r>
      <w:r w:rsidRPr="002E5AC4">
        <w:t xml:space="preserve">However, intellectual property, including SPC, is just one part of innovators’ investment decisions. </w:t>
      </w:r>
      <w:r w:rsidR="1E3BD47E">
        <w:t>Without</w:t>
      </w:r>
      <w:r w:rsidRPr="002E5AC4">
        <w:t xml:space="preserve"> policy change, innovators’ decisions on investment location continue to reflect expected lifecycle revenues under protection, alongside market size, access conditions, regulatory predictability and operational considerations. In the immediate baseline period to 2030, effective protection durations are expected to remain broadly stable, with the revised general pharmaceutical legislation not expected to produce observable effects within this period. In the longer term to 2038, effective regulatory protection outcomes are expected to become more heterogeneous across </w:t>
      </w:r>
      <w:r w:rsidR="00F33350">
        <w:t xml:space="preserve">medical </w:t>
      </w:r>
      <w:r w:rsidRPr="002E5AC4">
        <w:t>products, reflecting the continued shift towards biologics and advanced therapies with longer and more variable development timelines. The EU share of earliest biotech patent filings is projected to remain stable at low single-digit levels (around 3-5</w:t>
      </w:r>
      <w:r w:rsidR="00405618">
        <w:t>%</w:t>
      </w:r>
      <w:r w:rsidRPr="002E5AC4">
        <w:t>), while global biotech patenting activity continues to expand.</w:t>
      </w:r>
    </w:p>
    <w:p w14:paraId="45584367" w14:textId="3A6AE4FD" w:rsidR="000C1EE1" w:rsidRPr="002E5AC4" w:rsidRDefault="62AF2EFC" w:rsidP="00514904">
      <w:r>
        <w:t xml:space="preserve">This capital deficit compounds a broader </w:t>
      </w:r>
      <w:r w:rsidRPr="488421B7">
        <w:rPr>
          <w:b/>
          <w:bCs/>
        </w:rPr>
        <w:t>erosion of the EU's global competitive position</w:t>
      </w:r>
      <w:r>
        <w:t xml:space="preserve"> across several dimensions that collectively determine where biotechnology innovation is located, financed, and commercialised. The </w:t>
      </w:r>
      <w:r w:rsidRPr="0016569B">
        <w:rPr>
          <w:b/>
          <w:bCs/>
        </w:rPr>
        <w:t xml:space="preserve">global </w:t>
      </w:r>
      <w:r w:rsidR="00010C0D">
        <w:rPr>
          <w:b/>
          <w:bCs/>
        </w:rPr>
        <w:t>clinical trial</w:t>
      </w:r>
      <w:r w:rsidR="345A84B7">
        <w:rPr>
          <w:b/>
          <w:bCs/>
        </w:rPr>
        <w:t>s</w:t>
      </w:r>
      <w:r w:rsidRPr="0016569B">
        <w:rPr>
          <w:b/>
          <w:bCs/>
        </w:rPr>
        <w:t xml:space="preserve"> market</w:t>
      </w:r>
      <w:r>
        <w:t xml:space="preserve"> is expected to grow at approximately 5.7</w:t>
      </w:r>
      <w:r w:rsidR="157002CC">
        <w:t>%</w:t>
      </w:r>
      <w:r>
        <w:t xml:space="preserve"> annually, compared with approximately 4.8</w:t>
      </w:r>
      <w:r w:rsidR="157002CC">
        <w:t>%</w:t>
      </w:r>
      <w:r>
        <w:t xml:space="preserve"> in Europe, indicating a gradual but persistent loss of relative competitiveness for the EU as a location for clinical research in the absence of improvements to the </w:t>
      </w:r>
      <w:r w:rsidR="00010C0D">
        <w:t>clinical trial</w:t>
      </w:r>
      <w:r>
        <w:t xml:space="preserve"> ecosystem. </w:t>
      </w:r>
      <w:bookmarkStart w:id="98" w:name="OLE_LINK2"/>
      <w:r>
        <w:t>In biosimilars, the EU’s first-mover advantage has declined. While 71</w:t>
      </w:r>
      <w:r w:rsidR="157002CC">
        <w:t>%</w:t>
      </w:r>
      <w:r>
        <w:t xml:space="preserve"> of biosimilars are approved in the EU before the US, there has been a rising share of biosimilars that get approved in the US first, or only receive</w:t>
      </w:r>
      <w:r w:rsidR="018E170B">
        <w:t xml:space="preserve">d US </w:t>
      </w:r>
      <w:r>
        <w:t xml:space="preserve">approval, which indicates the growth of the US market. </w:t>
      </w:r>
      <w:bookmarkEnd w:id="98"/>
      <w:r>
        <w:t>At the same time,</w:t>
      </w:r>
      <w:r w:rsidR="5B469E33">
        <w:t xml:space="preserve"> </w:t>
      </w:r>
      <w:r w:rsidR="5B469E33" w:rsidRPr="000649EB">
        <w:t xml:space="preserve">the European biosimilar medicines sector makes a significant contribution to European gross domestic product, contributing </w:t>
      </w:r>
      <w:r w:rsidR="12D2D0F9">
        <w:t xml:space="preserve">EUR </w:t>
      </w:r>
      <w:r w:rsidR="5B469E33" w:rsidRPr="000649EB">
        <w:t>25.6 billion in 2024 and representing approximately 6</w:t>
      </w:r>
      <w:r w:rsidR="018E170B">
        <w:t xml:space="preserve">% </w:t>
      </w:r>
      <w:r w:rsidR="5B469E33" w:rsidRPr="000649EB">
        <w:t>of the total pharmaceutical industry contribution</w:t>
      </w:r>
      <w:r w:rsidR="25E82F88">
        <w:t>.</w:t>
      </w:r>
      <w:r w:rsidR="000C1EE1" w:rsidRPr="000649EB">
        <w:rPr>
          <w:vertAlign w:val="superscript"/>
        </w:rPr>
        <w:footnoteReference w:id="161"/>
      </w:r>
      <w:r w:rsidR="5B8D25B1">
        <w:rPr>
          <w:vertAlign w:val="superscript"/>
        </w:rPr>
        <w:t xml:space="preserve"> </w:t>
      </w:r>
      <w:r w:rsidRPr="25C762F3">
        <w:t xml:space="preserve">The </w:t>
      </w:r>
      <w:r w:rsidR="4D9024E8" w:rsidRPr="25C762F3">
        <w:t>number</w:t>
      </w:r>
      <w:r w:rsidRPr="25C762F3">
        <w:t xml:space="preserve"> </w:t>
      </w:r>
      <w:r w:rsidR="334FC3E9" w:rsidRPr="25C762F3">
        <w:t xml:space="preserve">of the CHMP of </w:t>
      </w:r>
      <w:r w:rsidRPr="25C762F3">
        <w:t>EMA</w:t>
      </w:r>
      <w:r w:rsidR="03E82B41" w:rsidRPr="25C762F3">
        <w:t xml:space="preserve"> </w:t>
      </w:r>
      <w:r w:rsidR="3E22C0E2" w:rsidRPr="25C762F3">
        <w:t xml:space="preserve">scientific opinions </w:t>
      </w:r>
      <w:r w:rsidR="5E3D4DAF" w:rsidRPr="25C762F3">
        <w:t xml:space="preserve">on </w:t>
      </w:r>
      <w:r w:rsidRPr="25C762F3">
        <w:t>biosimilar</w:t>
      </w:r>
      <w:r w:rsidR="5E3D4DAF" w:rsidRPr="25C762F3">
        <w:t>s</w:t>
      </w:r>
      <w:r w:rsidRPr="25C762F3">
        <w:t xml:space="preserve"> has itself </w:t>
      </w:r>
      <w:r w:rsidR="76E1C8E1" w:rsidRPr="25C762F3">
        <w:t>increased</w:t>
      </w:r>
      <w:r w:rsidRPr="25C762F3">
        <w:t xml:space="preserve"> markedly, from 8</w:t>
      </w:r>
      <w:r w:rsidR="3C110008" w:rsidRPr="25C762F3">
        <w:t xml:space="preserve"> </w:t>
      </w:r>
      <w:r w:rsidRPr="25C762F3">
        <w:t>in 2023 to 25 in 2024 and 40 in 2025, reflecting a growing pipeline that amplifies the stakes of regulatory competitiveness.</w:t>
      </w:r>
      <w:r w:rsidRPr="00A77F2A">
        <w:t xml:space="preserve"> </w:t>
      </w:r>
      <w:r w:rsidRPr="2B2B457F">
        <w:rPr>
          <w:b/>
          <w:bCs/>
        </w:rPr>
        <w:t>Cumulative biosimilar authorisations</w:t>
      </w:r>
      <w:r w:rsidRPr="28E337E7">
        <w:t xml:space="preserve"> are also projected to rise from 151 in 2025 to 250-350 by 2030 and 450-650 by 2038, with new reference product classes entering biosimilar development expanding from approximately 27 to 35-45 by 2030 and 55-75 by 2038. However, 79</w:t>
      </w:r>
      <w:r w:rsidR="157002CC" w:rsidRPr="28E337E7">
        <w:t>%</w:t>
      </w:r>
      <w:r w:rsidRPr="28E337E7">
        <w:t xml:space="preserve"> of the approximately 100 biologics losing exclusivity by 2032 have no biosimilars in development</w:t>
      </w:r>
      <w:r w:rsidR="13F6B1F3" w:rsidRPr="28E337E7">
        <w:t xml:space="preserve">, representing </w:t>
      </w:r>
      <w:r w:rsidRPr="28E337E7">
        <w:t xml:space="preserve">a ‘biosimilar void’ valued at approximately </w:t>
      </w:r>
      <w:r w:rsidR="3CD4732C" w:rsidRPr="28E337E7">
        <w:t xml:space="preserve">EUR 122 </w:t>
      </w:r>
      <w:r w:rsidRPr="28E337E7">
        <w:t>billion in global forecast sales at loss of exclusivity. This indicates that a substantial proportion of the projected market value will not materialise without a reduction in per-product development costs.</w:t>
      </w:r>
      <w:r>
        <w:t xml:space="preserve"> </w:t>
      </w:r>
    </w:p>
    <w:p w14:paraId="661EA726" w14:textId="4BE8263C" w:rsidR="000C1EE1" w:rsidRPr="002E5AC4" w:rsidRDefault="000C1EE1" w:rsidP="00514904">
      <w:r w:rsidRPr="002E5AC4">
        <w:t xml:space="preserve">The competitive erosion is reinforced </w:t>
      </w:r>
      <w:r w:rsidRPr="00A7537A">
        <w:t xml:space="preserve">by </w:t>
      </w:r>
      <w:r w:rsidR="00220A99" w:rsidRPr="00B23132">
        <w:t xml:space="preserve">the fact that </w:t>
      </w:r>
      <w:r w:rsidR="00220A99" w:rsidRPr="00A7537A">
        <w:rPr>
          <w:b/>
          <w:bCs/>
        </w:rPr>
        <w:t>n</w:t>
      </w:r>
      <w:r w:rsidRPr="00B23132">
        <w:rPr>
          <w:b/>
          <w:bCs/>
        </w:rPr>
        <w:t>o single-entry point</w:t>
      </w:r>
      <w:r w:rsidRPr="002E5AC4">
        <w:t xml:space="preserve"> exists for health biotechnology innovators to navigate the regulatory and funding landscape</w:t>
      </w:r>
      <w:r w:rsidR="00D146EF">
        <w:t xml:space="preserve">. </w:t>
      </w:r>
      <w:r w:rsidR="00D146EF" w:rsidRPr="00B23132">
        <w:rPr>
          <w:b/>
          <w:bCs/>
        </w:rPr>
        <w:t>I</w:t>
      </w:r>
      <w:r w:rsidRPr="00B23132">
        <w:rPr>
          <w:b/>
          <w:bCs/>
        </w:rPr>
        <w:t>nvestor-innovator</w:t>
      </w:r>
      <w:r w:rsidRPr="002E5AC4">
        <w:t xml:space="preserve"> connections </w:t>
      </w:r>
      <w:r w:rsidR="00D146EF">
        <w:t xml:space="preserve">will likely </w:t>
      </w:r>
      <w:r w:rsidRPr="002E5AC4">
        <w:t xml:space="preserve">remain </w:t>
      </w:r>
      <w:r w:rsidRPr="00B23132">
        <w:rPr>
          <w:i/>
          <w:iCs/>
        </w:rPr>
        <w:t>ad hoc</w:t>
      </w:r>
      <w:r w:rsidRPr="002E5AC4">
        <w:t xml:space="preserve"> and geographically concentrated in a few leading ecosystems</w:t>
      </w:r>
      <w:r w:rsidR="007B0951">
        <w:t xml:space="preserve">. </w:t>
      </w:r>
      <w:r w:rsidR="00CE45E3">
        <w:t>D</w:t>
      </w:r>
      <w:r w:rsidR="00CE45E3" w:rsidRPr="00CE45E3">
        <w:t xml:space="preserve">isparities in innovation capacity and ecosystem maturity across Member States are </w:t>
      </w:r>
      <w:r w:rsidR="00E915EB">
        <w:t>expected to</w:t>
      </w:r>
      <w:r w:rsidRPr="002E5AC4">
        <w:t xml:space="preserve"> persist, with Central and Eastern European Member States lacking the </w:t>
      </w:r>
      <w:r w:rsidRPr="00CD5294">
        <w:rPr>
          <w:b/>
          <w:bCs/>
        </w:rPr>
        <w:t>cluster</w:t>
      </w:r>
      <w:r w:rsidRPr="002E5AC4">
        <w:t xml:space="preserve"> foundations that sustain leading ecosystems in some Member States. These fragmentation effects are compounding: without a coordinated ecosystem support mechanism, the navigational burden for SMEs is expected to increase further as new regulatory frameworks layer additional complexity and the pipeline of frontier biotechnologies expands. Meanwhile, other </w:t>
      </w:r>
      <w:r w:rsidRPr="002E5AC4">
        <w:rPr>
          <w:b/>
          <w:bCs/>
        </w:rPr>
        <w:t>major jurisdictions</w:t>
      </w:r>
      <w:r w:rsidRPr="002E5AC4">
        <w:t xml:space="preserve"> are actively accelerating policy and investment efforts to strengthen their biotechnology ecosystems</w:t>
      </w:r>
      <w:r w:rsidRPr="00A55279">
        <w:rPr>
          <w:vertAlign w:val="superscript"/>
        </w:rPr>
        <w:footnoteReference w:id="162"/>
      </w:r>
      <w:r w:rsidRPr="002E5AC4">
        <w:t>,</w:t>
      </w:r>
      <w:r w:rsidRPr="002E5AC4">
        <w:rPr>
          <w:rFonts w:eastAsia="Times New Roman"/>
        </w:rPr>
        <w:t xml:space="preserve"> </w:t>
      </w:r>
      <w:r w:rsidRPr="002E5AC4">
        <w:t xml:space="preserve">suggesting that, in the absence of intervention, the EU’s relative competitive position is likely to continue to deteriorate over time. </w:t>
      </w:r>
    </w:p>
    <w:p w14:paraId="40FF49C0" w14:textId="01E026AC" w:rsidR="000C1EE1" w:rsidRPr="00C1519C" w:rsidRDefault="000C1EE1" w:rsidP="00514904">
      <w:pPr>
        <w:rPr>
          <w:b/>
          <w:bCs/>
          <w:u w:val="single"/>
        </w:rPr>
      </w:pPr>
      <w:r w:rsidRPr="00C1519C">
        <w:rPr>
          <w:b/>
          <w:bCs/>
          <w:u w:val="single"/>
        </w:rPr>
        <w:t>Innovation and research</w:t>
      </w:r>
    </w:p>
    <w:p w14:paraId="1CBD28A3" w14:textId="18F28E5F" w:rsidR="000C1EE1" w:rsidRPr="002E5AC4" w:rsidRDefault="000C1EE1" w:rsidP="00514904">
      <w:r w:rsidRPr="002E5AC4">
        <w:t xml:space="preserve">The baseline reveals a </w:t>
      </w:r>
      <w:r w:rsidRPr="002E5AC4">
        <w:rPr>
          <w:b/>
          <w:bCs/>
        </w:rPr>
        <w:t>structural and persistent translation deficit</w:t>
      </w:r>
      <w:r w:rsidRPr="002E5AC4">
        <w:t xml:space="preserve"> at the centre of the EU biotechnology innovation system. Under the baseline, the EU innovation system’s upstream scientific base will remain internationally competitive, while the downstream </w:t>
      </w:r>
      <w:r w:rsidR="00453897">
        <w:t xml:space="preserve">deficiency in </w:t>
      </w:r>
      <w:r w:rsidRPr="002E5AC4">
        <w:t>infrastructure for converting that science into products, trials, and market-ready applications will grow.</w:t>
      </w:r>
    </w:p>
    <w:p w14:paraId="1FCCBF8C" w14:textId="0754B09D" w:rsidR="000C1EE1" w:rsidRDefault="000C1EE1" w:rsidP="00514904">
      <w:r w:rsidRPr="002E5AC4">
        <w:t xml:space="preserve">One of the key innovation-side deficits is the </w:t>
      </w:r>
      <w:r w:rsidRPr="002E5AC4">
        <w:rPr>
          <w:b/>
          <w:bCs/>
        </w:rPr>
        <w:t>absence of structured pathways for technologies that do not fit neatly within existing regulatory categories</w:t>
      </w:r>
      <w:r w:rsidRPr="002E5AC4">
        <w:t xml:space="preserve">. Developers of </w:t>
      </w:r>
      <w:r w:rsidRPr="00CD5294">
        <w:rPr>
          <w:b/>
          <w:bCs/>
        </w:rPr>
        <w:t>novel health biotechnology</w:t>
      </w:r>
      <w:r w:rsidRPr="002E5AC4">
        <w:t xml:space="preserve"> products </w:t>
      </w:r>
      <w:r w:rsidR="000941D1">
        <w:t>will continue to</w:t>
      </w:r>
      <w:r w:rsidR="000941D1" w:rsidRPr="002E5AC4">
        <w:t xml:space="preserve"> </w:t>
      </w:r>
      <w:r w:rsidR="000941D1">
        <w:t>operate</w:t>
      </w:r>
      <w:r w:rsidR="000941D1" w:rsidRPr="002E5AC4">
        <w:t xml:space="preserve"> </w:t>
      </w:r>
      <w:r w:rsidRPr="002E5AC4">
        <w:t>simultaneously across two to three regulatory frameworks, with no structured cross-framework anticipatory dialogue in place</w:t>
      </w:r>
      <w:r w:rsidR="000941D1">
        <w:t>. F</w:t>
      </w:r>
      <w:r>
        <w:t>ore</w:t>
      </w:r>
      <w:r w:rsidR="21EB025E">
        <w:t>cast</w:t>
      </w:r>
      <w:r w:rsidRPr="002E5AC4">
        <w:t xml:space="preserve"> analyses project that up to 30</w:t>
      </w:r>
      <w:r w:rsidR="00405618">
        <w:t>%</w:t>
      </w:r>
      <w:r w:rsidRPr="002E5AC4">
        <w:t xml:space="preserve"> of such products could be stalled by regulatory uncertainty between 2030 and 2038, even as the volume of novel, hybrid health technologies is expected to increase by approximately 20</w:t>
      </w:r>
      <w:r w:rsidR="00405618">
        <w:t>%</w:t>
      </w:r>
      <w:r w:rsidRPr="002E5AC4">
        <w:t xml:space="preserve"> between 2025 and 2030. In </w:t>
      </w:r>
      <w:r w:rsidRPr="009F259D">
        <w:rPr>
          <w:b/>
          <w:bCs/>
        </w:rPr>
        <w:t>ATMPs</w:t>
      </w:r>
      <w:r w:rsidRPr="002E5AC4">
        <w:t xml:space="preserve">, </w:t>
      </w:r>
      <w:r w:rsidR="001D3C66">
        <w:t xml:space="preserve">as </w:t>
      </w:r>
      <w:r w:rsidRPr="002E5AC4">
        <w:t>the current definitions fail to capture emerging modalities</w:t>
      </w:r>
      <w:r w:rsidR="001D3C66">
        <w:t>,</w:t>
      </w:r>
      <w:r w:rsidRPr="002E5AC4">
        <w:t xml:space="preserve"> </w:t>
      </w:r>
      <w:r w:rsidR="001D3C66">
        <w:t xml:space="preserve">this </w:t>
      </w:r>
      <w:r w:rsidRPr="002E5AC4">
        <w:t xml:space="preserve">is projected to widen progressively as in vivo genome editing and cell-device combinations advance over 2030-2038. Without clarification of tissue-engineered product and related definitions, more products are likely to require case-by-case classification </w:t>
      </w:r>
      <w:r w:rsidR="00AB02DC">
        <w:t xml:space="preserve">by EMA </w:t>
      </w:r>
      <w:r w:rsidRPr="002E5AC4">
        <w:t>and bespoke scientific advice from 2030 onwards, increasing regulatory workload and amplifying unpredictability for the SME dominated ATMP developer base (over 60</w:t>
      </w:r>
      <w:r w:rsidR="00405618">
        <w:t>%</w:t>
      </w:r>
      <w:r w:rsidRPr="002E5AC4">
        <w:t xml:space="preserve"> of ATMP developers are SMEs). For </w:t>
      </w:r>
      <w:r w:rsidRPr="004076AF">
        <w:rPr>
          <w:b/>
          <w:bCs/>
        </w:rPr>
        <w:t>GMMs</w:t>
      </w:r>
      <w:r w:rsidRPr="002E5AC4">
        <w:t xml:space="preserve"> used outside food and feed, the EU's process-based framework has resulted in no market authorisations for deliberate release under Directive 2001/18/EC, effectively excluding the EU from </w:t>
      </w:r>
      <w:r w:rsidR="64CDDC67">
        <w:t xml:space="preserve">the </w:t>
      </w:r>
      <w:r w:rsidR="2CC8E077">
        <w:t xml:space="preserve">specific parts of </w:t>
      </w:r>
      <w:r>
        <w:t>global</w:t>
      </w:r>
      <w:r w:rsidRPr="002E5AC4">
        <w:t xml:space="preserve"> markets in biofertilisation, biocontrol, bioremediation, and bioleaching </w:t>
      </w:r>
      <w:r w:rsidR="64FEE833">
        <w:t>using GMMs. Taking into account GM and conventional products, these markets</w:t>
      </w:r>
      <w:r>
        <w:t xml:space="preserve"> </w:t>
      </w:r>
      <w:r w:rsidR="70964A2B">
        <w:t>have</w:t>
      </w:r>
      <w:r>
        <w:t xml:space="preserve"> </w:t>
      </w:r>
      <w:r w:rsidRPr="002E5AC4">
        <w:t xml:space="preserve">a combined value exceeding </w:t>
      </w:r>
      <w:r w:rsidR="00AE6D71">
        <w:t>EUR</w:t>
      </w:r>
      <w:r w:rsidR="00AE6D71" w:rsidRPr="002E5AC4">
        <w:t xml:space="preserve"> </w:t>
      </w:r>
      <w:r w:rsidR="00AE6D71">
        <w:t>29</w:t>
      </w:r>
      <w:r w:rsidR="00AE6D71" w:rsidRPr="002E5AC4">
        <w:t xml:space="preserve"> </w:t>
      </w:r>
      <w:r w:rsidRPr="002E5AC4">
        <w:t>billion and growth rates of 9-14</w:t>
      </w:r>
      <w:r w:rsidR="00405618">
        <w:t>%</w:t>
      </w:r>
      <w:r w:rsidRPr="002E5AC4">
        <w:t xml:space="preserve"> annually. These global GMM-relevant markets are projected to grow significantly under the baseline: biofertilisers from </w:t>
      </w:r>
      <w:r w:rsidR="000957AA">
        <w:t>EUR</w:t>
      </w:r>
      <w:r w:rsidR="000957AA" w:rsidRPr="002E5AC4">
        <w:t xml:space="preserve"> </w:t>
      </w:r>
      <w:r w:rsidRPr="002E5AC4">
        <w:t>1.</w:t>
      </w:r>
      <w:r w:rsidR="000957AA">
        <w:t>1</w:t>
      </w:r>
      <w:r w:rsidRPr="002E5AC4">
        <w:t xml:space="preserve">8 billion (2024) to </w:t>
      </w:r>
      <w:r w:rsidR="00372DE5">
        <w:t>EUR</w:t>
      </w:r>
      <w:r w:rsidR="00372DE5" w:rsidRPr="002E5AC4">
        <w:t xml:space="preserve"> </w:t>
      </w:r>
      <w:r w:rsidRPr="002E5AC4">
        <w:t>2</w:t>
      </w:r>
      <w:r w:rsidR="00372DE5">
        <w:t>.42</w:t>
      </w:r>
      <w:r w:rsidRPr="002E5AC4">
        <w:t xml:space="preserve"> billion by 2030; microbial biocontrol from </w:t>
      </w:r>
      <w:r w:rsidR="003E30A9">
        <w:t>EUR</w:t>
      </w:r>
      <w:r w:rsidR="003E30A9" w:rsidRPr="002E5AC4">
        <w:t xml:space="preserve"> </w:t>
      </w:r>
      <w:r w:rsidR="003E30A9">
        <w:t>5.55</w:t>
      </w:r>
      <w:r w:rsidRPr="002E5AC4">
        <w:t xml:space="preserve"> billion (2025) to </w:t>
      </w:r>
      <w:r w:rsidR="0055219B">
        <w:t>EUR</w:t>
      </w:r>
      <w:r w:rsidR="0055219B" w:rsidRPr="002E5AC4">
        <w:t xml:space="preserve"> </w:t>
      </w:r>
      <w:r w:rsidR="0055219B">
        <w:t>14.2</w:t>
      </w:r>
      <w:r w:rsidRPr="002E5AC4">
        <w:t xml:space="preserve"> billion by 2032; bioremediation from </w:t>
      </w:r>
      <w:r w:rsidR="00F24F02">
        <w:t>EUR</w:t>
      </w:r>
      <w:r w:rsidR="00F24F02" w:rsidRPr="002E5AC4">
        <w:t xml:space="preserve"> </w:t>
      </w:r>
      <w:r w:rsidR="00F24F02">
        <w:t>14.</w:t>
      </w:r>
      <w:r w:rsidR="00C24221">
        <w:t>1</w:t>
      </w:r>
      <w:r w:rsidRPr="002E5AC4">
        <w:t xml:space="preserve"> billion (2024) to </w:t>
      </w:r>
      <w:r w:rsidR="00D77761">
        <w:t>EUR</w:t>
      </w:r>
      <w:r w:rsidR="00D77761" w:rsidRPr="002E5AC4">
        <w:t xml:space="preserve"> </w:t>
      </w:r>
      <w:r w:rsidR="00D77761">
        <w:t>32.9</w:t>
      </w:r>
      <w:r w:rsidRPr="002E5AC4">
        <w:t xml:space="preserve"> billion by 2033; and bioleaching from </w:t>
      </w:r>
      <w:r w:rsidR="007F5E6B">
        <w:t>EUR</w:t>
      </w:r>
      <w:r w:rsidR="007F5E6B" w:rsidRPr="002E5AC4">
        <w:t xml:space="preserve"> </w:t>
      </w:r>
      <w:r w:rsidR="007F5E6B">
        <w:t>8.66</w:t>
      </w:r>
      <w:r w:rsidRPr="00033389">
        <w:t xml:space="preserve"> billion (2024) to </w:t>
      </w:r>
      <w:r w:rsidR="00C24221">
        <w:t>EUR</w:t>
      </w:r>
      <w:r w:rsidR="00C24221" w:rsidRPr="00033389">
        <w:t xml:space="preserve"> </w:t>
      </w:r>
      <w:r w:rsidR="00C24221">
        <w:t>18.2</w:t>
      </w:r>
      <w:r w:rsidRPr="00033389">
        <w:t xml:space="preserve"> billion by 2033. Under the baseline</w:t>
      </w:r>
      <w:r>
        <w:t xml:space="preserve"> scenario</w:t>
      </w:r>
      <w:r w:rsidRPr="00033389">
        <w:t>, the EU's</w:t>
      </w:r>
      <w:r>
        <w:t xml:space="preserve"> </w:t>
      </w:r>
      <w:r w:rsidR="04A79C21">
        <w:t>partial</w:t>
      </w:r>
      <w:r w:rsidRPr="00033389">
        <w:t xml:space="preserve"> exclusion from these markets persists indefinitely, and European companies developing GMM products will increasingly serve non-EU markets or relocate R&amp;D and commercialisation activities to jurisdictions such as the US, where a product-based regulatory approach has already enabled commercial deployment</w:t>
      </w:r>
      <w:r>
        <w:t xml:space="preserve">. </w:t>
      </w:r>
      <w:r w:rsidR="00C11C44" w:rsidRPr="00CF69B4">
        <w:t xml:space="preserve">Similarly, </w:t>
      </w:r>
      <w:r w:rsidR="0053259F">
        <w:t xml:space="preserve">under the baseline, </w:t>
      </w:r>
      <w:r w:rsidR="00C11C44" w:rsidRPr="00836EE2">
        <w:rPr>
          <w:b/>
          <w:bCs/>
        </w:rPr>
        <w:t>organ processing practices</w:t>
      </w:r>
      <w:r w:rsidR="00C11C44" w:rsidRPr="00CF69B4">
        <w:t xml:space="preserve"> </w:t>
      </w:r>
      <w:r w:rsidR="00C11C44">
        <w:t>w</w:t>
      </w:r>
      <w:r w:rsidR="0053259F">
        <w:t>ould</w:t>
      </w:r>
      <w:r w:rsidR="00C11C44">
        <w:t xml:space="preserve"> be</w:t>
      </w:r>
      <w:r w:rsidR="00C11C44" w:rsidRPr="00CF69B4">
        <w:t xml:space="preserve"> driven by local institutional arrangements rather than a coherent EU standard</w:t>
      </w:r>
      <w:r w:rsidR="00C11C44">
        <w:t xml:space="preserve">. </w:t>
      </w:r>
      <w:r w:rsidR="00C11C44" w:rsidRPr="00F01F4A">
        <w:t xml:space="preserve">Under the baseline, the share of EU transplantation programmes with active processing capability is projected to rise </w:t>
      </w:r>
      <w:r w:rsidR="00C11C44" w:rsidRPr="00161394">
        <w:t xml:space="preserve">from </w:t>
      </w:r>
      <w:r w:rsidR="00C11C44">
        <w:t xml:space="preserve">an estimated </w:t>
      </w:r>
      <w:r w:rsidR="00C11C44" w:rsidRPr="00161394">
        <w:t>27</w:t>
      </w:r>
      <w:r w:rsidR="00405618">
        <w:t>%</w:t>
      </w:r>
      <w:r w:rsidR="00C11C44" w:rsidRPr="00161394">
        <w:t xml:space="preserve"> </w:t>
      </w:r>
      <w:r w:rsidR="00C11C44" w:rsidRPr="00F01F4A">
        <w:t>to approximately 35</w:t>
      </w:r>
      <w:r w:rsidR="00C11C44">
        <w:t>-</w:t>
      </w:r>
      <w:r w:rsidR="00C11C44" w:rsidRPr="00F01F4A">
        <w:t>38</w:t>
      </w:r>
      <w:r w:rsidR="00405618">
        <w:t>%</w:t>
      </w:r>
      <w:r w:rsidR="00C11C44" w:rsidRPr="00F01F4A">
        <w:t xml:space="preserve"> by 2030 and 42</w:t>
      </w:r>
      <w:r w:rsidR="00C11C44">
        <w:t>-</w:t>
      </w:r>
      <w:r w:rsidR="00C11C44" w:rsidRPr="00F01F4A">
        <w:t>48</w:t>
      </w:r>
      <w:r w:rsidR="00405618">
        <w:t>%</w:t>
      </w:r>
      <w:r w:rsidR="00C11C44" w:rsidRPr="00F01F4A">
        <w:t xml:space="preserve"> by 2035, before plateauing at approximately 48</w:t>
      </w:r>
      <w:r w:rsidR="00C11C44">
        <w:t>-</w:t>
      </w:r>
      <w:r w:rsidR="00C11C44" w:rsidRPr="00F01F4A">
        <w:t>55</w:t>
      </w:r>
      <w:r w:rsidR="00405618">
        <w:t>%</w:t>
      </w:r>
      <w:r w:rsidR="00C11C44" w:rsidRPr="00F01F4A">
        <w:t xml:space="preserve"> by 2040</w:t>
      </w:r>
      <w:r w:rsidR="00C11C44">
        <w:t>. T</w:t>
      </w:r>
      <w:r w:rsidR="00C11C44" w:rsidRPr="00F01F4A">
        <w:t>his plateau reflect</w:t>
      </w:r>
      <w:r w:rsidR="00C11C44">
        <w:t>s</w:t>
      </w:r>
      <w:r w:rsidR="00C11C44" w:rsidRPr="00F01F4A">
        <w:t xml:space="preserve"> the absence of an EU-level</w:t>
      </w:r>
      <w:r w:rsidR="00C11C44">
        <w:t xml:space="preserve"> </w:t>
      </w:r>
      <w:r w:rsidR="00C11C44" w:rsidRPr="00F01F4A">
        <w:t>framework.</w:t>
      </w:r>
    </w:p>
    <w:p w14:paraId="0CDD1888" w14:textId="7DD955AB" w:rsidR="000C1EE1" w:rsidRPr="00CF69B4" w:rsidRDefault="000C1EE1" w:rsidP="00514904">
      <w:r w:rsidRPr="002E5AC4">
        <w:rPr>
          <w:b/>
          <w:bCs/>
        </w:rPr>
        <w:t>Regulatory sandboxes</w:t>
      </w:r>
      <w:r w:rsidRPr="00CF69B4">
        <w:t>, which could provide structured testing environments for such innovations, are either absent or fragmented and underused across the relevant domains</w:t>
      </w:r>
      <w:r w:rsidR="007B236D">
        <w:t>.</w:t>
      </w:r>
      <w:r w:rsidRPr="00CF69B4">
        <w:t xml:space="preserve"> </w:t>
      </w:r>
      <w:r w:rsidR="007B236D">
        <w:t>N</w:t>
      </w:r>
      <w:r w:rsidRPr="00CF69B4">
        <w:t>o EU-level sandbox exists for veterinary innovation</w:t>
      </w:r>
      <w:r w:rsidR="008E183B">
        <w:t xml:space="preserve">. Similarly, the </w:t>
      </w:r>
      <w:r w:rsidR="00A05ECD">
        <w:t>EU</w:t>
      </w:r>
      <w:r w:rsidR="008E183B">
        <w:t xml:space="preserve"> food acquis does not provide for the operation of regulatory sandboxes; any existing</w:t>
      </w:r>
      <w:r w:rsidR="00F809A2">
        <w:t xml:space="preserve"> </w:t>
      </w:r>
      <w:r w:rsidRPr="00CF69B4">
        <w:t>food and feed sandboxes remain weakly connected to food law and unevenly available across Member States</w:t>
      </w:r>
      <w:r w:rsidR="007B236D">
        <w:t>. T</w:t>
      </w:r>
      <w:r w:rsidRPr="00CF69B4">
        <w:t>he incoming SoHO risk-based authorisation model does not incorporate a sandbox mechanism under the baseline. In the SoHO domain specifically, expert estimates indicate that sandbox-eligible cases represent 5</w:t>
      </w:r>
      <w:r>
        <w:t>-</w:t>
      </w:r>
      <w:r w:rsidRPr="00CF69B4">
        <w:t>10</w:t>
      </w:r>
      <w:r w:rsidR="00405618">
        <w:t>%</w:t>
      </w:r>
      <w:r w:rsidRPr="00CF69B4">
        <w:t xml:space="preserve"> of overall SoHO activities, translating to 90</w:t>
      </w:r>
      <w:r>
        <w:t>-</w:t>
      </w:r>
      <w:r w:rsidRPr="00CF69B4">
        <w:t>250 eligible cases per annum; based on comparable sandbox acceptance rates observed in other regulatory domains (7</w:t>
      </w:r>
      <w:r>
        <w:t>-</w:t>
      </w:r>
      <w:r w:rsidRPr="00CF69B4">
        <w:t>16</w:t>
      </w:r>
      <w:r w:rsidR="00405618">
        <w:t>%</w:t>
      </w:r>
      <w:r w:rsidRPr="00CF69B4">
        <w:t>), between 6 and 40 sandboxes could be established per annum, illustrating both the latent demand for structured innovation pathways and the scale of innovation potential that remains unexploited under the current baseline</w:t>
      </w:r>
      <w:r>
        <w:t xml:space="preserve">. </w:t>
      </w:r>
    </w:p>
    <w:p w14:paraId="1902D580" w14:textId="2689FE64" w:rsidR="000C1EE1" w:rsidRDefault="000C1EE1" w:rsidP="00514904">
      <w:r w:rsidRPr="00D038E8">
        <w:t xml:space="preserve">The </w:t>
      </w:r>
      <w:r w:rsidRPr="00163927">
        <w:rPr>
          <w:b/>
          <w:bCs/>
        </w:rPr>
        <w:t xml:space="preserve">innovation investment consequences </w:t>
      </w:r>
      <w:r w:rsidRPr="00D038E8">
        <w:t xml:space="preserve">of these constraints are illustrated in the </w:t>
      </w:r>
      <w:r w:rsidRPr="0D48D98F">
        <w:t>biosimilars</w:t>
      </w:r>
      <w:r>
        <w:t xml:space="preserve"> domain.</w:t>
      </w:r>
      <w:r w:rsidRPr="0D48D98F">
        <w:t xml:space="preserve"> </w:t>
      </w:r>
      <w:r w:rsidRPr="00D038E8">
        <w:t xml:space="preserve">Under the current framework, the sector’s contribution to European </w:t>
      </w:r>
      <w:r w:rsidR="00503F77">
        <w:t>CTs</w:t>
      </w:r>
      <w:r w:rsidRPr="00D038E8">
        <w:t xml:space="preserve"> for biosimilar medicine candidates amounts to EUR 4.9 billion. </w:t>
      </w:r>
      <w:r w:rsidRPr="00BA61C8">
        <w:t>Under the baseline, the near-term biosimilar MAA volume is projected at 25</w:t>
      </w:r>
      <w:r>
        <w:t>-</w:t>
      </w:r>
      <w:r w:rsidRPr="00BA61C8">
        <w:t>45 per year, with the lower bound reflecting persistence of the biosimilar void and the upper bound assuming gradual spontaneous adaptation; the medium-term range rises to 35</w:t>
      </w:r>
      <w:r>
        <w:t>-</w:t>
      </w:r>
      <w:r w:rsidRPr="00BA61C8">
        <w:t>55 per year. However, without formalised regulatory streamlining, per-product development costs remain at EUR 90</w:t>
      </w:r>
      <w:r>
        <w:t>-</w:t>
      </w:r>
      <w:r w:rsidRPr="00BA61C8">
        <w:t>280 million over 6</w:t>
      </w:r>
      <w:r>
        <w:t>-</w:t>
      </w:r>
      <w:r w:rsidRPr="00BA61C8">
        <w:t xml:space="preserve">9 years, with </w:t>
      </w:r>
      <w:r w:rsidRPr="008C273A">
        <w:t>the CES</w:t>
      </w:r>
      <w:r w:rsidRPr="00BA61C8">
        <w:t xml:space="preserve"> representing the single largest component (EUR 19</w:t>
      </w:r>
      <w:r>
        <w:t>-</w:t>
      </w:r>
      <w:r w:rsidRPr="00BA61C8">
        <w:t>26 million per product, approximately 57</w:t>
      </w:r>
      <w:r w:rsidR="00405618">
        <w:t>%</w:t>
      </w:r>
      <w:r w:rsidRPr="00BA61C8">
        <w:t xml:space="preserve"> of total </w:t>
      </w:r>
      <w:r>
        <w:t xml:space="preserve">clinical </w:t>
      </w:r>
      <w:r w:rsidRPr="00BA61C8">
        <w:t>development costs being clinical), constraining the commercial viability of biosimilar development for lower-value reference biologics</w:t>
      </w:r>
    </w:p>
    <w:p w14:paraId="1CC55CE7" w14:textId="77777777" w:rsidR="000C1EE1" w:rsidRPr="00C1519C" w:rsidRDefault="000C1EE1" w:rsidP="00514904">
      <w:pPr>
        <w:rPr>
          <w:b/>
          <w:bCs/>
          <w:u w:val="single"/>
        </w:rPr>
      </w:pPr>
      <w:r w:rsidRPr="00C1519C">
        <w:rPr>
          <w:b/>
          <w:bCs/>
          <w:u w:val="single"/>
        </w:rPr>
        <w:t>Public health and safety</w:t>
      </w:r>
    </w:p>
    <w:p w14:paraId="5A89D5BE" w14:textId="7EE1EFEB" w:rsidR="000C1EE1" w:rsidRPr="00CF69B4" w:rsidRDefault="00700A69" w:rsidP="00514904">
      <w:r>
        <w:t>Under the baseline,</w:t>
      </w:r>
      <w:r w:rsidR="000C1EE1">
        <w:t xml:space="preserve"> while</w:t>
      </w:r>
      <w:r w:rsidR="000C1EE1" w:rsidRPr="00CF69B4">
        <w:t xml:space="preserve"> the EU maintains among the highest regulatory safety standards globally, </w:t>
      </w:r>
      <w:r w:rsidR="000C1EE1">
        <w:t>aspects of the current</w:t>
      </w:r>
      <w:r w:rsidR="000C1EE1" w:rsidRPr="00CF69B4">
        <w:t xml:space="preserve"> regulatory architecture</w:t>
      </w:r>
      <w:r w:rsidR="000C1EE1">
        <w:t xml:space="preserve"> - pa</w:t>
      </w:r>
      <w:r w:rsidR="000C1EE1" w:rsidRPr="000853AD">
        <w:t>rticularly complexity, fragmentation and procedural duplication</w:t>
      </w:r>
      <w:r w:rsidR="000C1EE1" w:rsidRPr="00CF69B4">
        <w:t xml:space="preserve"> </w:t>
      </w:r>
      <w:r w:rsidR="000C1EE1">
        <w:t>-</w:t>
      </w:r>
      <w:r w:rsidR="000C1EE1" w:rsidRPr="00CF69B4">
        <w:t xml:space="preserve"> </w:t>
      </w:r>
      <w:r w:rsidR="000C1EE1">
        <w:t>can</w:t>
      </w:r>
      <w:r w:rsidR="000C1EE1" w:rsidRPr="00CF69B4">
        <w:t xml:space="preserve"> constrain the pace at which patients, consumers, and </w:t>
      </w:r>
      <w:r w:rsidR="00122DE7">
        <w:t>citizen</w:t>
      </w:r>
      <w:r w:rsidR="00122DE7" w:rsidRPr="00CF69B4">
        <w:t xml:space="preserve">s </w:t>
      </w:r>
      <w:r w:rsidR="000C1EE1" w:rsidRPr="00CF69B4">
        <w:t xml:space="preserve">benefit from biotechnological innovation. This </w:t>
      </w:r>
      <w:r w:rsidR="000C1EE1" w:rsidRPr="006D1E9B">
        <w:t>tension</w:t>
      </w:r>
      <w:r w:rsidR="000C1EE1" w:rsidRPr="00CF69B4">
        <w:t xml:space="preserve"> </w:t>
      </w:r>
      <w:r>
        <w:t xml:space="preserve">will continue to </w:t>
      </w:r>
      <w:r w:rsidR="000C1EE1" w:rsidRPr="00CF69B4">
        <w:t xml:space="preserve">manifest across </w:t>
      </w:r>
      <w:r w:rsidR="00065AE2">
        <w:t>the following</w:t>
      </w:r>
      <w:r w:rsidR="00065AE2" w:rsidRPr="00CF69B4">
        <w:t xml:space="preserve"> </w:t>
      </w:r>
      <w:r w:rsidR="000C1EE1" w:rsidRPr="00CF69B4">
        <w:t>interconnected dimensions</w:t>
      </w:r>
      <w:r w:rsidR="00065AE2">
        <w:t>:</w:t>
      </w:r>
    </w:p>
    <w:p w14:paraId="62798CCB" w14:textId="53FF3D84" w:rsidR="007062E1" w:rsidRDefault="00B8093D" w:rsidP="00D51DCF">
      <w:r>
        <w:rPr>
          <w:b/>
          <w:bCs/>
        </w:rPr>
        <w:t>First, d</w:t>
      </w:r>
      <w:r w:rsidR="000C1EE1" w:rsidRPr="00B8093D">
        <w:rPr>
          <w:b/>
          <w:bCs/>
        </w:rPr>
        <w:t>elayed and uneven patient access to biotechnology-derived treatments</w:t>
      </w:r>
      <w:r>
        <w:rPr>
          <w:b/>
          <w:bCs/>
        </w:rPr>
        <w:t xml:space="preserve"> will </w:t>
      </w:r>
      <w:r w:rsidR="00D51DCF">
        <w:rPr>
          <w:b/>
          <w:bCs/>
        </w:rPr>
        <w:t>continue.</w:t>
      </w:r>
      <w:r w:rsidR="000C1EE1" w:rsidRPr="00B8093D">
        <w:rPr>
          <w:b/>
          <w:bCs/>
        </w:rPr>
        <w:t xml:space="preserve"> </w:t>
      </w:r>
      <w:r w:rsidR="000C1EE1" w:rsidRPr="00CF69B4">
        <w:t xml:space="preserve">The most consequential public health gap in the baseline concerns the widening distance between the availability of advanced biotechnology therapies and the speed at which EU patients can access them. The EU’s share of global </w:t>
      </w:r>
      <w:r w:rsidR="000C1EE1" w:rsidRPr="00D9079F">
        <w:rPr>
          <w:b/>
          <w:bCs/>
        </w:rPr>
        <w:t>clinical trial</w:t>
      </w:r>
      <w:r w:rsidR="000C1EE1" w:rsidRPr="00CF69B4">
        <w:t xml:space="preserve"> initiations has halved from 18</w:t>
      </w:r>
      <w:r w:rsidR="00405618">
        <w:t>%</w:t>
      </w:r>
      <w:r w:rsidR="000C1EE1" w:rsidRPr="00CF69B4">
        <w:t xml:space="preserve"> in 2013 to 9</w:t>
      </w:r>
      <w:r w:rsidR="00405618">
        <w:t>%</w:t>
      </w:r>
      <w:r w:rsidR="000C1EE1" w:rsidRPr="00CF69B4">
        <w:t xml:space="preserve"> in 2023, with trial authorisation taking 100</w:t>
      </w:r>
      <w:r w:rsidR="000C1EE1">
        <w:t>-</w:t>
      </w:r>
      <w:r w:rsidR="000C1EE1" w:rsidRPr="00CF69B4">
        <w:t>120 days compared to approximately 30</w:t>
      </w:r>
      <w:r w:rsidR="000C1EE1" w:rsidRPr="5391042D">
        <w:t>-60 days</w:t>
      </w:r>
      <w:r w:rsidR="000C1EE1" w:rsidRPr="00CF69B4">
        <w:t xml:space="preserve"> in the United States </w:t>
      </w:r>
      <w:r w:rsidR="000C1EE1">
        <w:t>and</w:t>
      </w:r>
      <w:r w:rsidR="000C1EE1" w:rsidRPr="00CF69B4">
        <w:t xml:space="preserve"> China</w:t>
      </w:r>
      <w:r w:rsidR="000C1EE1">
        <w:t xml:space="preserve">. </w:t>
      </w:r>
      <w:r w:rsidR="000C1EE1" w:rsidRPr="00CF69B4">
        <w:t xml:space="preserve">For </w:t>
      </w:r>
      <w:r w:rsidR="000C1EE1" w:rsidRPr="004064C1">
        <w:rPr>
          <w:b/>
          <w:bCs/>
        </w:rPr>
        <w:t>ATMPs</w:t>
      </w:r>
      <w:r w:rsidR="000C1EE1" w:rsidRPr="00CF69B4">
        <w:t xml:space="preserve">, </w:t>
      </w:r>
      <w:r w:rsidR="000C1EE1" w:rsidRPr="5391042D">
        <w:t>the</w:t>
      </w:r>
      <w:r w:rsidR="000C1EE1">
        <w:t xml:space="preserve"> current provisions of the </w:t>
      </w:r>
      <w:r w:rsidR="00A46FE7">
        <w:t>CTR</w:t>
      </w:r>
      <w:r w:rsidR="000C1EE1" w:rsidRPr="00CF69B4">
        <w:t xml:space="preserve"> </w:t>
      </w:r>
      <w:r w:rsidR="00F1332D">
        <w:t xml:space="preserve">will continue to </w:t>
      </w:r>
      <w:r w:rsidR="000C1EE1" w:rsidRPr="00CF69B4">
        <w:t xml:space="preserve">add up to 50 additional assessment days. </w:t>
      </w:r>
      <w:r w:rsidR="00D10FBA" w:rsidRPr="00D10FBA">
        <w:t>In</w:t>
      </w:r>
      <w:r w:rsidR="00D10FBA" w:rsidRPr="004064C1">
        <w:t xml:space="preserve"> addition, </w:t>
      </w:r>
      <w:r w:rsidR="000C1EE1" w:rsidRPr="00D10FBA">
        <w:t>foresight</w:t>
      </w:r>
      <w:r w:rsidR="000C1EE1" w:rsidRPr="00CF69B4">
        <w:t xml:space="preserve"> analyses projecting that up to 30</w:t>
      </w:r>
      <w:r w:rsidR="00405618">
        <w:t>%</w:t>
      </w:r>
      <w:r w:rsidR="000C1EE1" w:rsidRPr="00CF69B4">
        <w:t xml:space="preserve"> of </w:t>
      </w:r>
      <w:r w:rsidR="000C1EE1" w:rsidRPr="004064C1">
        <w:rPr>
          <w:b/>
          <w:bCs/>
        </w:rPr>
        <w:t>novel</w:t>
      </w:r>
      <w:r w:rsidR="00D10FBA" w:rsidRPr="004064C1">
        <w:rPr>
          <w:b/>
          <w:bCs/>
        </w:rPr>
        <w:t xml:space="preserve"> health biotechnology</w:t>
      </w:r>
      <w:r w:rsidR="000C1EE1" w:rsidRPr="004064C1">
        <w:rPr>
          <w:b/>
          <w:bCs/>
        </w:rPr>
        <w:t xml:space="preserve"> products</w:t>
      </w:r>
      <w:r w:rsidR="000C1EE1" w:rsidRPr="00CF69B4">
        <w:t xml:space="preserve"> could be stalled by 2030</w:t>
      </w:r>
      <w:r w:rsidR="000C1EE1">
        <w:t>-</w:t>
      </w:r>
      <w:r w:rsidR="000C1EE1" w:rsidRPr="00CF69B4">
        <w:t xml:space="preserve">2038. </w:t>
      </w:r>
    </w:p>
    <w:p w14:paraId="74D9D354" w14:textId="3954B6D7" w:rsidR="000C1EE1" w:rsidRPr="002E5AC4" w:rsidDel="00065AE2" w:rsidRDefault="000C1EE1" w:rsidP="00430713">
      <w:pPr>
        <w:pStyle w:val="ListParagraph"/>
        <w:numPr>
          <w:ilvl w:val="0"/>
          <w:numId w:val="17"/>
        </w:numPr>
        <w:rPr>
          <w:b/>
          <w:bCs/>
        </w:rPr>
      </w:pPr>
      <w:r w:rsidDel="00065AE2">
        <w:t xml:space="preserve"> </w:t>
      </w:r>
      <w:r w:rsidRPr="008727F0" w:rsidDel="00065AE2">
        <w:t xml:space="preserve">Under the baseline, annual healthcare system savings from </w:t>
      </w:r>
      <w:r w:rsidRPr="00A77F2A" w:rsidDel="00065AE2">
        <w:rPr>
          <w:b/>
        </w:rPr>
        <w:t>biosimilars</w:t>
      </w:r>
      <w:r w:rsidRPr="008727F0" w:rsidDel="00065AE2">
        <w:t xml:space="preserve"> are projected to rise from approximately EUR 13 billion in 2024 to EUR 16</w:t>
      </w:r>
      <w:r w:rsidDel="00065AE2">
        <w:t>-</w:t>
      </w:r>
      <w:r w:rsidRPr="008727F0" w:rsidDel="00065AE2">
        <w:t>22 billion per year by 2030 and EUR 22</w:t>
      </w:r>
      <w:r w:rsidDel="00065AE2">
        <w:t>-</w:t>
      </w:r>
      <w:r w:rsidRPr="008727F0" w:rsidDel="00065AE2">
        <w:t>35 billion per year by 2035</w:t>
      </w:r>
      <w:r w:rsidDel="00065AE2">
        <w:t>-</w:t>
      </w:r>
      <w:r w:rsidRPr="008727F0" w:rsidDel="00065AE2">
        <w:t>2038, but the upper bounds of these projections are constrained by the biosimilar void, meaning that the full savings potential depends on whether per-product development costs can be reduced sufficiently to make lower-value biologics commercially viable targets for biosimilar competition</w:t>
      </w:r>
      <w:r w:rsidDel="00065AE2">
        <w:t xml:space="preserve">. </w:t>
      </w:r>
    </w:p>
    <w:p w14:paraId="638D40A3" w14:textId="6C758225" w:rsidR="000C1EE1" w:rsidRPr="00D51DCF" w:rsidRDefault="000C1EE1" w:rsidP="00430713">
      <w:pPr>
        <w:pStyle w:val="ListParagraph"/>
        <w:numPr>
          <w:ilvl w:val="0"/>
          <w:numId w:val="17"/>
        </w:numPr>
        <w:rPr>
          <w:b/>
          <w:bCs/>
        </w:rPr>
      </w:pPr>
      <w:r w:rsidRPr="00CF69B4">
        <w:t xml:space="preserve">In </w:t>
      </w:r>
      <w:r w:rsidRPr="00D51DCF">
        <w:rPr>
          <w:b/>
          <w:bCs/>
        </w:rPr>
        <w:t>organ transplantation</w:t>
      </w:r>
      <w:r w:rsidR="00065AE2">
        <w:t>,</w:t>
      </w:r>
      <w:r w:rsidRPr="00CF69B4">
        <w:t xml:space="preserve"> the absence of a harmonised EU-level authorisation framework for organ processing means that advanced ex-vivo </w:t>
      </w:r>
      <w:r>
        <w:t xml:space="preserve">machine </w:t>
      </w:r>
      <w:r w:rsidRPr="00CF69B4">
        <w:t>perfusion techniques diffuse unevenly, with no systematic mechanism for capturing processing-related safety data.</w:t>
      </w:r>
      <w:r>
        <w:t xml:space="preserve"> </w:t>
      </w:r>
      <w:r w:rsidRPr="007B12C9">
        <w:t>Under the baseline</w:t>
      </w:r>
      <w:r>
        <w:t>, with a</w:t>
      </w:r>
      <w:r w:rsidRPr="007B12C9">
        <w:t xml:space="preserve"> transplant growth trajectory of 1.54</w:t>
      </w:r>
      <w:r w:rsidR="00405618">
        <w:t>%</w:t>
      </w:r>
      <w:r w:rsidRPr="007B12C9">
        <w:t xml:space="preserve"> CAGR annual transplant volumes are projected to rise to approximately 35,350 by 2030, 38,200 by 2035, and 41,200 by 2040. However, demand-side growth will outpace supply-side gains: waiting lists are expected to grow at approximately 0.5</w:t>
      </w:r>
      <w:r w:rsidR="00405618">
        <w:t>%</w:t>
      </w:r>
      <w:r w:rsidRPr="007B12C9">
        <w:t xml:space="preserve"> per year to approximately 55,000</w:t>
      </w:r>
      <w:r>
        <w:t>-</w:t>
      </w:r>
      <w:r w:rsidRPr="007B12C9">
        <w:t>56,500 active patients by 2035 and 57,000</w:t>
      </w:r>
      <w:r>
        <w:t>-</w:t>
      </w:r>
      <w:r w:rsidRPr="007B12C9">
        <w:t>58,000 by 2040, meaning waiting-list mortality is projected to decline only marginally from approximately 3,366 deaths per year to approximately 3,100</w:t>
      </w:r>
      <w:r>
        <w:t>-</w:t>
      </w:r>
      <w:r w:rsidRPr="007B12C9">
        <w:t>3,200 by 2035 and 2,900</w:t>
      </w:r>
      <w:r>
        <w:t>-</w:t>
      </w:r>
      <w:r w:rsidRPr="007B12C9">
        <w:t>3,100 by 2040. The EU's dialysis-dependent population is projected to rise from approximately 310,000 to 330,000</w:t>
      </w:r>
      <w:r>
        <w:t>-</w:t>
      </w:r>
      <w:r w:rsidRPr="007B12C9">
        <w:t>340,000 by 2035 and 350,000</w:t>
      </w:r>
      <w:r>
        <w:t>-</w:t>
      </w:r>
      <w:r w:rsidRPr="007B12C9">
        <w:t>365,000 by 2040, with demand-side growth driven by population ageing, rising diabetes and hypertension prevalence, and widening dialysis initiation criteria outpacing the supply-side gains from transplant volume increases. The organ discard rate is projected to decline from approximately 12</w:t>
      </w:r>
      <w:r>
        <w:t>-</w:t>
      </w:r>
      <w:r w:rsidRPr="007B12C9">
        <w:t>13</w:t>
      </w:r>
      <w:r w:rsidR="00405618">
        <w:t>%</w:t>
      </w:r>
      <w:r w:rsidRPr="007B12C9">
        <w:t xml:space="preserve"> to 10–11</w:t>
      </w:r>
      <w:r w:rsidR="00405618">
        <w:t>%</w:t>
      </w:r>
      <w:r w:rsidRPr="007B12C9">
        <w:t xml:space="preserve"> by 2035 and 9</w:t>
      </w:r>
      <w:r>
        <w:t>-</w:t>
      </w:r>
      <w:r w:rsidRPr="007B12C9">
        <w:t>10.5</w:t>
      </w:r>
      <w:r w:rsidR="00405618">
        <w:t>%</w:t>
      </w:r>
      <w:r w:rsidRPr="007B12C9">
        <w:t xml:space="preserve"> by 2040 under organic, centre-led adoption, but these gains will be concentrated in liver and lung organs in a small number of advanced Member States and will remain below the levels achievable with wider processing adoption</w:t>
      </w:r>
      <w:r>
        <w:t>.</w:t>
      </w:r>
    </w:p>
    <w:p w14:paraId="3752BBD2" w14:textId="2D5EF5A9" w:rsidR="000C1EE1" w:rsidRPr="00BD4AA6" w:rsidRDefault="38B7D902" w:rsidP="00426D33">
      <w:r w:rsidRPr="3EDAE71D">
        <w:rPr>
          <w:b/>
          <w:bCs/>
        </w:rPr>
        <w:t>Second</w:t>
      </w:r>
      <w:r w:rsidR="00576B58">
        <w:rPr>
          <w:b/>
          <w:bCs/>
        </w:rPr>
        <w:t>, in the f</w:t>
      </w:r>
      <w:r w:rsidR="000C1EE1" w:rsidRPr="00576B58">
        <w:rPr>
          <w:b/>
          <w:bCs/>
        </w:rPr>
        <w:t xml:space="preserve">ood and feed </w:t>
      </w:r>
      <w:r w:rsidR="00576B58">
        <w:rPr>
          <w:b/>
          <w:bCs/>
        </w:rPr>
        <w:t xml:space="preserve">area, although </w:t>
      </w:r>
      <w:r w:rsidR="000C1EE1" w:rsidRPr="00576B58">
        <w:rPr>
          <w:b/>
          <w:bCs/>
        </w:rPr>
        <w:t xml:space="preserve">safety standards </w:t>
      </w:r>
      <w:r w:rsidR="00576B58">
        <w:rPr>
          <w:b/>
          <w:bCs/>
        </w:rPr>
        <w:t xml:space="preserve">will be </w:t>
      </w:r>
      <w:r w:rsidR="000C1EE1" w:rsidRPr="00576B58">
        <w:rPr>
          <w:b/>
          <w:bCs/>
        </w:rPr>
        <w:t>maintained</w:t>
      </w:r>
      <w:r w:rsidR="00576B58">
        <w:rPr>
          <w:b/>
          <w:bCs/>
        </w:rPr>
        <w:t xml:space="preserve">, </w:t>
      </w:r>
      <w:r w:rsidR="000C1EE1" w:rsidRPr="00576B58">
        <w:rPr>
          <w:b/>
          <w:bCs/>
        </w:rPr>
        <w:t xml:space="preserve">innovation </w:t>
      </w:r>
      <w:r w:rsidR="00576B58">
        <w:rPr>
          <w:b/>
          <w:bCs/>
        </w:rPr>
        <w:t xml:space="preserve">will remain </w:t>
      </w:r>
      <w:r w:rsidR="000C1EE1" w:rsidRPr="00576B58">
        <w:rPr>
          <w:b/>
          <w:bCs/>
        </w:rPr>
        <w:t>constrained</w:t>
      </w:r>
      <w:r w:rsidR="00576B58">
        <w:rPr>
          <w:b/>
          <w:bCs/>
        </w:rPr>
        <w:t>.</w:t>
      </w:r>
      <w:r w:rsidR="000C1EE1" w:rsidRPr="00CF69B4">
        <w:t xml:space="preserve"> EFSA's rigorous risk assessment framework continues to underpin world-leading food safety standards. </w:t>
      </w:r>
      <w:r w:rsidR="0065742B">
        <w:t xml:space="preserve">In the area of nutrition, biotechnology can </w:t>
      </w:r>
      <w:r w:rsidR="0065742B" w:rsidRPr="00B64067">
        <w:t>enhanc</w:t>
      </w:r>
      <w:r w:rsidR="0065742B">
        <w:t>e</w:t>
      </w:r>
      <w:r w:rsidR="0065742B" w:rsidRPr="00B64067">
        <w:t xml:space="preserve"> nutritional properties</w:t>
      </w:r>
      <w:r w:rsidR="00FF6051">
        <w:t>.</w:t>
      </w:r>
      <w:r w:rsidR="000C1EE1" w:rsidRPr="00CF69B4">
        <w:t xml:space="preserve"> However, </w:t>
      </w:r>
      <w:r w:rsidR="000C1EE1" w:rsidRPr="00FC4A81">
        <w:t xml:space="preserve">the current legislation faces limitations in addressing the scientific aspects </w:t>
      </w:r>
      <w:r w:rsidR="00FF6051">
        <w:t xml:space="preserve">given </w:t>
      </w:r>
      <w:r w:rsidR="000C1EE1" w:rsidRPr="00FC4A81">
        <w:t>the limited mandate of EFSA to deliver scientific advice in relation to nutrition matters</w:t>
      </w:r>
      <w:r w:rsidR="000C1EE1">
        <w:t>.</w:t>
      </w:r>
      <w:r w:rsidR="00FF6051">
        <w:t xml:space="preserve"> This may become even more </w:t>
      </w:r>
      <w:r w:rsidR="00854DD8">
        <w:t>relevant</w:t>
      </w:r>
      <w:r w:rsidR="00FF6051">
        <w:t xml:space="preserve"> in</w:t>
      </w:r>
      <w:r w:rsidR="00A202FC">
        <w:t xml:space="preserve"> the </w:t>
      </w:r>
      <w:r w:rsidR="00FF6051">
        <w:t xml:space="preserve">future </w:t>
      </w:r>
      <w:r w:rsidR="00836529">
        <w:t>considering</w:t>
      </w:r>
      <w:r w:rsidR="00FF6051">
        <w:t xml:space="preserve"> the expected increase in the prevalence of diet-related health issues in the coming years.</w:t>
      </w:r>
      <w:r w:rsidR="00DA6F0F">
        <w:t xml:space="preserve"> </w:t>
      </w:r>
      <w:r w:rsidR="001775D0" w:rsidRPr="00FB6613">
        <w:t>Similarly,</w:t>
      </w:r>
      <w:r w:rsidR="001775D0">
        <w:rPr>
          <w:b/>
          <w:bCs/>
        </w:rPr>
        <w:t xml:space="preserve"> </w:t>
      </w:r>
      <w:r w:rsidR="00316504">
        <w:t xml:space="preserve">regarding the </w:t>
      </w:r>
      <w:r w:rsidR="00FB6613" w:rsidRPr="00FB6613">
        <w:rPr>
          <w:b/>
          <w:bCs/>
        </w:rPr>
        <w:t>O</w:t>
      </w:r>
      <w:r w:rsidR="000C1EE1" w:rsidRPr="001775D0">
        <w:rPr>
          <w:b/>
          <w:bCs/>
        </w:rPr>
        <w:t>ne</w:t>
      </w:r>
      <w:r w:rsidR="000C1EE1" w:rsidRPr="001775D0" w:rsidDel="001775D0">
        <w:rPr>
          <w:b/>
          <w:bCs/>
        </w:rPr>
        <w:t xml:space="preserve"> Health risks from veterinary regulatory design</w:t>
      </w:r>
      <w:r w:rsidR="00316504">
        <w:rPr>
          <w:b/>
          <w:bCs/>
        </w:rPr>
        <w:t xml:space="preserve">, </w:t>
      </w:r>
      <w:r w:rsidR="00316504" w:rsidRPr="00424007">
        <w:t>t</w:t>
      </w:r>
      <w:r w:rsidR="000C1EE1" w:rsidRPr="00CF69B4" w:rsidDel="001775D0">
        <w:t xml:space="preserve">he dual-track system for GMO-containing </w:t>
      </w:r>
      <w:r w:rsidR="000C1EE1" w:rsidDel="001775D0">
        <w:t>VMPs</w:t>
      </w:r>
      <w:r w:rsidR="000C1EE1" w:rsidRPr="00CF69B4" w:rsidDel="001775D0">
        <w:t xml:space="preserve"> generates an 'innovation tax' of 2</w:t>
      </w:r>
      <w:r w:rsidR="000C1EE1" w:rsidDel="001775D0">
        <w:t>-</w:t>
      </w:r>
      <w:r w:rsidR="000C1EE1" w:rsidRPr="00CF69B4" w:rsidDel="001775D0">
        <w:t>3 times longer approval periods without commensurate safety benefit</w:t>
      </w:r>
      <w:r w:rsidR="000C1EE1" w:rsidDel="001775D0">
        <w:t xml:space="preserve">: </w:t>
      </w:r>
      <w:r w:rsidR="000C1EE1" w:rsidRPr="00CF69B4" w:rsidDel="001775D0">
        <w:t xml:space="preserve">no GMO-containing VMP has ever received a negative opinion on its GMO component. </w:t>
      </w:r>
      <w:r w:rsidR="00316504">
        <w:t>T</w:t>
      </w:r>
      <w:r w:rsidR="000C1EE1" w:rsidRPr="00CF69B4">
        <w:t xml:space="preserve">he absence of a legal 'firewall' clarifying that animals treated with </w:t>
      </w:r>
      <w:r w:rsidR="000C1EE1" w:rsidRPr="004D6592">
        <w:rPr>
          <w:b/>
          <w:bCs/>
        </w:rPr>
        <w:t>GMO-derived VMPs</w:t>
      </w:r>
      <w:r w:rsidR="000C1EE1" w:rsidRPr="00CF69B4">
        <w:t xml:space="preserve"> are not themselves classified as GMOs </w:t>
      </w:r>
      <w:r w:rsidR="001775D0">
        <w:t xml:space="preserve">will </w:t>
      </w:r>
      <w:r w:rsidR="000C1EE1" w:rsidRPr="00CF69B4">
        <w:t>c</w:t>
      </w:r>
      <w:r w:rsidR="001775D0">
        <w:t>ontinue to c</w:t>
      </w:r>
      <w:r w:rsidR="000C1EE1" w:rsidRPr="00CF69B4">
        <w:t>reate commercial risk</w:t>
      </w:r>
      <w:r w:rsidR="00DA6F0F">
        <w:t>. It</w:t>
      </w:r>
      <w:r w:rsidR="000C1EE1" w:rsidRPr="00CF69B4">
        <w:t xml:space="preserve"> </w:t>
      </w:r>
      <w:r w:rsidR="000C1EE1">
        <w:t>could deter</w:t>
      </w:r>
      <w:r w:rsidR="000C1EE1" w:rsidRPr="00CF69B4">
        <w:t xml:space="preserve"> farmer uptake of next-generation biotech vaccines, sustaining reliance on antimicrobials and impeding progress towards the EU's target of halving antimicrobial sales by 2030.</w:t>
      </w:r>
    </w:p>
    <w:p w14:paraId="7BFC3BE1" w14:textId="6F14BA38" w:rsidR="000C1EE1" w:rsidRPr="00373DC7" w:rsidRDefault="2E2D9C5A" w:rsidP="00426D33">
      <w:r w:rsidRPr="3EDAE71D">
        <w:rPr>
          <w:b/>
          <w:bCs/>
        </w:rPr>
        <w:t>Third</w:t>
      </w:r>
      <w:r w:rsidR="00761FAC" w:rsidRPr="00F07FC1">
        <w:rPr>
          <w:b/>
          <w:bCs/>
        </w:rPr>
        <w:t>,</w:t>
      </w:r>
      <w:r w:rsidR="00F07FC1" w:rsidRPr="004D6592">
        <w:rPr>
          <w:b/>
          <w:bCs/>
        </w:rPr>
        <w:t xml:space="preserve"> t</w:t>
      </w:r>
      <w:r w:rsidR="000C1EE1" w:rsidRPr="004D6592">
        <w:rPr>
          <w:b/>
          <w:bCs/>
        </w:rPr>
        <w:t>he baseline presents a structural gap in the EU's capacity to detect and prevent biological threats</w:t>
      </w:r>
      <w:r w:rsidR="000C1EE1" w:rsidRPr="00CF69B4">
        <w:t xml:space="preserve">. Wastewater-based surveillance beyond SARS-CoV-2 and influenza remains limited (only 11 Member States monitor antimicrobial resistance, </w:t>
      </w:r>
      <w:r w:rsidR="008C1BA9">
        <w:t>six</w:t>
      </w:r>
      <w:r w:rsidR="000C1EE1" w:rsidRPr="00CF69B4">
        <w:t xml:space="preserve"> monitor emerging pathogens), with no agnostic detection layer for novel or engineered threats. Concurrently, synthetic nucleic acid screening remains voluntary and fragmented: only 69 of over 700 global custom synthesis providers are confirmed to screen</w:t>
      </w:r>
      <w:r w:rsidR="000C1EE1">
        <w:t xml:space="preserve">. The </w:t>
      </w:r>
      <w:r w:rsidR="000C1EE1" w:rsidRPr="00752130">
        <w:t xml:space="preserve">RAND analysis estimates that the expected monetised annual loss </w:t>
      </w:r>
      <w:r w:rsidR="008C1BA9">
        <w:t>due to biological threats</w:t>
      </w:r>
      <w:r w:rsidR="000C1EE1" w:rsidRPr="00752130">
        <w:t xml:space="preserve"> across all event categories amounts to approximately EUR 184 billion for large-scale events (1</w:t>
      </w:r>
      <w:r w:rsidR="00405618">
        <w:t>%</w:t>
      </w:r>
      <w:r w:rsidR="000C1EE1" w:rsidRPr="00752130">
        <w:t xml:space="preserve"> annual probability</w:t>
      </w:r>
      <w:r w:rsidR="000C1EE1">
        <w:t xml:space="preserve">; </w:t>
      </w:r>
      <w:r w:rsidR="000C1EE1" w:rsidRPr="003F4281">
        <w:t>EUR 19.6 trillion</w:t>
      </w:r>
      <w:r w:rsidR="000C1EE1">
        <w:t xml:space="preserve"> expected harm)</w:t>
      </w:r>
      <w:r w:rsidR="000C1EE1" w:rsidRPr="00752130">
        <w:t>, supplemented by small-scale events (22</w:t>
      </w:r>
      <w:r w:rsidR="00405618">
        <w:t>%</w:t>
      </w:r>
      <w:r w:rsidR="000C1EE1" w:rsidRPr="00752130">
        <w:t xml:space="preserve"> annual probability, EUR 72 million expected harm), agricultural events (4% probability, EUR 75.5 billion expected harm), and non-transmissible events (5–25% probability, EUR 121 million expected harm). For attacks specifically, the probability that they involve synthetic nucleic acid ordered from providers ranges from 30</w:t>
      </w:r>
      <w:r w:rsidR="00405618">
        <w:t>%</w:t>
      </w:r>
      <w:r w:rsidR="000C1EE1" w:rsidRPr="00752130">
        <w:t xml:space="preserve"> to 70</w:t>
      </w:r>
      <w:r w:rsidR="00405618">
        <w:t>%</w:t>
      </w:r>
      <w:r w:rsidR="000C1EE1" w:rsidRPr="00752130">
        <w:t xml:space="preserve"> depending on event type, while for accidents the corresponding probability ranges from 6</w:t>
      </w:r>
      <w:r w:rsidR="00405618">
        <w:t>%</w:t>
      </w:r>
      <w:r w:rsidR="000C1EE1" w:rsidRPr="00752130">
        <w:t xml:space="preserve"> to 17</w:t>
      </w:r>
      <w:r w:rsidR="00405618">
        <w:t>%</w:t>
      </w:r>
      <w:r w:rsidR="000C1EE1">
        <w:t>.</w:t>
      </w:r>
    </w:p>
    <w:p w14:paraId="169229B7" w14:textId="05AD0AA4" w:rsidR="000C1EE1" w:rsidRPr="001D578D" w:rsidRDefault="00145D45" w:rsidP="00426D33">
      <w:r w:rsidRPr="00D63DC4">
        <w:t>T</w:t>
      </w:r>
      <w:r w:rsidR="000C1EE1" w:rsidRPr="00145D45">
        <w:t xml:space="preserve">he </w:t>
      </w:r>
      <w:r w:rsidR="000C1EE1" w:rsidRPr="004D6592">
        <w:t>biosecurity and biodefence</w:t>
      </w:r>
      <w:r w:rsidR="000C1EE1" w:rsidRPr="00145D45">
        <w:t xml:space="preserve"> baselines expose a separate category of public health vulnerability</w:t>
      </w:r>
      <w:r w:rsidR="000C1EE1" w:rsidRPr="00CF69B4">
        <w:t xml:space="preserve">. </w:t>
      </w:r>
      <w:r w:rsidR="000C1EE1">
        <w:t xml:space="preserve">In the </w:t>
      </w:r>
      <w:r w:rsidR="000C1EE1" w:rsidRPr="00316421">
        <w:t xml:space="preserve">domain of synthetic nucleic acid synthesis, the EU market (estimated at approximately </w:t>
      </w:r>
      <w:r w:rsidR="00ED62D0">
        <w:t>EUR</w:t>
      </w:r>
      <w:r w:rsidR="00ED62D0" w:rsidRPr="00316421">
        <w:t xml:space="preserve"> </w:t>
      </w:r>
      <w:r w:rsidR="00ED62D0">
        <w:t>850 million</w:t>
      </w:r>
      <w:r w:rsidR="000C1EE1" w:rsidRPr="00316421">
        <w:t xml:space="preserve"> in 2024, representing approximately 0.2</w:t>
      </w:r>
      <w:r w:rsidR="00405618">
        <w:t>%</w:t>
      </w:r>
      <w:r w:rsidR="000C1EE1" w:rsidRPr="00316421">
        <w:t xml:space="preserve"> of the European biotechnology market</w:t>
      </w:r>
      <w:r w:rsidR="0098675D">
        <w:rPr>
          <w:rStyle w:val="FootnoteReference"/>
        </w:rPr>
        <w:footnoteReference w:id="163"/>
      </w:r>
      <w:r w:rsidR="000C1EE1" w:rsidRPr="00316421">
        <w:t>) is expected to grow at an annual rate of 10-20</w:t>
      </w:r>
      <w:r w:rsidR="00405618">
        <w:t>%</w:t>
      </w:r>
      <w:r w:rsidR="000C1EE1" w:rsidRPr="00316421">
        <w:t>, but competitiveness is shaped by the absence of a level playing field: companies that voluntarily screen their customers face competitive disadvantages against providers</w:t>
      </w:r>
      <w:r w:rsidR="00143E93">
        <w:t xml:space="preserve"> that do not screen</w:t>
      </w:r>
      <w:r w:rsidR="000C1EE1" w:rsidRPr="00316421">
        <w:t>, and as DNA synthesis prices continue to decline, the cost of screening represents an increasing share of the final order price.</w:t>
      </w:r>
      <w:r w:rsidR="000C1EE1">
        <w:t xml:space="preserve"> </w:t>
      </w:r>
      <w:r w:rsidR="000C1EE1" w:rsidRPr="00CF69B4">
        <w:t xml:space="preserve">Without </w:t>
      </w:r>
      <w:r w:rsidR="000C1EE1">
        <w:t>a change in biosecurity policy</w:t>
      </w:r>
      <w:r w:rsidR="000C1EE1" w:rsidRPr="00CF69B4">
        <w:t xml:space="preserve">, the annual </w:t>
      </w:r>
      <w:r w:rsidR="000C1EE1" w:rsidRPr="002E5AC4">
        <w:t xml:space="preserve">probability of a large-scale biological attack or accident </w:t>
      </w:r>
      <w:r w:rsidR="000C1EE1">
        <w:t xml:space="preserve">is estimated </w:t>
      </w:r>
      <w:r w:rsidR="000C1EE1" w:rsidRPr="002E5AC4">
        <w:t>at 1</w:t>
      </w:r>
      <w:r w:rsidR="00405618">
        <w:t>%</w:t>
      </w:r>
      <w:r w:rsidR="000C1EE1" w:rsidRPr="002E5AC4">
        <w:t xml:space="preserve">, with expected economic harm to the EU </w:t>
      </w:r>
      <w:r w:rsidR="00ED62D0">
        <w:t>of a large</w:t>
      </w:r>
      <w:r w:rsidR="003D7158">
        <w:t>-</w:t>
      </w:r>
      <w:r w:rsidR="00ED62D0">
        <w:t>scale event of ca. EUR 20 t</w:t>
      </w:r>
      <w:r w:rsidR="003331CC">
        <w:t>r</w:t>
      </w:r>
      <w:r w:rsidR="00ED62D0">
        <w:t>illion</w:t>
      </w:r>
      <w:r w:rsidR="000C1EE1" w:rsidRPr="002E5AC4">
        <w:t xml:space="preserve">. The risk is set to increase further as synthetic DNA and RNA continues to become cheaper and more widely available. </w:t>
      </w:r>
      <w:r w:rsidR="000C1EE1">
        <w:t>Meanwhile, p</w:t>
      </w:r>
      <w:r w:rsidR="000C1EE1" w:rsidRPr="00CF69B4">
        <w:t xml:space="preserve">athogen surveillance remains reliant on clinical </w:t>
      </w:r>
      <w:r w:rsidR="000A4FBF">
        <w:t xml:space="preserve">surveillance </w:t>
      </w:r>
      <w:r w:rsidR="000C1EE1" w:rsidRPr="00CF69B4">
        <w:t>networks and targeted wastewater-based monitoring for known agents, with no systematic agnostic detection capacity for novel or engineered biological threats.</w:t>
      </w:r>
      <w:r w:rsidR="000C1EE1">
        <w:t xml:space="preserve"> </w:t>
      </w:r>
    </w:p>
    <w:p w14:paraId="00571871" w14:textId="77777777" w:rsidR="000C1EE1" w:rsidRPr="00C1519C" w:rsidRDefault="000C1EE1" w:rsidP="00514904">
      <w:pPr>
        <w:rPr>
          <w:b/>
          <w:bCs/>
          <w:u w:val="single"/>
        </w:rPr>
      </w:pPr>
      <w:r w:rsidRPr="00C1519C">
        <w:rPr>
          <w:b/>
          <w:bCs/>
          <w:u w:val="single"/>
        </w:rPr>
        <w:t>Environment and sustainability</w:t>
      </w:r>
    </w:p>
    <w:p w14:paraId="28515B0E" w14:textId="2D592F9F" w:rsidR="000C1EE1" w:rsidRPr="00CF69B4" w:rsidRDefault="000C1EE1" w:rsidP="00514904">
      <w:r w:rsidRPr="00CF69B4">
        <w:t xml:space="preserve">The baseline reveals a </w:t>
      </w:r>
      <w:r w:rsidRPr="004D6592">
        <w:t>tension</w:t>
      </w:r>
      <w:r w:rsidRPr="00B637E5">
        <w:rPr>
          <w:b/>
          <w:bCs/>
        </w:rPr>
        <w:t xml:space="preserve"> </w:t>
      </w:r>
      <w:r w:rsidRPr="00CF69B4">
        <w:t xml:space="preserve">at the intersection of the EU's biotechnology regulatory architecture and its environmental policy ambitions: </w:t>
      </w:r>
      <w:r>
        <w:t>while these</w:t>
      </w:r>
      <w:r w:rsidRPr="00CF69B4">
        <w:t xml:space="preserve"> frameworks uphold high environmental and safety standards</w:t>
      </w:r>
      <w:r>
        <w:t>, certain features – such elements of</w:t>
      </w:r>
      <w:r w:rsidRPr="004E4211">
        <w:t xml:space="preserve"> their process design and limited risk differentiation</w:t>
      </w:r>
      <w:r w:rsidRPr="00CF69B4">
        <w:t xml:space="preserve"> </w:t>
      </w:r>
      <w:r>
        <w:t>- can</w:t>
      </w:r>
      <w:r w:rsidRPr="00CF69B4">
        <w:t xml:space="preserve"> delay</w:t>
      </w:r>
      <w:r>
        <w:t xml:space="preserve"> or constrain</w:t>
      </w:r>
      <w:r w:rsidRPr="00CF69B4">
        <w:t xml:space="preserve"> the deployment of biotechnology applications with significant potential to advance the </w:t>
      </w:r>
      <w:r>
        <w:t xml:space="preserve">environmental and sustainability </w:t>
      </w:r>
      <w:r w:rsidRPr="00CF69B4">
        <w:t xml:space="preserve">objectives. This tension manifests most acutely across </w:t>
      </w:r>
      <w:r w:rsidR="007A6032">
        <w:t>three</w:t>
      </w:r>
      <w:r w:rsidR="007A6032" w:rsidRPr="00CF69B4">
        <w:t xml:space="preserve"> </w:t>
      </w:r>
      <w:r w:rsidRPr="00CF69B4">
        <w:t>intervention areas.</w:t>
      </w:r>
    </w:p>
    <w:p w14:paraId="541EDDCF" w14:textId="4A1C8852" w:rsidR="000C1EE1" w:rsidRPr="00CF69B4" w:rsidRDefault="000C1EE1" w:rsidP="004D6592">
      <w:r w:rsidRPr="00CF69B4">
        <w:t xml:space="preserve">The most consequential environmental baseline deficit concerns </w:t>
      </w:r>
      <w:r w:rsidRPr="0030137D">
        <w:rPr>
          <w:b/>
          <w:bCs/>
        </w:rPr>
        <w:t>GMMs</w:t>
      </w:r>
      <w:r w:rsidRPr="00CF69B4">
        <w:t>.</w:t>
      </w:r>
      <w:r>
        <w:t xml:space="preserve"> N</w:t>
      </w:r>
      <w:r w:rsidRPr="00CF69B4">
        <w:t xml:space="preserve">o GMM has been authorised for deliberate environmental release under Directive 2001/18/EC. </w:t>
      </w:r>
      <w:r w:rsidR="3D4ADAD9">
        <w:t xml:space="preserve">As innovations utilising genetic engineering are not brought to the market in the EU, </w:t>
      </w:r>
      <w:r w:rsidR="1ED95E90">
        <w:t>t</w:t>
      </w:r>
      <w:r>
        <w:t>he</w:t>
      </w:r>
      <w:r w:rsidRPr="00CF69B4">
        <w:t xml:space="preserve"> EU is therefore entirely</w:t>
      </w:r>
      <w:r>
        <w:t xml:space="preserve"> absent from</w:t>
      </w:r>
      <w:r w:rsidR="2F49AE39">
        <w:t xml:space="preserve"> this important segment of</w:t>
      </w:r>
      <w:r w:rsidRPr="00CF69B4">
        <w:t xml:space="preserve"> rapidly growing global markets in biofertilisation (</w:t>
      </w:r>
      <w:r w:rsidR="00284E70">
        <w:t>EUR</w:t>
      </w:r>
      <w:r w:rsidR="00284E70" w:rsidRPr="00CF69B4">
        <w:t xml:space="preserve"> </w:t>
      </w:r>
      <w:r w:rsidR="00284E70">
        <w:t>1.18</w:t>
      </w:r>
      <w:r w:rsidRPr="00CF69B4">
        <w:t xml:space="preserve"> billion in 2024, growing at 12.8</w:t>
      </w:r>
      <w:r w:rsidR="00405618">
        <w:t>%</w:t>
      </w:r>
      <w:r w:rsidRPr="00CF69B4">
        <w:t xml:space="preserve"> CAGR), microbial biocontrol (</w:t>
      </w:r>
      <w:r w:rsidR="0054147C">
        <w:t>EUR</w:t>
      </w:r>
      <w:r w:rsidR="0054147C" w:rsidRPr="00CF69B4">
        <w:t xml:space="preserve"> </w:t>
      </w:r>
      <w:r w:rsidR="0054147C">
        <w:t>5.55</w:t>
      </w:r>
      <w:r w:rsidRPr="00CF69B4">
        <w:t xml:space="preserve"> billion in 2025, 14.3</w:t>
      </w:r>
      <w:r w:rsidR="00405618">
        <w:t>%</w:t>
      </w:r>
      <w:r w:rsidRPr="00CF69B4">
        <w:t xml:space="preserve"> CAGR), bioremediation (</w:t>
      </w:r>
      <w:r w:rsidR="00F517D1">
        <w:t>EUR</w:t>
      </w:r>
      <w:r w:rsidR="00F517D1" w:rsidRPr="00CF69B4">
        <w:t xml:space="preserve"> </w:t>
      </w:r>
      <w:r w:rsidR="00F517D1">
        <w:t>14</w:t>
      </w:r>
      <w:r w:rsidRPr="00CF69B4">
        <w:t xml:space="preserve"> billion in 2024, 9.9</w:t>
      </w:r>
      <w:r w:rsidR="00405618">
        <w:t>%</w:t>
      </w:r>
      <w:r w:rsidRPr="00CF69B4">
        <w:t xml:space="preserve"> CAGR), and bioleaching (</w:t>
      </w:r>
      <w:r w:rsidR="00C86112">
        <w:t>EUR</w:t>
      </w:r>
      <w:r w:rsidR="00C86112" w:rsidRPr="00CF69B4">
        <w:t xml:space="preserve"> </w:t>
      </w:r>
      <w:r w:rsidR="00C86112">
        <w:t>8.65</w:t>
      </w:r>
      <w:r w:rsidRPr="00CF69B4">
        <w:t xml:space="preserve"> billion in 2024, 8.9</w:t>
      </w:r>
      <w:r w:rsidR="00405618">
        <w:t>%</w:t>
      </w:r>
      <w:r w:rsidRPr="00CF69B4">
        <w:t xml:space="preserve"> CAGR), sectors with a combined global market exceeding </w:t>
      </w:r>
      <w:r w:rsidR="007C7E6E">
        <w:t>EUR</w:t>
      </w:r>
      <w:r w:rsidR="007C7E6E" w:rsidRPr="00CF69B4">
        <w:t xml:space="preserve"> </w:t>
      </w:r>
      <w:r w:rsidR="007C7E6E">
        <w:t>29</w:t>
      </w:r>
      <w:r w:rsidR="007C7E6E" w:rsidRPr="00CF69B4">
        <w:t xml:space="preserve"> </w:t>
      </w:r>
      <w:r w:rsidRPr="00CF69B4">
        <w:t>billion and projected growth rates of 9</w:t>
      </w:r>
      <w:r>
        <w:t>-</w:t>
      </w:r>
      <w:r w:rsidRPr="00CF69B4">
        <w:t>14</w:t>
      </w:r>
      <w:r w:rsidR="00405618">
        <w:t>%</w:t>
      </w:r>
      <w:r w:rsidRPr="00CF69B4">
        <w:t xml:space="preserve"> annually. In contrast, a product-based regulatory approach in the </w:t>
      </w:r>
      <w:r>
        <w:t>US</w:t>
      </w:r>
      <w:r w:rsidRPr="00CF69B4">
        <w:t xml:space="preserve"> has already enabled commercial deployment. Under the baseline</w:t>
      </w:r>
      <w:r>
        <w:t xml:space="preserve"> scenario</w:t>
      </w:r>
      <w:r w:rsidRPr="00CF69B4">
        <w:t xml:space="preserve">, this </w:t>
      </w:r>
      <w:r w:rsidR="28886E11">
        <w:t xml:space="preserve">partial </w:t>
      </w:r>
      <w:r w:rsidRPr="00CF69B4">
        <w:t xml:space="preserve">market exclusion persists indefinitely, and European companies developing GMM products will increasingly serve non-EU markets or relocate, while the environmental benefits of </w:t>
      </w:r>
      <w:r w:rsidR="73A2C517">
        <w:t>GMM-based</w:t>
      </w:r>
      <w:r w:rsidR="67D969A5">
        <w:t xml:space="preserve"> </w:t>
      </w:r>
      <w:r w:rsidRPr="00CF69B4">
        <w:t>microbial solutions for resource-efficient agriculture, pollution remediation, and sustainable extraction remain unrealised within the EU.</w:t>
      </w:r>
      <w:r>
        <w:t xml:space="preserve"> </w:t>
      </w:r>
    </w:p>
    <w:p w14:paraId="3F303F7E" w14:textId="596AADA1" w:rsidR="000C1EE1" w:rsidRPr="00CF69B4" w:rsidRDefault="000C1EE1" w:rsidP="004D6592">
      <w:r w:rsidRPr="00CF69B4">
        <w:t xml:space="preserve">In the </w:t>
      </w:r>
      <w:r w:rsidRPr="0030137D">
        <w:rPr>
          <w:b/>
          <w:bCs/>
        </w:rPr>
        <w:t>veterinary domain</w:t>
      </w:r>
      <w:r w:rsidRPr="00CF69B4">
        <w:t xml:space="preserve">, the dual-track regulatory system for GMO-containing </w:t>
      </w:r>
      <w:r>
        <w:t>VMPs</w:t>
      </w:r>
      <w:r w:rsidRPr="00CF69B4">
        <w:t xml:space="preserve"> </w:t>
      </w:r>
      <w:r>
        <w:t>results in a</w:t>
      </w:r>
      <w:r w:rsidRPr="00CF69B4">
        <w:t xml:space="preserve"> regulatory friction</w:t>
      </w:r>
      <w:r>
        <w:t xml:space="preserve"> that can</w:t>
      </w:r>
      <w:r w:rsidRPr="00CF69B4">
        <w:t xml:space="preserve"> slow</w:t>
      </w:r>
      <w:r>
        <w:t xml:space="preserve"> </w:t>
      </w:r>
      <w:r w:rsidRPr="00CF69B4">
        <w:t xml:space="preserve">the uptake of next-generation biotech vaccines in food-producing species, </w:t>
      </w:r>
      <w:r w:rsidR="00D5239A">
        <w:t xml:space="preserve">with </w:t>
      </w:r>
      <w:r w:rsidR="00C9299C">
        <w:t xml:space="preserve">potential </w:t>
      </w:r>
      <w:r w:rsidR="00C9299C" w:rsidRPr="00CF69B4">
        <w:t>ramifications</w:t>
      </w:r>
      <w:r>
        <w:t xml:space="preserve"> for animal health, farmers and food security</w:t>
      </w:r>
      <w:r w:rsidRPr="00CF69B4">
        <w:t xml:space="preserve">. </w:t>
      </w:r>
    </w:p>
    <w:p w14:paraId="25BB7D42" w14:textId="61F58B34" w:rsidR="00AA7F80" w:rsidRPr="00DD0CE5" w:rsidRDefault="007A1F5B" w:rsidP="00D63DC4">
      <w:pPr>
        <w:rPr>
          <w:rFonts w:eastAsia="Times New Roman"/>
          <w:b/>
          <w:smallCaps/>
          <w:szCs w:val="20"/>
        </w:rPr>
      </w:pPr>
      <w:r w:rsidRPr="007A1F5B">
        <w:t xml:space="preserve">The </w:t>
      </w:r>
      <w:r w:rsidRPr="007A1F5B">
        <w:rPr>
          <w:b/>
          <w:bCs/>
        </w:rPr>
        <w:t>food chain sandbox landscape</w:t>
      </w:r>
      <w:r w:rsidRPr="007A1F5B">
        <w:t xml:space="preserve"> is characterised by fragmentation and lack of coherence with Union law; only a few Member States operate sandbox-type mechanisms, none anchored in a harmonised EU framework under the General Food Law. As a result, findings and best practices cannot be systematically integrated into the evolution of the existing legal framework. This limits structured, pre-market testing of sustainable food production technologies, leaving innovation potential for the food system's environmental transition partly unexploited</w:t>
      </w:r>
      <w:r w:rsidR="000C1EE1" w:rsidRPr="00CF69B4">
        <w:t xml:space="preserve">. </w:t>
      </w:r>
    </w:p>
    <w:p w14:paraId="59140ACA" w14:textId="2EF85C27" w:rsidR="006B087E" w:rsidRPr="00DD0CE5" w:rsidRDefault="008A3FDB" w:rsidP="000E3086">
      <w:pPr>
        <w:pStyle w:val="Heading1"/>
      </w:pPr>
      <w:bookmarkStart w:id="99" w:name="_Toc227941515"/>
      <w:bookmarkStart w:id="100" w:name="_Toc227941842"/>
      <w:r w:rsidRPr="00DD0CE5">
        <w:t>Approach to the Biotech Act</w:t>
      </w:r>
      <w:bookmarkEnd w:id="99"/>
      <w:bookmarkEnd w:id="100"/>
    </w:p>
    <w:p w14:paraId="7A4BE809" w14:textId="19737448" w:rsidR="004649A2" w:rsidRPr="00DD0CE5" w:rsidRDefault="00DF786B" w:rsidP="004649A2">
      <w:pPr>
        <w:pStyle w:val="Heading2"/>
      </w:pPr>
      <w:bookmarkStart w:id="101" w:name="_Toc224747207"/>
      <w:bookmarkStart w:id="102" w:name="_Toc224749677"/>
      <w:bookmarkStart w:id="103" w:name="_Toc225974555"/>
      <w:bookmarkStart w:id="104" w:name="_Toc225975228"/>
      <w:bookmarkStart w:id="105" w:name="_Toc225975285"/>
      <w:bookmarkStart w:id="106" w:name="_Toc227941843"/>
      <w:r w:rsidRPr="00DD0CE5">
        <w:t>O</w:t>
      </w:r>
      <w:r w:rsidR="006B087E" w:rsidRPr="00DD0CE5">
        <w:t>bjectives</w:t>
      </w:r>
      <w:r w:rsidRPr="00DD0CE5">
        <w:t xml:space="preserve"> of the proposal</w:t>
      </w:r>
      <w:bookmarkEnd w:id="101"/>
      <w:bookmarkEnd w:id="102"/>
      <w:bookmarkEnd w:id="103"/>
      <w:bookmarkEnd w:id="104"/>
      <w:bookmarkEnd w:id="105"/>
      <w:bookmarkEnd w:id="106"/>
    </w:p>
    <w:p w14:paraId="32E059B3" w14:textId="707037DE" w:rsidR="00E62CFD" w:rsidRPr="00DD0CE5" w:rsidRDefault="00E62CFD" w:rsidP="00547BB1">
      <w:pPr>
        <w:pStyle w:val="Heading3"/>
      </w:pPr>
      <w:bookmarkStart w:id="107" w:name="_Toc222831753"/>
      <w:bookmarkStart w:id="108" w:name="_Toc224747208"/>
      <w:bookmarkStart w:id="109" w:name="_Toc224749678"/>
      <w:bookmarkStart w:id="110" w:name="_Toc225974556"/>
      <w:bookmarkStart w:id="111" w:name="_Toc225975229"/>
      <w:bookmarkStart w:id="112" w:name="_Toc225975286"/>
      <w:r w:rsidRPr="00DD0CE5">
        <w:t>General objectives</w:t>
      </w:r>
      <w:bookmarkEnd w:id="107"/>
      <w:bookmarkEnd w:id="108"/>
      <w:bookmarkEnd w:id="109"/>
      <w:bookmarkEnd w:id="110"/>
      <w:bookmarkEnd w:id="111"/>
      <w:bookmarkEnd w:id="112"/>
    </w:p>
    <w:p w14:paraId="72C9C143" w14:textId="6A5A2891" w:rsidR="005F6654" w:rsidRPr="00DD0CE5" w:rsidRDefault="004649A2" w:rsidP="009E2015">
      <w:pPr>
        <w:rPr>
          <w:noProof/>
          <w:lang w:eastAsia="en-IE"/>
        </w:rPr>
      </w:pPr>
      <w:r w:rsidRPr="00DD0CE5">
        <w:rPr>
          <w:noProof/>
        </w:rPr>
        <w:t xml:space="preserve">The </w:t>
      </w:r>
      <w:r w:rsidRPr="00DD0CE5">
        <w:rPr>
          <w:b/>
        </w:rPr>
        <w:t xml:space="preserve">general objective </w:t>
      </w:r>
      <w:r w:rsidRPr="00DD0CE5">
        <w:rPr>
          <w:noProof/>
        </w:rPr>
        <w:t>of th</w:t>
      </w:r>
      <w:r w:rsidR="000B7793" w:rsidRPr="00DD0CE5">
        <w:rPr>
          <w:noProof/>
        </w:rPr>
        <w:t xml:space="preserve">e </w:t>
      </w:r>
      <w:r w:rsidR="00E07EC8">
        <w:rPr>
          <w:noProof/>
        </w:rPr>
        <w:t xml:space="preserve">proposed Regulation and </w:t>
      </w:r>
      <w:r w:rsidR="008D0C9D">
        <w:rPr>
          <w:noProof/>
        </w:rPr>
        <w:t>Directive</w:t>
      </w:r>
      <w:r w:rsidRPr="00DD0CE5">
        <w:rPr>
          <w:noProof/>
        </w:rPr>
        <w:t xml:space="preserve"> is threefold: (i) to improve the functioning of the internal market by establishing a framework to strengthen the competitiveness of the </w:t>
      </w:r>
      <w:r w:rsidR="00CB3413">
        <w:rPr>
          <w:noProof/>
        </w:rPr>
        <w:t xml:space="preserve">health </w:t>
      </w:r>
      <w:r w:rsidRPr="00DD0CE5">
        <w:rPr>
          <w:noProof/>
        </w:rPr>
        <w:t xml:space="preserve">biotechnology sector, from research to production, (ii) to create the conditions for the development and timely placing on the </w:t>
      </w:r>
      <w:r w:rsidR="00D57762">
        <w:rPr>
          <w:noProof/>
        </w:rPr>
        <w:t>single</w:t>
      </w:r>
      <w:r w:rsidRPr="00DD0CE5">
        <w:rPr>
          <w:noProof/>
        </w:rPr>
        <w:t xml:space="preserve"> market, of biotechnology innovations, products and services, (iii) </w:t>
      </w:r>
      <w:r w:rsidR="005A59CA">
        <w:rPr>
          <w:noProof/>
        </w:rPr>
        <w:t>while</w:t>
      </w:r>
      <w:r w:rsidRPr="00DD0CE5">
        <w:rPr>
          <w:noProof/>
        </w:rPr>
        <w:t xml:space="preserve"> safeguard</w:t>
      </w:r>
      <w:r w:rsidR="005A59CA">
        <w:rPr>
          <w:noProof/>
        </w:rPr>
        <w:t>ing</w:t>
      </w:r>
      <w:r w:rsidRPr="00DD0CE5">
        <w:rPr>
          <w:noProof/>
        </w:rPr>
        <w:t xml:space="preserve"> high standards for the protection of human health, animal health, patients and consumers, food and feed safety, </w:t>
      </w:r>
      <w:r w:rsidR="08F07FCB" w:rsidRPr="25DA31E2">
        <w:rPr>
          <w:noProof/>
        </w:rPr>
        <w:t>the environment,</w:t>
      </w:r>
      <w:r w:rsidRPr="0B1ACB88">
        <w:rPr>
          <w:noProof/>
        </w:rPr>
        <w:t xml:space="preserve"> </w:t>
      </w:r>
      <w:r w:rsidR="00537A38">
        <w:rPr>
          <w:noProof/>
        </w:rPr>
        <w:t>and</w:t>
      </w:r>
      <w:r w:rsidRPr="0B1ACB88">
        <w:rPr>
          <w:noProof/>
        </w:rPr>
        <w:t xml:space="preserve"> </w:t>
      </w:r>
      <w:r w:rsidRPr="00DD0CE5">
        <w:rPr>
          <w:noProof/>
        </w:rPr>
        <w:t>biosecurity</w:t>
      </w:r>
      <w:r w:rsidRPr="00DD0CE5">
        <w:rPr>
          <w:lang w:eastAsia="en-IE"/>
        </w:rPr>
        <w:t>.</w:t>
      </w:r>
    </w:p>
    <w:p w14:paraId="3D4551B4" w14:textId="4205AA8B" w:rsidR="00E62CFD" w:rsidRPr="00DD0CE5" w:rsidRDefault="00E62CFD" w:rsidP="00547BB1">
      <w:pPr>
        <w:pStyle w:val="Heading3"/>
        <w:rPr>
          <w:noProof/>
          <w:bdr w:val="nil"/>
          <w:lang w:val="en-US" w:eastAsia="en-GB"/>
        </w:rPr>
      </w:pPr>
      <w:bookmarkStart w:id="113" w:name="_Toc222831754"/>
      <w:bookmarkStart w:id="114" w:name="_Toc224747209"/>
      <w:bookmarkStart w:id="115" w:name="_Toc224749679"/>
      <w:bookmarkStart w:id="116" w:name="_Toc225974557"/>
      <w:bookmarkStart w:id="117" w:name="_Toc225975230"/>
      <w:bookmarkStart w:id="118" w:name="_Toc225975287"/>
      <w:r w:rsidRPr="00DD0CE5">
        <w:rPr>
          <w:noProof/>
          <w:bdr w:val="nil"/>
          <w:lang w:val="en-US" w:eastAsia="en-GB"/>
        </w:rPr>
        <w:t>Specific objectives</w:t>
      </w:r>
      <w:bookmarkEnd w:id="113"/>
      <w:bookmarkEnd w:id="114"/>
      <w:bookmarkEnd w:id="115"/>
      <w:bookmarkEnd w:id="116"/>
      <w:bookmarkEnd w:id="117"/>
      <w:bookmarkEnd w:id="118"/>
    </w:p>
    <w:p w14:paraId="7E155F6A" w14:textId="4CF8458C" w:rsidR="00FF7137" w:rsidRPr="00DD0CE5" w:rsidRDefault="004649A2" w:rsidP="009E2015">
      <w:pPr>
        <w:rPr>
          <w:bdr w:val="nil"/>
          <w:lang w:val="en-US"/>
        </w:rPr>
      </w:pPr>
      <w:r w:rsidRPr="00DD0CE5">
        <w:rPr>
          <w:rFonts w:eastAsia="Times New Roman"/>
          <w:noProof/>
        </w:rPr>
        <w:t xml:space="preserve">This general objective translates into the </w:t>
      </w:r>
      <w:r w:rsidR="00156AF3" w:rsidRPr="00DD0CE5">
        <w:rPr>
          <w:rFonts w:eastAsia="Times New Roman"/>
          <w:noProof/>
        </w:rPr>
        <w:t xml:space="preserve">following </w:t>
      </w:r>
      <w:r w:rsidR="00156AF3" w:rsidRPr="00DD0CE5">
        <w:rPr>
          <w:rFonts w:eastAsia="Times New Roman"/>
          <w:b/>
        </w:rPr>
        <w:t>specific objectives</w:t>
      </w:r>
      <w:r w:rsidR="00E07EC8">
        <w:rPr>
          <w:rFonts w:eastAsia="Times New Roman"/>
          <w:b/>
        </w:rPr>
        <w:t>,</w:t>
      </w:r>
      <w:r w:rsidR="00E07EC8" w:rsidRPr="00E07EC8">
        <w:rPr>
          <w:rFonts w:eastAsia="Times New Roman"/>
          <w:noProof/>
        </w:rPr>
        <w:t xml:space="preserve"> </w:t>
      </w:r>
      <w:r w:rsidR="00E07EC8">
        <w:rPr>
          <w:rFonts w:eastAsia="Times New Roman"/>
          <w:noProof/>
        </w:rPr>
        <w:t>as presented in the proposed Regulation and Directive</w:t>
      </w:r>
      <w:r w:rsidRPr="00DD0CE5">
        <w:rPr>
          <w:rFonts w:eastAsia="Times New Roman"/>
          <w:noProof/>
        </w:rPr>
        <w:t>:</w:t>
      </w:r>
      <w:r w:rsidR="00582430" w:rsidRPr="00DD0CE5">
        <w:rPr>
          <w:rFonts w:eastAsia="Times New Roman"/>
          <w:noProof/>
        </w:rPr>
        <w:t xml:space="preserve"> </w:t>
      </w:r>
      <w:r w:rsidRPr="00DD0CE5">
        <w:rPr>
          <w:noProof/>
        </w:rPr>
        <w:t>(i)</w:t>
      </w:r>
      <w:r w:rsidR="00582430" w:rsidRPr="00DD0CE5">
        <w:rPr>
          <w:noProof/>
        </w:rPr>
        <w:t xml:space="preserve"> </w:t>
      </w:r>
      <w:r w:rsidRPr="00DD0CE5">
        <w:rPr>
          <w:noProof/>
        </w:rPr>
        <w:t>strengthen the biotechnology sector and reinforce the EU’s research, development and production capabilities;</w:t>
      </w:r>
      <w:r w:rsidR="00582430" w:rsidRPr="00DD0CE5">
        <w:rPr>
          <w:noProof/>
        </w:rPr>
        <w:t xml:space="preserve"> </w:t>
      </w:r>
      <w:r w:rsidRPr="00DD0CE5">
        <w:rPr>
          <w:noProof/>
        </w:rPr>
        <w:t>(ii)</w:t>
      </w:r>
      <w:r w:rsidR="00582430" w:rsidRPr="00DD0CE5">
        <w:rPr>
          <w:noProof/>
        </w:rPr>
        <w:t xml:space="preserve"> </w:t>
      </w:r>
      <w:r w:rsidRPr="00DD0CE5">
        <w:rPr>
          <w:noProof/>
        </w:rPr>
        <w:t>support funding of, investments in, and access to capital for, biotechnology companies and projects;</w:t>
      </w:r>
      <w:r w:rsidR="00582430" w:rsidRPr="00DD0CE5">
        <w:rPr>
          <w:noProof/>
        </w:rPr>
        <w:t xml:space="preserve"> </w:t>
      </w:r>
      <w:r w:rsidRPr="00DD0CE5">
        <w:t>(iii)</w:t>
      </w:r>
      <w:r w:rsidR="00582430" w:rsidRPr="00DD0CE5">
        <w:rPr>
          <w:noProof/>
        </w:rPr>
        <w:t xml:space="preserve"> </w:t>
      </w:r>
      <w:r w:rsidRPr="00DD0CE5">
        <w:t>improve the EU manufacturing capacity of, and expertise in biosimilars, including through international cooperation;</w:t>
      </w:r>
      <w:r w:rsidR="00582430" w:rsidRPr="00DD0CE5">
        <w:rPr>
          <w:noProof/>
        </w:rPr>
        <w:t xml:space="preserve"> </w:t>
      </w:r>
      <w:r w:rsidRPr="00DD0CE5">
        <w:t>(iv)</w:t>
      </w:r>
      <w:r w:rsidR="00582430" w:rsidRPr="00DD0CE5">
        <w:rPr>
          <w:noProof/>
        </w:rPr>
        <w:t xml:space="preserve"> </w:t>
      </w:r>
      <w:r w:rsidRPr="00DD0CE5">
        <w:t xml:space="preserve">facilitate the application of AI into the </w:t>
      </w:r>
      <w:r w:rsidR="00073476">
        <w:t>EU’s</w:t>
      </w:r>
      <w:r w:rsidRPr="00DD0CE5">
        <w:t xml:space="preserve"> biotechnology and health technology manufacturing ecosystems and frameworks, in line with the</w:t>
      </w:r>
      <w:r w:rsidRPr="00DD0CE5" w:rsidDel="00BD3B13">
        <w:t xml:space="preserve"> </w:t>
      </w:r>
      <w:r w:rsidR="00BD3B13" w:rsidRPr="00DD0CE5">
        <w:t>AI Act</w:t>
      </w:r>
      <w:r w:rsidR="00BD3B13" w:rsidRPr="00DD0CE5">
        <w:rPr>
          <w:rStyle w:val="FootnoteReference"/>
          <w:color w:val="000000" w:themeColor="text1"/>
        </w:rPr>
        <w:footnoteReference w:id="164"/>
      </w:r>
      <w:r w:rsidR="00F73253" w:rsidRPr="00DD0CE5">
        <w:t>;</w:t>
      </w:r>
      <w:r w:rsidR="00582430" w:rsidRPr="00DD0CE5">
        <w:rPr>
          <w:noProof/>
        </w:rPr>
        <w:t xml:space="preserve"> </w:t>
      </w:r>
      <w:r w:rsidRPr="00DD0CE5">
        <w:t>(</w:t>
      </w:r>
      <w:r w:rsidRPr="00DD0CE5">
        <w:rPr>
          <w:lang w:val="en-US"/>
        </w:rPr>
        <w:t>v)</w:t>
      </w:r>
      <w:r w:rsidR="00582430" w:rsidRPr="00DD0CE5">
        <w:rPr>
          <w:lang w:val="en-US"/>
        </w:rPr>
        <w:t xml:space="preserve"> </w:t>
      </w:r>
      <w:r w:rsidRPr="00DD0CE5">
        <w:rPr>
          <w:lang w:val="en-US"/>
        </w:rPr>
        <w:t xml:space="preserve">ensure a legislative framework </w:t>
      </w:r>
      <w:r w:rsidRPr="00DD0CE5">
        <w:t>that encourages innovation and takes account of technological and scientific developments and progress</w:t>
      </w:r>
      <w:r w:rsidRPr="00DD0CE5">
        <w:rPr>
          <w:noProof/>
        </w:rPr>
        <w:t>;</w:t>
      </w:r>
      <w:r w:rsidRPr="00DD0CE5">
        <w:t xml:space="preserve"> </w:t>
      </w:r>
      <w:r w:rsidRPr="00DD0CE5">
        <w:rPr>
          <w:noProof/>
        </w:rPr>
        <w:t>(vi)</w:t>
      </w:r>
      <w:r w:rsidR="00582430" w:rsidRPr="00DD0CE5">
        <w:rPr>
          <w:noProof/>
        </w:rPr>
        <w:t xml:space="preserve"> </w:t>
      </w:r>
      <w:r w:rsidRPr="00DD0CE5">
        <w:rPr>
          <w:noProof/>
        </w:rPr>
        <w:t>prevent the misuse of biotechnologies and strengthen biodefence capabilities</w:t>
      </w:r>
      <w:r w:rsidR="00582430" w:rsidRPr="00DD0CE5">
        <w:rPr>
          <w:noProof/>
        </w:rPr>
        <w:t xml:space="preserve"> and </w:t>
      </w:r>
      <w:r w:rsidRPr="00DD0CE5">
        <w:rPr>
          <w:lang w:val="en-US"/>
        </w:rPr>
        <w:t>(vii)</w:t>
      </w:r>
      <w:r w:rsidR="00582430" w:rsidRPr="00DD0CE5">
        <w:t xml:space="preserve"> </w:t>
      </w:r>
      <w:r w:rsidRPr="00DD0CE5">
        <w:rPr>
          <w:lang w:val="en-US"/>
        </w:rPr>
        <w:t xml:space="preserve">enable </w:t>
      </w:r>
      <w:r w:rsidRPr="00DD0CE5">
        <w:t xml:space="preserve">the effectiveness of the </w:t>
      </w:r>
      <w:r w:rsidR="003626FB" w:rsidRPr="00DD0CE5">
        <w:t>above specific objectives</w:t>
      </w:r>
      <w:r w:rsidRPr="00DD0CE5">
        <w:t xml:space="preserve"> through a legislative framework conducive to the use of biotechnology innovations</w:t>
      </w:r>
      <w:r w:rsidR="00FF7137" w:rsidRPr="00DD0CE5">
        <w:rPr>
          <w:noProof/>
          <w:lang w:eastAsia="en-IE"/>
        </w:rPr>
        <w:t>.</w:t>
      </w:r>
    </w:p>
    <w:p w14:paraId="1590A246" w14:textId="7B8ADCBF" w:rsidR="00DF786B" w:rsidRPr="00DD0CE5" w:rsidRDefault="00DF786B" w:rsidP="00DF786B">
      <w:pPr>
        <w:pStyle w:val="Heading2"/>
      </w:pPr>
      <w:bookmarkStart w:id="119" w:name="_Toc224747210"/>
      <w:bookmarkStart w:id="120" w:name="_Toc224749680"/>
      <w:bookmarkStart w:id="121" w:name="_Toc225974558"/>
      <w:bookmarkStart w:id="122" w:name="_Toc225975231"/>
      <w:bookmarkStart w:id="123" w:name="_Toc225975288"/>
      <w:bookmarkStart w:id="124" w:name="_Toc227941844"/>
      <w:r w:rsidRPr="00DD0CE5">
        <w:t>Choice of the legal instruments and legal basis</w:t>
      </w:r>
      <w:bookmarkEnd w:id="119"/>
      <w:bookmarkEnd w:id="120"/>
      <w:bookmarkEnd w:id="121"/>
      <w:bookmarkEnd w:id="122"/>
      <w:bookmarkEnd w:id="123"/>
      <w:bookmarkEnd w:id="124"/>
    </w:p>
    <w:p w14:paraId="3E80C495" w14:textId="592714AE" w:rsidR="00465CBE" w:rsidRPr="00DD0CE5" w:rsidRDefault="00465CBE" w:rsidP="00547BB1">
      <w:pPr>
        <w:pStyle w:val="Heading3"/>
      </w:pPr>
      <w:bookmarkStart w:id="125" w:name="_Toc222831756"/>
      <w:bookmarkStart w:id="126" w:name="_Toc224747211"/>
      <w:bookmarkStart w:id="127" w:name="_Toc224749681"/>
      <w:bookmarkStart w:id="128" w:name="_Toc225974559"/>
      <w:bookmarkStart w:id="129" w:name="_Toc225975232"/>
      <w:bookmarkStart w:id="130" w:name="_Toc225975289"/>
      <w:r w:rsidRPr="00DD0CE5">
        <w:t>Choice of the legal instruments</w:t>
      </w:r>
      <w:bookmarkEnd w:id="125"/>
      <w:bookmarkEnd w:id="126"/>
      <w:bookmarkEnd w:id="127"/>
      <w:bookmarkEnd w:id="128"/>
      <w:bookmarkEnd w:id="129"/>
      <w:bookmarkEnd w:id="130"/>
    </w:p>
    <w:p w14:paraId="70A254AB" w14:textId="59EE2681" w:rsidR="00FD5269" w:rsidRPr="00DD0CE5" w:rsidRDefault="00A7497B" w:rsidP="009E2015">
      <w:pPr>
        <w:rPr>
          <w:noProof/>
        </w:rPr>
      </w:pPr>
      <w:r w:rsidRPr="00DD0CE5">
        <w:rPr>
          <w:lang w:val="en-US" w:eastAsia="en-GB"/>
        </w:rPr>
        <w:t xml:space="preserve">A </w:t>
      </w:r>
      <w:r w:rsidR="002C05BD" w:rsidRPr="00DD0CE5">
        <w:rPr>
          <w:b/>
          <w:lang w:val="en-US" w:eastAsia="en-GB"/>
        </w:rPr>
        <w:t>R</w:t>
      </w:r>
      <w:r w:rsidR="00C26DEB" w:rsidRPr="00DD0CE5">
        <w:rPr>
          <w:b/>
          <w:lang w:val="en-US" w:eastAsia="en-GB"/>
        </w:rPr>
        <w:t>egulation</w:t>
      </w:r>
      <w:r w:rsidR="00C26DEB" w:rsidRPr="00DD0CE5">
        <w:rPr>
          <w:lang w:val="en-US" w:eastAsia="en-GB"/>
        </w:rPr>
        <w:t xml:space="preserve"> is </w:t>
      </w:r>
      <w:r w:rsidR="005A59CA">
        <w:rPr>
          <w:lang w:val="en-US" w:eastAsia="en-GB"/>
        </w:rPr>
        <w:t xml:space="preserve">the most </w:t>
      </w:r>
      <w:r w:rsidR="00C26DEB" w:rsidRPr="00DD0CE5">
        <w:rPr>
          <w:lang w:val="en-US" w:eastAsia="en-GB"/>
        </w:rPr>
        <w:t xml:space="preserve">suitable for </w:t>
      </w:r>
      <w:r w:rsidR="00E76299" w:rsidRPr="00DD0CE5">
        <w:rPr>
          <w:lang w:val="en-US" w:eastAsia="en-GB"/>
        </w:rPr>
        <w:t>measures requir</w:t>
      </w:r>
      <w:r w:rsidR="00D445AF" w:rsidRPr="00DD0CE5">
        <w:rPr>
          <w:lang w:val="en-US" w:eastAsia="en-GB"/>
        </w:rPr>
        <w:t>ing</w:t>
      </w:r>
      <w:r w:rsidR="00C26DEB" w:rsidRPr="00DD0CE5">
        <w:rPr>
          <w:lang w:val="en-US" w:eastAsia="en-GB"/>
        </w:rPr>
        <w:t xml:space="preserve"> uniform application</w:t>
      </w:r>
      <w:r w:rsidR="00B76C78" w:rsidRPr="00DD0CE5">
        <w:rPr>
          <w:lang w:val="en-US" w:eastAsia="en-GB"/>
        </w:rPr>
        <w:t xml:space="preserve"> across the </w:t>
      </w:r>
      <w:r w:rsidR="00E43ED1">
        <w:rPr>
          <w:lang w:val="en-US" w:eastAsia="en-GB"/>
        </w:rPr>
        <w:t>EU</w:t>
      </w:r>
      <w:r w:rsidR="00C26DEB" w:rsidRPr="00DD0CE5">
        <w:rPr>
          <w:lang w:val="en-US" w:eastAsia="en-GB"/>
        </w:rPr>
        <w:t xml:space="preserve">, </w:t>
      </w:r>
      <w:r w:rsidR="00F26983" w:rsidRPr="00DD0CE5">
        <w:rPr>
          <w:lang w:val="en-US" w:eastAsia="en-GB"/>
        </w:rPr>
        <w:t>such as</w:t>
      </w:r>
      <w:r w:rsidR="00C26DEB" w:rsidRPr="00DD0CE5">
        <w:rPr>
          <w:lang w:val="en-US" w:eastAsia="en-GB"/>
        </w:rPr>
        <w:t xml:space="preserve"> </w:t>
      </w:r>
      <w:r w:rsidR="00077189" w:rsidRPr="00DD0CE5">
        <w:rPr>
          <w:lang w:val="en-US" w:eastAsia="en-GB"/>
        </w:rPr>
        <w:t>those concerning recognition and support for</w:t>
      </w:r>
      <w:r w:rsidR="00C26DEB" w:rsidRPr="00DD0CE5" w:rsidDel="00077189">
        <w:rPr>
          <w:lang w:val="en-US" w:eastAsia="en-GB"/>
        </w:rPr>
        <w:t xml:space="preserve"> </w:t>
      </w:r>
      <w:r w:rsidR="00C26DEB" w:rsidRPr="00DD0CE5">
        <w:rPr>
          <w:lang w:val="en-US" w:eastAsia="en-GB"/>
        </w:rPr>
        <w:t>heath biotechnology strategic projects and high</w:t>
      </w:r>
      <w:r w:rsidR="00C26DEB" w:rsidRPr="00DD0CE5">
        <w:rPr>
          <w:noProof/>
          <w:lang w:val="en-US" w:eastAsia="en-GB"/>
        </w:rPr>
        <w:t xml:space="preserve"> </w:t>
      </w:r>
      <w:r w:rsidR="00C26DEB" w:rsidRPr="00DD0CE5">
        <w:rPr>
          <w:lang w:val="en-US" w:eastAsia="en-GB"/>
        </w:rPr>
        <w:t>impact health biotechnology strategic projects,</w:t>
      </w:r>
      <w:r w:rsidR="00077189" w:rsidRPr="00DD0CE5">
        <w:rPr>
          <w:lang w:val="en-US" w:eastAsia="en-GB"/>
        </w:rPr>
        <w:t xml:space="preserve"> </w:t>
      </w:r>
      <w:r w:rsidR="00B76C78" w:rsidRPr="00DD0CE5">
        <w:rPr>
          <w:lang w:val="en-US" w:eastAsia="en-GB"/>
        </w:rPr>
        <w:t>and</w:t>
      </w:r>
      <w:r w:rsidR="00C26DEB" w:rsidRPr="00DD0CE5">
        <w:rPr>
          <w:lang w:val="en-US" w:eastAsia="en-GB"/>
        </w:rPr>
        <w:t xml:space="preserve"> </w:t>
      </w:r>
      <w:r w:rsidR="00E76299" w:rsidRPr="00DD0CE5">
        <w:rPr>
          <w:lang w:val="en-US" w:eastAsia="en-GB"/>
        </w:rPr>
        <w:t>measures</w:t>
      </w:r>
      <w:r w:rsidR="00C26DEB" w:rsidRPr="00DD0CE5">
        <w:rPr>
          <w:lang w:val="en-US" w:eastAsia="en-GB"/>
        </w:rPr>
        <w:t xml:space="preserve"> to boost EU biodefence and biosecurity and prevent biotechnology misuse.</w:t>
      </w:r>
      <w:r w:rsidR="00AC6E19" w:rsidRPr="00DD0CE5">
        <w:rPr>
          <w:noProof/>
          <w:bdr w:val="nil"/>
          <w:lang w:val="en-US" w:eastAsia="en-GB"/>
        </w:rPr>
        <w:t xml:space="preserve"> </w:t>
      </w:r>
      <w:r w:rsidR="00B47A2C" w:rsidRPr="00DD0CE5">
        <w:rPr>
          <w:noProof/>
          <w:lang w:val="en-US" w:eastAsia="en-GB"/>
        </w:rPr>
        <w:t>The Regulation is also justified to</w:t>
      </w:r>
      <w:r w:rsidR="00C26DEB" w:rsidRPr="00DD0CE5">
        <w:rPr>
          <w:noProof/>
          <w:lang w:val="en-US" w:eastAsia="en-GB"/>
        </w:rPr>
        <w:t xml:space="preserve"> amend existing </w:t>
      </w:r>
      <w:r w:rsidR="00A67C02" w:rsidRPr="00DD0CE5">
        <w:rPr>
          <w:noProof/>
          <w:lang w:val="en-US" w:eastAsia="en-GB"/>
        </w:rPr>
        <w:t>EU</w:t>
      </w:r>
      <w:r w:rsidR="00C26DEB" w:rsidRPr="00DD0CE5">
        <w:rPr>
          <w:noProof/>
          <w:lang w:val="en-US" w:eastAsia="en-GB"/>
        </w:rPr>
        <w:t xml:space="preserve"> regulations in the area of health and food </w:t>
      </w:r>
      <w:r w:rsidR="008854A1" w:rsidRPr="00DD0CE5">
        <w:rPr>
          <w:noProof/>
          <w:lang w:val="en-US" w:eastAsia="en-GB"/>
        </w:rPr>
        <w:t>law</w:t>
      </w:r>
      <w:r w:rsidR="00C26DEB" w:rsidRPr="00DD0CE5">
        <w:rPr>
          <w:noProof/>
          <w:lang w:val="en-US" w:eastAsia="en-GB"/>
        </w:rPr>
        <w:t>.</w:t>
      </w:r>
      <w:r w:rsidR="00AC6E19" w:rsidRPr="00DD0CE5">
        <w:rPr>
          <w:noProof/>
          <w:lang w:val="en-US" w:eastAsia="en-GB"/>
        </w:rPr>
        <w:t xml:space="preserve"> </w:t>
      </w:r>
      <w:r w:rsidR="00DD1E09" w:rsidRPr="00DD0CE5">
        <w:rPr>
          <w:noProof/>
        </w:rPr>
        <w:t>Its directly applicable nature ensures consistent implementation without national transposition</w:t>
      </w:r>
      <w:r w:rsidR="00C26DEB" w:rsidRPr="00DD0CE5">
        <w:rPr>
          <w:noProof/>
        </w:rPr>
        <w:t>.</w:t>
      </w:r>
      <w:r w:rsidR="003E450E" w:rsidRPr="00DD0CE5">
        <w:rPr>
          <w:noProof/>
        </w:rPr>
        <w:t xml:space="preserve"> </w:t>
      </w:r>
      <w:r w:rsidR="003E450E" w:rsidRPr="00DD0CE5">
        <w:rPr>
          <w:rFonts w:eastAsia="Times New Roman"/>
          <w:lang w:eastAsia="en-IE"/>
        </w:rPr>
        <w:t xml:space="preserve">A </w:t>
      </w:r>
      <w:r w:rsidR="003E450E" w:rsidRPr="00DD0CE5">
        <w:rPr>
          <w:rFonts w:eastAsia="Times New Roman"/>
          <w:b/>
          <w:bCs/>
          <w:lang w:eastAsia="en-IE"/>
        </w:rPr>
        <w:t>Directive</w:t>
      </w:r>
      <w:r w:rsidR="003E450E" w:rsidRPr="00DD0CE5">
        <w:rPr>
          <w:rFonts w:eastAsia="Times New Roman"/>
          <w:lang w:eastAsia="en-IE"/>
        </w:rPr>
        <w:t xml:space="preserve"> is the appropriate instrument for amendments to Directive 2001/18/EC and </w:t>
      </w:r>
      <w:r w:rsidR="00EF456E">
        <w:rPr>
          <w:rFonts w:eastAsia="Times New Roman"/>
          <w:lang w:eastAsia="en-IE"/>
        </w:rPr>
        <w:t xml:space="preserve">Directive </w:t>
      </w:r>
      <w:r w:rsidR="003E450E" w:rsidRPr="00DD0CE5">
        <w:rPr>
          <w:rFonts w:eastAsia="Times New Roman"/>
          <w:lang w:eastAsia="en-IE"/>
        </w:rPr>
        <w:t>2010/53/EU.</w:t>
      </w:r>
    </w:p>
    <w:p w14:paraId="39C5BB97" w14:textId="1160943E" w:rsidR="00FD5269" w:rsidRPr="00DD0CE5" w:rsidRDefault="00465CBE" w:rsidP="007519B3">
      <w:pPr>
        <w:pStyle w:val="Heading3"/>
        <w:rPr>
          <w:noProof/>
          <w:bdr w:val="nil"/>
          <w:lang w:eastAsia="en-GB"/>
        </w:rPr>
      </w:pPr>
      <w:bookmarkStart w:id="131" w:name="_Toc222831757"/>
      <w:bookmarkStart w:id="132" w:name="_Toc224747212"/>
      <w:bookmarkStart w:id="133" w:name="_Toc224749682"/>
      <w:bookmarkStart w:id="134" w:name="_Toc225974560"/>
      <w:bookmarkStart w:id="135" w:name="_Toc225975233"/>
      <w:bookmarkStart w:id="136" w:name="_Toc225975290"/>
      <w:r w:rsidRPr="00DD0CE5">
        <w:rPr>
          <w:noProof/>
          <w:bdr w:val="nil"/>
          <w:lang w:eastAsia="en-GB"/>
        </w:rPr>
        <w:t>Legal basis</w:t>
      </w:r>
      <w:bookmarkEnd w:id="131"/>
      <w:bookmarkEnd w:id="132"/>
      <w:bookmarkEnd w:id="133"/>
      <w:bookmarkEnd w:id="134"/>
      <w:bookmarkEnd w:id="135"/>
      <w:bookmarkEnd w:id="136"/>
    </w:p>
    <w:p w14:paraId="6C64FBC8" w14:textId="49CE557A" w:rsidR="0005481B" w:rsidRPr="00DD0CE5" w:rsidRDefault="0005481B" w:rsidP="00F4538B">
      <w:pPr>
        <w:spacing w:after="0"/>
        <w:rPr>
          <w:noProof/>
          <w:bdr w:val="nil"/>
          <w:lang w:val="en-US" w:eastAsia="en-GB"/>
        </w:rPr>
      </w:pPr>
      <w:r w:rsidRPr="00DD0CE5">
        <w:rPr>
          <w:noProof/>
          <w:bdr w:val="nil"/>
          <w:lang w:val="en-US" w:eastAsia="en-GB"/>
        </w:rPr>
        <w:t>The appropriate legal bas</w:t>
      </w:r>
      <w:r w:rsidR="005A59CA">
        <w:rPr>
          <w:noProof/>
          <w:bdr w:val="nil"/>
          <w:lang w:val="en-US" w:eastAsia="en-GB"/>
        </w:rPr>
        <w:t>e</w:t>
      </w:r>
      <w:r w:rsidRPr="00DD0CE5">
        <w:rPr>
          <w:noProof/>
          <w:bdr w:val="nil"/>
          <w:lang w:val="en-US" w:eastAsia="en-GB"/>
        </w:rPr>
        <w:t xml:space="preserve">s </w:t>
      </w:r>
      <w:r w:rsidR="005A59CA">
        <w:rPr>
          <w:noProof/>
          <w:bdr w:val="nil"/>
          <w:lang w:val="en-US" w:eastAsia="en-GB"/>
        </w:rPr>
        <w:t>are</w:t>
      </w:r>
      <w:r w:rsidRPr="00DD0CE5">
        <w:rPr>
          <w:noProof/>
          <w:bdr w:val="nil"/>
          <w:lang w:val="en-US" w:eastAsia="en-GB"/>
        </w:rPr>
        <w:t xml:space="preserve"> therefore as follows:</w:t>
      </w:r>
    </w:p>
    <w:p w14:paraId="791C12E0" w14:textId="2984BBFA" w:rsidR="0005481B" w:rsidRPr="00DD0CE5" w:rsidRDefault="0005481B" w:rsidP="00430713">
      <w:pPr>
        <w:pStyle w:val="Tiret0"/>
        <w:numPr>
          <w:ilvl w:val="0"/>
          <w:numId w:val="5"/>
        </w:numPr>
        <w:ind w:left="357" w:hanging="357"/>
        <w:rPr>
          <w:noProof/>
          <w:color w:val="000000" w:themeColor="text1"/>
          <w:bdr w:val="nil"/>
          <w:lang w:val="en-US"/>
        </w:rPr>
      </w:pPr>
      <w:r w:rsidRPr="00DD0CE5">
        <w:rPr>
          <w:b/>
          <w:color w:val="000000" w:themeColor="text1"/>
          <w:bdr w:val="nil"/>
          <w:lang w:val="en-US"/>
        </w:rPr>
        <w:t>Article 114</w:t>
      </w:r>
      <w:r w:rsidRPr="00DD0CE5">
        <w:rPr>
          <w:noProof/>
          <w:color w:val="000000" w:themeColor="text1"/>
          <w:bdr w:val="nil"/>
          <w:lang w:val="en-US"/>
        </w:rPr>
        <w:t xml:space="preserve"> </w:t>
      </w:r>
      <w:r w:rsidR="00FB1CE1" w:rsidRPr="004F48D9">
        <w:rPr>
          <w:b/>
          <w:color w:val="000000" w:themeColor="text1"/>
          <w:bdr w:val="nil"/>
          <w:lang w:val="en-US"/>
        </w:rPr>
        <w:t>TFEU</w:t>
      </w:r>
      <w:r w:rsidRPr="00DD0CE5">
        <w:rPr>
          <w:noProof/>
          <w:color w:val="000000" w:themeColor="text1"/>
          <w:bdr w:val="nil"/>
          <w:lang w:val="en-US"/>
        </w:rPr>
        <w:t xml:space="preserve"> </w:t>
      </w:r>
      <w:r w:rsidR="0053618C" w:rsidRPr="00DD0CE5">
        <w:rPr>
          <w:noProof/>
          <w:color w:val="000000" w:themeColor="text1"/>
          <w:bdr w:val="nil"/>
          <w:lang w:val="en-US"/>
        </w:rPr>
        <w:t xml:space="preserve">is the basis for </w:t>
      </w:r>
      <w:r w:rsidR="005A59CA">
        <w:rPr>
          <w:noProof/>
          <w:color w:val="000000" w:themeColor="text1"/>
          <w:bdr w:val="nil"/>
          <w:lang w:val="en-US"/>
        </w:rPr>
        <w:t xml:space="preserve">the adoption of </w:t>
      </w:r>
      <w:r w:rsidRPr="00DD0CE5">
        <w:rPr>
          <w:noProof/>
          <w:color w:val="000000" w:themeColor="text1"/>
          <w:bdr w:val="nil"/>
          <w:lang w:val="en-US"/>
        </w:rPr>
        <w:t xml:space="preserve">measures that </w:t>
      </w:r>
      <w:r w:rsidR="005A59CA">
        <w:rPr>
          <w:noProof/>
          <w:color w:val="000000" w:themeColor="text1"/>
          <w:bdr w:val="nil"/>
          <w:lang w:val="en-US"/>
        </w:rPr>
        <w:t xml:space="preserve"> increase harmonisation and remove fragmentation</w:t>
      </w:r>
      <w:r w:rsidR="00031809">
        <w:rPr>
          <w:noProof/>
          <w:color w:val="000000" w:themeColor="text1"/>
          <w:bdr w:val="nil"/>
          <w:lang w:val="en-US"/>
        </w:rPr>
        <w:t xml:space="preserve"> and, therefore, </w:t>
      </w:r>
      <w:r w:rsidR="0053618C" w:rsidRPr="00DD0CE5">
        <w:rPr>
          <w:noProof/>
          <w:color w:val="000000" w:themeColor="text1"/>
          <w:bdr w:val="nil"/>
          <w:lang w:val="en-US"/>
        </w:rPr>
        <w:t>seek</w:t>
      </w:r>
      <w:r w:rsidRPr="00DD0CE5">
        <w:rPr>
          <w:noProof/>
          <w:color w:val="000000" w:themeColor="text1"/>
          <w:bdr w:val="nil"/>
          <w:lang w:val="en-US"/>
        </w:rPr>
        <w:t xml:space="preserve"> to create a level playing field within, and fully exploit the scale of the single market</w:t>
      </w:r>
      <w:r w:rsidR="00D6662F" w:rsidRPr="00DD0CE5">
        <w:rPr>
          <w:noProof/>
          <w:color w:val="000000" w:themeColor="text1"/>
          <w:bdr w:val="nil"/>
          <w:lang w:val="en-US"/>
        </w:rPr>
        <w:t xml:space="preserve"> for</w:t>
      </w:r>
      <w:r w:rsidRPr="00DD0CE5">
        <w:rPr>
          <w:noProof/>
          <w:color w:val="000000" w:themeColor="text1"/>
          <w:bdr w:val="nil"/>
          <w:lang w:val="en-US"/>
        </w:rPr>
        <w:t xml:space="preserve"> biotechnology </w:t>
      </w:r>
      <w:r w:rsidR="00D6662F" w:rsidRPr="00DD0CE5">
        <w:rPr>
          <w:noProof/>
          <w:color w:val="000000" w:themeColor="text1"/>
          <w:bdr w:val="nil"/>
          <w:lang w:val="en-US"/>
        </w:rPr>
        <w:t xml:space="preserve">products </w:t>
      </w:r>
      <w:r w:rsidRPr="00DD0CE5">
        <w:rPr>
          <w:noProof/>
          <w:color w:val="000000" w:themeColor="text1"/>
          <w:bdr w:val="nil"/>
          <w:lang w:val="en-US"/>
        </w:rPr>
        <w:t xml:space="preserve">and biomanufacturing. </w:t>
      </w:r>
      <w:r w:rsidR="00080404" w:rsidRPr="00DD0CE5">
        <w:rPr>
          <w:noProof/>
          <w:color w:val="000000" w:themeColor="text1"/>
          <w:bdr w:val="nil"/>
          <w:lang w:val="en-US"/>
        </w:rPr>
        <w:t>T</w:t>
      </w:r>
      <w:r w:rsidRPr="00DD0CE5">
        <w:rPr>
          <w:noProof/>
          <w:color w:val="000000" w:themeColor="text1"/>
          <w:bdr w:val="nil"/>
          <w:lang w:val="en-US"/>
        </w:rPr>
        <w:t xml:space="preserve">he proposal </w:t>
      </w:r>
      <w:r w:rsidR="00565C3E" w:rsidRPr="00DD0CE5">
        <w:rPr>
          <w:noProof/>
          <w:color w:val="000000" w:themeColor="text1"/>
          <w:bdr w:val="nil"/>
          <w:lang w:val="en-US"/>
        </w:rPr>
        <w:t xml:space="preserve">also </w:t>
      </w:r>
      <w:r w:rsidRPr="00DD0CE5">
        <w:rPr>
          <w:noProof/>
          <w:color w:val="000000" w:themeColor="text1"/>
          <w:bdr w:val="nil"/>
          <w:lang w:val="en-US"/>
        </w:rPr>
        <w:t>seeks to achieve the objective of a high level of health and safety protection</w:t>
      </w:r>
      <w:r w:rsidR="00080404" w:rsidRPr="00DD0CE5">
        <w:rPr>
          <w:noProof/>
          <w:color w:val="000000" w:themeColor="text1"/>
          <w:bdr w:val="nil"/>
          <w:lang w:val="en-US"/>
        </w:rPr>
        <w:t xml:space="preserve"> </w:t>
      </w:r>
      <w:r w:rsidR="00D6662F" w:rsidRPr="00DD0CE5">
        <w:rPr>
          <w:noProof/>
          <w:color w:val="000000" w:themeColor="text1"/>
          <w:bdr w:val="nil"/>
          <w:lang w:val="en-US"/>
        </w:rPr>
        <w:t xml:space="preserve">as per </w:t>
      </w:r>
      <w:r w:rsidR="00080404" w:rsidRPr="00DD0CE5">
        <w:rPr>
          <w:b/>
          <w:color w:val="000000" w:themeColor="text1"/>
          <w:bdr w:val="nil"/>
          <w:lang w:val="en-US"/>
        </w:rPr>
        <w:t>Article 114(3)</w:t>
      </w:r>
      <w:r w:rsidRPr="00DD0CE5">
        <w:rPr>
          <w:noProof/>
          <w:color w:val="000000" w:themeColor="text1"/>
          <w:bdr w:val="nil"/>
          <w:lang w:val="en-US"/>
        </w:rPr>
        <w:t>.</w:t>
      </w:r>
    </w:p>
    <w:p w14:paraId="7605EA96" w14:textId="0AD9BD05" w:rsidR="00122D21" w:rsidRPr="00DD0CE5" w:rsidRDefault="0005481B" w:rsidP="301F9F34">
      <w:pPr>
        <w:pStyle w:val="Tiret0"/>
        <w:ind w:left="357" w:hanging="357"/>
        <w:rPr>
          <w:color w:val="000000" w:themeColor="text1"/>
          <w:bdr w:val="nil"/>
          <w:lang w:val="en-US"/>
        </w:rPr>
      </w:pPr>
      <w:r w:rsidRPr="00DD0CE5">
        <w:rPr>
          <w:b/>
          <w:color w:val="000000" w:themeColor="text1"/>
          <w:szCs w:val="24"/>
          <w:bdr w:val="nil"/>
          <w:lang w:val="en-US"/>
        </w:rPr>
        <w:t>Article 168(4) TFEU</w:t>
      </w:r>
      <w:r w:rsidRPr="00DD0CE5">
        <w:rPr>
          <w:noProof/>
          <w:color w:val="000000" w:themeColor="text1"/>
          <w:szCs w:val="24"/>
          <w:bdr w:val="nil"/>
          <w:lang w:val="en-US"/>
        </w:rPr>
        <w:t xml:space="preserve"> </w:t>
      </w:r>
      <w:r w:rsidR="00D2536D" w:rsidRPr="00DD0CE5">
        <w:rPr>
          <w:noProof/>
          <w:color w:val="000000" w:themeColor="text1"/>
          <w:szCs w:val="24"/>
          <w:bdr w:val="nil"/>
          <w:lang w:val="en-US"/>
        </w:rPr>
        <w:t>is</w:t>
      </w:r>
      <w:r w:rsidRPr="00DD0CE5">
        <w:rPr>
          <w:noProof/>
          <w:color w:val="000000" w:themeColor="text1"/>
          <w:szCs w:val="24"/>
          <w:bdr w:val="nil"/>
          <w:lang w:val="en-US"/>
        </w:rPr>
        <w:t xml:space="preserve"> the </w:t>
      </w:r>
      <w:r w:rsidR="00D2536D" w:rsidRPr="00DD0CE5">
        <w:rPr>
          <w:noProof/>
          <w:color w:val="000000" w:themeColor="text1"/>
          <w:szCs w:val="24"/>
          <w:bdr w:val="nil"/>
          <w:lang w:val="en-US"/>
        </w:rPr>
        <w:t xml:space="preserve">basis for </w:t>
      </w:r>
      <w:r w:rsidR="00031809">
        <w:rPr>
          <w:noProof/>
          <w:color w:val="000000" w:themeColor="text1"/>
          <w:szCs w:val="24"/>
          <w:bdr w:val="nil"/>
          <w:lang w:val="en-US"/>
        </w:rPr>
        <w:t xml:space="preserve">the adoption of </w:t>
      </w:r>
      <w:r w:rsidR="00F4538B">
        <w:rPr>
          <w:noProof/>
          <w:color w:val="000000" w:themeColor="text1"/>
          <w:szCs w:val="24"/>
          <w:bdr w:val="nil"/>
          <w:lang w:val="en-US"/>
        </w:rPr>
        <w:t xml:space="preserve">certain </w:t>
      </w:r>
      <w:r w:rsidR="00D2536D" w:rsidRPr="00DD0CE5">
        <w:rPr>
          <w:noProof/>
          <w:color w:val="000000" w:themeColor="text1"/>
          <w:szCs w:val="24"/>
          <w:bdr w:val="nil"/>
          <w:lang w:val="en-US"/>
        </w:rPr>
        <w:t>measures that</w:t>
      </w:r>
      <w:r w:rsidRPr="00DD0CE5">
        <w:rPr>
          <w:noProof/>
          <w:color w:val="000000" w:themeColor="text1"/>
          <w:szCs w:val="24"/>
          <w:bdr w:val="nil"/>
          <w:lang w:val="en-US"/>
        </w:rPr>
        <w:t xml:space="preserve"> contribute to achieve a high level of human health protection</w:t>
      </w:r>
      <w:r w:rsidR="00D2536D" w:rsidRPr="00DD0CE5">
        <w:rPr>
          <w:noProof/>
          <w:color w:val="000000" w:themeColor="text1"/>
          <w:szCs w:val="24"/>
          <w:bdr w:val="nil"/>
          <w:lang w:val="en-US"/>
        </w:rPr>
        <w:t xml:space="preserve">, </w:t>
      </w:r>
      <w:r w:rsidRPr="00DD0CE5">
        <w:rPr>
          <w:noProof/>
          <w:color w:val="000000" w:themeColor="text1"/>
          <w:szCs w:val="24"/>
          <w:bdr w:val="nil"/>
          <w:lang w:val="en-US"/>
        </w:rPr>
        <w:t>i</w:t>
      </w:r>
      <w:r w:rsidR="00C20CAA" w:rsidRPr="00DD0CE5">
        <w:rPr>
          <w:noProof/>
          <w:color w:val="000000" w:themeColor="text1"/>
          <w:szCs w:val="24"/>
          <w:bdr w:val="nil"/>
          <w:lang w:val="en-US"/>
        </w:rPr>
        <w:t>.e.</w:t>
      </w:r>
      <w:r w:rsidRPr="00DD0CE5">
        <w:rPr>
          <w:noProof/>
          <w:color w:val="000000" w:themeColor="text1"/>
          <w:szCs w:val="24"/>
          <w:bdr w:val="nil"/>
          <w:lang w:val="en-US"/>
        </w:rPr>
        <w:t xml:space="preserve"> standards of quality and safety of organs and </w:t>
      </w:r>
      <w:r w:rsidR="5B6743A4" w:rsidRPr="301F9F34">
        <w:rPr>
          <w:noProof/>
          <w:color w:val="000000" w:themeColor="text1"/>
          <w:bdr w:val="nil"/>
          <w:lang w:val="en-US"/>
        </w:rPr>
        <w:t>SoHO</w:t>
      </w:r>
      <w:r w:rsidRPr="00DD0CE5">
        <w:rPr>
          <w:noProof/>
          <w:color w:val="000000" w:themeColor="text1"/>
          <w:szCs w:val="24"/>
          <w:bdr w:val="nil"/>
          <w:lang w:val="en-US"/>
        </w:rPr>
        <w:t>, blood and blood derivatives; measures in the veterinary and phytosanitary fields</w:t>
      </w:r>
      <w:r w:rsidR="00C20CAA" w:rsidRPr="00DD0CE5">
        <w:rPr>
          <w:noProof/>
          <w:color w:val="000000" w:themeColor="text1"/>
          <w:szCs w:val="24"/>
          <w:bdr w:val="nil"/>
          <w:lang w:val="en-US"/>
        </w:rPr>
        <w:t>, and</w:t>
      </w:r>
      <w:r w:rsidRPr="00DD0CE5">
        <w:rPr>
          <w:noProof/>
          <w:color w:val="000000" w:themeColor="text1"/>
          <w:szCs w:val="24"/>
          <w:bdr w:val="nil"/>
          <w:lang w:val="en-US"/>
        </w:rPr>
        <w:t xml:space="preserve"> standards of quality and safety for medicinal products and devices for medical use</w:t>
      </w:r>
      <w:r w:rsidR="00B26340" w:rsidRPr="00DD0CE5">
        <w:rPr>
          <w:rFonts w:eastAsia="Times New Roman"/>
          <w:noProof/>
          <w:lang w:eastAsia="en-IE"/>
        </w:rPr>
        <w:t>.</w:t>
      </w:r>
    </w:p>
    <w:p w14:paraId="25E824FF" w14:textId="7938F1FD" w:rsidR="007E6379" w:rsidRPr="00DD0CE5" w:rsidRDefault="0005481B" w:rsidP="00424007">
      <w:pPr>
        <w:pStyle w:val="Tiret0"/>
        <w:numPr>
          <w:ilvl w:val="0"/>
          <w:numId w:val="5"/>
        </w:numPr>
        <w:ind w:left="357" w:hanging="357"/>
        <w:rPr>
          <w:color w:val="000000" w:themeColor="text1"/>
          <w:bdr w:val="nil"/>
          <w:lang w:val="en-US"/>
        </w:rPr>
      </w:pPr>
      <w:r w:rsidRPr="00DD0CE5">
        <w:rPr>
          <w:b/>
          <w:color w:val="000000" w:themeColor="text1"/>
          <w:bdr w:val="nil"/>
          <w:lang w:val="en-US"/>
        </w:rPr>
        <w:t>Article 173(3) TFEU</w:t>
      </w:r>
      <w:r w:rsidR="00403199" w:rsidRPr="00DD0CE5">
        <w:rPr>
          <w:noProof/>
          <w:color w:val="000000" w:themeColor="text1"/>
          <w:bdr w:val="nil"/>
          <w:lang w:val="en-US"/>
        </w:rPr>
        <w:t xml:space="preserve"> is</w:t>
      </w:r>
      <w:r w:rsidRPr="00DD0CE5">
        <w:rPr>
          <w:color w:val="000000" w:themeColor="text1"/>
          <w:bdr w:val="nil"/>
          <w:lang w:val="en-US"/>
        </w:rPr>
        <w:t xml:space="preserve"> the </w:t>
      </w:r>
      <w:r w:rsidR="00403199" w:rsidRPr="00DD0CE5">
        <w:rPr>
          <w:noProof/>
          <w:color w:val="000000" w:themeColor="text1"/>
          <w:bdr w:val="nil"/>
          <w:lang w:val="en-US"/>
        </w:rPr>
        <w:t xml:space="preserve">basis for </w:t>
      </w:r>
      <w:r w:rsidRPr="00DD0CE5">
        <w:rPr>
          <w:color w:val="000000" w:themeColor="text1"/>
          <w:bdr w:val="nil"/>
          <w:lang w:val="en-US"/>
        </w:rPr>
        <w:t xml:space="preserve">measures </w:t>
      </w:r>
      <w:r w:rsidRPr="00DD0CE5">
        <w:rPr>
          <w:noProof/>
          <w:color w:val="000000" w:themeColor="text1"/>
          <w:lang w:val="en-IE"/>
        </w:rPr>
        <w:t xml:space="preserve">in support of </w:t>
      </w:r>
      <w:r w:rsidR="00077334" w:rsidRPr="00DD0CE5">
        <w:rPr>
          <w:noProof/>
          <w:color w:val="000000" w:themeColor="text1"/>
          <w:lang w:val="en-IE"/>
        </w:rPr>
        <w:t>Member States’</w:t>
      </w:r>
      <w:r w:rsidRPr="00DD0CE5">
        <w:rPr>
          <w:noProof/>
          <w:color w:val="000000" w:themeColor="text1"/>
          <w:lang w:val="en-IE"/>
        </w:rPr>
        <w:t xml:space="preserve"> action for the competitiveness of the </w:t>
      </w:r>
      <w:r w:rsidR="00073476">
        <w:rPr>
          <w:noProof/>
          <w:color w:val="000000" w:themeColor="text1"/>
          <w:lang w:val="en-IE"/>
        </w:rPr>
        <w:t>EU’s</w:t>
      </w:r>
      <w:r w:rsidRPr="00DD0CE5">
        <w:rPr>
          <w:noProof/>
          <w:color w:val="000000" w:themeColor="text1"/>
          <w:lang w:val="en-IE"/>
        </w:rPr>
        <w:t xml:space="preserve"> industry, </w:t>
      </w:r>
      <w:r w:rsidR="00077334" w:rsidRPr="00DD0CE5">
        <w:rPr>
          <w:noProof/>
          <w:color w:val="000000" w:themeColor="text1"/>
          <w:lang w:val="en-IE"/>
        </w:rPr>
        <w:t>in particular</w:t>
      </w:r>
      <w:r w:rsidRPr="00DD0CE5">
        <w:rPr>
          <w:noProof/>
          <w:color w:val="000000" w:themeColor="text1"/>
          <w:lang w:val="en-IE"/>
        </w:rPr>
        <w:t xml:space="preserve"> the provisions regarding the </w:t>
      </w:r>
      <w:r w:rsidRPr="00DD0CE5">
        <w:rPr>
          <w:noProof/>
          <w:color w:val="000000" w:themeColor="text1"/>
          <w:lang w:val="en-US"/>
        </w:rPr>
        <w:t xml:space="preserve">EU </w:t>
      </w:r>
      <w:r w:rsidR="00CF339A">
        <w:rPr>
          <w:noProof/>
          <w:color w:val="000000" w:themeColor="text1"/>
          <w:lang w:val="en-US"/>
        </w:rPr>
        <w:t>H</w:t>
      </w:r>
      <w:r w:rsidRPr="00DD0CE5">
        <w:rPr>
          <w:noProof/>
          <w:color w:val="000000" w:themeColor="text1"/>
          <w:lang w:val="en-US"/>
        </w:rPr>
        <w:t xml:space="preserve">ealth </w:t>
      </w:r>
      <w:r w:rsidR="00CF339A">
        <w:rPr>
          <w:noProof/>
          <w:color w:val="000000" w:themeColor="text1"/>
          <w:lang w:val="en-US"/>
        </w:rPr>
        <w:t>B</w:t>
      </w:r>
      <w:r w:rsidRPr="00DD0CE5">
        <w:rPr>
          <w:noProof/>
          <w:color w:val="000000" w:themeColor="text1"/>
          <w:lang w:val="en-US"/>
        </w:rPr>
        <w:t xml:space="preserve">iotechnology </w:t>
      </w:r>
      <w:r w:rsidR="00CF339A">
        <w:rPr>
          <w:noProof/>
          <w:color w:val="000000" w:themeColor="text1"/>
          <w:lang w:val="en-US"/>
        </w:rPr>
        <w:t>I</w:t>
      </w:r>
      <w:r w:rsidRPr="00DD0CE5">
        <w:rPr>
          <w:noProof/>
          <w:color w:val="000000" w:themeColor="text1"/>
          <w:lang w:val="en-US"/>
        </w:rPr>
        <w:t xml:space="preserve">nvestment </w:t>
      </w:r>
      <w:r w:rsidR="00CF339A">
        <w:rPr>
          <w:noProof/>
          <w:color w:val="000000" w:themeColor="text1"/>
          <w:lang w:val="en-US"/>
        </w:rPr>
        <w:t>P</w:t>
      </w:r>
      <w:r w:rsidRPr="00DD0CE5">
        <w:rPr>
          <w:noProof/>
          <w:color w:val="000000" w:themeColor="text1"/>
          <w:lang w:val="en-US"/>
        </w:rPr>
        <w:t>ilot</w:t>
      </w:r>
      <w:r w:rsidR="00580EAF" w:rsidRPr="00DD0CE5">
        <w:rPr>
          <w:noProof/>
          <w:color w:val="000000" w:themeColor="text1"/>
          <w:lang w:val="en-US"/>
        </w:rPr>
        <w:t>.</w:t>
      </w:r>
    </w:p>
    <w:p w14:paraId="4DC061CC" w14:textId="541DCA61" w:rsidR="00DF786B" w:rsidRPr="00DD0CE5" w:rsidRDefault="001528F1" w:rsidP="00DF786B">
      <w:pPr>
        <w:pStyle w:val="Heading2"/>
      </w:pPr>
      <w:bookmarkStart w:id="137" w:name="_Toc224747213"/>
      <w:bookmarkStart w:id="138" w:name="_Toc224749683"/>
      <w:bookmarkStart w:id="139" w:name="_Toc225974561"/>
      <w:bookmarkStart w:id="140" w:name="_Toc225975234"/>
      <w:bookmarkStart w:id="141" w:name="_Toc225975291"/>
      <w:bookmarkStart w:id="142" w:name="_Toc227941845"/>
      <w:r w:rsidRPr="00DD0CE5">
        <w:t xml:space="preserve">Subsidiarity: </w:t>
      </w:r>
      <w:r w:rsidR="00DF786B" w:rsidRPr="00DD0CE5">
        <w:t>necessity for EU action</w:t>
      </w:r>
      <w:r w:rsidR="000D3791" w:rsidRPr="00DD0CE5">
        <w:t xml:space="preserve"> and EU added value</w:t>
      </w:r>
      <w:bookmarkEnd w:id="137"/>
      <w:bookmarkEnd w:id="138"/>
      <w:bookmarkEnd w:id="139"/>
      <w:bookmarkEnd w:id="140"/>
      <w:bookmarkEnd w:id="141"/>
      <w:bookmarkEnd w:id="142"/>
      <w:r w:rsidR="003626BC" w:rsidRPr="00DD0CE5">
        <w:t xml:space="preserve"> </w:t>
      </w:r>
    </w:p>
    <w:p w14:paraId="3BFDE383" w14:textId="5DAC5720" w:rsidR="00655F44" w:rsidRPr="00DD0CE5" w:rsidRDefault="00E80339" w:rsidP="009E2015">
      <w:pPr>
        <w:rPr>
          <w:noProof/>
          <w:bdr w:val="nil"/>
          <w:lang w:val="en-US" w:eastAsia="en-GB"/>
        </w:rPr>
      </w:pPr>
      <w:r w:rsidRPr="00DD0CE5">
        <w:rPr>
          <w:noProof/>
          <w:bdr w:val="nil"/>
          <w:lang w:val="en-US" w:eastAsia="en-GB"/>
        </w:rPr>
        <w:t>Under</w:t>
      </w:r>
      <w:r w:rsidR="00655F44" w:rsidRPr="00DD0CE5">
        <w:rPr>
          <w:noProof/>
          <w:bdr w:val="nil"/>
          <w:lang w:val="en-US" w:eastAsia="en-GB"/>
        </w:rPr>
        <w:t xml:space="preserve"> the </w:t>
      </w:r>
      <w:r w:rsidR="00EB7589" w:rsidRPr="00DD0CE5">
        <w:rPr>
          <w:noProof/>
          <w:bdr w:val="nil"/>
          <w:lang w:val="en-US" w:eastAsia="en-GB"/>
        </w:rPr>
        <w:t xml:space="preserve">subsidiarity </w:t>
      </w:r>
      <w:r w:rsidR="00655F44" w:rsidRPr="00DD0CE5">
        <w:rPr>
          <w:noProof/>
          <w:bdr w:val="nil"/>
          <w:lang w:val="en-US" w:eastAsia="en-GB"/>
        </w:rPr>
        <w:t>principle,</w:t>
      </w:r>
      <w:r w:rsidR="003676E2" w:rsidRPr="00DD0CE5">
        <w:rPr>
          <w:noProof/>
          <w:bdr w:val="nil"/>
          <w:lang w:val="en-US" w:eastAsia="en-GB"/>
        </w:rPr>
        <w:t xml:space="preserve"> </w:t>
      </w:r>
      <w:r w:rsidR="002914F9" w:rsidRPr="00DD0CE5">
        <w:rPr>
          <w:noProof/>
          <w:bdr w:val="nil"/>
          <w:lang w:eastAsia="en-GB"/>
        </w:rPr>
        <w:t xml:space="preserve">the Union may act in areas of non-exclusive competence only where </w:t>
      </w:r>
      <w:r w:rsidR="00655F44" w:rsidRPr="00DD0CE5">
        <w:rPr>
          <w:noProof/>
          <w:bdr w:val="nil"/>
          <w:lang w:val="en-US" w:eastAsia="en-GB"/>
        </w:rPr>
        <w:t xml:space="preserve">the objectives of the proposed action cannot be sufficiently achieved by the Member States. </w:t>
      </w:r>
    </w:p>
    <w:p w14:paraId="27773D57" w14:textId="32113D77" w:rsidR="00FD5269" w:rsidRPr="00DD0CE5" w:rsidRDefault="006839AD" w:rsidP="00FD5269">
      <w:pPr>
        <w:pStyle w:val="Heading3"/>
      </w:pPr>
      <w:bookmarkStart w:id="143" w:name="_Toc222831759"/>
      <w:bookmarkStart w:id="144" w:name="_Toc224747214"/>
      <w:bookmarkStart w:id="145" w:name="_Toc224749684"/>
      <w:bookmarkStart w:id="146" w:name="_Toc225974562"/>
      <w:bookmarkStart w:id="147" w:name="_Toc225975235"/>
      <w:bookmarkStart w:id="148" w:name="_Toc225975292"/>
      <w:r w:rsidRPr="00DD0CE5">
        <w:t>Necessity for EU action</w:t>
      </w:r>
      <w:bookmarkEnd w:id="143"/>
      <w:bookmarkEnd w:id="144"/>
      <w:bookmarkEnd w:id="145"/>
      <w:bookmarkEnd w:id="146"/>
      <w:bookmarkEnd w:id="147"/>
      <w:bookmarkEnd w:id="148"/>
    </w:p>
    <w:p w14:paraId="09959797" w14:textId="135894FD" w:rsidR="00B75B7B" w:rsidRPr="00DD0CE5" w:rsidRDefault="008B60DD" w:rsidP="009E2015">
      <w:pPr>
        <w:rPr>
          <w:noProof/>
          <w:bdr w:val="nil"/>
          <w:lang w:eastAsia="en-GB"/>
        </w:rPr>
      </w:pPr>
      <w:r w:rsidRPr="00DD0CE5">
        <w:rPr>
          <w:noProof/>
          <w:bdr w:val="nil"/>
          <w:lang w:val="en-US" w:eastAsia="en-GB"/>
        </w:rPr>
        <w:t>T</w:t>
      </w:r>
      <w:r w:rsidR="00B75B7B" w:rsidRPr="00DD0CE5">
        <w:rPr>
          <w:noProof/>
          <w:bdr w:val="nil"/>
          <w:lang w:val="en-US" w:eastAsia="en-GB"/>
        </w:rPr>
        <w:t xml:space="preserve">he objectives of the proposed Biotech Act cannot be achieved by Member States acting alone, as the </w:t>
      </w:r>
      <w:r w:rsidR="00F0106C" w:rsidRPr="00DD0CE5">
        <w:rPr>
          <w:noProof/>
          <w:bdr w:val="nil"/>
          <w:lang w:val="en-US" w:eastAsia="en-GB"/>
        </w:rPr>
        <w:t>identified drivers</w:t>
      </w:r>
      <w:r w:rsidR="00B75B7B" w:rsidRPr="00DD0CE5">
        <w:rPr>
          <w:noProof/>
          <w:bdr w:val="nil"/>
          <w:lang w:val="en-US" w:eastAsia="en-GB"/>
        </w:rPr>
        <w:t xml:space="preserve"> are cross-border and </w:t>
      </w:r>
      <w:r w:rsidR="00E53454" w:rsidRPr="00DD0CE5">
        <w:rPr>
          <w:noProof/>
          <w:bdr w:val="nil"/>
          <w:lang w:val="en-US" w:eastAsia="en-GB"/>
        </w:rPr>
        <w:t xml:space="preserve">systemic, </w:t>
      </w:r>
      <w:r w:rsidR="00B75B7B" w:rsidRPr="00DD0CE5">
        <w:rPr>
          <w:noProof/>
          <w:bdr w:val="nil"/>
          <w:lang w:eastAsia="en-GB"/>
        </w:rPr>
        <w:t xml:space="preserve">affecting the functioning of the single market and the global competitiveness of EU companies. </w:t>
      </w:r>
      <w:r w:rsidR="00B000DC" w:rsidRPr="00DD0CE5">
        <w:rPr>
          <w:noProof/>
        </w:rPr>
        <w:t xml:space="preserve">These challenges </w:t>
      </w:r>
      <w:r w:rsidR="00BD5845" w:rsidRPr="00DD0CE5">
        <w:rPr>
          <w:noProof/>
        </w:rPr>
        <w:t xml:space="preserve">may </w:t>
      </w:r>
      <w:r w:rsidR="00B000DC" w:rsidRPr="00DD0CE5">
        <w:rPr>
          <w:noProof/>
        </w:rPr>
        <w:t>differ</w:t>
      </w:r>
      <w:r w:rsidR="00C606A0" w:rsidRPr="00DD0CE5">
        <w:rPr>
          <w:noProof/>
        </w:rPr>
        <w:t xml:space="preserve"> in</w:t>
      </w:r>
      <w:r w:rsidR="00B000DC" w:rsidRPr="00DD0CE5">
        <w:rPr>
          <w:noProof/>
        </w:rPr>
        <w:t xml:space="preserve"> intensit</w:t>
      </w:r>
      <w:r w:rsidR="00C606A0" w:rsidRPr="00DD0CE5">
        <w:rPr>
          <w:noProof/>
        </w:rPr>
        <w:t>y</w:t>
      </w:r>
      <w:r w:rsidR="00BA1187" w:rsidRPr="00DD0CE5">
        <w:rPr>
          <w:noProof/>
        </w:rPr>
        <w:t xml:space="preserve"> across</w:t>
      </w:r>
      <w:r w:rsidR="00B000DC" w:rsidRPr="00DD0CE5">
        <w:rPr>
          <w:noProof/>
        </w:rPr>
        <w:t xml:space="preserve"> Member States and region</w:t>
      </w:r>
      <w:r w:rsidR="009430EF" w:rsidRPr="00DD0CE5">
        <w:rPr>
          <w:noProof/>
        </w:rPr>
        <w:t>s, but their nature is Union-wide.</w:t>
      </w:r>
      <w:r w:rsidR="00B000DC" w:rsidRPr="00DD0CE5">
        <w:rPr>
          <w:noProof/>
          <w:lang w:eastAsia="en-GB"/>
        </w:rPr>
        <w:t xml:space="preserve"> </w:t>
      </w:r>
      <w:r w:rsidR="00B75B7B" w:rsidRPr="00DD0CE5">
        <w:rPr>
          <w:noProof/>
          <w:lang w:eastAsia="en-GB"/>
        </w:rPr>
        <w:t xml:space="preserve">Access to finance is </w:t>
      </w:r>
      <w:r w:rsidR="00352F05" w:rsidRPr="00DD0CE5">
        <w:rPr>
          <w:noProof/>
          <w:lang w:eastAsia="en-GB"/>
        </w:rPr>
        <w:t xml:space="preserve">fragmented </w:t>
      </w:r>
      <w:r w:rsidR="00B75B7B" w:rsidRPr="00DD0CE5">
        <w:rPr>
          <w:noProof/>
          <w:lang w:eastAsia="en-GB"/>
        </w:rPr>
        <w:t xml:space="preserve">and EU </w:t>
      </w:r>
      <w:r w:rsidR="1CB43624" w:rsidRPr="00DD0CE5">
        <w:rPr>
          <w:noProof/>
          <w:lang w:eastAsia="en-GB"/>
        </w:rPr>
        <w:t>biotechnology</w:t>
      </w:r>
      <w:r w:rsidRPr="4B9EB9B1" w:rsidDel="00B75B7B">
        <w:rPr>
          <w:noProof/>
          <w:lang w:eastAsia="en-GB"/>
        </w:rPr>
        <w:t xml:space="preserve"> </w:t>
      </w:r>
      <w:r w:rsidR="00B75B7B" w:rsidRPr="00DD0CE5">
        <w:rPr>
          <w:noProof/>
          <w:lang w:eastAsia="en-GB"/>
        </w:rPr>
        <w:t xml:space="preserve">companies lack </w:t>
      </w:r>
      <w:r w:rsidR="00B75B7B" w:rsidRPr="00DD0CE5">
        <w:rPr>
          <w:noProof/>
          <w:bdr w:val="nil"/>
          <w:lang w:eastAsia="en-GB"/>
        </w:rPr>
        <w:t>the capacity to access private finance</w:t>
      </w:r>
      <w:r w:rsidR="00B75B7B" w:rsidRPr="00DD0CE5">
        <w:rPr>
          <w:noProof/>
          <w:lang w:eastAsia="en-GB"/>
        </w:rPr>
        <w:t xml:space="preserve"> at a competitive scale</w:t>
      </w:r>
      <w:r w:rsidR="00B75B7B" w:rsidRPr="00DD0CE5">
        <w:rPr>
          <w:noProof/>
          <w:bdr w:val="nil"/>
          <w:lang w:eastAsia="en-GB"/>
        </w:rPr>
        <w:t>, including at later stages of development.</w:t>
      </w:r>
      <w:r w:rsidR="00ED0687" w:rsidRPr="00DD0CE5">
        <w:rPr>
          <w:noProof/>
          <w:bdr w:val="nil"/>
          <w:lang w:eastAsia="en-GB"/>
        </w:rPr>
        <w:t xml:space="preserve"> </w:t>
      </w:r>
      <w:r w:rsidR="00B75B7B" w:rsidRPr="00DD0CE5">
        <w:rPr>
          <w:noProof/>
          <w:bdr w:val="nil"/>
          <w:lang w:eastAsia="en-GB"/>
        </w:rPr>
        <w:t xml:space="preserve">European biotechnology clusters are </w:t>
      </w:r>
      <w:r w:rsidR="00ED0687" w:rsidRPr="00DD0CE5">
        <w:rPr>
          <w:noProof/>
          <w:bdr w:val="nil"/>
          <w:lang w:eastAsia="en-GB"/>
        </w:rPr>
        <w:t>dispersed</w:t>
      </w:r>
      <w:r w:rsidR="0041325F" w:rsidRPr="00DD0CE5">
        <w:rPr>
          <w:noProof/>
          <w:bdr w:val="nil"/>
          <w:lang w:eastAsia="en-GB"/>
        </w:rPr>
        <w:t xml:space="preserve"> and lack </w:t>
      </w:r>
      <w:r w:rsidR="00B75B7B" w:rsidRPr="00DD0CE5">
        <w:rPr>
          <w:noProof/>
          <w:bdr w:val="nil"/>
          <w:lang w:eastAsia="en-GB"/>
        </w:rPr>
        <w:t>continental scale to compete globally</w:t>
      </w:r>
      <w:r w:rsidR="00B75B7B" w:rsidRPr="00DD0CE5" w:rsidDel="00C92B5F">
        <w:rPr>
          <w:noProof/>
          <w:bdr w:val="nil"/>
          <w:lang w:eastAsia="en-GB"/>
        </w:rPr>
        <w:t xml:space="preserve">. </w:t>
      </w:r>
      <w:r w:rsidR="00B75B7B" w:rsidRPr="00DD0CE5">
        <w:rPr>
          <w:noProof/>
          <w:bdr w:val="nil"/>
          <w:lang w:eastAsia="en-GB"/>
        </w:rPr>
        <w:t xml:space="preserve">The development and deployment of AI </w:t>
      </w:r>
      <w:r w:rsidR="00455DC0" w:rsidRPr="00DD0CE5">
        <w:rPr>
          <w:noProof/>
          <w:bdr w:val="nil"/>
          <w:lang w:eastAsia="en-GB"/>
        </w:rPr>
        <w:t>in</w:t>
      </w:r>
      <w:r w:rsidR="00B75B7B" w:rsidRPr="00DD0CE5">
        <w:rPr>
          <w:noProof/>
          <w:bdr w:val="nil"/>
          <w:lang w:eastAsia="en-GB"/>
        </w:rPr>
        <w:t xml:space="preserve"> biotechnology remains limited, also due to the </w:t>
      </w:r>
      <w:r w:rsidR="002D45C0" w:rsidRPr="00DD0CE5">
        <w:rPr>
          <w:noProof/>
          <w:bdr w:val="nil"/>
          <w:lang w:eastAsia="en-GB"/>
        </w:rPr>
        <w:t>insufficient</w:t>
      </w:r>
      <w:r w:rsidR="00A87E35" w:rsidRPr="00DD0CE5">
        <w:rPr>
          <w:noProof/>
          <w:bdr w:val="nil"/>
          <w:lang w:eastAsia="en-GB"/>
        </w:rPr>
        <w:t xml:space="preserve"> cross-border availability</w:t>
      </w:r>
      <w:r w:rsidR="00B75B7B" w:rsidRPr="00DD0CE5">
        <w:rPr>
          <w:noProof/>
          <w:bdr w:val="nil"/>
          <w:lang w:eastAsia="en-GB"/>
        </w:rPr>
        <w:t xml:space="preserve"> and sharing of </w:t>
      </w:r>
      <w:r w:rsidR="00A87E35" w:rsidRPr="00DD0CE5">
        <w:rPr>
          <w:noProof/>
          <w:bdr w:val="nil"/>
          <w:lang w:eastAsia="en-GB"/>
        </w:rPr>
        <w:t xml:space="preserve">relevant </w:t>
      </w:r>
      <w:r w:rsidR="00B75B7B" w:rsidRPr="00DD0CE5">
        <w:rPr>
          <w:noProof/>
          <w:bdr w:val="nil"/>
          <w:lang w:eastAsia="en-GB"/>
        </w:rPr>
        <w:t>data.</w:t>
      </w:r>
      <w:r w:rsidR="00B75B7B" w:rsidRPr="00DD0CE5">
        <w:rPr>
          <w:noProof/>
          <w:lang w:eastAsia="en-GB"/>
        </w:rPr>
        <w:t xml:space="preserve"> </w:t>
      </w:r>
    </w:p>
    <w:p w14:paraId="3A28FF01" w14:textId="2CBD6617" w:rsidR="004521C2" w:rsidRPr="00DD0CE5" w:rsidRDefault="00DF46E4" w:rsidP="009E2015">
      <w:pPr>
        <w:rPr>
          <w:noProof/>
        </w:rPr>
      </w:pPr>
      <w:r w:rsidRPr="00DD0CE5">
        <w:rPr>
          <w:noProof/>
        </w:rPr>
        <w:t>W</w:t>
      </w:r>
      <w:r w:rsidR="00B75B7B" w:rsidRPr="00DD0CE5">
        <w:rPr>
          <w:noProof/>
        </w:rPr>
        <w:t>hile several Member States have taken action</w:t>
      </w:r>
      <w:r w:rsidRPr="00DD0CE5">
        <w:rPr>
          <w:noProof/>
        </w:rPr>
        <w:t>, these</w:t>
      </w:r>
      <w:r w:rsidR="00B75B7B" w:rsidRPr="00DD0CE5">
        <w:rPr>
          <w:noProof/>
        </w:rPr>
        <w:t xml:space="preserve"> bottlenecks persist</w:t>
      </w:r>
      <w:r w:rsidR="004E30A4" w:rsidRPr="00DD0CE5">
        <w:rPr>
          <w:noProof/>
        </w:rPr>
        <w:t xml:space="preserve"> and</w:t>
      </w:r>
      <w:r w:rsidR="00B75B7B" w:rsidRPr="00DD0CE5">
        <w:rPr>
          <w:noProof/>
        </w:rPr>
        <w:t xml:space="preserve"> improvements </w:t>
      </w:r>
      <w:r w:rsidR="004E30A4" w:rsidRPr="00DD0CE5">
        <w:rPr>
          <w:noProof/>
        </w:rPr>
        <w:t>would remain</w:t>
      </w:r>
      <w:r w:rsidR="00B75B7B" w:rsidRPr="00DD0CE5">
        <w:rPr>
          <w:noProof/>
        </w:rPr>
        <w:t xml:space="preserve"> </w:t>
      </w:r>
      <w:r w:rsidR="00CC0329" w:rsidRPr="00DD0CE5">
        <w:rPr>
          <w:noProof/>
        </w:rPr>
        <w:t>slow and uneven.</w:t>
      </w:r>
      <w:r w:rsidR="00B75B7B" w:rsidRPr="00DD0CE5">
        <w:rPr>
          <w:noProof/>
        </w:rPr>
        <w:t xml:space="preserve"> </w:t>
      </w:r>
      <w:r w:rsidR="00DB1E1B" w:rsidRPr="00DD0CE5">
        <w:rPr>
          <w:noProof/>
        </w:rPr>
        <w:t>N</w:t>
      </w:r>
      <w:r w:rsidR="00B000DC" w:rsidRPr="00DD0CE5">
        <w:rPr>
          <w:noProof/>
        </w:rPr>
        <w:t xml:space="preserve">ational </w:t>
      </w:r>
      <w:r w:rsidR="00DB1E1B" w:rsidRPr="00DD0CE5">
        <w:rPr>
          <w:noProof/>
        </w:rPr>
        <w:t>measures</w:t>
      </w:r>
      <w:r w:rsidR="00B76961" w:rsidRPr="00DD0CE5">
        <w:rPr>
          <w:noProof/>
        </w:rPr>
        <w:t xml:space="preserve"> alone cannot </w:t>
      </w:r>
      <w:r w:rsidR="00543B88" w:rsidRPr="00DD0CE5">
        <w:rPr>
          <w:noProof/>
        </w:rPr>
        <w:t>provide the scale, coordination</w:t>
      </w:r>
      <w:r w:rsidR="00A71CF8" w:rsidRPr="00DD0CE5">
        <w:rPr>
          <w:noProof/>
        </w:rPr>
        <w:t xml:space="preserve"> and </w:t>
      </w:r>
      <w:r w:rsidR="00543B88" w:rsidRPr="00DD0CE5">
        <w:rPr>
          <w:noProof/>
        </w:rPr>
        <w:t>speed required</w:t>
      </w:r>
      <w:r w:rsidR="00A71CF8" w:rsidRPr="00DD0CE5">
        <w:rPr>
          <w:noProof/>
        </w:rPr>
        <w:t xml:space="preserve">, </w:t>
      </w:r>
      <w:r w:rsidR="001F51BA" w:rsidRPr="00DD0CE5">
        <w:rPr>
          <w:noProof/>
        </w:rPr>
        <w:t>although</w:t>
      </w:r>
      <w:r w:rsidR="00A71CF8" w:rsidRPr="00DD0CE5">
        <w:rPr>
          <w:noProof/>
        </w:rPr>
        <w:t xml:space="preserve"> </w:t>
      </w:r>
      <w:r w:rsidR="453C9D17" w:rsidRPr="4B9EB9B1">
        <w:rPr>
          <w:noProof/>
        </w:rPr>
        <w:t xml:space="preserve">in certain areas </w:t>
      </w:r>
      <w:r w:rsidR="007C730B">
        <w:rPr>
          <w:noProof/>
        </w:rPr>
        <w:t xml:space="preserve">(e.g. </w:t>
      </w:r>
      <w:r w:rsidR="00EC341E">
        <w:rPr>
          <w:noProof/>
        </w:rPr>
        <w:t xml:space="preserve">access to </w:t>
      </w:r>
      <w:r w:rsidR="00806125">
        <w:rPr>
          <w:noProof/>
        </w:rPr>
        <w:t xml:space="preserve">finance, </w:t>
      </w:r>
      <w:r w:rsidR="008D20DD" w:rsidRPr="008D20DD">
        <w:rPr>
          <w:noProof/>
        </w:rPr>
        <w:t>development of regional innovation ecosystems and clusters, and support to research infrastructures</w:t>
      </w:r>
      <w:r w:rsidR="005C642D">
        <w:rPr>
          <w:noProof/>
        </w:rPr>
        <w:t>,</w:t>
      </w:r>
      <w:r w:rsidR="008D20DD">
        <w:rPr>
          <w:noProof/>
        </w:rPr>
        <w:t xml:space="preserve"> </w:t>
      </w:r>
      <w:r w:rsidR="00806125">
        <w:rPr>
          <w:noProof/>
        </w:rPr>
        <w:t>etc</w:t>
      </w:r>
      <w:r w:rsidR="005C642D">
        <w:rPr>
          <w:noProof/>
        </w:rPr>
        <w:t>.</w:t>
      </w:r>
      <w:r w:rsidR="00806125">
        <w:rPr>
          <w:noProof/>
        </w:rPr>
        <w:t>)</w:t>
      </w:r>
      <w:r w:rsidR="00D34256">
        <w:rPr>
          <w:noProof/>
        </w:rPr>
        <w:t>,</w:t>
      </w:r>
      <w:r w:rsidR="00705105">
        <w:rPr>
          <w:noProof/>
        </w:rPr>
        <w:t xml:space="preserve"> </w:t>
      </w:r>
      <w:r w:rsidR="004521C2" w:rsidRPr="00DD0CE5">
        <w:rPr>
          <w:noProof/>
        </w:rPr>
        <w:t xml:space="preserve">Member States </w:t>
      </w:r>
      <w:r w:rsidR="001F51BA" w:rsidRPr="00DD0CE5">
        <w:rPr>
          <w:noProof/>
        </w:rPr>
        <w:t>may</w:t>
      </w:r>
      <w:r w:rsidR="004521C2" w:rsidRPr="00DD0CE5">
        <w:rPr>
          <w:noProof/>
        </w:rPr>
        <w:t xml:space="preserve"> still take complementary action</w:t>
      </w:r>
      <w:r w:rsidR="003E18F1" w:rsidRPr="00DD0CE5">
        <w:rPr>
          <w:noProof/>
        </w:rPr>
        <w:t xml:space="preserve"> </w:t>
      </w:r>
      <w:r w:rsidR="0013765E" w:rsidRPr="00DD0CE5">
        <w:rPr>
          <w:noProof/>
        </w:rPr>
        <w:t>alongside</w:t>
      </w:r>
      <w:r w:rsidR="003E18F1" w:rsidRPr="00DD0CE5">
        <w:rPr>
          <w:noProof/>
        </w:rPr>
        <w:t xml:space="preserve"> Union </w:t>
      </w:r>
      <w:r w:rsidR="0013765E" w:rsidRPr="00DD0CE5">
        <w:rPr>
          <w:noProof/>
        </w:rPr>
        <w:t>measures</w:t>
      </w:r>
      <w:r w:rsidR="004521C2" w:rsidRPr="00DD0CE5">
        <w:rPr>
          <w:noProof/>
        </w:rPr>
        <w:t>.</w:t>
      </w:r>
      <w:r w:rsidR="0050068B" w:rsidRPr="00DD0CE5">
        <w:rPr>
          <w:noProof/>
        </w:rPr>
        <w:t xml:space="preserve"> </w:t>
      </w:r>
    </w:p>
    <w:p w14:paraId="49F9480A" w14:textId="51805976" w:rsidR="007963EB" w:rsidRPr="00DD0CE5" w:rsidRDefault="003E18F1" w:rsidP="009E2015">
      <w:pPr>
        <w:rPr>
          <w:noProof/>
          <w:bdr w:val="nil"/>
          <w:lang w:eastAsia="en-GB"/>
        </w:rPr>
      </w:pPr>
      <w:r w:rsidRPr="00DD0CE5">
        <w:rPr>
          <w:noProof/>
          <w:bdr w:val="nil"/>
          <w:lang w:val="en-US" w:eastAsia="en-GB"/>
        </w:rPr>
        <w:t>I</w:t>
      </w:r>
      <w:r w:rsidR="00B75B7B" w:rsidRPr="00DD0CE5">
        <w:rPr>
          <w:noProof/>
          <w:bdr w:val="nil"/>
          <w:lang w:val="en-US" w:eastAsia="en-GB"/>
        </w:rPr>
        <w:t>mportant regulatory barriers stem from</w:t>
      </w:r>
      <w:r w:rsidR="00B75B7B" w:rsidRPr="4B6A8F51">
        <w:rPr>
          <w:lang w:val="en-US" w:eastAsia="en-GB"/>
        </w:rPr>
        <w:t xml:space="preserve"> </w:t>
      </w:r>
      <w:r w:rsidR="7CB79E03" w:rsidRPr="4B6A8F51">
        <w:rPr>
          <w:lang w:val="en-US" w:eastAsia="en-GB"/>
        </w:rPr>
        <w:t>existing</w:t>
      </w:r>
      <w:r w:rsidR="00B75B7B" w:rsidRPr="00DD0CE5">
        <w:rPr>
          <w:noProof/>
          <w:bdr w:val="nil"/>
          <w:lang w:val="en-US" w:eastAsia="en-GB"/>
        </w:rPr>
        <w:t xml:space="preserve"> EU legislation</w:t>
      </w:r>
      <w:r w:rsidR="00324391" w:rsidRPr="00DD0CE5">
        <w:rPr>
          <w:noProof/>
          <w:bdr w:val="nil"/>
          <w:lang w:val="en-US" w:eastAsia="en-GB"/>
        </w:rPr>
        <w:t>, such as</w:t>
      </w:r>
      <w:r w:rsidR="00FD2C16">
        <w:rPr>
          <w:noProof/>
          <w:bdr w:val="nil"/>
          <w:lang w:val="en-US" w:eastAsia="en-GB"/>
        </w:rPr>
        <w:t xml:space="preserve"> lack of legal clarity</w:t>
      </w:r>
      <w:r w:rsidR="00324391" w:rsidRPr="00DD0CE5">
        <w:rPr>
          <w:noProof/>
          <w:bdr w:val="nil"/>
          <w:lang w:val="en-US" w:eastAsia="en-GB"/>
        </w:rPr>
        <w:t xml:space="preserve">, </w:t>
      </w:r>
      <w:r w:rsidR="00A05E21" w:rsidRPr="00DD0CE5">
        <w:rPr>
          <w:noProof/>
          <w:bdr w:val="nil"/>
          <w:lang w:val="en-US" w:eastAsia="en-GB"/>
        </w:rPr>
        <w:t xml:space="preserve">complex </w:t>
      </w:r>
      <w:r w:rsidR="00F430C0" w:rsidRPr="00DD0CE5">
        <w:rPr>
          <w:noProof/>
          <w:bdr w:val="nil"/>
          <w:lang w:val="en-US" w:eastAsia="en-GB"/>
        </w:rPr>
        <w:t xml:space="preserve">or outdated </w:t>
      </w:r>
      <w:r w:rsidR="00A05E21" w:rsidRPr="00DD0CE5">
        <w:rPr>
          <w:noProof/>
          <w:bdr w:val="nil"/>
          <w:lang w:val="en-US" w:eastAsia="en-GB"/>
        </w:rPr>
        <w:t>rules</w:t>
      </w:r>
      <w:r w:rsidR="00277051">
        <w:rPr>
          <w:noProof/>
          <w:bdr w:val="nil"/>
          <w:lang w:val="en-US" w:eastAsia="en-GB"/>
        </w:rPr>
        <w:t>,</w:t>
      </w:r>
      <w:r w:rsidR="00A05E21" w:rsidRPr="00DD0CE5">
        <w:rPr>
          <w:noProof/>
          <w:bdr w:val="nil"/>
          <w:lang w:val="en-US" w:eastAsia="en-GB"/>
        </w:rPr>
        <w:t xml:space="preserve"> disproportionate administrative burden </w:t>
      </w:r>
      <w:r w:rsidR="00277051">
        <w:rPr>
          <w:noProof/>
          <w:bdr w:val="nil"/>
          <w:lang w:val="en-US" w:eastAsia="en-GB"/>
        </w:rPr>
        <w:t>and</w:t>
      </w:r>
      <w:r w:rsidR="00A05E21" w:rsidRPr="00DD0CE5">
        <w:rPr>
          <w:noProof/>
          <w:bdr w:val="nil"/>
          <w:lang w:val="en-US" w:eastAsia="en-GB"/>
        </w:rPr>
        <w:t xml:space="preserve"> additional national </w:t>
      </w:r>
      <w:r w:rsidR="00884A2C" w:rsidRPr="00DD0CE5">
        <w:rPr>
          <w:noProof/>
          <w:bdr w:val="nil"/>
          <w:lang w:val="en-US" w:eastAsia="en-GB"/>
        </w:rPr>
        <w:t>requirements</w:t>
      </w:r>
      <w:r w:rsidR="00B75B7B" w:rsidRPr="00DD0CE5">
        <w:rPr>
          <w:noProof/>
          <w:bdr w:val="nil"/>
          <w:lang w:val="en-US" w:eastAsia="en-GB"/>
        </w:rPr>
        <w:t xml:space="preserve">. </w:t>
      </w:r>
      <w:r w:rsidR="00F60FBE" w:rsidRPr="00DD0CE5">
        <w:rPr>
          <w:noProof/>
          <w:bdr w:val="nil"/>
          <w:lang w:eastAsia="en-GB"/>
        </w:rPr>
        <w:t>As these drivers originate in Union law, they cannot be effectively addressed by Member States acting individually</w:t>
      </w:r>
      <w:r w:rsidR="007322F8" w:rsidRPr="00DD0CE5">
        <w:rPr>
          <w:noProof/>
          <w:bdr w:val="nil"/>
          <w:lang w:eastAsia="en-GB"/>
        </w:rPr>
        <w:t>.</w:t>
      </w:r>
      <w:r w:rsidR="00A049D7" w:rsidRPr="00DD0CE5">
        <w:rPr>
          <w:noProof/>
          <w:bdr w:val="nil"/>
          <w:lang w:eastAsia="en-GB"/>
        </w:rPr>
        <w:t xml:space="preserve"> </w:t>
      </w:r>
      <w:r w:rsidR="00830FBE" w:rsidRPr="00DD0CE5">
        <w:rPr>
          <w:noProof/>
          <w:bdr w:val="nil"/>
          <w:lang w:eastAsia="en-GB"/>
        </w:rPr>
        <w:t>Union action</w:t>
      </w:r>
      <w:r w:rsidR="00A049D7" w:rsidRPr="00DD0CE5">
        <w:rPr>
          <w:noProof/>
          <w:bdr w:val="nil"/>
          <w:lang w:eastAsia="en-GB"/>
        </w:rPr>
        <w:t xml:space="preserve"> is therefore necessary to facilitate innovation, enhance legal clarity and improve market access.</w:t>
      </w:r>
      <w:r w:rsidR="00C443DE" w:rsidRPr="00DD0CE5">
        <w:rPr>
          <w:noProof/>
          <w:bdr w:val="nil"/>
          <w:lang w:eastAsia="en-GB"/>
        </w:rPr>
        <w:t xml:space="preserve"> </w:t>
      </w:r>
    </w:p>
    <w:p w14:paraId="650FDD33" w14:textId="097A226F" w:rsidR="006839AD" w:rsidRPr="00DD0CE5" w:rsidRDefault="006839AD">
      <w:pPr>
        <w:pStyle w:val="Heading3"/>
      </w:pPr>
      <w:bookmarkStart w:id="149" w:name="_Toc222831760"/>
      <w:bookmarkStart w:id="150" w:name="_Toc224747215"/>
      <w:bookmarkStart w:id="151" w:name="_Toc224749685"/>
      <w:bookmarkStart w:id="152" w:name="_Toc225974563"/>
      <w:bookmarkStart w:id="153" w:name="_Toc225975236"/>
      <w:bookmarkStart w:id="154" w:name="_Toc225975293"/>
      <w:r w:rsidRPr="00DD0CE5">
        <w:t>EU added value</w:t>
      </w:r>
      <w:bookmarkEnd w:id="149"/>
      <w:bookmarkEnd w:id="150"/>
      <w:bookmarkEnd w:id="151"/>
      <w:bookmarkEnd w:id="152"/>
      <w:bookmarkEnd w:id="153"/>
      <w:bookmarkEnd w:id="154"/>
    </w:p>
    <w:p w14:paraId="762E6C65" w14:textId="43F4F310" w:rsidR="00F0106C" w:rsidRPr="00DD0CE5" w:rsidRDefault="00F0106C" w:rsidP="009E2015">
      <w:pPr>
        <w:rPr>
          <w:noProof/>
          <w:bdr w:val="nil"/>
          <w:lang w:val="en-US" w:eastAsia="en-GB"/>
        </w:rPr>
      </w:pPr>
      <w:r w:rsidRPr="00DD0CE5">
        <w:rPr>
          <w:noProof/>
          <w:bdr w:val="nil"/>
          <w:lang w:val="en-US" w:eastAsia="en-GB"/>
        </w:rPr>
        <w:t>The proposed actions focus on areas where there is a demonstrable value added in acting at EU</w:t>
      </w:r>
      <w:r w:rsidR="2910C44C" w:rsidRPr="00DD0CE5">
        <w:rPr>
          <w:noProof/>
          <w:bdr w:val="nil"/>
          <w:lang w:val="en-US" w:eastAsia="en-GB"/>
        </w:rPr>
        <w:t>-</w:t>
      </w:r>
      <w:r w:rsidRPr="00DD0CE5">
        <w:rPr>
          <w:noProof/>
          <w:bdr w:val="nil"/>
          <w:lang w:val="en-US" w:eastAsia="en-GB"/>
        </w:rPr>
        <w:t xml:space="preserve">level due to the scale, speed and scope of the efforts needed. </w:t>
      </w:r>
    </w:p>
    <w:p w14:paraId="66A984C1" w14:textId="2F7D5981" w:rsidR="00402376" w:rsidRPr="00DD0CE5" w:rsidRDefault="00ED453B" w:rsidP="009E2015">
      <w:r w:rsidRPr="00DD0CE5">
        <w:t xml:space="preserve">A harmonised but simplified EU regulatory framework, supported by strengthened collaboration in selected policy areas (access to capital, AI and data) is expected to ensure patients, users and citizens </w:t>
      </w:r>
      <w:r w:rsidR="0043406D" w:rsidRPr="00DD0CE5">
        <w:t xml:space="preserve">across the EU </w:t>
      </w:r>
      <w:r w:rsidRPr="00DD0CE5">
        <w:t xml:space="preserve">can benefit from </w:t>
      </w:r>
      <w:r w:rsidR="00FC7BB1" w:rsidRPr="00DD0CE5">
        <w:t>biotechnology</w:t>
      </w:r>
      <w:r w:rsidRPr="00DD0CE5">
        <w:t xml:space="preserve"> innovations</w:t>
      </w:r>
      <w:r w:rsidR="00BC791C" w:rsidRPr="00DD0CE5">
        <w:t xml:space="preserve">. </w:t>
      </w:r>
    </w:p>
    <w:p w14:paraId="34C18EE6" w14:textId="07E033CA" w:rsidR="00ED453B" w:rsidRPr="00DD0CE5" w:rsidRDefault="008D0496" w:rsidP="009E2015">
      <w:r w:rsidRPr="00DD0CE5">
        <w:t>A large market with a streamlined</w:t>
      </w:r>
      <w:r w:rsidR="000E35DF" w:rsidRPr="00DD0CE5">
        <w:t xml:space="preserve">, </w:t>
      </w:r>
      <w:r w:rsidRPr="00DD0CE5">
        <w:t xml:space="preserve">fit-for-purpose regulatory framework ensures </w:t>
      </w:r>
      <w:r w:rsidR="00ED453B" w:rsidRPr="00DD0CE5">
        <w:t>a level playing field</w:t>
      </w:r>
      <w:r w:rsidR="00604409" w:rsidRPr="00DD0CE5">
        <w:t xml:space="preserve"> and reduces compliance costs</w:t>
      </w:r>
      <w:r w:rsidR="00ED453B" w:rsidRPr="00DD0CE5">
        <w:t xml:space="preserve"> in the single market</w:t>
      </w:r>
      <w:r w:rsidR="001E3197" w:rsidRPr="00DD0CE5">
        <w:t>,</w:t>
      </w:r>
      <w:r w:rsidR="00CA3A16" w:rsidRPr="00DD0CE5">
        <w:t xml:space="preserve"> </w:t>
      </w:r>
      <w:r w:rsidR="00604409" w:rsidRPr="00DD0CE5">
        <w:t>thereby</w:t>
      </w:r>
      <w:r w:rsidR="004332D1" w:rsidRPr="00DD0CE5">
        <w:t xml:space="preserve"> support</w:t>
      </w:r>
      <w:r w:rsidR="00604409" w:rsidRPr="00DD0CE5">
        <w:t>ing</w:t>
      </w:r>
      <w:r w:rsidR="004332D1" w:rsidRPr="00DD0CE5">
        <w:t xml:space="preserve"> biotechnology market</w:t>
      </w:r>
      <w:r w:rsidR="00604409" w:rsidRPr="00DD0CE5">
        <w:t xml:space="preserve"> uptake</w:t>
      </w:r>
      <w:r w:rsidR="004332D1" w:rsidRPr="00DD0CE5">
        <w:t xml:space="preserve">. </w:t>
      </w:r>
      <w:r w:rsidR="00ED453B" w:rsidRPr="00DD0CE5">
        <w:t xml:space="preserve">Coordinated EU action </w:t>
      </w:r>
      <w:r w:rsidR="00D71A9B">
        <w:t>in the field of biotechnologies</w:t>
      </w:r>
      <w:r w:rsidR="00ED453B" w:rsidRPr="00DD0CE5">
        <w:t xml:space="preserve"> will generate economies of scale, reduce duplication of efforts, increase legal certainty for </w:t>
      </w:r>
      <w:r w:rsidR="008C0BB8" w:rsidRPr="00DD0CE5">
        <w:t xml:space="preserve">cross border </w:t>
      </w:r>
      <w:r w:rsidR="00ED453B" w:rsidRPr="00DD0CE5">
        <w:t xml:space="preserve">entrepreneurs, and unlock investments, infrastructures and skills development that Member States alone could not achieve. </w:t>
      </w:r>
      <w:r w:rsidR="00A60D62" w:rsidRPr="00DD0CE5">
        <w:t>Union-level c</w:t>
      </w:r>
      <w:r w:rsidR="00C51406" w:rsidRPr="00DD0CE5">
        <w:t xml:space="preserve">oordinated action is expected to yield higher benefits than </w:t>
      </w:r>
      <w:r w:rsidR="001A650D" w:rsidRPr="00DD0CE5">
        <w:t xml:space="preserve">fragmented </w:t>
      </w:r>
      <w:r w:rsidR="00C51406" w:rsidRPr="00DD0CE5">
        <w:t>national measures</w:t>
      </w:r>
      <w:r w:rsidR="00995408" w:rsidRPr="00DD0CE5">
        <w:t>.</w:t>
      </w:r>
    </w:p>
    <w:p w14:paraId="3B50767F" w14:textId="59BC9DE8" w:rsidR="009E086A" w:rsidRPr="00DD0CE5" w:rsidRDefault="00BA4088" w:rsidP="009E2015">
      <w:r w:rsidRPr="00DD0CE5">
        <w:t xml:space="preserve">Regulatory </w:t>
      </w:r>
      <w:r w:rsidR="00C51406" w:rsidRPr="00DD0CE5">
        <w:t>streamlining and clarif</w:t>
      </w:r>
      <w:r w:rsidRPr="00DD0CE5">
        <w:t>ication measures will</w:t>
      </w:r>
      <w:r w:rsidR="00C51406" w:rsidRPr="00DD0CE5">
        <w:t xml:space="preserve"> reduc</w:t>
      </w:r>
      <w:r w:rsidRPr="00DD0CE5">
        <w:t>e</w:t>
      </w:r>
      <w:r w:rsidR="00C51406" w:rsidRPr="00DD0CE5">
        <w:t xml:space="preserve"> administrative burden</w:t>
      </w:r>
      <w:r w:rsidR="002B462A" w:rsidRPr="00DD0CE5">
        <w:t>,</w:t>
      </w:r>
      <w:r w:rsidR="00C51406" w:rsidRPr="00DD0CE5">
        <w:t xml:space="preserve"> </w:t>
      </w:r>
      <w:r w:rsidR="00F6284A" w:rsidRPr="00DD0CE5">
        <w:t>accelerate time-to-</w:t>
      </w:r>
      <w:r w:rsidR="00C51406" w:rsidRPr="00DD0CE5">
        <w:t>market</w:t>
      </w:r>
      <w:r w:rsidR="002B462A" w:rsidRPr="00DD0CE5">
        <w:t xml:space="preserve"> and improve the functioning of the internal market</w:t>
      </w:r>
      <w:r w:rsidR="00C51406" w:rsidRPr="00DD0CE5">
        <w:t xml:space="preserve">, also </w:t>
      </w:r>
      <w:r w:rsidR="002B462A" w:rsidRPr="00DD0CE5">
        <w:t xml:space="preserve">by </w:t>
      </w:r>
      <w:r w:rsidR="00C51406" w:rsidRPr="00DD0CE5">
        <w:t xml:space="preserve">addressing the observed diverging national interpretations </w:t>
      </w:r>
      <w:r w:rsidR="001D3F8A" w:rsidRPr="00DD0CE5">
        <w:t>and</w:t>
      </w:r>
      <w:r w:rsidR="00C51406" w:rsidRPr="00DD0CE5">
        <w:t xml:space="preserve"> additional requirements</w:t>
      </w:r>
      <w:r w:rsidR="00B014DB">
        <w:t>.</w:t>
      </w:r>
      <w:r w:rsidR="00C42A43">
        <w:t xml:space="preserve"> The proposed </w:t>
      </w:r>
      <w:r w:rsidR="00534BF6">
        <w:t xml:space="preserve">Biotech Act </w:t>
      </w:r>
      <w:r w:rsidR="00C42A43">
        <w:t>also seeks to</w:t>
      </w:r>
      <w:r w:rsidR="001D3F8A" w:rsidRPr="00DD0CE5">
        <w:t xml:space="preserve"> </w:t>
      </w:r>
      <w:r w:rsidR="00ED453B" w:rsidRPr="00DD0CE5">
        <w:t>reinforc</w:t>
      </w:r>
      <w:r w:rsidR="00C42A43">
        <w:t>e</w:t>
      </w:r>
      <w:r w:rsidR="00ED453B" w:rsidRPr="00DD0CE5">
        <w:t xml:space="preserve"> the EU’s strategic autonomy in a critical technological area </w:t>
      </w:r>
      <w:r w:rsidR="00AA127A">
        <w:t xml:space="preserve">while </w:t>
      </w:r>
      <w:r w:rsidR="00ED453B" w:rsidRPr="00DD0CE5">
        <w:t>foster</w:t>
      </w:r>
      <w:r w:rsidR="00AA127A">
        <w:t>ing</w:t>
      </w:r>
      <w:r w:rsidR="00ED453B" w:rsidRPr="00DD0CE5">
        <w:t xml:space="preserve"> adequate biosecurity </w:t>
      </w:r>
      <w:r w:rsidR="00AA5E3B">
        <w:t xml:space="preserve">safeguards and biodefence </w:t>
      </w:r>
      <w:r w:rsidR="00ED453B" w:rsidRPr="00DD0CE5">
        <w:t>capabilities.</w:t>
      </w:r>
      <w:bookmarkStart w:id="155" w:name="_Toc217395538"/>
      <w:bookmarkStart w:id="156" w:name="_Toc217396445"/>
      <w:bookmarkEnd w:id="155"/>
      <w:bookmarkEnd w:id="156"/>
    </w:p>
    <w:p w14:paraId="25E18676" w14:textId="0CE1BE42" w:rsidR="00684322" w:rsidRPr="00DD0CE5" w:rsidRDefault="00DF786B" w:rsidP="00684322">
      <w:pPr>
        <w:pStyle w:val="Heading2"/>
      </w:pPr>
      <w:bookmarkStart w:id="157" w:name="_Toc224747216"/>
      <w:bookmarkStart w:id="158" w:name="_Toc224749686"/>
      <w:bookmarkStart w:id="159" w:name="_Toc225974564"/>
      <w:bookmarkStart w:id="160" w:name="_Toc225975237"/>
      <w:bookmarkStart w:id="161" w:name="_Toc225975294"/>
      <w:bookmarkStart w:id="162" w:name="_Toc227941846"/>
      <w:r w:rsidRPr="00DD0CE5">
        <w:t>Intervention logic of the proposal</w:t>
      </w:r>
      <w:bookmarkEnd w:id="157"/>
      <w:bookmarkEnd w:id="158"/>
      <w:bookmarkEnd w:id="159"/>
      <w:bookmarkEnd w:id="160"/>
      <w:bookmarkEnd w:id="161"/>
      <w:bookmarkEnd w:id="162"/>
      <w:r w:rsidR="00722CBF" w:rsidRPr="00DD0CE5">
        <w:t xml:space="preserve"> </w:t>
      </w:r>
    </w:p>
    <w:p w14:paraId="5763014A" w14:textId="65719493" w:rsidR="0026661A" w:rsidRDefault="0026661A" w:rsidP="00BE0195">
      <w:pPr>
        <w:spacing w:after="0"/>
        <w:rPr>
          <w:rStyle w:val="FootnoteReference"/>
          <w:b/>
          <w:bCs/>
          <w:u w:val="single"/>
        </w:rPr>
      </w:pPr>
      <w:r w:rsidRPr="005C642D">
        <w:rPr>
          <w:b/>
        </w:rPr>
        <w:t xml:space="preserve">Figure </w:t>
      </w:r>
      <w:r w:rsidR="00185850" w:rsidRPr="005C642D">
        <w:rPr>
          <w:b/>
        </w:rPr>
        <w:t>4</w:t>
      </w:r>
      <w:r w:rsidR="00FF6357">
        <w:rPr>
          <w:b/>
          <w:bCs/>
        </w:rPr>
        <w:t>.</w:t>
      </w:r>
      <w:r w:rsidRPr="488421B7">
        <w:rPr>
          <w:rStyle w:val="FootnoteReference"/>
          <w:b/>
          <w:bCs/>
        </w:rPr>
        <w:footnoteReference w:id="165"/>
      </w:r>
      <w:r w:rsidR="5D722388" w:rsidRPr="488421B7">
        <w:rPr>
          <w:rStyle w:val="FootnoteReference"/>
          <w:b/>
          <w:bCs/>
        </w:rPr>
        <w:t xml:space="preserve"> </w:t>
      </w:r>
    </w:p>
    <w:p w14:paraId="2EF608BF" w14:textId="060DD617" w:rsidR="006574D8" w:rsidRPr="004F48D9" w:rsidRDefault="00E5354F" w:rsidP="00712460">
      <w:pPr>
        <w:spacing w:after="120"/>
        <w:rPr>
          <w:lang w:val="en-US"/>
        </w:rPr>
      </w:pPr>
      <w:r w:rsidRPr="00E5354F">
        <w:rPr>
          <w:noProof/>
        </w:rPr>
        <w:t xml:space="preserve"> </w:t>
      </w:r>
      <w:r w:rsidR="00401C78" w:rsidRPr="00401C78">
        <w:rPr>
          <w:noProof/>
        </w:rPr>
        <w:t xml:space="preserve"> </w:t>
      </w:r>
      <w:r w:rsidR="00CB4A53" w:rsidRPr="00CB4A53" w:rsidDel="00CB4A53">
        <w:rPr>
          <w:noProof/>
        </w:rPr>
        <w:t xml:space="preserve"> </w:t>
      </w:r>
      <w:r w:rsidR="0077670E" w:rsidRPr="0077670E">
        <w:rPr>
          <w:noProof/>
        </w:rPr>
        <w:t xml:space="preserve"> </w:t>
      </w:r>
      <w:r w:rsidR="00A57663" w:rsidRPr="00A57663">
        <w:rPr>
          <w:noProof/>
          <w:lang w:val="en-US"/>
        </w:rPr>
        <w:drawing>
          <wp:inline distT="0" distB="0" distL="0" distR="0" wp14:anchorId="4AA702C5" wp14:editId="3C5DFE55">
            <wp:extent cx="5897009" cy="3087585"/>
            <wp:effectExtent l="0" t="0" r="8890" b="0"/>
            <wp:docPr id="413508784" name="Picture 1" descr="A diagram of a general objective&#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3508784" name="Picture 1" descr="A diagram of a general objective&#10;&#10;AI-generated content may be incorrect."/>
                    <pic:cNvPicPr/>
                  </pic:nvPicPr>
                  <pic:blipFill>
                    <a:blip r:embed="rId21"/>
                    <a:stretch>
                      <a:fillRect/>
                    </a:stretch>
                  </pic:blipFill>
                  <pic:spPr>
                    <a:xfrm>
                      <a:off x="0" y="0"/>
                      <a:ext cx="5901790" cy="3090088"/>
                    </a:xfrm>
                    <a:prstGeom prst="rect">
                      <a:avLst/>
                    </a:prstGeom>
                  </pic:spPr>
                </pic:pic>
              </a:graphicData>
            </a:graphic>
          </wp:inline>
        </w:drawing>
      </w:r>
    </w:p>
    <w:p w14:paraId="0FCB0881" w14:textId="478BB18C" w:rsidR="00970CC2" w:rsidRDefault="000B14A8" w:rsidP="003456E9">
      <w:r>
        <w:t>F</w:t>
      </w:r>
      <w:r w:rsidR="00970CC2" w:rsidRPr="00930B3D">
        <w:t xml:space="preserve">igure </w:t>
      </w:r>
      <w:r>
        <w:t>5</w:t>
      </w:r>
      <w:r w:rsidRPr="00930B3D">
        <w:t xml:space="preserve"> </w:t>
      </w:r>
      <w:r w:rsidR="00970CC2" w:rsidRPr="00930B3D">
        <w:t xml:space="preserve">illustrates the overall architecture of the Biotech Act, highlighting the two complementary pillars of regulatory streamlining </w:t>
      </w:r>
      <w:r w:rsidR="0028083B">
        <w:t xml:space="preserve">and facilitation </w:t>
      </w:r>
      <w:r w:rsidR="00970CC2" w:rsidRPr="00930B3D">
        <w:t>to accelerate time-to-market and industrial enablers to strengthen the EU biotechnology ecosystem.</w:t>
      </w:r>
    </w:p>
    <w:p w14:paraId="4CC49038" w14:textId="58FCC4EE" w:rsidR="00970CC2" w:rsidRPr="004F48D9" w:rsidRDefault="00970CC2" w:rsidP="003456E9">
      <w:pPr>
        <w:rPr>
          <w:b/>
          <w:bCs/>
          <w:lang w:val="en-US"/>
        </w:rPr>
      </w:pPr>
      <w:r w:rsidRPr="004F48D9">
        <w:rPr>
          <w:b/>
          <w:bCs/>
        </w:rPr>
        <w:t>Figure 5</w:t>
      </w:r>
      <w:r w:rsidR="00FF6357">
        <w:rPr>
          <w:b/>
          <w:bCs/>
        </w:rPr>
        <w:t>.</w:t>
      </w:r>
      <w:r w:rsidRPr="004F48D9">
        <w:rPr>
          <w:b/>
          <w:bCs/>
        </w:rPr>
        <w:t xml:space="preserve"> Biotech Act</w:t>
      </w:r>
      <w:r w:rsidR="00534BF6">
        <w:rPr>
          <w:b/>
          <w:bCs/>
        </w:rPr>
        <w:t xml:space="preserve"> </w:t>
      </w:r>
      <w:r w:rsidRPr="004F48D9">
        <w:rPr>
          <w:b/>
          <w:bCs/>
        </w:rPr>
        <w:t>architecture</w:t>
      </w:r>
    </w:p>
    <w:p w14:paraId="03A9E71D" w14:textId="00C56BB1" w:rsidR="0C94D48C" w:rsidRDefault="00A57CA3" w:rsidP="005C642D">
      <w:pPr>
        <w:pStyle w:val="Text2"/>
        <w:ind w:left="0"/>
        <w:jc w:val="left"/>
      </w:pPr>
      <w:r w:rsidRPr="00A57CA3">
        <w:rPr>
          <w:noProof/>
        </w:rPr>
        <w:drawing>
          <wp:inline distT="0" distB="0" distL="0" distR="0" wp14:anchorId="69F8FA7A" wp14:editId="43CAE3D1">
            <wp:extent cx="5748793" cy="2591559"/>
            <wp:effectExtent l="0" t="0" r="4445" b="0"/>
            <wp:docPr id="1862035321" name="Picture 1" descr="A screenshot of a computer screen&#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62035321" name="Picture 1" descr="A screenshot of a computer screen&#10;&#10;AI-generated content may be incorrect."/>
                    <pic:cNvPicPr/>
                  </pic:nvPicPr>
                  <pic:blipFill>
                    <a:blip r:embed="rId22"/>
                    <a:stretch>
                      <a:fillRect/>
                    </a:stretch>
                  </pic:blipFill>
                  <pic:spPr>
                    <a:xfrm>
                      <a:off x="0" y="0"/>
                      <a:ext cx="5798596" cy="2614010"/>
                    </a:xfrm>
                    <a:prstGeom prst="rect">
                      <a:avLst/>
                    </a:prstGeom>
                  </pic:spPr>
                </pic:pic>
              </a:graphicData>
            </a:graphic>
          </wp:inline>
        </w:drawing>
      </w:r>
      <w:r w:rsidRPr="00A57CA3" w:rsidDel="00A57CA3">
        <w:t xml:space="preserve"> </w:t>
      </w:r>
    </w:p>
    <w:p w14:paraId="5029F1D7" w14:textId="5BA00F20" w:rsidR="00D049C1" w:rsidRPr="00DD0CE5" w:rsidRDefault="00DF786B" w:rsidP="00D049C1">
      <w:pPr>
        <w:pStyle w:val="Heading1"/>
      </w:pPr>
      <w:bookmarkStart w:id="163" w:name="_Toc227941516"/>
      <w:bookmarkStart w:id="164" w:name="_Toc227941847"/>
      <w:r w:rsidRPr="00DD0CE5">
        <w:t>Description of the proposed measures</w:t>
      </w:r>
      <w:r w:rsidR="00722CBF" w:rsidRPr="00DD0CE5">
        <w:t xml:space="preserve"> </w:t>
      </w:r>
      <w:r w:rsidR="0015116E" w:rsidRPr="00DD0CE5">
        <w:t>and</w:t>
      </w:r>
      <w:r w:rsidR="00D049C1" w:rsidRPr="00DD0CE5">
        <w:t xml:space="preserve"> analysis of the</w:t>
      </w:r>
      <w:r w:rsidR="00490B59">
        <w:t>ir</w:t>
      </w:r>
      <w:r w:rsidR="00D049C1" w:rsidRPr="00DD0CE5">
        <w:t xml:space="preserve"> main</w:t>
      </w:r>
      <w:r w:rsidR="0015116E" w:rsidRPr="00DD0CE5">
        <w:t xml:space="preserve"> impacts</w:t>
      </w:r>
      <w:bookmarkEnd w:id="163"/>
      <w:bookmarkEnd w:id="164"/>
    </w:p>
    <w:p w14:paraId="3778D3A3" w14:textId="64352B03" w:rsidR="009F44D0" w:rsidRPr="00E86B7E" w:rsidRDefault="00175E0D" w:rsidP="003456E9">
      <w:r w:rsidRPr="00DD0CE5">
        <w:rPr>
          <w:noProof/>
        </w:rPr>
        <w:t>T</w:t>
      </w:r>
      <w:r w:rsidR="00621405" w:rsidRPr="00DD0CE5">
        <w:rPr>
          <w:noProof/>
        </w:rPr>
        <w:t xml:space="preserve">he measures described below </w:t>
      </w:r>
      <w:r w:rsidR="00601D18">
        <w:rPr>
          <w:noProof/>
        </w:rPr>
        <w:t>are outlined</w:t>
      </w:r>
      <w:r w:rsidR="00797696" w:rsidRPr="00DD0CE5">
        <w:rPr>
          <w:noProof/>
        </w:rPr>
        <w:t xml:space="preserve"> in the proposal for a Regulation and </w:t>
      </w:r>
      <w:r w:rsidR="001B0C66">
        <w:rPr>
          <w:noProof/>
        </w:rPr>
        <w:t xml:space="preserve">the proposal </w:t>
      </w:r>
      <w:r w:rsidR="00797696" w:rsidRPr="00DD0CE5">
        <w:rPr>
          <w:noProof/>
        </w:rPr>
        <w:t>for a Directive</w:t>
      </w:r>
      <w:r w:rsidR="00B20397" w:rsidRPr="00DD0CE5">
        <w:rPr>
          <w:rStyle w:val="FootnoteReference"/>
          <w:rFonts w:eastAsia="Times New Roman"/>
          <w:noProof/>
          <w:color w:val="000000" w:themeColor="text1"/>
        </w:rPr>
        <w:footnoteReference w:id="166"/>
      </w:r>
      <w:r w:rsidR="00797696" w:rsidRPr="00DD0CE5">
        <w:rPr>
          <w:noProof/>
        </w:rPr>
        <w:t xml:space="preserve">. </w:t>
      </w:r>
      <w:r w:rsidR="00010376">
        <w:rPr>
          <w:noProof/>
        </w:rPr>
        <w:t>T</w:t>
      </w:r>
      <w:r w:rsidR="00797696" w:rsidRPr="00DD0CE5">
        <w:rPr>
          <w:noProof/>
        </w:rPr>
        <w:t xml:space="preserve">hey are presented </w:t>
      </w:r>
      <w:r w:rsidR="003664D7">
        <w:rPr>
          <w:noProof/>
        </w:rPr>
        <w:t>in 17</w:t>
      </w:r>
      <w:r w:rsidR="00797696" w:rsidRPr="00DD0CE5">
        <w:rPr>
          <w:noProof/>
        </w:rPr>
        <w:t xml:space="preserve"> packages of </w:t>
      </w:r>
      <w:r w:rsidR="004C5105" w:rsidRPr="00DD0CE5">
        <w:rPr>
          <w:noProof/>
        </w:rPr>
        <w:t>interventions</w:t>
      </w:r>
      <w:r w:rsidR="0055325E" w:rsidRPr="00DD0CE5">
        <w:rPr>
          <w:noProof/>
        </w:rPr>
        <w:t xml:space="preserve">, </w:t>
      </w:r>
      <w:r w:rsidR="00946EDE">
        <w:rPr>
          <w:noProof/>
        </w:rPr>
        <w:t>which fall</w:t>
      </w:r>
      <w:r w:rsidR="00946EDE" w:rsidRPr="00DD0CE5">
        <w:rPr>
          <w:noProof/>
        </w:rPr>
        <w:t xml:space="preserve"> </w:t>
      </w:r>
      <w:r w:rsidR="00162BD4" w:rsidRPr="00DD0CE5">
        <w:rPr>
          <w:noProof/>
        </w:rPr>
        <w:t xml:space="preserve">under </w:t>
      </w:r>
      <w:r w:rsidR="00010376">
        <w:rPr>
          <w:noProof/>
        </w:rPr>
        <w:t>two</w:t>
      </w:r>
      <w:r w:rsidR="00010376" w:rsidRPr="00DD0CE5">
        <w:rPr>
          <w:noProof/>
        </w:rPr>
        <w:t xml:space="preserve"> </w:t>
      </w:r>
      <w:r w:rsidR="0055325E" w:rsidRPr="00DD0CE5">
        <w:rPr>
          <w:noProof/>
        </w:rPr>
        <w:t>catego</w:t>
      </w:r>
      <w:r w:rsidR="00162BD4" w:rsidRPr="00DD0CE5">
        <w:rPr>
          <w:noProof/>
        </w:rPr>
        <w:t>r</w:t>
      </w:r>
      <w:r w:rsidR="00010376">
        <w:rPr>
          <w:noProof/>
        </w:rPr>
        <w:t>ies:</w:t>
      </w:r>
      <w:r w:rsidR="00162BD4" w:rsidRPr="00DD0CE5">
        <w:rPr>
          <w:noProof/>
        </w:rPr>
        <w:t xml:space="preserve"> </w:t>
      </w:r>
      <w:r w:rsidR="003664D7">
        <w:rPr>
          <w:noProof/>
        </w:rPr>
        <w:t xml:space="preserve">eight interventions related to </w:t>
      </w:r>
      <w:r w:rsidR="0055325E" w:rsidRPr="00DD0CE5">
        <w:rPr>
          <w:noProof/>
        </w:rPr>
        <w:t>regulatory streamlining and facilitation measures aim</w:t>
      </w:r>
      <w:r w:rsidR="5A2DFE2D" w:rsidRPr="00DD0CE5">
        <w:rPr>
          <w:noProof/>
        </w:rPr>
        <w:t>ing</w:t>
      </w:r>
      <w:r w:rsidR="0055325E" w:rsidRPr="00DD0CE5">
        <w:rPr>
          <w:noProof/>
        </w:rPr>
        <w:t xml:space="preserve"> at </w:t>
      </w:r>
      <w:r w:rsidR="00B71319" w:rsidRPr="00DD0CE5">
        <w:rPr>
          <w:noProof/>
        </w:rPr>
        <w:t>regulatory simplification</w:t>
      </w:r>
      <w:r w:rsidR="00EC6F01" w:rsidRPr="00DD0CE5">
        <w:rPr>
          <w:noProof/>
        </w:rPr>
        <w:t xml:space="preserve"> </w:t>
      </w:r>
      <w:r w:rsidR="502DCCB6" w:rsidRPr="00DD0CE5">
        <w:rPr>
          <w:noProof/>
        </w:rPr>
        <w:t>(</w:t>
      </w:r>
      <w:r w:rsidR="00EC6F01" w:rsidRPr="00DD0CE5">
        <w:rPr>
          <w:noProof/>
        </w:rPr>
        <w:t xml:space="preserve">addressing </w:t>
      </w:r>
      <w:r w:rsidR="00FA56F9" w:rsidRPr="00DD0CE5">
        <w:rPr>
          <w:noProof/>
        </w:rPr>
        <w:t>driver</w:t>
      </w:r>
      <w:r w:rsidR="006F1F60">
        <w:rPr>
          <w:noProof/>
        </w:rPr>
        <w:t>s</w:t>
      </w:r>
      <w:r w:rsidR="00EC6F01" w:rsidRPr="00DD0CE5">
        <w:rPr>
          <w:noProof/>
        </w:rPr>
        <w:t xml:space="preserve"> </w:t>
      </w:r>
      <w:r w:rsidR="00297E99" w:rsidRPr="00DD0CE5">
        <w:rPr>
          <w:noProof/>
        </w:rPr>
        <w:t>1</w:t>
      </w:r>
      <w:r w:rsidR="006F1F60">
        <w:rPr>
          <w:noProof/>
        </w:rPr>
        <w:t xml:space="preserve"> and 3</w:t>
      </w:r>
      <w:r w:rsidR="0055325E" w:rsidRPr="00DD0CE5">
        <w:rPr>
          <w:noProof/>
        </w:rPr>
        <w:t>)</w:t>
      </w:r>
      <w:r w:rsidR="00D276CE">
        <w:rPr>
          <w:noProof/>
        </w:rPr>
        <w:t>,</w:t>
      </w:r>
      <w:r w:rsidR="0055325E" w:rsidRPr="00DD0CE5">
        <w:rPr>
          <w:noProof/>
        </w:rPr>
        <w:t xml:space="preserve"> </w:t>
      </w:r>
      <w:r w:rsidR="003500A8" w:rsidRPr="00DD0CE5">
        <w:rPr>
          <w:noProof/>
        </w:rPr>
        <w:t xml:space="preserve">and </w:t>
      </w:r>
      <w:r w:rsidR="00D17508">
        <w:rPr>
          <w:noProof/>
        </w:rPr>
        <w:t>nine interventions linked to</w:t>
      </w:r>
      <w:r w:rsidR="003500A8" w:rsidRPr="00DD0CE5">
        <w:rPr>
          <w:noProof/>
        </w:rPr>
        <w:t xml:space="preserve"> </w:t>
      </w:r>
      <w:r w:rsidR="0055325E" w:rsidRPr="00DD0CE5">
        <w:rPr>
          <w:noProof/>
        </w:rPr>
        <w:t>industrial enablers</w:t>
      </w:r>
      <w:r w:rsidR="003500A8" w:rsidRPr="00DD0CE5">
        <w:rPr>
          <w:noProof/>
        </w:rPr>
        <w:t xml:space="preserve"> (</w:t>
      </w:r>
      <w:r w:rsidR="00162BD4" w:rsidRPr="00DD0CE5">
        <w:rPr>
          <w:noProof/>
        </w:rPr>
        <w:t>a</w:t>
      </w:r>
      <w:r w:rsidR="00EC6F01" w:rsidRPr="00DD0CE5">
        <w:rPr>
          <w:noProof/>
        </w:rPr>
        <w:t xml:space="preserve">ddressing </w:t>
      </w:r>
      <w:r w:rsidR="00FA56F9" w:rsidRPr="00DD0CE5">
        <w:rPr>
          <w:noProof/>
        </w:rPr>
        <w:t>driver</w:t>
      </w:r>
      <w:r w:rsidR="006F1F60">
        <w:rPr>
          <w:noProof/>
        </w:rPr>
        <w:t>s</w:t>
      </w:r>
      <w:r w:rsidR="00FA56F9" w:rsidRPr="00DD0CE5">
        <w:rPr>
          <w:noProof/>
        </w:rPr>
        <w:t xml:space="preserve"> 2</w:t>
      </w:r>
      <w:r w:rsidR="006F1F60">
        <w:rPr>
          <w:noProof/>
        </w:rPr>
        <w:t xml:space="preserve"> and 3</w:t>
      </w:r>
      <w:r w:rsidR="00B71319" w:rsidRPr="00DD0CE5">
        <w:rPr>
          <w:noProof/>
        </w:rPr>
        <w:t>)</w:t>
      </w:r>
      <w:r w:rsidR="00EC6F01" w:rsidRPr="00DD0CE5">
        <w:rPr>
          <w:noProof/>
        </w:rPr>
        <w:t>.</w:t>
      </w:r>
      <w:r w:rsidR="00106CDB" w:rsidRPr="00DD0CE5">
        <w:rPr>
          <w:lang w:val="en-US"/>
        </w:rPr>
        <w:t xml:space="preserve"> They are presented in more detail </w:t>
      </w:r>
      <w:r w:rsidR="00302D9D">
        <w:rPr>
          <w:lang w:val="en-US"/>
        </w:rPr>
        <w:t>in</w:t>
      </w:r>
      <w:r w:rsidR="00106CDB" w:rsidRPr="00DD0CE5">
        <w:rPr>
          <w:lang w:val="en-US"/>
        </w:rPr>
        <w:t xml:space="preserve"> Annex </w:t>
      </w:r>
      <w:r w:rsidR="00D4382D">
        <w:rPr>
          <w:lang w:val="en-US"/>
        </w:rPr>
        <w:t>7</w:t>
      </w:r>
      <w:r w:rsidR="00AC2D61">
        <w:rPr>
          <w:lang w:val="en-US"/>
        </w:rPr>
        <w:t xml:space="preserve">. </w:t>
      </w:r>
    </w:p>
    <w:p w14:paraId="7D5EE17C" w14:textId="66BFFEBC" w:rsidR="00F00338" w:rsidRDefault="00AC2D61" w:rsidP="003456E9">
      <w:r w:rsidRPr="00AC2D61">
        <w:t xml:space="preserve">The </w:t>
      </w:r>
      <w:r w:rsidR="00396616">
        <w:t xml:space="preserve">summary </w:t>
      </w:r>
      <w:r w:rsidRPr="00AC2D61">
        <w:t>assessment of measures</w:t>
      </w:r>
      <w:r w:rsidR="00794B64">
        <w:rPr>
          <w:rStyle w:val="FootnoteReference"/>
        </w:rPr>
        <w:footnoteReference w:id="167"/>
      </w:r>
      <w:r w:rsidRPr="00AC2D61">
        <w:t xml:space="preserve"> </w:t>
      </w:r>
      <w:r w:rsidR="00396616">
        <w:t>below</w:t>
      </w:r>
      <w:r w:rsidRPr="00AC2D61">
        <w:t xml:space="preserve"> </w:t>
      </w:r>
      <w:r w:rsidR="00396616">
        <w:t>includes</w:t>
      </w:r>
      <w:r w:rsidRPr="00AC2D61">
        <w:t xml:space="preserve"> tables capturing the key impacts across standard impact categories</w:t>
      </w:r>
      <w:r w:rsidR="00954232" w:rsidRPr="004F48D9">
        <w:rPr>
          <w:rStyle w:val="FootnoteReference"/>
          <w:lang w:val="en-US"/>
        </w:rPr>
        <w:footnoteReference w:id="168"/>
      </w:r>
      <w:r w:rsidRPr="00AC2D61">
        <w:t>. Where sufficiently robust evidence is available,</w:t>
      </w:r>
      <w:r>
        <w:t xml:space="preserve"> </w:t>
      </w:r>
      <w:r w:rsidR="00396616">
        <w:t>key</w:t>
      </w:r>
      <w:r w:rsidRPr="00AC2D61">
        <w:t xml:space="preserve"> impacts are quantified and expressed using numerical estimates. Where quantification is not feasible, impacts are assessed qualitatively using a standardised rating scale</w:t>
      </w:r>
      <w:r w:rsidR="00A55112">
        <w:rPr>
          <w:rStyle w:val="FootnoteReference"/>
        </w:rPr>
        <w:footnoteReference w:id="169"/>
      </w:r>
      <w:r>
        <w:t xml:space="preserve">, </w:t>
      </w:r>
      <w:r w:rsidRPr="00AC2D61">
        <w:t xml:space="preserve">indicating the direction and relative magnitude of effects. For certain measures, tables are not used where the nature of the impacts or the available metrics are better suited to alternative forms of presentation (e.g. narrative analysis or </w:t>
      </w:r>
      <w:r w:rsidR="00396616">
        <w:t>visual</w:t>
      </w:r>
      <w:r w:rsidR="008602A7">
        <w:t xml:space="preserve"> representation</w:t>
      </w:r>
      <w:r w:rsidR="00396616">
        <w:t>s</w:t>
      </w:r>
      <w:r w:rsidRPr="00AC2D61">
        <w:t xml:space="preserve">), </w:t>
      </w:r>
      <w:r w:rsidR="001F09A7" w:rsidRPr="00AC2D61">
        <w:t>to</w:t>
      </w:r>
      <w:r w:rsidRPr="00AC2D61">
        <w:t xml:space="preserve"> ensure a more accurate and meaningful representation of the expected effects.</w:t>
      </w:r>
    </w:p>
    <w:p w14:paraId="7FDF622F" w14:textId="5929F644" w:rsidR="00FF552A" w:rsidRPr="00DD0CE5" w:rsidRDefault="00FF552A" w:rsidP="00FF552A">
      <w:pPr>
        <w:pStyle w:val="Heading2"/>
      </w:pPr>
      <w:bookmarkStart w:id="165" w:name="_Toc222740581"/>
      <w:bookmarkStart w:id="166" w:name="_Toc222831764"/>
      <w:bookmarkStart w:id="167" w:name="_Toc224747218"/>
      <w:bookmarkStart w:id="168" w:name="_Toc224749688"/>
      <w:bookmarkStart w:id="169" w:name="_Toc225974566"/>
      <w:bookmarkStart w:id="170" w:name="_Toc225975239"/>
      <w:bookmarkStart w:id="171" w:name="_Toc225975296"/>
      <w:bookmarkStart w:id="172" w:name="_Toc227941848"/>
      <w:r>
        <w:t>Interventions</w:t>
      </w:r>
      <w:r w:rsidRPr="00DD0CE5">
        <w:t xml:space="preserve"> </w:t>
      </w:r>
      <w:bookmarkEnd w:id="165"/>
      <w:bookmarkEnd w:id="166"/>
      <w:r w:rsidR="00C32547">
        <w:t>for regulatory simplification</w:t>
      </w:r>
      <w:r w:rsidR="00814A78" w:rsidRPr="00DD0CE5">
        <w:t xml:space="preserve">: measures and </w:t>
      </w:r>
      <w:r w:rsidR="003F6224" w:rsidRPr="00DD0CE5">
        <w:t xml:space="preserve">expected </w:t>
      </w:r>
      <w:r w:rsidR="00814A78" w:rsidRPr="00DD0CE5">
        <w:t>impacts</w:t>
      </w:r>
      <w:bookmarkEnd w:id="167"/>
      <w:bookmarkEnd w:id="168"/>
      <w:bookmarkEnd w:id="169"/>
      <w:bookmarkEnd w:id="170"/>
      <w:bookmarkEnd w:id="171"/>
      <w:bookmarkEnd w:id="172"/>
    </w:p>
    <w:p w14:paraId="21133063" w14:textId="0F0F27B4" w:rsidR="00E24094" w:rsidRPr="004A0E58" w:rsidRDefault="002B64B9" w:rsidP="00D82915">
      <w:pPr>
        <w:pStyle w:val="Text2"/>
        <w:ind w:left="0"/>
        <w:rPr>
          <w:color w:val="000000" w:themeColor="text1"/>
          <w:lang w:val="en-US" w:eastAsia="en-GB"/>
        </w:rPr>
      </w:pPr>
      <w:r>
        <w:rPr>
          <w:noProof/>
          <w:color w:val="000000" w:themeColor="text1"/>
        </w:rPr>
        <w:t>Chapter IX of t</w:t>
      </w:r>
      <w:r w:rsidR="004A0E58" w:rsidRPr="00DD0CE5">
        <w:rPr>
          <w:noProof/>
          <w:color w:val="000000" w:themeColor="text1"/>
        </w:rPr>
        <w:t xml:space="preserve">he proposed Regulation and Directive include amendments to EU legislative frameworks in the areas of health, food and feed safety </w:t>
      </w:r>
      <w:r w:rsidR="4DB89614" w:rsidRPr="3AE0E495">
        <w:rPr>
          <w:noProof/>
          <w:color w:val="000000" w:themeColor="text1"/>
        </w:rPr>
        <w:t>as well as</w:t>
      </w:r>
      <w:r w:rsidR="004A0E58" w:rsidRPr="00DD0CE5">
        <w:rPr>
          <w:noProof/>
          <w:color w:val="000000" w:themeColor="text1"/>
        </w:rPr>
        <w:t xml:space="preserve"> GMMs</w:t>
      </w:r>
      <w:r w:rsidR="00C5659E">
        <w:rPr>
          <w:noProof/>
          <w:color w:val="000000" w:themeColor="text1"/>
        </w:rPr>
        <w:t xml:space="preserve">, which </w:t>
      </w:r>
      <w:r w:rsidR="004A0E58" w:rsidRPr="00DD0CE5">
        <w:rPr>
          <w:noProof/>
          <w:color w:val="000000" w:themeColor="text1"/>
        </w:rPr>
        <w:t xml:space="preserve">aim </w:t>
      </w:r>
      <w:r w:rsidR="00C5659E">
        <w:rPr>
          <w:noProof/>
          <w:color w:val="000000" w:themeColor="text1"/>
        </w:rPr>
        <w:t xml:space="preserve">to </w:t>
      </w:r>
      <w:r w:rsidR="004A0E58" w:rsidRPr="00DD0CE5">
        <w:rPr>
          <w:noProof/>
          <w:color w:val="000000" w:themeColor="text1"/>
        </w:rPr>
        <w:t>simplify existing procedures and accelerat</w:t>
      </w:r>
      <w:r w:rsidR="00C5659E">
        <w:rPr>
          <w:noProof/>
          <w:color w:val="000000" w:themeColor="text1"/>
        </w:rPr>
        <w:t>e</w:t>
      </w:r>
      <w:r w:rsidR="004A0E58" w:rsidRPr="00DD0CE5">
        <w:rPr>
          <w:noProof/>
          <w:color w:val="000000" w:themeColor="text1"/>
        </w:rPr>
        <w:t xml:space="preserve"> time</w:t>
      </w:r>
      <w:r w:rsidR="02339A70" w:rsidRPr="3AE0E495">
        <w:rPr>
          <w:noProof/>
          <w:color w:val="000000" w:themeColor="text1"/>
        </w:rPr>
        <w:t>-</w:t>
      </w:r>
      <w:r w:rsidR="004A0E58" w:rsidRPr="00DD0CE5">
        <w:rPr>
          <w:noProof/>
          <w:color w:val="000000" w:themeColor="text1"/>
        </w:rPr>
        <w:t>to</w:t>
      </w:r>
      <w:r w:rsidR="7DE117EF" w:rsidRPr="3AE0E495">
        <w:rPr>
          <w:noProof/>
          <w:color w:val="000000" w:themeColor="text1"/>
        </w:rPr>
        <w:t>-</w:t>
      </w:r>
      <w:r w:rsidR="004A0E58" w:rsidRPr="00DD0CE5">
        <w:rPr>
          <w:noProof/>
          <w:color w:val="000000" w:themeColor="text1"/>
        </w:rPr>
        <w:t>market</w:t>
      </w:r>
      <w:r w:rsidR="5D8D3634" w:rsidRPr="52F443F4">
        <w:rPr>
          <w:noProof/>
          <w:color w:val="000000" w:themeColor="text1"/>
        </w:rPr>
        <w:t>. These</w:t>
      </w:r>
      <w:r w:rsidR="004A0E58" w:rsidRPr="00DD0CE5">
        <w:rPr>
          <w:noProof/>
          <w:color w:val="000000" w:themeColor="text1"/>
        </w:rPr>
        <w:t xml:space="preserve"> </w:t>
      </w:r>
      <w:r w:rsidR="003743D1">
        <w:rPr>
          <w:noProof/>
          <w:color w:val="000000" w:themeColor="text1"/>
        </w:rPr>
        <w:t xml:space="preserve">amendments </w:t>
      </w:r>
      <w:r w:rsidR="004A0E58" w:rsidRPr="00DD0CE5">
        <w:rPr>
          <w:noProof/>
          <w:color w:val="000000" w:themeColor="text1"/>
        </w:rPr>
        <w:t xml:space="preserve">are </w:t>
      </w:r>
      <w:r w:rsidR="003743D1">
        <w:rPr>
          <w:noProof/>
          <w:color w:val="000000" w:themeColor="text1"/>
        </w:rPr>
        <w:t>needed</w:t>
      </w:r>
      <w:r w:rsidR="004A0E58" w:rsidRPr="00DD0CE5">
        <w:rPr>
          <w:noProof/>
          <w:color w:val="000000" w:themeColor="text1"/>
        </w:rPr>
        <w:t xml:space="preserve"> to ensure the effectiveness of the </w:t>
      </w:r>
      <w:r>
        <w:rPr>
          <w:noProof/>
          <w:color w:val="000000" w:themeColor="text1"/>
        </w:rPr>
        <w:t xml:space="preserve">self-standing </w:t>
      </w:r>
      <w:r w:rsidR="008C2821">
        <w:rPr>
          <w:noProof/>
          <w:color w:val="000000" w:themeColor="text1"/>
        </w:rPr>
        <w:t xml:space="preserve">measures </w:t>
      </w:r>
      <w:r w:rsidR="001A0427">
        <w:rPr>
          <w:noProof/>
          <w:color w:val="000000" w:themeColor="text1"/>
        </w:rPr>
        <w:t xml:space="preserve">on </w:t>
      </w:r>
      <w:r w:rsidR="008C2821">
        <w:rPr>
          <w:noProof/>
          <w:color w:val="000000" w:themeColor="text1"/>
        </w:rPr>
        <w:t>industrial enablers</w:t>
      </w:r>
      <w:r>
        <w:rPr>
          <w:noProof/>
          <w:color w:val="000000" w:themeColor="text1"/>
        </w:rPr>
        <w:t xml:space="preserve"> laid down in the proposed Regulation</w:t>
      </w:r>
      <w:r w:rsidR="00A1709A">
        <w:rPr>
          <w:color w:val="000000" w:themeColor="text1"/>
          <w:lang w:val="en-US" w:eastAsia="en-GB"/>
        </w:rPr>
        <w:t>.</w:t>
      </w:r>
    </w:p>
    <w:p w14:paraId="2B35DBCD" w14:textId="072D5386" w:rsidR="000F3479" w:rsidRPr="00DD0CE5" w:rsidRDefault="000F3479" w:rsidP="00023499">
      <w:pPr>
        <w:pStyle w:val="Heading3"/>
      </w:pPr>
      <w:bookmarkStart w:id="173" w:name="_Toc224747219"/>
      <w:bookmarkStart w:id="174" w:name="_Toc224749689"/>
      <w:bookmarkStart w:id="175" w:name="_Toc225974567"/>
      <w:bookmarkStart w:id="176" w:name="_Toc225975240"/>
      <w:bookmarkStart w:id="177" w:name="_Toc225975297"/>
      <w:r>
        <w:t xml:space="preserve">Intervention n°1: </w:t>
      </w:r>
      <w:r w:rsidR="0931D5A1">
        <w:t>Regulatory facilitation</w:t>
      </w:r>
      <w:r w:rsidR="0056684B">
        <w:t xml:space="preserve"> </w:t>
      </w:r>
      <w:r w:rsidR="00537DA7">
        <w:t>for</w:t>
      </w:r>
      <w:r>
        <w:t xml:space="preserve"> novel health biotechnology products</w:t>
      </w:r>
      <w:bookmarkEnd w:id="173"/>
      <w:bookmarkEnd w:id="174"/>
      <w:bookmarkEnd w:id="175"/>
      <w:bookmarkEnd w:id="176"/>
      <w:bookmarkEnd w:id="177"/>
    </w:p>
    <w:p w14:paraId="1CFEAA15" w14:textId="4B53BCDF" w:rsidR="1A461FCB" w:rsidRPr="008B48A9" w:rsidRDefault="3221F5F0" w:rsidP="008B48A9">
      <w:pPr>
        <w:spacing w:before="240"/>
        <w:rPr>
          <w:rFonts w:eastAsia="Times New Roman"/>
        </w:rPr>
      </w:pPr>
      <w:r w:rsidRPr="1A461FCB">
        <w:rPr>
          <w:rFonts w:eastAsia="Times New Roman"/>
        </w:rPr>
        <w:t xml:space="preserve">The </w:t>
      </w:r>
      <w:r w:rsidR="00F61AE4">
        <w:rPr>
          <w:rFonts w:eastAsia="Times New Roman"/>
        </w:rPr>
        <w:t xml:space="preserve">Regulation </w:t>
      </w:r>
      <w:r w:rsidRPr="1A461FCB">
        <w:rPr>
          <w:rFonts w:eastAsia="Times New Roman"/>
        </w:rPr>
        <w:t xml:space="preserve">proposal </w:t>
      </w:r>
      <w:r w:rsidR="002A44BE">
        <w:rPr>
          <w:rFonts w:eastAsia="Times New Roman"/>
        </w:rPr>
        <w:t>sets out</w:t>
      </w:r>
      <w:r w:rsidRPr="1A461FCB">
        <w:rPr>
          <w:rFonts w:eastAsia="Times New Roman"/>
        </w:rPr>
        <w:t xml:space="preserve"> the provision of</w:t>
      </w:r>
      <w:r w:rsidRPr="008B48A9">
        <w:rPr>
          <w:rFonts w:eastAsia="Times New Roman"/>
          <w:b/>
        </w:rPr>
        <w:t xml:space="preserve"> regulatory assistance or support by the EU Health Biotechnology Support Network</w:t>
      </w:r>
      <w:r w:rsidRPr="1A461FCB">
        <w:rPr>
          <w:rFonts w:eastAsia="Times New Roman"/>
        </w:rPr>
        <w:t xml:space="preserve"> to developers. This targeted, early-stage support will be particularly valuable for SMEs, which often lack extensive in-house regulatory expertise</w:t>
      </w:r>
      <w:r w:rsidRPr="68298CCD">
        <w:rPr>
          <w:rFonts w:eastAsia="Times New Roman"/>
        </w:rPr>
        <w:t>.</w:t>
      </w:r>
      <w:r w:rsidRPr="1A461FCB">
        <w:rPr>
          <w:rFonts w:eastAsia="Times New Roman"/>
        </w:rPr>
        <w:t xml:space="preserve"> The support will consist of facilitating information on, and access to, applicable legislative frameworks</w:t>
      </w:r>
      <w:r w:rsidR="009D7813">
        <w:rPr>
          <w:rFonts w:eastAsia="Times New Roman"/>
        </w:rPr>
        <w:t xml:space="preserve">, </w:t>
      </w:r>
      <w:r w:rsidRPr="1A461FCB">
        <w:rPr>
          <w:rFonts w:eastAsia="Times New Roman"/>
        </w:rPr>
        <w:t>including procedures for seeking guidance on regulatory status, rules applicable to products combining different technologies or regulatory frameworks, and access to regulatory sandboxes</w:t>
      </w:r>
      <w:r w:rsidRPr="3B487E92">
        <w:rPr>
          <w:rFonts w:eastAsia="Times New Roman"/>
        </w:rPr>
        <w:t>.</w:t>
      </w:r>
    </w:p>
    <w:p w14:paraId="0C05936B" w14:textId="013A59B9" w:rsidR="1CD5A437" w:rsidRDefault="00E0565E" w:rsidP="1CD5A437">
      <w:pPr>
        <w:pBdr>
          <w:top w:val="nil"/>
          <w:left w:val="nil"/>
          <w:bottom w:val="nil"/>
          <w:right w:val="nil"/>
          <w:between w:val="nil"/>
        </w:pBdr>
        <w:rPr>
          <w:rFonts w:eastAsia="Times New Roman"/>
          <w:lang w:val="en-IE"/>
        </w:rPr>
      </w:pPr>
      <w:r>
        <w:rPr>
          <w:rFonts w:eastAsia="Times New Roman"/>
          <w:noProof/>
          <w:color w:val="000000" w:themeColor="text1"/>
          <w:lang w:val="en-IE"/>
        </w:rPr>
        <w:t>Further, t</w:t>
      </w:r>
      <w:r w:rsidR="000F3479" w:rsidRPr="00DD0CE5">
        <w:rPr>
          <w:rFonts w:eastAsia="Times New Roman"/>
          <w:noProof/>
          <w:color w:val="000000" w:themeColor="text1"/>
          <w:lang w:val="en-IE"/>
        </w:rPr>
        <w:t xml:space="preserve">he </w:t>
      </w:r>
      <w:r>
        <w:rPr>
          <w:rFonts w:eastAsia="Times New Roman"/>
          <w:noProof/>
          <w:color w:val="000000" w:themeColor="text1"/>
          <w:lang w:val="en-IE"/>
        </w:rPr>
        <w:t xml:space="preserve">Regulation </w:t>
      </w:r>
      <w:r w:rsidR="000F3479" w:rsidRPr="00DD0CE5">
        <w:rPr>
          <w:rFonts w:eastAsia="Times New Roman"/>
          <w:noProof/>
          <w:color w:val="000000" w:themeColor="text1"/>
          <w:lang w:val="en-IE"/>
        </w:rPr>
        <w:t xml:space="preserve">proposal establishes a </w:t>
      </w:r>
      <w:r w:rsidR="000F3479" w:rsidRPr="00DD0CE5">
        <w:rPr>
          <w:rFonts w:eastAsia="Times New Roman"/>
          <w:b/>
          <w:bCs/>
          <w:noProof/>
          <w:color w:val="000000" w:themeColor="text1"/>
          <w:lang w:val="en-IE"/>
        </w:rPr>
        <w:t>publicly available regulatory status repository</w:t>
      </w:r>
      <w:r w:rsidR="000F3479" w:rsidRPr="00DD0CE5">
        <w:rPr>
          <w:rFonts w:eastAsia="Times New Roman"/>
          <w:noProof/>
          <w:color w:val="000000" w:themeColor="text1"/>
          <w:lang w:val="en-IE"/>
        </w:rPr>
        <w:t xml:space="preserve"> containing decisions, opinions and scientific recommendations regarding </w:t>
      </w:r>
      <w:r w:rsidR="00650F04">
        <w:rPr>
          <w:rFonts w:eastAsia="Times New Roman"/>
          <w:noProof/>
          <w:color w:val="000000" w:themeColor="text1"/>
          <w:lang w:val="en-IE"/>
        </w:rPr>
        <w:t xml:space="preserve">the </w:t>
      </w:r>
      <w:r w:rsidR="000F3479" w:rsidRPr="00DD0CE5">
        <w:rPr>
          <w:rFonts w:eastAsia="Times New Roman"/>
          <w:noProof/>
          <w:color w:val="000000" w:themeColor="text1"/>
          <w:lang w:val="en-IE"/>
        </w:rPr>
        <w:t xml:space="preserve">regulatory status of health innovations </w:t>
      </w:r>
      <w:r w:rsidR="7E764AFA" w:rsidRPr="0AC51625">
        <w:rPr>
          <w:rFonts w:eastAsia="Times New Roman"/>
          <w:noProof/>
          <w:color w:val="000000" w:themeColor="text1"/>
          <w:lang w:val="en-IE"/>
        </w:rPr>
        <w:t>across the EU</w:t>
      </w:r>
      <w:r w:rsidR="0066198A">
        <w:rPr>
          <w:rFonts w:eastAsia="Times New Roman"/>
          <w:noProof/>
          <w:color w:val="000000" w:themeColor="text1"/>
          <w:lang w:val="en-IE"/>
        </w:rPr>
        <w:t>. This repository aims</w:t>
      </w:r>
      <w:r w:rsidR="7E764AFA" w:rsidRPr="0AC51625">
        <w:rPr>
          <w:rFonts w:eastAsia="Times New Roman"/>
          <w:noProof/>
          <w:color w:val="000000" w:themeColor="text1"/>
          <w:lang w:val="en-IE"/>
        </w:rPr>
        <w:t xml:space="preserve"> </w:t>
      </w:r>
      <w:r w:rsidR="000F3479" w:rsidRPr="00DD0CE5">
        <w:rPr>
          <w:rFonts w:eastAsia="Times New Roman"/>
          <w:noProof/>
          <w:color w:val="000000" w:themeColor="text1"/>
          <w:lang w:val="en-IE"/>
        </w:rPr>
        <w:t xml:space="preserve">to ensure transparency and consistency in regulatory determinations. </w:t>
      </w:r>
      <w:r w:rsidR="5594C313" w:rsidRPr="6B840CEC">
        <w:rPr>
          <w:rFonts w:eastAsia="Times New Roman"/>
          <w:noProof/>
          <w:lang w:val="en-IE"/>
        </w:rPr>
        <w:t xml:space="preserve">It also </w:t>
      </w:r>
      <w:r w:rsidR="00263833">
        <w:rPr>
          <w:rFonts w:eastAsia="Times New Roman"/>
          <w:noProof/>
          <w:lang w:val="en-IE"/>
        </w:rPr>
        <w:t>aims</w:t>
      </w:r>
      <w:r w:rsidR="5594C313" w:rsidRPr="6B840CEC">
        <w:rPr>
          <w:rFonts w:eastAsia="Times New Roman"/>
          <w:noProof/>
          <w:lang w:val="en-IE"/>
        </w:rPr>
        <w:t xml:space="preserve"> to support advisory bodies mandated under sectoral legislation to determine the regulatory status of health products promptly and without undue delay</w:t>
      </w:r>
      <w:r w:rsidR="517C9437" w:rsidRPr="6B840CEC">
        <w:rPr>
          <w:rFonts w:eastAsia="Times New Roman"/>
          <w:lang w:val="en-IE"/>
        </w:rPr>
        <w:t xml:space="preserve">, as well as </w:t>
      </w:r>
      <w:r w:rsidR="5594C313" w:rsidRPr="6B840CEC">
        <w:rPr>
          <w:rFonts w:eastAsia="Times New Roman"/>
          <w:noProof/>
          <w:lang w:val="en-IE"/>
        </w:rPr>
        <w:t xml:space="preserve">to assist </w:t>
      </w:r>
      <w:r w:rsidR="517C9437" w:rsidRPr="6B840CEC">
        <w:rPr>
          <w:rFonts w:eastAsia="Times New Roman"/>
          <w:lang w:val="en-IE"/>
        </w:rPr>
        <w:t xml:space="preserve">developers in </w:t>
      </w:r>
      <w:r w:rsidR="5594C313" w:rsidRPr="6B840CEC">
        <w:rPr>
          <w:rFonts w:eastAsia="Times New Roman"/>
          <w:noProof/>
          <w:lang w:val="en-IE"/>
        </w:rPr>
        <w:t>shaping</w:t>
      </w:r>
      <w:r w:rsidR="517C9437" w:rsidRPr="6B840CEC">
        <w:rPr>
          <w:rFonts w:eastAsia="Times New Roman"/>
          <w:lang w:val="en-IE"/>
        </w:rPr>
        <w:t xml:space="preserve"> their regulatory </w:t>
      </w:r>
      <w:r w:rsidR="010AB501" w:rsidRPr="6B840CEC">
        <w:rPr>
          <w:rFonts w:eastAsia="Times New Roman"/>
          <w:lang w:val="en-IE"/>
        </w:rPr>
        <w:t xml:space="preserve">strategy </w:t>
      </w:r>
      <w:r w:rsidR="5594C313" w:rsidRPr="6B840CEC">
        <w:rPr>
          <w:rFonts w:eastAsia="Times New Roman"/>
          <w:noProof/>
          <w:lang w:val="en-IE"/>
        </w:rPr>
        <w:t xml:space="preserve">based </w:t>
      </w:r>
      <w:r w:rsidR="010AB501" w:rsidRPr="6B840CEC">
        <w:rPr>
          <w:rFonts w:eastAsia="Times New Roman"/>
          <w:lang w:val="en-IE"/>
        </w:rPr>
        <w:t>on existing practice</w:t>
      </w:r>
      <w:r w:rsidR="00E436B4">
        <w:rPr>
          <w:rFonts w:eastAsia="Times New Roman"/>
          <w:lang w:val="en-IE"/>
        </w:rPr>
        <w:t>.</w:t>
      </w:r>
    </w:p>
    <w:p w14:paraId="050CBD32" w14:textId="5C26DE03" w:rsidR="000F3479" w:rsidRPr="00DD0CE5" w:rsidRDefault="000F3479" w:rsidP="000F3479">
      <w:pPr>
        <w:pBdr>
          <w:top w:val="nil"/>
          <w:left w:val="nil"/>
          <w:bottom w:val="nil"/>
          <w:right w:val="nil"/>
          <w:between w:val="nil"/>
        </w:pBdr>
        <w:rPr>
          <w:rFonts w:eastAsia="Times New Roman"/>
          <w:strike/>
          <w:noProof/>
          <w:color w:val="000000" w:themeColor="text1"/>
          <w:lang w:val="en-IE"/>
        </w:rPr>
      </w:pPr>
      <w:r w:rsidRPr="00DD0CE5">
        <w:rPr>
          <w:rFonts w:eastAsia="Times New Roman"/>
          <w:noProof/>
          <w:color w:val="000000" w:themeColor="text1"/>
          <w:lang w:val="en-IE"/>
        </w:rPr>
        <w:t xml:space="preserve">In addition, the proposal establishes a </w:t>
      </w:r>
      <w:r w:rsidR="605FAFAE" w:rsidRPr="004F48D9">
        <w:rPr>
          <w:rFonts w:eastAsia="Times New Roman"/>
          <w:b/>
          <w:color w:val="000000" w:themeColor="text1"/>
          <w:lang w:val="en-IE"/>
        </w:rPr>
        <w:t>f</w:t>
      </w:r>
      <w:r w:rsidRPr="10F71BD5">
        <w:rPr>
          <w:rFonts w:eastAsia="Times New Roman"/>
          <w:b/>
          <w:bCs/>
          <w:noProof/>
          <w:color w:val="000000" w:themeColor="text1"/>
          <w:lang w:val="en-IE"/>
        </w:rPr>
        <w:t xml:space="preserve">oresight </w:t>
      </w:r>
      <w:r w:rsidR="6B3E5235" w:rsidRPr="10F71BD5">
        <w:rPr>
          <w:rFonts w:eastAsia="Times New Roman"/>
          <w:b/>
          <w:bCs/>
          <w:noProof/>
          <w:color w:val="000000" w:themeColor="text1"/>
          <w:lang w:val="en-IE"/>
        </w:rPr>
        <w:t>p</w:t>
      </w:r>
      <w:r w:rsidRPr="00DD0CE5">
        <w:rPr>
          <w:rFonts w:eastAsia="Times New Roman"/>
          <w:b/>
          <w:bCs/>
          <w:noProof/>
          <w:color w:val="000000" w:themeColor="text1"/>
          <w:lang w:val="en-IE"/>
        </w:rPr>
        <w:t xml:space="preserve">anel for </w:t>
      </w:r>
      <w:r w:rsidR="28C3AE71" w:rsidRPr="10F71BD5">
        <w:rPr>
          <w:rFonts w:eastAsia="Times New Roman"/>
          <w:b/>
          <w:bCs/>
          <w:noProof/>
          <w:color w:val="000000" w:themeColor="text1"/>
          <w:lang w:val="en-IE"/>
        </w:rPr>
        <w:t>e</w:t>
      </w:r>
      <w:r w:rsidRPr="10F71BD5">
        <w:rPr>
          <w:rFonts w:eastAsia="Times New Roman"/>
          <w:b/>
          <w:bCs/>
          <w:noProof/>
          <w:color w:val="000000" w:themeColor="text1"/>
          <w:lang w:val="en-IE"/>
        </w:rPr>
        <w:t xml:space="preserve">merging </w:t>
      </w:r>
      <w:r w:rsidR="5119E22A" w:rsidRPr="10F71BD5">
        <w:rPr>
          <w:rFonts w:eastAsia="Times New Roman"/>
          <w:b/>
          <w:bCs/>
          <w:noProof/>
          <w:color w:val="000000" w:themeColor="text1"/>
          <w:lang w:val="en-IE"/>
        </w:rPr>
        <w:t>h</w:t>
      </w:r>
      <w:r w:rsidRPr="00DD0CE5">
        <w:rPr>
          <w:rFonts w:eastAsia="Times New Roman"/>
          <w:b/>
          <w:bCs/>
          <w:noProof/>
          <w:color w:val="000000" w:themeColor="text1"/>
          <w:lang w:val="en-IE"/>
        </w:rPr>
        <w:t>ealth</w:t>
      </w:r>
      <w:r w:rsidRPr="00D82915">
        <w:rPr>
          <w:rFonts w:eastAsia="Times New Roman"/>
          <w:color w:val="000000" w:themeColor="text1"/>
          <w:lang w:val="en-IE"/>
        </w:rPr>
        <w:t xml:space="preserve"> </w:t>
      </w:r>
      <w:r w:rsidR="029D1C4D" w:rsidRPr="00D82915">
        <w:rPr>
          <w:rFonts w:eastAsia="Times New Roman"/>
          <w:b/>
          <w:bCs/>
          <w:color w:val="000000" w:themeColor="text1"/>
          <w:lang w:val="en-IE"/>
        </w:rPr>
        <w:t>i</w:t>
      </w:r>
      <w:r w:rsidRPr="00D82915">
        <w:rPr>
          <w:rFonts w:eastAsia="Times New Roman"/>
          <w:b/>
          <w:color w:val="000000" w:themeColor="text1"/>
          <w:lang w:val="en-IE"/>
        </w:rPr>
        <w:t>nnovation</w:t>
      </w:r>
      <w:r w:rsidR="543510B1" w:rsidRPr="00D82915">
        <w:rPr>
          <w:rFonts w:eastAsia="Times New Roman"/>
          <w:color w:val="000000" w:themeColor="text1"/>
          <w:lang w:val="en-IE"/>
        </w:rPr>
        <w:t xml:space="preserve"> </w:t>
      </w:r>
      <w:r w:rsidR="00DB404B">
        <w:rPr>
          <w:rFonts w:eastAsia="Times New Roman"/>
          <w:noProof/>
          <w:color w:val="000000" w:themeColor="text1"/>
          <w:lang w:val="en-IE"/>
        </w:rPr>
        <w:t>comprising</w:t>
      </w:r>
      <w:r w:rsidR="6B4F452B" w:rsidRPr="00D82915">
        <w:rPr>
          <w:rFonts w:eastAsia="Times New Roman"/>
          <w:color w:val="000000" w:themeColor="text1"/>
          <w:lang w:val="en-IE"/>
        </w:rPr>
        <w:t xml:space="preserve"> </w:t>
      </w:r>
      <w:r w:rsidR="6B4F452B" w:rsidRPr="1DF91161">
        <w:rPr>
          <w:rFonts w:eastAsia="Times New Roman"/>
          <w:noProof/>
          <w:lang w:val="en-IE"/>
        </w:rPr>
        <w:t>scientific and regulatory experts from the SoHO Coordination Board</w:t>
      </w:r>
      <w:r w:rsidR="009A5214">
        <w:rPr>
          <w:rFonts w:eastAsia="Times New Roman"/>
          <w:noProof/>
          <w:lang w:val="en-IE"/>
        </w:rPr>
        <w:t xml:space="preserve"> (</w:t>
      </w:r>
      <w:r w:rsidR="00656D41">
        <w:rPr>
          <w:rFonts w:eastAsia="Times New Roman"/>
          <w:noProof/>
          <w:lang w:val="en-IE"/>
        </w:rPr>
        <w:t>‘</w:t>
      </w:r>
      <w:r w:rsidR="009A5214">
        <w:rPr>
          <w:rFonts w:eastAsia="Times New Roman"/>
          <w:noProof/>
          <w:lang w:val="en-IE"/>
        </w:rPr>
        <w:t>SCB</w:t>
      </w:r>
      <w:r w:rsidR="00656D41">
        <w:rPr>
          <w:rFonts w:eastAsia="Times New Roman"/>
          <w:noProof/>
          <w:lang w:val="en-IE"/>
        </w:rPr>
        <w:t>’</w:t>
      </w:r>
      <w:r w:rsidR="009A5214">
        <w:rPr>
          <w:rFonts w:eastAsia="Times New Roman"/>
          <w:noProof/>
          <w:lang w:val="en-IE"/>
        </w:rPr>
        <w:t>)</w:t>
      </w:r>
      <w:r w:rsidR="6B4F452B" w:rsidRPr="78515833">
        <w:rPr>
          <w:rFonts w:eastAsia="Times New Roman"/>
          <w:noProof/>
          <w:lang w:val="en-IE"/>
        </w:rPr>
        <w:t>,</w:t>
      </w:r>
      <w:r w:rsidR="6B4F452B" w:rsidRPr="1DF91161">
        <w:rPr>
          <w:rFonts w:eastAsia="Times New Roman"/>
          <w:noProof/>
          <w:lang w:val="en-IE"/>
        </w:rPr>
        <w:t xml:space="preserve"> the Medical Devices Coordination Group</w:t>
      </w:r>
      <w:r w:rsidR="009A5214">
        <w:rPr>
          <w:rFonts w:eastAsia="Times New Roman"/>
          <w:noProof/>
          <w:lang w:val="en-IE"/>
        </w:rPr>
        <w:t xml:space="preserve"> (MDCG)</w:t>
      </w:r>
      <w:r w:rsidR="6B4F452B" w:rsidRPr="44CBA300">
        <w:rPr>
          <w:rFonts w:eastAsia="Times New Roman"/>
          <w:noProof/>
          <w:lang w:val="en-IE"/>
        </w:rPr>
        <w:t>,</w:t>
      </w:r>
      <w:r w:rsidR="6B4F452B" w:rsidRPr="1DF91161">
        <w:rPr>
          <w:rFonts w:eastAsia="Times New Roman"/>
          <w:noProof/>
          <w:lang w:val="en-IE"/>
        </w:rPr>
        <w:t xml:space="preserve"> the Coordination group on</w:t>
      </w:r>
      <w:r w:rsidRPr="1DF91161">
        <w:rPr>
          <w:rFonts w:eastAsia="Times New Roman"/>
          <w:lang w:val="en-IE"/>
        </w:rPr>
        <w:t xml:space="preserve"> Health </w:t>
      </w:r>
      <w:r w:rsidR="6B4F452B" w:rsidRPr="1DF91161">
        <w:rPr>
          <w:rFonts w:eastAsia="Times New Roman"/>
          <w:noProof/>
          <w:lang w:val="en-IE"/>
        </w:rPr>
        <w:t>Technology Assessment</w:t>
      </w:r>
      <w:r w:rsidR="6B4F452B" w:rsidRPr="54C8F5A4">
        <w:rPr>
          <w:rFonts w:eastAsia="Times New Roman"/>
          <w:noProof/>
          <w:lang w:val="en-IE"/>
        </w:rPr>
        <w:t xml:space="preserve">, the </w:t>
      </w:r>
      <w:r w:rsidR="009A5214">
        <w:rPr>
          <w:rFonts w:eastAsia="Times New Roman"/>
          <w:noProof/>
          <w:lang w:val="en-IE"/>
        </w:rPr>
        <w:t>EM</w:t>
      </w:r>
      <w:r w:rsidR="00C97897">
        <w:rPr>
          <w:rFonts w:eastAsia="Times New Roman"/>
          <w:noProof/>
          <w:lang w:val="en-IE"/>
        </w:rPr>
        <w:t>A,</w:t>
      </w:r>
      <w:r w:rsidR="6B4F452B" w:rsidRPr="1DF91161">
        <w:rPr>
          <w:rFonts w:eastAsia="Times New Roman"/>
          <w:noProof/>
          <w:lang w:val="en-IE"/>
        </w:rPr>
        <w:t xml:space="preserve"> and the competent authorities of the Member States</w:t>
      </w:r>
      <w:r w:rsidR="6B4F452B" w:rsidRPr="54C8F5A4">
        <w:rPr>
          <w:rFonts w:eastAsia="Times New Roman"/>
          <w:noProof/>
          <w:lang w:val="en-IE"/>
        </w:rPr>
        <w:t xml:space="preserve">. </w:t>
      </w:r>
      <w:r w:rsidR="00A93597">
        <w:rPr>
          <w:rFonts w:eastAsia="Times New Roman"/>
          <w:noProof/>
          <w:lang w:val="en-IE"/>
        </w:rPr>
        <w:t>T</w:t>
      </w:r>
      <w:r w:rsidR="00683D69">
        <w:rPr>
          <w:rFonts w:eastAsia="Times New Roman"/>
          <w:noProof/>
          <w:color w:val="000000" w:themeColor="text1"/>
          <w:lang w:val="en-IE"/>
        </w:rPr>
        <w:t xml:space="preserve">he panel </w:t>
      </w:r>
      <w:r w:rsidR="005940B5">
        <w:rPr>
          <w:rFonts w:eastAsia="Times New Roman"/>
          <w:noProof/>
          <w:color w:val="000000" w:themeColor="text1"/>
          <w:lang w:val="en-IE"/>
        </w:rPr>
        <w:t>would</w:t>
      </w:r>
      <w:r w:rsidRPr="00DD0CE5">
        <w:rPr>
          <w:rFonts w:eastAsia="Times New Roman"/>
          <w:noProof/>
          <w:color w:val="000000" w:themeColor="text1"/>
          <w:lang w:val="en-IE"/>
        </w:rPr>
        <w:t xml:space="preserve"> provide early recommendations to the Commission</w:t>
      </w:r>
      <w:r w:rsidR="00EE1857">
        <w:rPr>
          <w:rFonts w:eastAsia="Times New Roman"/>
          <w:noProof/>
          <w:color w:val="000000" w:themeColor="text1"/>
          <w:lang w:val="en-IE"/>
        </w:rPr>
        <w:t>,</w:t>
      </w:r>
      <w:r w:rsidR="00C97897">
        <w:rPr>
          <w:rFonts w:eastAsia="Times New Roman"/>
          <w:noProof/>
          <w:color w:val="000000" w:themeColor="text1"/>
          <w:lang w:val="en-IE"/>
        </w:rPr>
        <w:t xml:space="preserve"> </w:t>
      </w:r>
      <w:r w:rsidRPr="00DD0CE5">
        <w:rPr>
          <w:rFonts w:eastAsia="Times New Roman"/>
          <w:noProof/>
          <w:color w:val="000000" w:themeColor="text1"/>
          <w:lang w:val="en-IE"/>
        </w:rPr>
        <w:t>relevant EU agencies</w:t>
      </w:r>
      <w:r w:rsidR="00C97897">
        <w:rPr>
          <w:rFonts w:eastAsia="Times New Roman"/>
          <w:noProof/>
          <w:color w:val="000000" w:themeColor="text1"/>
          <w:lang w:val="en-IE"/>
        </w:rPr>
        <w:t>,</w:t>
      </w:r>
      <w:r w:rsidR="53B11483" w:rsidRPr="27580A89">
        <w:rPr>
          <w:rFonts w:eastAsia="Times New Roman"/>
          <w:noProof/>
          <w:color w:val="000000" w:themeColor="text1"/>
          <w:lang w:val="en-IE"/>
        </w:rPr>
        <w:t xml:space="preserve"> </w:t>
      </w:r>
      <w:r w:rsidR="53B11483" w:rsidRPr="26134D99">
        <w:rPr>
          <w:rFonts w:eastAsia="Times New Roman"/>
          <w:noProof/>
          <w:color w:val="000000" w:themeColor="text1"/>
          <w:lang w:val="en-IE"/>
        </w:rPr>
        <w:t xml:space="preserve">and Member State competent </w:t>
      </w:r>
      <w:r w:rsidR="53B11483" w:rsidRPr="274DCF81">
        <w:rPr>
          <w:rFonts w:eastAsia="Times New Roman"/>
          <w:noProof/>
          <w:color w:val="000000" w:themeColor="text1"/>
          <w:lang w:val="en-IE"/>
        </w:rPr>
        <w:t>authorities.</w:t>
      </w:r>
      <w:r w:rsidRPr="00DD0CE5">
        <w:rPr>
          <w:rFonts w:eastAsia="Times New Roman"/>
          <w:noProof/>
          <w:color w:val="000000" w:themeColor="text1"/>
          <w:lang w:val="en-IE"/>
        </w:rPr>
        <w:t xml:space="preserve"> </w:t>
      </w:r>
    </w:p>
    <w:p w14:paraId="54C2ED72" w14:textId="61B33C0B" w:rsidR="000F3479" w:rsidRPr="00DD0CE5" w:rsidRDefault="000F3479" w:rsidP="000F3479">
      <w:pPr>
        <w:pBdr>
          <w:top w:val="nil"/>
          <w:left w:val="nil"/>
          <w:bottom w:val="nil"/>
          <w:right w:val="nil"/>
          <w:between w:val="nil"/>
        </w:pBdr>
        <w:rPr>
          <w:rFonts w:eastAsia="Times New Roman"/>
          <w:noProof/>
          <w:color w:val="000000" w:themeColor="text1"/>
          <w:lang w:val="en-IE"/>
        </w:rPr>
      </w:pPr>
      <w:r w:rsidRPr="00DD0CE5">
        <w:rPr>
          <w:rFonts w:eastAsia="Times New Roman"/>
          <w:noProof/>
          <w:color w:val="000000" w:themeColor="text1"/>
          <w:lang w:val="en-IE"/>
        </w:rPr>
        <w:t xml:space="preserve">Moreover, a </w:t>
      </w:r>
      <w:r w:rsidRPr="00DD0CE5">
        <w:rPr>
          <w:rFonts w:eastAsia="Times New Roman"/>
          <w:b/>
          <w:bCs/>
          <w:noProof/>
          <w:color w:val="000000" w:themeColor="text1"/>
          <w:lang w:val="en-IE"/>
        </w:rPr>
        <w:t xml:space="preserve">cross-framework coordination for regulatory sandboxes </w:t>
      </w:r>
      <w:r w:rsidR="009A3D1B">
        <w:rPr>
          <w:rFonts w:eastAsia="Times New Roman"/>
          <w:b/>
          <w:bCs/>
          <w:noProof/>
          <w:color w:val="000000" w:themeColor="text1"/>
          <w:lang w:val="en-IE"/>
        </w:rPr>
        <w:t xml:space="preserve">in the health area </w:t>
      </w:r>
      <w:r w:rsidRPr="00DD0CE5">
        <w:rPr>
          <w:rFonts w:eastAsia="Times New Roman"/>
          <w:noProof/>
          <w:color w:val="000000" w:themeColor="text1"/>
          <w:lang w:val="en-IE"/>
        </w:rPr>
        <w:t xml:space="preserve"> </w:t>
      </w:r>
      <w:r w:rsidR="005940B5">
        <w:rPr>
          <w:rFonts w:eastAsia="Times New Roman"/>
          <w:noProof/>
          <w:color w:val="000000" w:themeColor="text1"/>
          <w:lang w:val="en-IE"/>
        </w:rPr>
        <w:t xml:space="preserve">aims to </w:t>
      </w:r>
      <w:r w:rsidRPr="00DD0CE5">
        <w:rPr>
          <w:rFonts w:eastAsia="Times New Roman"/>
          <w:noProof/>
          <w:color w:val="000000" w:themeColor="text1"/>
          <w:lang w:val="en-IE"/>
        </w:rPr>
        <w:t>allow for dialogue and information exchange among authorities operating regulatory sandboxes for health biotechnology products across different Union legislative frameworks (MDR, IVDR, SoHO Regulation, Pharmaceutical Regulation). Member State and Union-level</w:t>
      </w:r>
      <w:r w:rsidRPr="00DD0CE5" w:rsidDel="0058647F">
        <w:rPr>
          <w:rFonts w:eastAsia="Times New Roman"/>
          <w:noProof/>
          <w:color w:val="000000" w:themeColor="text1"/>
          <w:lang w:val="en-IE"/>
        </w:rPr>
        <w:t xml:space="preserve"> </w:t>
      </w:r>
      <w:r w:rsidRPr="00DD0CE5">
        <w:rPr>
          <w:rFonts w:eastAsia="Times New Roman"/>
          <w:noProof/>
          <w:color w:val="000000" w:themeColor="text1"/>
          <w:lang w:val="en-IE"/>
        </w:rPr>
        <w:t xml:space="preserve">authorities </w:t>
      </w:r>
      <w:r w:rsidR="799ECA8F" w:rsidRPr="77B02AC3">
        <w:rPr>
          <w:rFonts w:eastAsia="Times New Roman"/>
          <w:noProof/>
          <w:color w:val="000000" w:themeColor="text1"/>
          <w:lang w:val="en-IE"/>
        </w:rPr>
        <w:t xml:space="preserve">operating </w:t>
      </w:r>
      <w:r w:rsidR="799ECA8F" w:rsidRPr="4C6B4A1B">
        <w:rPr>
          <w:rFonts w:eastAsia="Times New Roman"/>
          <w:noProof/>
          <w:color w:val="000000" w:themeColor="text1"/>
          <w:lang w:val="en-IE"/>
        </w:rPr>
        <w:t>sandboxes</w:t>
      </w:r>
      <w:r w:rsidR="6E5534A9" w:rsidRPr="4C6B4A1B">
        <w:rPr>
          <w:rFonts w:eastAsia="Times New Roman"/>
          <w:noProof/>
          <w:color w:val="000000" w:themeColor="text1"/>
          <w:lang w:val="en-IE"/>
        </w:rPr>
        <w:t xml:space="preserve"> under different frameworks</w:t>
      </w:r>
      <w:r w:rsidR="65763CC5" w:rsidRPr="77B02AC3">
        <w:rPr>
          <w:rFonts w:eastAsia="Times New Roman"/>
          <w:noProof/>
          <w:color w:val="000000" w:themeColor="text1"/>
          <w:lang w:val="en-IE"/>
        </w:rPr>
        <w:t xml:space="preserve"> </w:t>
      </w:r>
      <w:r w:rsidR="00FF3AFE">
        <w:rPr>
          <w:rFonts w:eastAsia="Times New Roman"/>
          <w:noProof/>
          <w:color w:val="000000" w:themeColor="text1"/>
          <w:lang w:val="en-IE"/>
        </w:rPr>
        <w:t xml:space="preserve">would have </w:t>
      </w:r>
      <w:r w:rsidR="00E87954">
        <w:rPr>
          <w:rFonts w:eastAsia="Times New Roman"/>
          <w:noProof/>
          <w:color w:val="000000" w:themeColor="text1"/>
          <w:lang w:val="en-IE"/>
        </w:rPr>
        <w:t>to</w:t>
      </w:r>
      <w:r w:rsidRPr="00DD0CE5">
        <w:rPr>
          <w:rFonts w:eastAsia="Times New Roman"/>
          <w:noProof/>
          <w:color w:val="000000" w:themeColor="text1"/>
          <w:lang w:val="en-IE"/>
        </w:rPr>
        <w:t xml:space="preserve"> consult with </w:t>
      </w:r>
      <w:r w:rsidR="6CD294BE" w:rsidRPr="4C6B4A1B">
        <w:rPr>
          <w:rFonts w:eastAsia="Times New Roman"/>
          <w:noProof/>
          <w:color w:val="000000" w:themeColor="text1"/>
          <w:lang w:val="en-IE"/>
        </w:rPr>
        <w:t>each other</w:t>
      </w:r>
      <w:r w:rsidRPr="00DD0CE5">
        <w:rPr>
          <w:rFonts w:eastAsia="Times New Roman"/>
          <w:noProof/>
          <w:color w:val="000000" w:themeColor="text1"/>
          <w:lang w:val="en-IE"/>
        </w:rPr>
        <w:t xml:space="preserve"> and with the </w:t>
      </w:r>
      <w:r w:rsidR="495772EE" w:rsidRPr="09B1FCF2">
        <w:rPr>
          <w:rFonts w:eastAsia="Times New Roman"/>
          <w:noProof/>
          <w:color w:val="000000" w:themeColor="text1"/>
          <w:lang w:val="en-IE"/>
        </w:rPr>
        <w:t>f</w:t>
      </w:r>
      <w:r w:rsidRPr="09B1FCF2">
        <w:rPr>
          <w:rFonts w:eastAsia="Times New Roman"/>
          <w:noProof/>
          <w:color w:val="000000" w:themeColor="text1"/>
          <w:lang w:val="en-IE"/>
        </w:rPr>
        <w:t xml:space="preserve">oresight </w:t>
      </w:r>
      <w:r w:rsidR="7A34753F" w:rsidRPr="09B1FCF2">
        <w:rPr>
          <w:rFonts w:eastAsia="Times New Roman"/>
          <w:noProof/>
          <w:color w:val="000000" w:themeColor="text1"/>
          <w:lang w:val="en-IE"/>
        </w:rPr>
        <w:t>p</w:t>
      </w:r>
      <w:r w:rsidRPr="00DD0CE5">
        <w:rPr>
          <w:rFonts w:eastAsia="Times New Roman"/>
          <w:noProof/>
          <w:color w:val="000000" w:themeColor="text1"/>
          <w:lang w:val="en-IE"/>
        </w:rPr>
        <w:t>anel regarding sandbox design and implementation</w:t>
      </w:r>
      <w:r w:rsidR="152E9AEE" w:rsidRPr="09B1FCF2">
        <w:rPr>
          <w:rFonts w:eastAsia="Times New Roman"/>
          <w:noProof/>
          <w:color w:val="000000" w:themeColor="text1"/>
          <w:lang w:val="en-IE"/>
        </w:rPr>
        <w:t xml:space="preserve">, ensuring the </w:t>
      </w:r>
      <w:r w:rsidR="152E9AEE" w:rsidRPr="7CE5926E">
        <w:rPr>
          <w:rFonts w:eastAsia="Times New Roman"/>
          <w:noProof/>
          <w:color w:val="000000" w:themeColor="text1"/>
          <w:lang w:val="en-IE"/>
        </w:rPr>
        <w:t xml:space="preserve">potential </w:t>
      </w:r>
      <w:r w:rsidR="152E9AEE" w:rsidRPr="09B1FCF2">
        <w:rPr>
          <w:rFonts w:eastAsia="Times New Roman"/>
          <w:noProof/>
          <w:color w:val="000000" w:themeColor="text1"/>
          <w:lang w:val="en-IE"/>
        </w:rPr>
        <w:t xml:space="preserve">integration of </w:t>
      </w:r>
      <w:r w:rsidR="152E9AEE" w:rsidRPr="7CE5926E">
        <w:rPr>
          <w:rFonts w:eastAsia="Times New Roman"/>
          <w:noProof/>
          <w:color w:val="000000" w:themeColor="text1"/>
          <w:lang w:val="en-IE"/>
        </w:rPr>
        <w:t xml:space="preserve">cross-framework aspects, </w:t>
      </w:r>
      <w:r w:rsidR="567D4643" w:rsidRPr="1491A4FF">
        <w:rPr>
          <w:rFonts w:eastAsia="Times New Roman"/>
          <w:noProof/>
          <w:color w:val="000000" w:themeColor="text1"/>
          <w:lang w:val="en-IE"/>
        </w:rPr>
        <w:t>which is needed given</w:t>
      </w:r>
      <w:r w:rsidR="152E9AEE" w:rsidRPr="7CE5926E">
        <w:rPr>
          <w:rFonts w:eastAsia="Times New Roman"/>
          <w:noProof/>
          <w:color w:val="000000" w:themeColor="text1"/>
          <w:lang w:val="en-IE"/>
        </w:rPr>
        <w:t xml:space="preserve"> the increasing cross-cuting nature of </w:t>
      </w:r>
      <w:r w:rsidR="152E9AEE" w:rsidRPr="208BBD87">
        <w:rPr>
          <w:rFonts w:eastAsia="Times New Roman"/>
          <w:noProof/>
          <w:color w:val="000000" w:themeColor="text1"/>
          <w:lang w:val="en-IE"/>
        </w:rPr>
        <w:t>health product innovations</w:t>
      </w:r>
      <w:r w:rsidRPr="208BBD87">
        <w:rPr>
          <w:rFonts w:eastAsia="Times New Roman"/>
          <w:noProof/>
          <w:color w:val="000000" w:themeColor="text1"/>
          <w:lang w:val="en-IE"/>
        </w:rPr>
        <w:t>.</w:t>
      </w:r>
      <w:r w:rsidRPr="00DD0CE5">
        <w:rPr>
          <w:rFonts w:eastAsia="Times New Roman"/>
          <w:noProof/>
          <w:color w:val="000000" w:themeColor="text1"/>
          <w:lang w:val="en-IE"/>
        </w:rPr>
        <w:t xml:space="preserve"> The Commission, </w:t>
      </w:r>
      <w:r w:rsidR="11306531" w:rsidRPr="7AD1DA32">
        <w:rPr>
          <w:rFonts w:eastAsia="Times New Roman"/>
          <w:noProof/>
          <w:color w:val="000000" w:themeColor="text1"/>
          <w:lang w:val="en-IE"/>
        </w:rPr>
        <w:t xml:space="preserve">the </w:t>
      </w:r>
      <w:r w:rsidR="009A5214">
        <w:rPr>
          <w:rFonts w:eastAsia="Times New Roman"/>
          <w:noProof/>
          <w:color w:val="000000" w:themeColor="text1"/>
          <w:lang w:val="en-IE"/>
        </w:rPr>
        <w:t>EMA</w:t>
      </w:r>
      <w:r w:rsidRPr="00DD0CE5">
        <w:rPr>
          <w:rFonts w:eastAsia="Times New Roman"/>
          <w:noProof/>
          <w:color w:val="000000" w:themeColor="text1"/>
          <w:lang w:val="en-IE"/>
        </w:rPr>
        <w:t xml:space="preserve">, the </w:t>
      </w:r>
      <w:r w:rsidR="009A5214">
        <w:rPr>
          <w:rFonts w:eastAsia="Times New Roman"/>
          <w:noProof/>
          <w:color w:val="000000" w:themeColor="text1"/>
          <w:lang w:val="en-IE"/>
        </w:rPr>
        <w:t>MDCG</w:t>
      </w:r>
      <w:r w:rsidRPr="00DD0CE5">
        <w:rPr>
          <w:rFonts w:eastAsia="Times New Roman"/>
          <w:noProof/>
          <w:color w:val="000000" w:themeColor="text1"/>
          <w:lang w:val="en-IE"/>
        </w:rPr>
        <w:t xml:space="preserve"> and the </w:t>
      </w:r>
      <w:r w:rsidR="009A5214">
        <w:rPr>
          <w:rFonts w:eastAsia="Times New Roman"/>
          <w:noProof/>
          <w:color w:val="000000" w:themeColor="text1"/>
          <w:lang w:val="en-IE"/>
        </w:rPr>
        <w:t>SCB</w:t>
      </w:r>
      <w:r w:rsidRPr="00DD0CE5">
        <w:rPr>
          <w:rFonts w:eastAsia="Times New Roman"/>
          <w:noProof/>
          <w:color w:val="000000" w:themeColor="text1"/>
          <w:lang w:val="en-IE"/>
        </w:rPr>
        <w:t xml:space="preserve"> facilitate cross-framework exchanges through the above-mentioned </w:t>
      </w:r>
      <w:r w:rsidR="001B4A45">
        <w:rPr>
          <w:rFonts w:eastAsia="Times New Roman"/>
          <w:noProof/>
          <w:color w:val="000000" w:themeColor="text1"/>
          <w:lang w:val="en-IE"/>
        </w:rPr>
        <w:t>f</w:t>
      </w:r>
      <w:r w:rsidRPr="00DD0CE5">
        <w:rPr>
          <w:rFonts w:eastAsia="Times New Roman"/>
          <w:noProof/>
          <w:color w:val="000000" w:themeColor="text1"/>
          <w:lang w:val="en-IE"/>
        </w:rPr>
        <w:t xml:space="preserve">oresight </w:t>
      </w:r>
      <w:r w:rsidR="001B4A45">
        <w:rPr>
          <w:rFonts w:eastAsia="Times New Roman"/>
          <w:noProof/>
          <w:color w:val="000000" w:themeColor="text1"/>
          <w:lang w:val="en-IE"/>
        </w:rPr>
        <w:t>p</w:t>
      </w:r>
      <w:r w:rsidRPr="00DD0CE5">
        <w:rPr>
          <w:rFonts w:eastAsia="Times New Roman"/>
          <w:noProof/>
          <w:color w:val="000000" w:themeColor="text1"/>
          <w:lang w:val="en-IE"/>
        </w:rPr>
        <w:t>anel, focusing on knowledge sharing (regulatory approaches, technological challenges, best practices) and regulatory learning (identifying implications for future legislative adaptations).</w:t>
      </w:r>
    </w:p>
    <w:p w14:paraId="551C16CA" w14:textId="6A6EDE44" w:rsidR="000F3479" w:rsidRPr="00DD0CE5" w:rsidRDefault="743F7C03" w:rsidP="77345F8B">
      <w:pPr>
        <w:pBdr>
          <w:top w:val="nil"/>
          <w:left w:val="nil"/>
          <w:bottom w:val="nil"/>
          <w:right w:val="nil"/>
          <w:between w:val="nil"/>
        </w:pBdr>
        <w:rPr>
          <w:rFonts w:eastAsia="Times New Roman"/>
          <w:noProof/>
          <w:color w:val="000000" w:themeColor="text1"/>
          <w:lang w:val="en-IE"/>
        </w:rPr>
      </w:pPr>
      <w:r w:rsidRPr="77345F8B">
        <w:rPr>
          <w:rFonts w:eastAsia="Times New Roman"/>
          <w:noProof/>
          <w:color w:val="000000" w:themeColor="text1"/>
          <w:lang w:val="en-IE"/>
        </w:rPr>
        <w:t xml:space="preserve">Finally, the proposal includes the possibility for </w:t>
      </w:r>
      <w:r w:rsidRPr="77345F8B">
        <w:rPr>
          <w:rFonts w:eastAsia="Times New Roman"/>
          <w:b/>
          <w:bCs/>
          <w:noProof/>
          <w:color w:val="000000" w:themeColor="text1"/>
          <w:lang w:val="en-IE"/>
        </w:rPr>
        <w:t>regulatory sandboxes for novel health biotechnology products</w:t>
      </w:r>
      <w:r w:rsidRPr="77345F8B">
        <w:rPr>
          <w:rFonts w:eastAsia="Times New Roman"/>
          <w:noProof/>
          <w:color w:val="000000" w:themeColor="text1"/>
          <w:lang w:val="en-IE"/>
        </w:rPr>
        <w:t xml:space="preserve">. These </w:t>
      </w:r>
      <w:r w:rsidR="64C728FD" w:rsidRPr="77345F8B">
        <w:rPr>
          <w:rFonts w:eastAsia="Times New Roman"/>
          <w:noProof/>
          <w:color w:val="000000" w:themeColor="text1"/>
          <w:lang w:val="en-IE"/>
        </w:rPr>
        <w:t>Commission-led</w:t>
      </w:r>
      <w:r w:rsidRPr="77345F8B">
        <w:rPr>
          <w:rFonts w:eastAsia="Times New Roman"/>
          <w:noProof/>
          <w:color w:val="000000" w:themeColor="text1"/>
          <w:lang w:val="en-IE"/>
        </w:rPr>
        <w:t xml:space="preserve"> sandboxes </w:t>
      </w:r>
      <w:r w:rsidR="6D01A538" w:rsidRPr="77345F8B">
        <w:rPr>
          <w:rFonts w:eastAsia="Times New Roman"/>
          <w:noProof/>
          <w:color w:val="000000" w:themeColor="text1"/>
          <w:lang w:val="en-IE"/>
        </w:rPr>
        <w:t xml:space="preserve"> </w:t>
      </w:r>
      <w:r w:rsidR="679A6E92" w:rsidRPr="72392850">
        <w:rPr>
          <w:rFonts w:eastAsia="Times New Roman"/>
          <w:noProof/>
          <w:color w:val="000000" w:themeColor="text1"/>
          <w:lang w:val="en-IE"/>
        </w:rPr>
        <w:t>are</w:t>
      </w:r>
      <w:r w:rsidRPr="77345F8B">
        <w:rPr>
          <w:rFonts w:eastAsia="Times New Roman"/>
          <w:noProof/>
          <w:color w:val="000000" w:themeColor="text1"/>
          <w:lang w:val="en-IE"/>
        </w:rPr>
        <w:t xml:space="preserve"> </w:t>
      </w:r>
      <w:r w:rsidR="679A6E92" w:rsidRPr="1C743E47">
        <w:rPr>
          <w:rFonts w:eastAsia="Times New Roman"/>
          <w:noProof/>
          <w:color w:val="000000" w:themeColor="text1"/>
          <w:lang w:val="en-IE"/>
        </w:rPr>
        <w:t>designed for</w:t>
      </w:r>
      <w:r w:rsidRPr="1C743E47">
        <w:rPr>
          <w:rFonts w:eastAsia="Times New Roman"/>
          <w:noProof/>
          <w:color w:val="000000" w:themeColor="text1"/>
          <w:lang w:val="en-IE"/>
        </w:rPr>
        <w:t xml:space="preserve"> </w:t>
      </w:r>
      <w:r w:rsidRPr="77345F8B">
        <w:rPr>
          <w:rFonts w:eastAsia="Times New Roman"/>
          <w:noProof/>
          <w:color w:val="000000" w:themeColor="text1"/>
          <w:lang w:val="en-IE"/>
        </w:rPr>
        <w:t>products that</w:t>
      </w:r>
      <w:r w:rsidR="00AF4A82">
        <w:rPr>
          <w:rFonts w:eastAsia="Times New Roman"/>
          <w:noProof/>
          <w:color w:val="000000" w:themeColor="text1"/>
          <w:lang w:val="en-IE"/>
        </w:rPr>
        <w:t xml:space="preserve">, due to their very </w:t>
      </w:r>
      <w:r w:rsidR="00AF4A82" w:rsidRPr="337FC888">
        <w:rPr>
          <w:rFonts w:eastAsia="Times New Roman"/>
          <w:noProof/>
          <w:color w:val="000000" w:themeColor="text1"/>
          <w:lang w:val="en-IE"/>
        </w:rPr>
        <w:t>ea</w:t>
      </w:r>
      <w:r w:rsidR="09D242C1" w:rsidRPr="337FC888">
        <w:rPr>
          <w:rFonts w:eastAsia="Times New Roman"/>
          <w:noProof/>
          <w:color w:val="000000" w:themeColor="text1"/>
          <w:lang w:val="en-IE"/>
        </w:rPr>
        <w:t>r</w:t>
      </w:r>
      <w:r w:rsidR="00AF4A82" w:rsidRPr="337FC888">
        <w:rPr>
          <w:rFonts w:eastAsia="Times New Roman"/>
          <w:noProof/>
          <w:color w:val="000000" w:themeColor="text1"/>
          <w:lang w:val="en-IE"/>
        </w:rPr>
        <w:t>ly</w:t>
      </w:r>
      <w:r w:rsidR="00AF4A82">
        <w:rPr>
          <w:rFonts w:eastAsia="Times New Roman"/>
          <w:noProof/>
          <w:color w:val="000000" w:themeColor="text1"/>
          <w:lang w:val="en-IE"/>
        </w:rPr>
        <w:t xml:space="preserve"> stage of development </w:t>
      </w:r>
      <w:r w:rsidRPr="77345F8B">
        <w:rPr>
          <w:rFonts w:eastAsia="Times New Roman"/>
          <w:noProof/>
          <w:color w:val="000000" w:themeColor="text1"/>
          <w:lang w:val="en-IE"/>
        </w:rPr>
        <w:t xml:space="preserve">cannot be accommodated in existing sectoral sandboxes </w:t>
      </w:r>
      <w:r w:rsidR="5ECDC616" w:rsidRPr="20A51076">
        <w:rPr>
          <w:rFonts w:eastAsia="Times New Roman"/>
          <w:noProof/>
          <w:color w:val="000000" w:themeColor="text1"/>
          <w:lang w:val="en-IE"/>
        </w:rPr>
        <w:t xml:space="preserve">for novel products </w:t>
      </w:r>
      <w:r w:rsidRPr="77345F8B">
        <w:rPr>
          <w:rFonts w:eastAsia="Times New Roman"/>
          <w:noProof/>
          <w:color w:val="000000" w:themeColor="text1"/>
          <w:lang w:val="en-IE"/>
        </w:rPr>
        <w:t>and whose development is hindered by challenges in identifying suitable regulatory procedures</w:t>
      </w:r>
      <w:r w:rsidR="5B5BFA0B" w:rsidRPr="1C743E47">
        <w:rPr>
          <w:rFonts w:eastAsia="Times New Roman"/>
          <w:noProof/>
          <w:color w:val="000000" w:themeColor="text1"/>
          <w:lang w:val="en-IE"/>
        </w:rPr>
        <w:t xml:space="preserve">. </w:t>
      </w:r>
      <w:r w:rsidR="5D5380E2" w:rsidRPr="20A51076">
        <w:rPr>
          <w:rFonts w:eastAsia="Times New Roman"/>
          <w:noProof/>
          <w:color w:val="000000" w:themeColor="text1"/>
          <w:lang w:val="en-IE"/>
        </w:rPr>
        <w:t>They</w:t>
      </w:r>
      <w:r w:rsidR="0FC13986" w:rsidRPr="077A4053">
        <w:rPr>
          <w:rFonts w:eastAsia="Times New Roman"/>
          <w:noProof/>
          <w:color w:val="000000" w:themeColor="text1"/>
          <w:lang w:val="en-IE"/>
        </w:rPr>
        <w:t xml:space="preserve"> offer</w:t>
      </w:r>
      <w:r w:rsidR="69264BD8" w:rsidRPr="13AC3317">
        <w:rPr>
          <w:rFonts w:eastAsia="Times New Roman"/>
          <w:noProof/>
          <w:color w:val="000000" w:themeColor="text1"/>
          <w:lang w:val="en-IE"/>
        </w:rPr>
        <w:t xml:space="preserve"> </w:t>
      </w:r>
      <w:r w:rsidR="017961FF" w:rsidRPr="0C32DCC6">
        <w:rPr>
          <w:rFonts w:eastAsia="Times New Roman"/>
          <w:noProof/>
          <w:color w:val="000000" w:themeColor="text1"/>
          <w:lang w:val="en-IE"/>
        </w:rPr>
        <w:t xml:space="preserve">a </w:t>
      </w:r>
      <w:r w:rsidR="0FC13986" w:rsidRPr="077A4053">
        <w:rPr>
          <w:rFonts w:eastAsia="Times New Roman"/>
          <w:noProof/>
          <w:color w:val="000000" w:themeColor="text1"/>
          <w:lang w:val="en-IE"/>
        </w:rPr>
        <w:t xml:space="preserve">framework </w:t>
      </w:r>
      <w:r w:rsidR="066E4A71" w:rsidRPr="465564B2">
        <w:rPr>
          <w:rFonts w:eastAsia="Times New Roman"/>
          <w:noProof/>
          <w:color w:val="000000" w:themeColor="text1"/>
          <w:lang w:val="en-IE"/>
        </w:rPr>
        <w:t xml:space="preserve">– </w:t>
      </w:r>
      <w:r w:rsidR="0FC13986" w:rsidRPr="465564B2">
        <w:rPr>
          <w:rFonts w:eastAsia="Times New Roman"/>
          <w:noProof/>
          <w:color w:val="000000" w:themeColor="text1"/>
          <w:lang w:val="en-IE"/>
        </w:rPr>
        <w:t>in</w:t>
      </w:r>
      <w:r w:rsidR="017961FF" w:rsidRPr="465564B2">
        <w:rPr>
          <w:rFonts w:eastAsia="Times New Roman"/>
          <w:noProof/>
          <w:color w:val="000000" w:themeColor="text1"/>
          <w:lang w:val="en-IE"/>
        </w:rPr>
        <w:t xml:space="preserve"> </w:t>
      </w:r>
      <w:r w:rsidR="066E4A71" w:rsidRPr="465564B2">
        <w:rPr>
          <w:rFonts w:eastAsia="Times New Roman"/>
          <w:noProof/>
          <w:color w:val="000000" w:themeColor="text1"/>
          <w:lang w:val="en-IE"/>
        </w:rPr>
        <w:t xml:space="preserve">the form of a </w:t>
      </w:r>
      <w:r w:rsidR="3A234EBB" w:rsidRPr="20A51076">
        <w:rPr>
          <w:rFonts w:eastAsia="Times New Roman"/>
          <w:noProof/>
          <w:color w:val="000000" w:themeColor="text1"/>
          <w:lang w:val="en-IE"/>
        </w:rPr>
        <w:t xml:space="preserve">subsidiary </w:t>
      </w:r>
      <w:r w:rsidR="066E4A71" w:rsidRPr="465564B2">
        <w:rPr>
          <w:rFonts w:eastAsia="Times New Roman"/>
          <w:noProof/>
          <w:color w:val="000000" w:themeColor="text1"/>
          <w:lang w:val="en-IE"/>
        </w:rPr>
        <w:t xml:space="preserve">sandbox </w:t>
      </w:r>
      <w:r w:rsidR="0DE4D729" w:rsidRPr="530A15B2">
        <w:rPr>
          <w:rFonts w:eastAsia="Times New Roman"/>
          <w:noProof/>
          <w:color w:val="000000" w:themeColor="text1"/>
          <w:lang w:val="en-IE"/>
        </w:rPr>
        <w:t>–</w:t>
      </w:r>
      <w:r w:rsidR="066E4A71" w:rsidRPr="465564B2">
        <w:rPr>
          <w:rFonts w:eastAsia="Times New Roman"/>
          <w:noProof/>
          <w:color w:val="000000" w:themeColor="text1"/>
          <w:lang w:val="en-IE"/>
        </w:rPr>
        <w:t xml:space="preserve"> for </w:t>
      </w:r>
      <w:r w:rsidR="0DE4D729" w:rsidRPr="6F37FEFA">
        <w:rPr>
          <w:rFonts w:eastAsia="Times New Roman"/>
          <w:noProof/>
          <w:color w:val="000000" w:themeColor="text1"/>
          <w:lang w:val="en-IE"/>
        </w:rPr>
        <w:t>continued</w:t>
      </w:r>
      <w:r w:rsidR="0DE4D729" w:rsidRPr="530A15B2">
        <w:rPr>
          <w:rFonts w:eastAsia="Times New Roman"/>
          <w:noProof/>
          <w:color w:val="000000" w:themeColor="text1"/>
          <w:lang w:val="en-IE"/>
        </w:rPr>
        <w:t xml:space="preserve"> </w:t>
      </w:r>
      <w:r w:rsidR="066E4A71" w:rsidRPr="7538F670">
        <w:rPr>
          <w:rFonts w:eastAsia="Times New Roman"/>
          <w:noProof/>
          <w:color w:val="000000" w:themeColor="text1"/>
          <w:lang w:val="en-IE"/>
        </w:rPr>
        <w:t>engagement</w:t>
      </w:r>
      <w:r w:rsidR="533066E4" w:rsidRPr="5046ADD9">
        <w:rPr>
          <w:rFonts w:eastAsia="Times New Roman"/>
          <w:noProof/>
          <w:color w:val="000000" w:themeColor="text1"/>
          <w:lang w:val="en-IE"/>
        </w:rPr>
        <w:t xml:space="preserve"> with </w:t>
      </w:r>
      <w:r w:rsidR="533066E4" w:rsidRPr="4B7B872C">
        <w:rPr>
          <w:rFonts w:eastAsia="Times New Roman"/>
          <w:noProof/>
          <w:color w:val="000000" w:themeColor="text1"/>
          <w:lang w:val="en-IE"/>
        </w:rPr>
        <w:t>regulator</w:t>
      </w:r>
      <w:r w:rsidR="55D362F5" w:rsidRPr="4B7B872C">
        <w:rPr>
          <w:rFonts w:eastAsia="Times New Roman"/>
          <w:noProof/>
          <w:color w:val="000000" w:themeColor="text1"/>
          <w:lang w:val="en-IE"/>
        </w:rPr>
        <w:t xml:space="preserve">s and eventually </w:t>
      </w:r>
      <w:r w:rsidR="55D362F5" w:rsidRPr="0C8EA387">
        <w:rPr>
          <w:rFonts w:eastAsia="Times New Roman"/>
          <w:noProof/>
          <w:color w:val="000000" w:themeColor="text1"/>
          <w:lang w:val="en-IE"/>
        </w:rPr>
        <w:t xml:space="preserve">a </w:t>
      </w:r>
      <w:r w:rsidR="55D362F5" w:rsidRPr="434FD9CD">
        <w:rPr>
          <w:rFonts w:eastAsia="Times New Roman"/>
          <w:noProof/>
          <w:color w:val="000000" w:themeColor="text1"/>
          <w:lang w:val="en-IE"/>
        </w:rPr>
        <w:t>recommendation on the applicable existing framework for marketing authorisation</w:t>
      </w:r>
      <w:r w:rsidR="7F023303" w:rsidRPr="77345F8B">
        <w:rPr>
          <w:rFonts w:eastAsia="Times New Roman"/>
          <w:noProof/>
          <w:lang w:val="en-IE"/>
        </w:rPr>
        <w:t>.</w:t>
      </w:r>
      <w:r w:rsidRPr="77345F8B">
        <w:rPr>
          <w:rFonts w:eastAsia="Times New Roman"/>
          <w:noProof/>
          <w:color w:val="000000" w:themeColor="text1"/>
          <w:lang w:val="en-IE"/>
        </w:rPr>
        <w:t xml:space="preserve"> Upon substantiated request from developers, the Commission </w:t>
      </w:r>
      <w:r w:rsidR="00A0292D">
        <w:rPr>
          <w:rFonts w:eastAsia="Times New Roman"/>
          <w:noProof/>
          <w:color w:val="000000" w:themeColor="text1"/>
          <w:lang w:val="en-IE"/>
        </w:rPr>
        <w:t xml:space="preserve">would </w:t>
      </w:r>
      <w:r w:rsidRPr="77345F8B">
        <w:rPr>
          <w:rFonts w:eastAsia="Times New Roman"/>
          <w:noProof/>
          <w:color w:val="000000" w:themeColor="text1"/>
          <w:lang w:val="en-IE"/>
        </w:rPr>
        <w:t xml:space="preserve">assess applications and establish </w:t>
      </w:r>
      <w:r w:rsidR="4082C7B9" w:rsidRPr="20A51076">
        <w:rPr>
          <w:rFonts w:eastAsia="Times New Roman"/>
          <w:noProof/>
          <w:color w:val="000000" w:themeColor="text1"/>
          <w:lang w:val="en-IE"/>
        </w:rPr>
        <w:t xml:space="preserve">such a </w:t>
      </w:r>
      <w:r w:rsidR="00A0292D">
        <w:rPr>
          <w:rFonts w:eastAsia="Times New Roman"/>
          <w:noProof/>
          <w:color w:val="000000" w:themeColor="text1"/>
          <w:lang w:val="en-IE"/>
        </w:rPr>
        <w:t xml:space="preserve">regulatory </w:t>
      </w:r>
      <w:r w:rsidRPr="77345F8B">
        <w:rPr>
          <w:rFonts w:eastAsia="Times New Roman"/>
          <w:noProof/>
          <w:color w:val="000000" w:themeColor="text1"/>
          <w:lang w:val="en-IE"/>
        </w:rPr>
        <w:t xml:space="preserve">sandboxes through implementing act. </w:t>
      </w:r>
      <w:r w:rsidR="7B5C7240" w:rsidRPr="77345F8B">
        <w:rPr>
          <w:rFonts w:eastAsia="Times New Roman"/>
          <w:noProof/>
          <w:color w:val="000000" w:themeColor="text1"/>
          <w:lang w:val="en-IE"/>
        </w:rPr>
        <w:t>These s</w:t>
      </w:r>
      <w:r w:rsidRPr="77345F8B">
        <w:rPr>
          <w:rFonts w:eastAsia="Times New Roman"/>
          <w:noProof/>
          <w:color w:val="000000" w:themeColor="text1"/>
          <w:lang w:val="en-IE"/>
        </w:rPr>
        <w:t xml:space="preserve">andboxes </w:t>
      </w:r>
      <w:r w:rsidR="00A0292D">
        <w:rPr>
          <w:rFonts w:eastAsia="Times New Roman"/>
          <w:noProof/>
          <w:color w:val="000000" w:themeColor="text1"/>
          <w:lang w:val="en-IE"/>
        </w:rPr>
        <w:t xml:space="preserve">would </w:t>
      </w:r>
      <w:r w:rsidRPr="77345F8B">
        <w:rPr>
          <w:rFonts w:eastAsia="Times New Roman"/>
          <w:noProof/>
          <w:color w:val="000000" w:themeColor="text1"/>
          <w:lang w:val="en-IE"/>
        </w:rPr>
        <w:t>operate</w:t>
      </w:r>
      <w:r w:rsidR="00F548D5">
        <w:rPr>
          <w:rFonts w:eastAsia="Times New Roman"/>
          <w:noProof/>
          <w:color w:val="000000" w:themeColor="text1"/>
          <w:lang w:val="en-IE"/>
        </w:rPr>
        <w:t xml:space="preserve"> </w:t>
      </w:r>
      <w:r w:rsidRPr="77345F8B">
        <w:rPr>
          <w:rFonts w:eastAsia="Times New Roman"/>
          <w:noProof/>
          <w:color w:val="000000" w:themeColor="text1"/>
          <w:lang w:val="en-IE"/>
        </w:rPr>
        <w:t xml:space="preserve">under time-limited sandbox plans specifying objectives, scope, participants, risk mitigation measures, and supervision arrangements. </w:t>
      </w:r>
      <w:r w:rsidR="009B5C64">
        <w:rPr>
          <w:rFonts w:eastAsia="Times New Roman"/>
          <w:noProof/>
          <w:color w:val="000000" w:themeColor="text1"/>
          <w:lang w:val="en-IE"/>
        </w:rPr>
        <w:t>When assessing the applications</w:t>
      </w:r>
      <w:r w:rsidR="00884487">
        <w:rPr>
          <w:rFonts w:eastAsia="Times New Roman"/>
          <w:noProof/>
          <w:color w:val="000000" w:themeColor="text1"/>
          <w:lang w:val="en-IE"/>
        </w:rPr>
        <w:t xml:space="preserve"> for the establishment of </w:t>
      </w:r>
      <w:r w:rsidR="5C8CB79E" w:rsidRPr="20A51076">
        <w:rPr>
          <w:rFonts w:eastAsia="Times New Roman"/>
          <w:noProof/>
          <w:color w:val="000000" w:themeColor="text1"/>
          <w:lang w:val="en-IE"/>
        </w:rPr>
        <w:t>such</w:t>
      </w:r>
      <w:r w:rsidR="00884487" w:rsidRPr="20A51076">
        <w:rPr>
          <w:rFonts w:eastAsia="Times New Roman"/>
          <w:noProof/>
          <w:color w:val="000000" w:themeColor="text1"/>
          <w:lang w:val="en-IE"/>
        </w:rPr>
        <w:t xml:space="preserve"> a </w:t>
      </w:r>
      <w:r w:rsidR="1643A218" w:rsidRPr="20A51076">
        <w:rPr>
          <w:rFonts w:eastAsia="Times New Roman"/>
          <w:noProof/>
          <w:color w:val="000000" w:themeColor="text1"/>
          <w:lang w:val="en-IE"/>
        </w:rPr>
        <w:t>subsidiary</w:t>
      </w:r>
      <w:r w:rsidR="00884487">
        <w:rPr>
          <w:rFonts w:eastAsia="Times New Roman"/>
          <w:noProof/>
          <w:color w:val="000000" w:themeColor="text1"/>
          <w:lang w:val="en-IE"/>
        </w:rPr>
        <w:t xml:space="preserve"> regulatory sandbox, </w:t>
      </w:r>
      <w:r w:rsidR="00C87F09">
        <w:rPr>
          <w:rFonts w:eastAsia="Times New Roman"/>
          <w:noProof/>
          <w:color w:val="000000" w:themeColor="text1"/>
          <w:lang w:val="en-IE"/>
        </w:rPr>
        <w:t xml:space="preserve">and when developing and implementing the sandbox plan, </w:t>
      </w:r>
      <w:r w:rsidR="00884487">
        <w:rPr>
          <w:rFonts w:eastAsia="Times New Roman"/>
          <w:noProof/>
          <w:color w:val="000000" w:themeColor="text1"/>
          <w:lang w:val="en-IE"/>
        </w:rPr>
        <w:t>t</w:t>
      </w:r>
      <w:r w:rsidRPr="77345F8B">
        <w:rPr>
          <w:rFonts w:eastAsia="Times New Roman"/>
          <w:noProof/>
          <w:color w:val="000000" w:themeColor="text1"/>
          <w:lang w:val="en-IE"/>
        </w:rPr>
        <w:t xml:space="preserve">he Commission may consult </w:t>
      </w:r>
      <w:r w:rsidR="00306B85">
        <w:rPr>
          <w:rFonts w:eastAsia="Times New Roman"/>
          <w:noProof/>
          <w:color w:val="000000" w:themeColor="text1"/>
          <w:lang w:val="en-IE"/>
        </w:rPr>
        <w:t xml:space="preserve">the EMA, the SCB, the MDCG </w:t>
      </w:r>
      <w:r w:rsidR="00E451F7">
        <w:rPr>
          <w:rFonts w:eastAsia="Times New Roman"/>
          <w:noProof/>
          <w:color w:val="000000" w:themeColor="text1"/>
          <w:lang w:val="en-IE"/>
        </w:rPr>
        <w:t>and</w:t>
      </w:r>
      <w:r w:rsidR="00306B85">
        <w:rPr>
          <w:rFonts w:eastAsia="Times New Roman"/>
          <w:noProof/>
          <w:color w:val="000000" w:themeColor="text1"/>
          <w:lang w:val="en-IE"/>
        </w:rPr>
        <w:t xml:space="preserve"> the Foresight Panel</w:t>
      </w:r>
      <w:r w:rsidRPr="77345F8B">
        <w:rPr>
          <w:rFonts w:eastAsia="Times New Roman"/>
          <w:noProof/>
          <w:color w:val="000000" w:themeColor="text1"/>
          <w:lang w:val="en-IE"/>
        </w:rPr>
        <w:t xml:space="preserve">. Upon </w:t>
      </w:r>
      <w:r w:rsidR="007D5F73">
        <w:rPr>
          <w:rFonts w:eastAsia="Times New Roman"/>
          <w:noProof/>
          <w:color w:val="000000" w:themeColor="text1"/>
          <w:lang w:val="en-IE"/>
        </w:rPr>
        <w:t>termination of the regulatory sandbox</w:t>
      </w:r>
      <w:r w:rsidRPr="77345F8B">
        <w:rPr>
          <w:rFonts w:eastAsia="Times New Roman"/>
          <w:noProof/>
          <w:color w:val="000000" w:themeColor="text1"/>
          <w:lang w:val="en-IE"/>
        </w:rPr>
        <w:t xml:space="preserve">, the Commission </w:t>
      </w:r>
      <w:r w:rsidR="00474BB4">
        <w:rPr>
          <w:rFonts w:eastAsia="Times New Roman"/>
          <w:noProof/>
          <w:color w:val="000000" w:themeColor="text1"/>
          <w:lang w:val="en-IE"/>
        </w:rPr>
        <w:t xml:space="preserve">would, upon a request from a developer, </w:t>
      </w:r>
      <w:r w:rsidRPr="77345F8B">
        <w:rPr>
          <w:rFonts w:eastAsia="Times New Roman"/>
          <w:noProof/>
          <w:color w:val="000000" w:themeColor="text1"/>
          <w:lang w:val="en-IE"/>
        </w:rPr>
        <w:t>provide</w:t>
      </w:r>
      <w:r w:rsidR="00CC7E1F">
        <w:rPr>
          <w:rFonts w:eastAsia="Times New Roman"/>
          <w:noProof/>
          <w:color w:val="000000" w:themeColor="text1"/>
          <w:lang w:val="en-IE"/>
        </w:rPr>
        <w:t xml:space="preserve"> a </w:t>
      </w:r>
      <w:r w:rsidRPr="77345F8B">
        <w:rPr>
          <w:rFonts w:eastAsia="Times New Roman"/>
          <w:noProof/>
          <w:color w:val="000000" w:themeColor="text1"/>
          <w:lang w:val="en-IE"/>
        </w:rPr>
        <w:t xml:space="preserve"> recommendation on </w:t>
      </w:r>
      <w:r w:rsidR="769C34BA" w:rsidRPr="77345F8B">
        <w:rPr>
          <w:rFonts w:eastAsia="Times New Roman"/>
          <w:noProof/>
          <w:color w:val="000000" w:themeColor="text1"/>
          <w:lang w:val="en-IE"/>
        </w:rPr>
        <w:t>an</w:t>
      </w:r>
      <w:r w:rsidR="00CC7E1F">
        <w:rPr>
          <w:rFonts w:eastAsia="Times New Roman"/>
          <w:noProof/>
          <w:color w:val="000000" w:themeColor="text1"/>
          <w:lang w:val="en-IE"/>
        </w:rPr>
        <w:t xml:space="preserve"> existing </w:t>
      </w:r>
      <w:r w:rsidRPr="77345F8B">
        <w:rPr>
          <w:rFonts w:eastAsia="Times New Roman"/>
          <w:noProof/>
          <w:color w:val="000000" w:themeColor="text1"/>
          <w:lang w:val="en-IE"/>
        </w:rPr>
        <w:t xml:space="preserve">appropriate regulatory </w:t>
      </w:r>
      <w:r w:rsidR="009E1799">
        <w:rPr>
          <w:rFonts w:eastAsia="Times New Roman"/>
          <w:noProof/>
          <w:color w:val="000000" w:themeColor="text1"/>
          <w:lang w:val="en-IE"/>
        </w:rPr>
        <w:t xml:space="preserve">procedural </w:t>
      </w:r>
      <w:r w:rsidRPr="77345F8B">
        <w:rPr>
          <w:rFonts w:eastAsia="Times New Roman"/>
          <w:noProof/>
          <w:color w:val="000000" w:themeColor="text1"/>
          <w:lang w:val="en-IE"/>
        </w:rPr>
        <w:t xml:space="preserve">pathway </w:t>
      </w:r>
      <w:r w:rsidR="009E1799">
        <w:rPr>
          <w:rFonts w:eastAsia="Times New Roman"/>
          <w:noProof/>
          <w:color w:val="000000" w:themeColor="text1"/>
          <w:lang w:val="en-IE"/>
        </w:rPr>
        <w:t>for authoris</w:t>
      </w:r>
      <w:r w:rsidR="00E451F7">
        <w:rPr>
          <w:rFonts w:eastAsia="Times New Roman"/>
          <w:noProof/>
          <w:color w:val="000000" w:themeColor="text1"/>
          <w:lang w:val="en-IE"/>
        </w:rPr>
        <w:t>i</w:t>
      </w:r>
      <w:r w:rsidR="009E1799">
        <w:rPr>
          <w:rFonts w:eastAsia="Times New Roman"/>
          <w:noProof/>
          <w:color w:val="000000" w:themeColor="text1"/>
          <w:lang w:val="en-IE"/>
        </w:rPr>
        <w:t>ng the placing on the market</w:t>
      </w:r>
      <w:r w:rsidR="004D7725">
        <w:rPr>
          <w:rFonts w:eastAsia="Times New Roman"/>
          <w:noProof/>
          <w:color w:val="000000" w:themeColor="text1"/>
          <w:lang w:val="en-IE"/>
        </w:rPr>
        <w:t xml:space="preserve"> and post-market surveillance and vigilance of the products concerned</w:t>
      </w:r>
      <w:r w:rsidR="00C135E4">
        <w:rPr>
          <w:rFonts w:eastAsia="Times New Roman"/>
          <w:noProof/>
          <w:color w:val="000000" w:themeColor="text1"/>
          <w:lang w:val="en-IE"/>
        </w:rPr>
        <w:t xml:space="preserve"> </w:t>
      </w:r>
      <w:r w:rsidR="5AA469A9" w:rsidRPr="77345F8B">
        <w:rPr>
          <w:rFonts w:eastAsia="Times New Roman"/>
          <w:noProof/>
          <w:color w:val="000000" w:themeColor="text1"/>
          <w:lang w:val="en-IE"/>
        </w:rPr>
        <w:t>under an existing framework</w:t>
      </w:r>
      <w:r w:rsidRPr="77345F8B">
        <w:rPr>
          <w:rFonts w:eastAsia="Times New Roman"/>
          <w:noProof/>
          <w:color w:val="000000" w:themeColor="text1"/>
          <w:lang w:val="en-IE"/>
        </w:rPr>
        <w:t xml:space="preserve"> and may publish reports on lessons learned</w:t>
      </w:r>
      <w:r w:rsidR="00C135E4">
        <w:rPr>
          <w:rFonts w:eastAsia="Times New Roman"/>
          <w:noProof/>
          <w:color w:val="000000" w:themeColor="text1"/>
          <w:lang w:val="en-IE"/>
        </w:rPr>
        <w:t xml:space="preserve"> from the regulatory sandboxes</w:t>
      </w:r>
      <w:r w:rsidRPr="77345F8B">
        <w:rPr>
          <w:rFonts w:eastAsia="Times New Roman"/>
          <w:noProof/>
          <w:color w:val="000000" w:themeColor="text1"/>
          <w:lang w:val="en-IE"/>
        </w:rPr>
        <w:t>.</w:t>
      </w:r>
    </w:p>
    <w:p w14:paraId="5C00BA41" w14:textId="5C393C91" w:rsidR="00916375" w:rsidRPr="004F48D9" w:rsidRDefault="55CA8F66" w:rsidP="000F3479">
      <w:pPr>
        <w:pBdr>
          <w:top w:val="nil"/>
          <w:left w:val="nil"/>
          <w:bottom w:val="nil"/>
          <w:right w:val="nil"/>
          <w:between w:val="nil"/>
        </w:pBdr>
        <w:rPr>
          <w:rFonts w:eastAsia="Times New Roman"/>
          <w:noProof/>
          <w:color w:val="000000" w:themeColor="text1"/>
          <w:u w:val="single"/>
          <w:lang w:val="en-IE"/>
        </w:rPr>
      </w:pPr>
      <w:r w:rsidRPr="004F48D9">
        <w:rPr>
          <w:rFonts w:eastAsia="Times New Roman"/>
          <w:noProof/>
          <w:color w:val="000000" w:themeColor="text1"/>
          <w:u w:val="single"/>
          <w:lang w:val="en-IE"/>
        </w:rPr>
        <w:t>E</w:t>
      </w:r>
      <w:r w:rsidR="00C34F68" w:rsidRPr="004F48D9">
        <w:rPr>
          <w:rFonts w:eastAsia="Times New Roman"/>
          <w:noProof/>
          <w:color w:val="000000" w:themeColor="text1"/>
          <w:u w:val="single"/>
          <w:lang w:val="en-IE"/>
        </w:rPr>
        <w:t>xpected impacts</w:t>
      </w:r>
      <w:r w:rsidR="05591D21" w:rsidRPr="004F48D9">
        <w:rPr>
          <w:rFonts w:eastAsia="Times New Roman"/>
          <w:noProof/>
          <w:color w:val="000000" w:themeColor="text1"/>
          <w:u w:val="single"/>
          <w:lang w:val="en-IE"/>
        </w:rPr>
        <w:t xml:space="preserve">: </w:t>
      </w:r>
    </w:p>
    <w:p w14:paraId="275ED8E3" w14:textId="110EAAEF" w:rsidR="5373D27A" w:rsidRPr="0050521E" w:rsidRDefault="50717752" w:rsidP="069FF384">
      <w:pPr>
        <w:pBdr>
          <w:top w:val="nil"/>
          <w:left w:val="nil"/>
          <w:bottom w:val="nil"/>
          <w:right w:val="nil"/>
          <w:between w:val="nil"/>
        </w:pBdr>
        <w:spacing w:after="270"/>
        <w:rPr>
          <w:rFonts w:eastAsia="Times New Roman"/>
        </w:rPr>
      </w:pPr>
      <w:r w:rsidRPr="3105FCC1">
        <w:rPr>
          <w:rFonts w:eastAsia="Times New Roman"/>
          <w:noProof/>
          <w:lang w:val="en-IE"/>
        </w:rPr>
        <w:t xml:space="preserve">It is crucial for research, business, investment and patients that the EU regulatory system can efficiently and adequately </w:t>
      </w:r>
      <w:r w:rsidRPr="00F02031">
        <w:rPr>
          <w:rFonts w:eastAsia="Times New Roman"/>
          <w:noProof/>
          <w:lang w:val="en-IE"/>
        </w:rPr>
        <w:t xml:space="preserve">assess </w:t>
      </w:r>
      <w:r w:rsidR="21572CA1" w:rsidRPr="00F02031">
        <w:rPr>
          <w:rFonts w:eastAsia="Times New Roman"/>
          <w:noProof/>
          <w:lang w:val="en-IE"/>
        </w:rPr>
        <w:t>highly innovative health biotechnology</w:t>
      </w:r>
      <w:r w:rsidRPr="00F02031">
        <w:rPr>
          <w:rFonts w:eastAsia="Times New Roman"/>
          <w:noProof/>
          <w:lang w:val="en-IE"/>
        </w:rPr>
        <w:t xml:space="preserve"> products.</w:t>
      </w:r>
      <w:r w:rsidR="31B6E02B" w:rsidRPr="00F02031">
        <w:rPr>
          <w:rFonts w:eastAsia="Times New Roman"/>
          <w:noProof/>
          <w:lang w:val="en-IE"/>
        </w:rPr>
        <w:t xml:space="preserve"> </w:t>
      </w:r>
      <w:r w:rsidR="65D76184" w:rsidRPr="0050521E">
        <w:rPr>
          <w:rFonts w:eastAsia="Times New Roman"/>
        </w:rPr>
        <w:t xml:space="preserve">With the </w:t>
      </w:r>
      <w:r w:rsidR="12DC8CBB" w:rsidRPr="0050521E">
        <w:rPr>
          <w:rFonts w:eastAsia="Times New Roman"/>
        </w:rPr>
        <w:t xml:space="preserve">above </w:t>
      </w:r>
      <w:r w:rsidR="65D76184" w:rsidRPr="0050521E">
        <w:rPr>
          <w:rFonts w:eastAsia="Times New Roman"/>
        </w:rPr>
        <w:t>propos</w:t>
      </w:r>
      <w:r w:rsidR="306F8B7A" w:rsidRPr="0050521E">
        <w:rPr>
          <w:rFonts w:eastAsia="Times New Roman"/>
        </w:rPr>
        <w:t>ed measures</w:t>
      </w:r>
      <w:r w:rsidR="5E01D2A1" w:rsidRPr="0050521E">
        <w:rPr>
          <w:rFonts w:eastAsia="Times New Roman"/>
        </w:rPr>
        <w:t xml:space="preserve">, the </w:t>
      </w:r>
      <w:r w:rsidR="00C135E4" w:rsidRPr="0050521E">
        <w:rPr>
          <w:rFonts w:eastAsia="Times New Roman"/>
        </w:rPr>
        <w:t xml:space="preserve">Regulation proposal </w:t>
      </w:r>
      <w:r w:rsidR="00AD15BB" w:rsidRPr="0050521E">
        <w:rPr>
          <w:rFonts w:eastAsia="Times New Roman"/>
        </w:rPr>
        <w:t xml:space="preserve">aims </w:t>
      </w:r>
      <w:r w:rsidR="00F5613D" w:rsidRPr="0050521E">
        <w:rPr>
          <w:rFonts w:eastAsia="Times New Roman"/>
        </w:rPr>
        <w:t>to</w:t>
      </w:r>
      <w:r w:rsidR="5E01D2A1" w:rsidRPr="0050521E">
        <w:rPr>
          <w:rFonts w:eastAsia="Times New Roman"/>
        </w:rPr>
        <w:t xml:space="preserve"> introduc</w:t>
      </w:r>
      <w:r w:rsidR="00F5613D" w:rsidRPr="0050521E">
        <w:rPr>
          <w:rFonts w:eastAsia="Times New Roman"/>
        </w:rPr>
        <w:t>e</w:t>
      </w:r>
      <w:r w:rsidR="0060487B" w:rsidRPr="0050521E">
        <w:rPr>
          <w:rFonts w:eastAsia="Times New Roman"/>
        </w:rPr>
        <w:t xml:space="preserve"> </w:t>
      </w:r>
      <w:r w:rsidR="5E01D2A1" w:rsidRPr="0050521E">
        <w:rPr>
          <w:rFonts w:eastAsia="Times New Roman"/>
        </w:rPr>
        <w:t xml:space="preserve">a comprehensive set of regulatory tools designed to make the EU </w:t>
      </w:r>
      <w:r w:rsidR="005B1815" w:rsidRPr="0050521E">
        <w:rPr>
          <w:rFonts w:eastAsia="Times New Roman"/>
        </w:rPr>
        <w:t>regulatory</w:t>
      </w:r>
      <w:r w:rsidR="5E01D2A1" w:rsidRPr="0050521E">
        <w:rPr>
          <w:rFonts w:eastAsia="Times New Roman"/>
        </w:rPr>
        <w:t xml:space="preserve"> system more predictable, efficient, and innovation-friendly without compromising safety requirements. </w:t>
      </w:r>
    </w:p>
    <w:p w14:paraId="65FF219B" w14:textId="38F475C5" w:rsidR="5373D27A" w:rsidRPr="0050521E" w:rsidRDefault="006428C8" w:rsidP="56E203B2">
      <w:pPr>
        <w:spacing w:after="270"/>
        <w:rPr>
          <w:rFonts w:eastAsia="Times New Roman"/>
        </w:rPr>
      </w:pPr>
      <w:r w:rsidRPr="0050521E">
        <w:rPr>
          <w:rFonts w:eastAsia="Times New Roman"/>
          <w:b/>
        </w:rPr>
        <w:t>C</w:t>
      </w:r>
      <w:r w:rsidR="00DC14F4" w:rsidRPr="0050521E">
        <w:rPr>
          <w:rFonts w:eastAsia="Times New Roman"/>
          <w:b/>
        </w:rPr>
        <w:t>onduct of business</w:t>
      </w:r>
      <w:r w:rsidRPr="0050521E">
        <w:rPr>
          <w:rFonts w:eastAsia="Times New Roman"/>
        </w:rPr>
        <w:t>:</w:t>
      </w:r>
      <w:r w:rsidR="5E01D2A1" w:rsidRPr="0050521E">
        <w:rPr>
          <w:rFonts w:eastAsia="Times New Roman"/>
        </w:rPr>
        <w:t xml:space="preserve"> </w:t>
      </w:r>
      <w:r w:rsidRPr="0050521E">
        <w:rPr>
          <w:rFonts w:eastAsia="Times New Roman"/>
        </w:rPr>
        <w:t>T</w:t>
      </w:r>
      <w:r w:rsidR="5E01D2A1" w:rsidRPr="0050521E">
        <w:rPr>
          <w:rFonts w:eastAsia="Times New Roman"/>
        </w:rPr>
        <w:t xml:space="preserve">hese tools are expected to </w:t>
      </w:r>
      <w:r w:rsidR="00E412FD" w:rsidRPr="0050521E">
        <w:rPr>
          <w:rFonts w:eastAsia="Times New Roman"/>
        </w:rPr>
        <w:t>generate positive effects,</w:t>
      </w:r>
      <w:r w:rsidR="00514E4F" w:rsidRPr="0050521E">
        <w:rPr>
          <w:rFonts w:eastAsia="Times New Roman"/>
        </w:rPr>
        <w:t xml:space="preserve"> as t</w:t>
      </w:r>
      <w:r w:rsidR="5E01D2A1" w:rsidRPr="0050521E">
        <w:rPr>
          <w:rFonts w:eastAsia="Times New Roman"/>
        </w:rPr>
        <w:t xml:space="preserve">he </w:t>
      </w:r>
      <w:r w:rsidR="2D381E26" w:rsidRPr="0050521E">
        <w:rPr>
          <w:rFonts w:eastAsia="Times New Roman"/>
        </w:rPr>
        <w:t>r</w:t>
      </w:r>
      <w:r w:rsidR="5E01D2A1" w:rsidRPr="0050521E">
        <w:rPr>
          <w:rFonts w:eastAsia="Times New Roman"/>
        </w:rPr>
        <w:t xml:space="preserve">epository </w:t>
      </w:r>
      <w:r w:rsidR="00C135E4" w:rsidRPr="0050521E">
        <w:rPr>
          <w:rFonts w:eastAsia="Times New Roman"/>
        </w:rPr>
        <w:t xml:space="preserve">would </w:t>
      </w:r>
      <w:r w:rsidR="5E01D2A1" w:rsidRPr="0050521E">
        <w:rPr>
          <w:rFonts w:eastAsia="Times New Roman"/>
        </w:rPr>
        <w:t>provide guiding documented regulatory interpretations for similar products, enabling firms to benchmark approaches</w:t>
      </w:r>
      <w:r w:rsidR="7FFB608A" w:rsidRPr="0050521E">
        <w:rPr>
          <w:rFonts w:eastAsia="Times New Roman"/>
        </w:rPr>
        <w:t>.</w:t>
      </w:r>
      <w:r w:rsidR="5E01D2A1" w:rsidRPr="0050521E">
        <w:rPr>
          <w:rFonts w:eastAsia="Times New Roman"/>
        </w:rPr>
        <w:t xml:space="preserve"> Navigation assistance </w:t>
      </w:r>
      <w:r w:rsidR="0F072879" w:rsidRPr="0050521E">
        <w:rPr>
          <w:rFonts w:eastAsia="Times New Roman"/>
        </w:rPr>
        <w:t xml:space="preserve">by the </w:t>
      </w:r>
      <w:r w:rsidR="00E87F0F" w:rsidRPr="0050521E">
        <w:rPr>
          <w:rFonts w:eastAsia="Times New Roman"/>
        </w:rPr>
        <w:t>S</w:t>
      </w:r>
      <w:r w:rsidR="0F072879" w:rsidRPr="0050521E">
        <w:rPr>
          <w:rFonts w:eastAsia="Times New Roman"/>
        </w:rPr>
        <w:t xml:space="preserve">upport </w:t>
      </w:r>
      <w:r w:rsidR="00E87F0F" w:rsidRPr="0050521E">
        <w:rPr>
          <w:rFonts w:eastAsia="Times New Roman"/>
        </w:rPr>
        <w:t>N</w:t>
      </w:r>
      <w:r w:rsidR="0F072879" w:rsidRPr="0050521E">
        <w:rPr>
          <w:rFonts w:eastAsia="Times New Roman"/>
        </w:rPr>
        <w:t xml:space="preserve">etwork </w:t>
      </w:r>
      <w:r w:rsidR="5E01D2A1" w:rsidRPr="0050521E">
        <w:rPr>
          <w:rFonts w:eastAsia="Times New Roman"/>
        </w:rPr>
        <w:t>will deliver targeted, early-stage support particularly valuable for SMEs</w:t>
      </w:r>
      <w:r w:rsidR="355844CD" w:rsidRPr="0050521E">
        <w:rPr>
          <w:rFonts w:eastAsia="Times New Roman"/>
        </w:rPr>
        <w:t>, which often l</w:t>
      </w:r>
      <w:r w:rsidR="7FFB608A" w:rsidRPr="0050521E">
        <w:rPr>
          <w:rFonts w:eastAsia="Times New Roman"/>
        </w:rPr>
        <w:t>ack</w:t>
      </w:r>
      <w:r w:rsidR="5E01D2A1" w:rsidRPr="0050521E">
        <w:rPr>
          <w:rFonts w:eastAsia="Times New Roman"/>
        </w:rPr>
        <w:t xml:space="preserve"> extensive in-house regulatory expertise</w:t>
      </w:r>
      <w:r w:rsidR="15B31A79" w:rsidRPr="0050521E">
        <w:rPr>
          <w:rFonts w:eastAsia="Times New Roman"/>
        </w:rPr>
        <w:t xml:space="preserve"> and often rely</w:t>
      </w:r>
      <w:r w:rsidR="5E01D2A1" w:rsidRPr="0050521E">
        <w:rPr>
          <w:rFonts w:eastAsia="Times New Roman"/>
        </w:rPr>
        <w:t xml:space="preserve"> on costly external consultancy. The foresight panel for emerging innovation </w:t>
      </w:r>
      <w:r w:rsidR="00C135E4" w:rsidRPr="0050521E">
        <w:rPr>
          <w:rFonts w:eastAsia="Times New Roman"/>
        </w:rPr>
        <w:t>would</w:t>
      </w:r>
      <w:r w:rsidR="5E01D2A1" w:rsidRPr="0050521E">
        <w:rPr>
          <w:rFonts w:eastAsia="Times New Roman"/>
        </w:rPr>
        <w:t xml:space="preserve"> increase the regulatory readiness of the legislative frameworks in the health area by allowing them to integrate approaches to new technologies in a timely way. The panel, offering a forum for structured dialogue across the frameworks, also </w:t>
      </w:r>
      <w:r w:rsidR="00741A84" w:rsidRPr="0050521E">
        <w:rPr>
          <w:rFonts w:eastAsia="Times New Roman"/>
        </w:rPr>
        <w:t>aim</w:t>
      </w:r>
      <w:r w:rsidR="0055372C" w:rsidRPr="0050521E">
        <w:rPr>
          <w:rFonts w:eastAsia="Times New Roman"/>
        </w:rPr>
        <w:t>s</w:t>
      </w:r>
      <w:r w:rsidR="00741A84" w:rsidRPr="0050521E">
        <w:rPr>
          <w:rFonts w:eastAsia="Times New Roman"/>
        </w:rPr>
        <w:t xml:space="preserve"> to </w:t>
      </w:r>
      <w:r w:rsidR="5E01D2A1" w:rsidRPr="0050521E">
        <w:rPr>
          <w:rFonts w:eastAsia="Times New Roman"/>
        </w:rPr>
        <w:t xml:space="preserve">ensure a cross-framework perspective on emerging technologies, which is needed as innovation increasingly develops across the </w:t>
      </w:r>
      <w:r w:rsidR="6262C68F" w:rsidRPr="0050521E">
        <w:rPr>
          <w:rFonts w:eastAsia="Times New Roman"/>
        </w:rPr>
        <w:t>silos</w:t>
      </w:r>
      <w:r w:rsidR="5E01D2A1" w:rsidRPr="0050521E">
        <w:rPr>
          <w:rFonts w:eastAsia="Times New Roman"/>
        </w:rPr>
        <w:t xml:space="preserve"> of the different frameworks. This </w:t>
      </w:r>
      <w:r w:rsidR="00741A84" w:rsidRPr="0050521E">
        <w:rPr>
          <w:rFonts w:eastAsia="Times New Roman"/>
        </w:rPr>
        <w:t>would</w:t>
      </w:r>
      <w:r w:rsidR="5E01D2A1" w:rsidRPr="0050521E">
        <w:rPr>
          <w:rFonts w:eastAsia="Times New Roman"/>
        </w:rPr>
        <w:t xml:space="preserve"> make the </w:t>
      </w:r>
      <w:r w:rsidR="00505C03" w:rsidRPr="0050521E">
        <w:rPr>
          <w:rFonts w:eastAsia="Times New Roman"/>
        </w:rPr>
        <w:t>existing</w:t>
      </w:r>
      <w:r w:rsidR="5E01D2A1" w:rsidRPr="0050521E">
        <w:rPr>
          <w:rFonts w:eastAsia="Times New Roman"/>
        </w:rPr>
        <w:t xml:space="preserve"> frameworks more conducive to processing products based on new </w:t>
      </w:r>
      <w:r w:rsidR="00731724" w:rsidRPr="0050521E">
        <w:rPr>
          <w:rFonts w:eastAsia="Times New Roman"/>
        </w:rPr>
        <w:t>bio</w:t>
      </w:r>
      <w:r w:rsidR="5E01D2A1" w:rsidRPr="0050521E">
        <w:rPr>
          <w:rFonts w:eastAsia="Times New Roman"/>
        </w:rPr>
        <w:t xml:space="preserve">technologies. </w:t>
      </w:r>
    </w:p>
    <w:p w14:paraId="20870472" w14:textId="68975AE6" w:rsidR="5373D27A" w:rsidRPr="00833800" w:rsidRDefault="00731724" w:rsidP="00125C3C">
      <w:pPr>
        <w:spacing w:after="270"/>
        <w:rPr>
          <w:rFonts w:eastAsia="Times New Roman"/>
        </w:rPr>
      </w:pPr>
      <w:r w:rsidRPr="0050521E">
        <w:rPr>
          <w:rFonts w:eastAsia="Times New Roman"/>
        </w:rPr>
        <w:t>R</w:t>
      </w:r>
      <w:r w:rsidR="5E01D2A1" w:rsidRPr="0050521E">
        <w:rPr>
          <w:rFonts w:eastAsia="Times New Roman"/>
        </w:rPr>
        <w:t>egulatory sandbox</w:t>
      </w:r>
      <w:r w:rsidRPr="0050521E">
        <w:rPr>
          <w:rFonts w:eastAsia="Times New Roman"/>
        </w:rPr>
        <w:t>es</w:t>
      </w:r>
      <w:r w:rsidR="5E01D2A1" w:rsidRPr="0050521E">
        <w:rPr>
          <w:rFonts w:eastAsia="Times New Roman"/>
        </w:rPr>
        <w:t xml:space="preserve"> offer a controlled environment where developers of truly disruptive innovations are supported by regulators to identify suitable authorisation routes</w:t>
      </w:r>
      <w:r w:rsidR="0AD16DA9" w:rsidRPr="0050521E">
        <w:rPr>
          <w:rFonts w:eastAsia="Times New Roman"/>
        </w:rPr>
        <w:t>.</w:t>
      </w:r>
      <w:r w:rsidR="5E01D2A1" w:rsidRPr="0050521E">
        <w:rPr>
          <w:rFonts w:eastAsia="Times New Roman"/>
        </w:rPr>
        <w:t xml:space="preserve"> </w:t>
      </w:r>
      <w:r w:rsidR="70A41FF4" w:rsidRPr="0050521E">
        <w:rPr>
          <w:rFonts w:eastAsia="Times New Roman"/>
        </w:rPr>
        <w:t>E</w:t>
      </w:r>
      <w:r w:rsidR="5E01D2A1" w:rsidRPr="0050521E">
        <w:rPr>
          <w:rFonts w:eastAsia="Times New Roman"/>
        </w:rPr>
        <w:t xml:space="preserve">vidence from analogous sandboxes </w:t>
      </w:r>
      <w:r w:rsidR="00C24067" w:rsidRPr="0050521E">
        <w:rPr>
          <w:rFonts w:eastAsia="Times New Roman"/>
        </w:rPr>
        <w:t xml:space="preserve">already applicable </w:t>
      </w:r>
      <w:r w:rsidR="5E01D2A1" w:rsidRPr="0050521E">
        <w:rPr>
          <w:rFonts w:eastAsia="Times New Roman"/>
        </w:rPr>
        <w:t>in other sectors, notably the UK Financial Conduct Authority study</w:t>
      </w:r>
      <w:r w:rsidR="5E01D2A1" w:rsidRPr="00833800">
        <w:rPr>
          <w:rFonts w:eastAsia="Times New Roman"/>
          <w:vertAlign w:val="superscript"/>
        </w:rPr>
        <w:footnoteReference w:id="170"/>
      </w:r>
      <w:r w:rsidR="5E01D2A1" w:rsidRPr="00833800">
        <w:rPr>
          <w:rFonts w:eastAsia="Times New Roman"/>
        </w:rPr>
        <w:t xml:space="preserve">, suggests that </w:t>
      </w:r>
      <w:r w:rsidR="5E01D2A1" w:rsidRPr="00833800">
        <w:rPr>
          <w:rFonts w:eastAsia="Times New Roman"/>
          <w:b/>
        </w:rPr>
        <w:t>sandbox participation can reduce time-to-market by 20-40</w:t>
      </w:r>
      <w:r w:rsidR="00405618" w:rsidRPr="00833800">
        <w:rPr>
          <w:rFonts w:eastAsia="Times New Roman"/>
          <w:b/>
        </w:rPr>
        <w:t>%</w:t>
      </w:r>
      <w:r w:rsidR="5E01D2A1" w:rsidRPr="00833800">
        <w:rPr>
          <w:rFonts w:eastAsia="Times New Roman"/>
          <w:b/>
        </w:rPr>
        <w:t>, increase funding probability by 15-50</w:t>
      </w:r>
      <w:r w:rsidR="00405618" w:rsidRPr="00833800">
        <w:rPr>
          <w:rFonts w:eastAsia="Times New Roman"/>
          <w:b/>
        </w:rPr>
        <w:t>%</w:t>
      </w:r>
      <w:r w:rsidR="5E01D2A1" w:rsidRPr="00833800">
        <w:rPr>
          <w:rFonts w:eastAsia="Times New Roman"/>
          <w:b/>
        </w:rPr>
        <w:t>, and improve firm survival and patenting by 20-30</w:t>
      </w:r>
      <w:r w:rsidR="00405618" w:rsidRPr="00833800">
        <w:rPr>
          <w:rFonts w:eastAsia="Times New Roman"/>
          <w:b/>
        </w:rPr>
        <w:t>%</w:t>
      </w:r>
      <w:r w:rsidR="5E01D2A1" w:rsidRPr="00833800">
        <w:rPr>
          <w:rFonts w:eastAsia="Times New Roman"/>
          <w:b/>
        </w:rPr>
        <w:t>, with benefit-to-cost ratios ranging from 3/1- 10/1 over three to five years</w:t>
      </w:r>
      <w:r w:rsidR="5E01D2A1" w:rsidRPr="00833800">
        <w:rPr>
          <w:rFonts w:eastAsia="Times New Roman"/>
        </w:rPr>
        <w:t>.</w:t>
      </w:r>
    </w:p>
    <w:p w14:paraId="6C44D734" w14:textId="6107EE8A" w:rsidR="00AA2598" w:rsidRPr="00833800" w:rsidRDefault="00AA2598" w:rsidP="00AA2598">
      <w:pPr>
        <w:spacing w:after="270"/>
        <w:rPr>
          <w:rFonts w:eastAsia="Times New Roman"/>
        </w:rPr>
      </w:pPr>
      <w:r>
        <w:rPr>
          <w:lang w:val="en-US"/>
        </w:rPr>
        <w:t xml:space="preserve">The measures are also expected to have </w:t>
      </w:r>
      <w:r w:rsidR="00721D84">
        <w:rPr>
          <w:lang w:val="en-US"/>
        </w:rPr>
        <w:t xml:space="preserve">a </w:t>
      </w:r>
      <w:r>
        <w:rPr>
          <w:lang w:val="en-US"/>
        </w:rPr>
        <w:t xml:space="preserve">positive impact </w:t>
      </w:r>
      <w:r w:rsidR="00721D84">
        <w:rPr>
          <w:lang w:val="en-US"/>
        </w:rPr>
        <w:t>on</w:t>
      </w:r>
      <w:r>
        <w:rPr>
          <w:lang w:val="en-US"/>
        </w:rPr>
        <w:t xml:space="preserve"> </w:t>
      </w:r>
      <w:r w:rsidRPr="00DD4B37">
        <w:rPr>
          <w:b/>
          <w:lang w:val="en-US"/>
        </w:rPr>
        <w:t>a</w:t>
      </w:r>
      <w:r w:rsidRPr="00C72938">
        <w:rPr>
          <w:b/>
          <w:lang w:val="en-US"/>
        </w:rPr>
        <w:t xml:space="preserve">dministrative costs </w:t>
      </w:r>
      <w:r w:rsidR="00721D84">
        <w:rPr>
          <w:b/>
          <w:lang w:val="en-US"/>
        </w:rPr>
        <w:t>for</w:t>
      </w:r>
      <w:r w:rsidRPr="00C72938">
        <w:rPr>
          <w:b/>
          <w:lang w:val="en-US"/>
        </w:rPr>
        <w:t xml:space="preserve"> businesses</w:t>
      </w:r>
      <w:r w:rsidRPr="00FE479B">
        <w:rPr>
          <w:b/>
          <w:lang w:val="en-US"/>
        </w:rPr>
        <w:t xml:space="preserve"> (</w:t>
      </w:r>
      <w:r w:rsidRPr="00F47290">
        <w:rPr>
          <w:b/>
          <w:lang w:val="en-US"/>
        </w:rPr>
        <w:t>including SMEs)</w:t>
      </w:r>
      <w:r w:rsidRPr="00AC0365">
        <w:rPr>
          <w:lang w:val="en-US"/>
        </w:rPr>
        <w:t>,</w:t>
      </w:r>
      <w:r>
        <w:rPr>
          <w:b/>
          <w:lang w:val="en-US"/>
        </w:rPr>
        <w:t xml:space="preserve"> </w:t>
      </w:r>
      <w:r>
        <w:rPr>
          <w:bCs/>
          <w:lang w:val="en-US"/>
        </w:rPr>
        <w:t xml:space="preserve">through </w:t>
      </w:r>
      <w:r w:rsidRPr="00833800">
        <w:rPr>
          <w:rFonts w:eastAsia="Times New Roman"/>
        </w:rPr>
        <w:t xml:space="preserve">reducing administrative burden and costs by eliminating duplicative work and regulatory unpredictability for businesses and innovators. The measures aim to avoid undue delays and inefficiencies in regulatory pathways at an early stage of development. </w:t>
      </w:r>
    </w:p>
    <w:p w14:paraId="0AF12D11" w14:textId="1C15A857" w:rsidR="6221F91E" w:rsidRPr="00833800" w:rsidRDefault="00DD4B37" w:rsidP="6221F91E">
      <w:pPr>
        <w:spacing w:after="270"/>
        <w:rPr>
          <w:rFonts w:eastAsia="Times New Roman"/>
        </w:rPr>
      </w:pPr>
      <w:r w:rsidRPr="00833800">
        <w:rPr>
          <w:rFonts w:eastAsia="Times New Roman"/>
          <w:b/>
        </w:rPr>
        <w:t>R&amp;I</w:t>
      </w:r>
      <w:r w:rsidR="006428C8" w:rsidRPr="00833800">
        <w:rPr>
          <w:rFonts w:eastAsia="Times New Roman"/>
          <w:b/>
        </w:rPr>
        <w:t xml:space="preserve">: </w:t>
      </w:r>
      <w:r w:rsidR="006428C8" w:rsidRPr="00833800">
        <w:rPr>
          <w:rFonts w:eastAsia="Times New Roman"/>
        </w:rPr>
        <w:t>T</w:t>
      </w:r>
      <w:r w:rsidR="007E38EA" w:rsidRPr="00833800">
        <w:rPr>
          <w:rFonts w:eastAsia="Times New Roman"/>
        </w:rPr>
        <w:t>he measures are also expected to generate positive impacts</w:t>
      </w:r>
      <w:r w:rsidR="00887026" w:rsidRPr="00833800">
        <w:rPr>
          <w:rFonts w:eastAsia="Times New Roman"/>
        </w:rPr>
        <w:t>. C</w:t>
      </w:r>
      <w:r w:rsidR="53218A12" w:rsidRPr="00833800">
        <w:rPr>
          <w:rFonts w:eastAsia="Times New Roman"/>
        </w:rPr>
        <w:t xml:space="preserve">learer pathways </w:t>
      </w:r>
      <w:r w:rsidR="007E38EA" w:rsidRPr="00833800">
        <w:rPr>
          <w:rFonts w:eastAsia="Times New Roman"/>
        </w:rPr>
        <w:t xml:space="preserve">for researchers </w:t>
      </w:r>
      <w:r w:rsidR="00741A84" w:rsidRPr="00833800">
        <w:rPr>
          <w:rFonts w:eastAsia="Times New Roman"/>
        </w:rPr>
        <w:t xml:space="preserve">would </w:t>
      </w:r>
      <w:r w:rsidR="53218A12" w:rsidRPr="00833800">
        <w:rPr>
          <w:rFonts w:eastAsia="Times New Roman"/>
        </w:rPr>
        <w:t xml:space="preserve">reduce the chilling effect that uncertainty currently </w:t>
      </w:r>
      <w:r w:rsidR="00CE6686" w:rsidRPr="00833800">
        <w:rPr>
          <w:rFonts w:eastAsia="Times New Roman"/>
        </w:rPr>
        <w:t>has</w:t>
      </w:r>
      <w:r w:rsidR="53218A12" w:rsidRPr="00833800">
        <w:rPr>
          <w:rFonts w:eastAsia="Times New Roman"/>
        </w:rPr>
        <w:t xml:space="preserve"> on frontier research, encouraging more high-risk, high-novelty projects be</w:t>
      </w:r>
      <w:r w:rsidR="000C4D2D" w:rsidRPr="00833800">
        <w:rPr>
          <w:rFonts w:eastAsia="Times New Roman"/>
        </w:rPr>
        <w:t>ing</w:t>
      </w:r>
      <w:r w:rsidR="53218A12" w:rsidRPr="00833800">
        <w:rPr>
          <w:rFonts w:eastAsia="Times New Roman"/>
        </w:rPr>
        <w:t xml:space="preserve"> developed and retained in Europe. The </w:t>
      </w:r>
      <w:r w:rsidR="2962A54B" w:rsidRPr="00833800">
        <w:rPr>
          <w:rFonts w:eastAsia="Times New Roman"/>
        </w:rPr>
        <w:t>r</w:t>
      </w:r>
      <w:r w:rsidR="53218A12" w:rsidRPr="00833800">
        <w:rPr>
          <w:rFonts w:eastAsia="Times New Roman"/>
        </w:rPr>
        <w:t xml:space="preserve">epository and regulatory assistance </w:t>
      </w:r>
      <w:r w:rsidR="00887026" w:rsidRPr="00833800">
        <w:rPr>
          <w:rFonts w:eastAsia="Times New Roman"/>
        </w:rPr>
        <w:t xml:space="preserve">would </w:t>
      </w:r>
      <w:r w:rsidR="53218A12" w:rsidRPr="00833800">
        <w:rPr>
          <w:rFonts w:eastAsia="Times New Roman"/>
        </w:rPr>
        <w:t>help research institutions and firms plan development activities with confidence, while the sandbox</w:t>
      </w:r>
      <w:r w:rsidR="002E09B9" w:rsidRPr="00833800">
        <w:rPr>
          <w:rFonts w:eastAsia="Times New Roman"/>
        </w:rPr>
        <w:t>es</w:t>
      </w:r>
      <w:r w:rsidR="53218A12" w:rsidRPr="00833800">
        <w:rPr>
          <w:rFonts w:eastAsia="Times New Roman"/>
        </w:rPr>
        <w:t xml:space="preserve"> </w:t>
      </w:r>
      <w:r w:rsidR="00887026" w:rsidRPr="00833800">
        <w:rPr>
          <w:rFonts w:eastAsia="Times New Roman"/>
        </w:rPr>
        <w:t xml:space="preserve">would </w:t>
      </w:r>
      <w:r w:rsidR="002E09B9" w:rsidRPr="00833800">
        <w:rPr>
          <w:rFonts w:eastAsia="Times New Roman"/>
        </w:rPr>
        <w:t>ensure</w:t>
      </w:r>
      <w:r w:rsidR="4B861375" w:rsidRPr="00833800">
        <w:rPr>
          <w:rFonts w:eastAsia="Times New Roman"/>
        </w:rPr>
        <w:t xml:space="preserve"> that </w:t>
      </w:r>
      <w:r w:rsidR="1A995D36" w:rsidRPr="00833800">
        <w:rPr>
          <w:rFonts w:eastAsia="Times New Roman"/>
        </w:rPr>
        <w:t xml:space="preserve">truly </w:t>
      </w:r>
      <w:r w:rsidR="4B861375" w:rsidRPr="00833800">
        <w:rPr>
          <w:rFonts w:eastAsia="Times New Roman"/>
        </w:rPr>
        <w:t>disruptive research in</w:t>
      </w:r>
      <w:r w:rsidR="53218A12" w:rsidRPr="00833800">
        <w:rPr>
          <w:rFonts w:eastAsia="Times New Roman"/>
        </w:rPr>
        <w:t xml:space="preserve"> novel products</w:t>
      </w:r>
      <w:r w:rsidR="7E3CA896" w:rsidRPr="00833800">
        <w:rPr>
          <w:rFonts w:eastAsia="Times New Roman"/>
        </w:rPr>
        <w:t xml:space="preserve"> </w:t>
      </w:r>
      <w:r w:rsidR="005021F8" w:rsidRPr="43345309">
        <w:rPr>
          <w:rFonts w:eastAsia="Times New Roman"/>
        </w:rPr>
        <w:t>is</w:t>
      </w:r>
      <w:r w:rsidR="7E3CA896" w:rsidRPr="00833800">
        <w:rPr>
          <w:rFonts w:eastAsia="Times New Roman"/>
        </w:rPr>
        <w:t xml:space="preserve"> </w:t>
      </w:r>
      <w:r w:rsidR="00B46C96" w:rsidRPr="00833800">
        <w:rPr>
          <w:rFonts w:eastAsia="Times New Roman"/>
        </w:rPr>
        <w:t>still</w:t>
      </w:r>
      <w:r w:rsidR="7E3CA896" w:rsidRPr="00833800">
        <w:rPr>
          <w:rFonts w:eastAsia="Times New Roman"/>
        </w:rPr>
        <w:t xml:space="preserve"> </w:t>
      </w:r>
      <w:r w:rsidR="0ED0AFCD" w:rsidRPr="00833800">
        <w:rPr>
          <w:rFonts w:eastAsia="Times New Roman"/>
        </w:rPr>
        <w:t>accommodated</w:t>
      </w:r>
      <w:r w:rsidR="7E3CA896" w:rsidRPr="00833800">
        <w:rPr>
          <w:rFonts w:eastAsia="Times New Roman"/>
        </w:rPr>
        <w:t xml:space="preserve"> by the regulatory system.</w:t>
      </w:r>
      <w:r w:rsidR="53218A12" w:rsidRPr="00833800">
        <w:rPr>
          <w:rFonts w:eastAsia="Times New Roman"/>
        </w:rPr>
        <w:t xml:space="preserve"> The </w:t>
      </w:r>
      <w:r w:rsidR="47340C1C" w:rsidRPr="00833800">
        <w:rPr>
          <w:rFonts w:eastAsia="Times New Roman"/>
        </w:rPr>
        <w:t>f</w:t>
      </w:r>
      <w:r w:rsidR="53218A12" w:rsidRPr="00833800">
        <w:rPr>
          <w:rFonts w:eastAsia="Times New Roman"/>
        </w:rPr>
        <w:t xml:space="preserve">oresight </w:t>
      </w:r>
      <w:r w:rsidR="0CF0E208" w:rsidRPr="00833800">
        <w:rPr>
          <w:rFonts w:eastAsia="Times New Roman"/>
        </w:rPr>
        <w:t>p</w:t>
      </w:r>
      <w:r w:rsidR="53218A12" w:rsidRPr="00833800">
        <w:rPr>
          <w:rFonts w:eastAsia="Times New Roman"/>
        </w:rPr>
        <w:t xml:space="preserve">anel </w:t>
      </w:r>
      <w:r w:rsidR="00540845" w:rsidRPr="00833800">
        <w:rPr>
          <w:rFonts w:eastAsia="Times New Roman"/>
        </w:rPr>
        <w:t xml:space="preserve">aims to </w:t>
      </w:r>
      <w:r w:rsidR="5D310D6B" w:rsidRPr="00833800">
        <w:rPr>
          <w:rFonts w:eastAsia="Times New Roman"/>
        </w:rPr>
        <w:t>connect the research world</w:t>
      </w:r>
      <w:r w:rsidR="001E34AE" w:rsidRPr="00833800">
        <w:rPr>
          <w:rFonts w:eastAsia="Times New Roman"/>
        </w:rPr>
        <w:t xml:space="preserve">, </w:t>
      </w:r>
      <w:r w:rsidR="5D310D6B" w:rsidRPr="00833800">
        <w:rPr>
          <w:rFonts w:eastAsia="Times New Roman"/>
        </w:rPr>
        <w:t>where innovation emerges</w:t>
      </w:r>
      <w:r w:rsidR="001E34AE" w:rsidRPr="00833800">
        <w:rPr>
          <w:rFonts w:eastAsia="Times New Roman"/>
        </w:rPr>
        <w:t xml:space="preserve">, </w:t>
      </w:r>
      <w:r w:rsidR="5D310D6B" w:rsidRPr="00833800">
        <w:rPr>
          <w:rFonts w:eastAsia="Times New Roman"/>
        </w:rPr>
        <w:t>with</w:t>
      </w:r>
      <w:r w:rsidR="00B46C96" w:rsidRPr="00833800">
        <w:rPr>
          <w:rFonts w:eastAsia="Times New Roman"/>
        </w:rPr>
        <w:t xml:space="preserve"> </w:t>
      </w:r>
      <w:r w:rsidR="5D310D6B" w:rsidRPr="00833800">
        <w:rPr>
          <w:rFonts w:eastAsia="Times New Roman"/>
        </w:rPr>
        <w:t>regulators</w:t>
      </w:r>
      <w:r w:rsidR="001E34AE" w:rsidRPr="00833800">
        <w:rPr>
          <w:rFonts w:eastAsia="Times New Roman"/>
        </w:rPr>
        <w:t xml:space="preserve">. This would </w:t>
      </w:r>
      <w:r w:rsidR="5D310D6B" w:rsidRPr="00833800">
        <w:rPr>
          <w:rFonts w:eastAsia="Times New Roman"/>
        </w:rPr>
        <w:t>allow</w:t>
      </w:r>
      <w:r w:rsidR="001E34AE" w:rsidRPr="00833800">
        <w:rPr>
          <w:rFonts w:eastAsia="Times New Roman"/>
        </w:rPr>
        <w:t xml:space="preserve"> </w:t>
      </w:r>
      <w:r w:rsidR="5D310D6B" w:rsidRPr="00833800">
        <w:rPr>
          <w:rFonts w:eastAsia="Times New Roman"/>
        </w:rPr>
        <w:t>to</w:t>
      </w:r>
      <w:r w:rsidR="0C436BF9" w:rsidRPr="00833800">
        <w:rPr>
          <w:rFonts w:eastAsia="Times New Roman"/>
        </w:rPr>
        <w:t xml:space="preserve"> reflect </w:t>
      </w:r>
      <w:r w:rsidR="00000066" w:rsidRPr="00833800">
        <w:rPr>
          <w:rFonts w:eastAsia="Times New Roman"/>
        </w:rPr>
        <w:t xml:space="preserve">collaboratively </w:t>
      </w:r>
      <w:r w:rsidR="0C436BF9" w:rsidRPr="00833800">
        <w:rPr>
          <w:rFonts w:eastAsia="Times New Roman"/>
        </w:rPr>
        <w:t>on</w:t>
      </w:r>
      <w:r w:rsidR="00000066" w:rsidRPr="00833800">
        <w:rPr>
          <w:rFonts w:eastAsia="Times New Roman"/>
        </w:rPr>
        <w:t xml:space="preserve"> how </w:t>
      </w:r>
      <w:r w:rsidR="64E20E39" w:rsidRPr="00833800">
        <w:rPr>
          <w:rFonts w:eastAsia="Times New Roman"/>
        </w:rPr>
        <w:t xml:space="preserve">to process products based on new technologies in </w:t>
      </w:r>
      <w:r w:rsidR="001E34AE" w:rsidRPr="00833800">
        <w:rPr>
          <w:rFonts w:eastAsia="Times New Roman"/>
        </w:rPr>
        <w:t xml:space="preserve">the best </w:t>
      </w:r>
      <w:r w:rsidR="64E20E39" w:rsidRPr="00833800">
        <w:rPr>
          <w:rFonts w:eastAsia="Times New Roman"/>
        </w:rPr>
        <w:t xml:space="preserve">way. </w:t>
      </w:r>
      <w:r w:rsidR="2909A82C" w:rsidRPr="00833800">
        <w:rPr>
          <w:rFonts w:eastAsia="Times New Roman"/>
        </w:rPr>
        <w:t>These</w:t>
      </w:r>
      <w:r w:rsidR="5E5320E2" w:rsidRPr="00833800">
        <w:rPr>
          <w:rFonts w:eastAsia="Times New Roman"/>
        </w:rPr>
        <w:t xml:space="preserve"> </w:t>
      </w:r>
      <w:r w:rsidR="2909A82C" w:rsidRPr="00833800">
        <w:rPr>
          <w:rFonts w:eastAsia="Times New Roman"/>
        </w:rPr>
        <w:t xml:space="preserve">measures combined </w:t>
      </w:r>
      <w:r w:rsidR="00540845" w:rsidRPr="00833800">
        <w:rPr>
          <w:rFonts w:eastAsia="Times New Roman"/>
        </w:rPr>
        <w:t>would</w:t>
      </w:r>
      <w:r w:rsidR="2909A82C" w:rsidRPr="00833800">
        <w:rPr>
          <w:rFonts w:eastAsia="Times New Roman"/>
        </w:rPr>
        <w:t xml:space="preserve"> </w:t>
      </w:r>
      <w:r w:rsidR="5E5320E2" w:rsidRPr="00833800">
        <w:rPr>
          <w:rFonts w:eastAsia="Times New Roman"/>
        </w:rPr>
        <w:t>guid</w:t>
      </w:r>
      <w:r w:rsidR="404993FA" w:rsidRPr="00833800">
        <w:rPr>
          <w:rFonts w:eastAsia="Times New Roman"/>
        </w:rPr>
        <w:t>e</w:t>
      </w:r>
      <w:r w:rsidR="53218A12" w:rsidRPr="00833800">
        <w:rPr>
          <w:rFonts w:eastAsia="Times New Roman"/>
        </w:rPr>
        <w:t xml:space="preserve"> funding bodies and researchers toward promising areas likely to </w:t>
      </w:r>
      <w:r w:rsidR="431E5E48" w:rsidRPr="00833800">
        <w:rPr>
          <w:rFonts w:eastAsia="Times New Roman"/>
        </w:rPr>
        <w:t>be facilitated in a system</w:t>
      </w:r>
      <w:r w:rsidR="00000066" w:rsidRPr="00833800">
        <w:rPr>
          <w:rFonts w:eastAsia="Times New Roman"/>
        </w:rPr>
        <w:t xml:space="preserve"> conducive to innovation</w:t>
      </w:r>
      <w:r w:rsidR="431E5E48" w:rsidRPr="00833800">
        <w:rPr>
          <w:rFonts w:eastAsia="Times New Roman"/>
        </w:rPr>
        <w:t>, eventually unlocking</w:t>
      </w:r>
      <w:r w:rsidR="53218A12" w:rsidRPr="00833800">
        <w:rPr>
          <w:rFonts w:eastAsia="Times New Roman"/>
        </w:rPr>
        <w:t xml:space="preserve"> the potential </w:t>
      </w:r>
      <w:r w:rsidR="005926D7" w:rsidRPr="00833800">
        <w:rPr>
          <w:rFonts w:eastAsia="Times New Roman"/>
        </w:rPr>
        <w:t xml:space="preserve">for </w:t>
      </w:r>
      <w:r w:rsidR="53218A12" w:rsidRPr="00833800">
        <w:rPr>
          <w:rFonts w:eastAsia="Times New Roman"/>
        </w:rPr>
        <w:t>increas</w:t>
      </w:r>
      <w:r w:rsidR="005926D7" w:rsidRPr="00833800">
        <w:rPr>
          <w:rFonts w:eastAsia="Times New Roman"/>
        </w:rPr>
        <w:t>ing</w:t>
      </w:r>
      <w:r w:rsidR="53218A12" w:rsidRPr="00833800">
        <w:rPr>
          <w:rFonts w:eastAsia="Times New Roman"/>
        </w:rPr>
        <w:t xml:space="preserve"> EU gross domestic expenditure on research and development and </w:t>
      </w:r>
      <w:r w:rsidR="005926D7" w:rsidRPr="00833800">
        <w:rPr>
          <w:rFonts w:eastAsia="Times New Roman"/>
        </w:rPr>
        <w:t>better</w:t>
      </w:r>
      <w:r w:rsidR="53218A12" w:rsidRPr="00833800">
        <w:rPr>
          <w:rFonts w:eastAsia="Times New Roman"/>
        </w:rPr>
        <w:t xml:space="preserve"> translati</w:t>
      </w:r>
      <w:r w:rsidR="005926D7" w:rsidRPr="00833800">
        <w:rPr>
          <w:rFonts w:eastAsia="Times New Roman"/>
        </w:rPr>
        <w:t>ng</w:t>
      </w:r>
      <w:r w:rsidR="53218A12" w:rsidRPr="00833800">
        <w:rPr>
          <w:rFonts w:eastAsia="Times New Roman"/>
        </w:rPr>
        <w:t xml:space="preserve"> scientific breakthroughs into clinical applications.</w:t>
      </w:r>
    </w:p>
    <w:p w14:paraId="3CE6FC21" w14:textId="7790D130" w:rsidR="5373D27A" w:rsidRPr="00D82915" w:rsidRDefault="006428C8" w:rsidP="00D82915">
      <w:pPr>
        <w:spacing w:after="270"/>
        <w:rPr>
          <w:rFonts w:eastAsia="Times New Roman"/>
          <w:color w:val="353332"/>
        </w:rPr>
      </w:pPr>
      <w:r w:rsidRPr="00292763">
        <w:rPr>
          <w:rFonts w:eastAsia="Times New Roman"/>
          <w:b/>
          <w:bCs/>
          <w:color w:val="353332"/>
        </w:rPr>
        <w:t>C</w:t>
      </w:r>
      <w:r w:rsidR="138DA42A" w:rsidRPr="00292763">
        <w:rPr>
          <w:rFonts w:eastAsia="Times New Roman"/>
          <w:b/>
          <w:bCs/>
          <w:color w:val="353332"/>
        </w:rPr>
        <w:t>ompetitiveness, trade and investment</w:t>
      </w:r>
      <w:r>
        <w:rPr>
          <w:rFonts w:eastAsia="Times New Roman"/>
          <w:color w:val="353332"/>
        </w:rPr>
        <w:t>: T</w:t>
      </w:r>
      <w:r w:rsidR="138DA42A" w:rsidRPr="000D5C59">
        <w:rPr>
          <w:rFonts w:eastAsia="Times New Roman"/>
          <w:color w:val="353332"/>
        </w:rPr>
        <w:t>he Biotech Act</w:t>
      </w:r>
      <w:r w:rsidR="00540845" w:rsidRPr="000D5C59">
        <w:rPr>
          <w:rFonts w:eastAsia="Times New Roman"/>
          <w:color w:val="353332"/>
        </w:rPr>
        <w:t xml:space="preserve"> </w:t>
      </w:r>
      <w:r w:rsidR="002E3090" w:rsidRPr="000D5C59">
        <w:rPr>
          <w:rFonts w:eastAsia="Times New Roman"/>
          <w:color w:val="353332"/>
        </w:rPr>
        <w:t>as a whole</w:t>
      </w:r>
      <w:r w:rsidR="138DA42A" w:rsidRPr="000D5C59">
        <w:rPr>
          <w:rFonts w:eastAsia="Times New Roman"/>
          <w:color w:val="353332"/>
        </w:rPr>
        <w:t xml:space="preserve"> is expected to address structural weaknesses that currently deter investment and early-stage</w:t>
      </w:r>
      <w:r w:rsidR="138DA42A" w:rsidRPr="00D82915">
        <w:rPr>
          <w:rFonts w:eastAsia="Times New Roman"/>
          <w:color w:val="353332"/>
        </w:rPr>
        <w:t xml:space="preserve"> scaling in Europe. Greater regulatory clarity and predictability</w:t>
      </w:r>
      <w:r w:rsidR="00697150">
        <w:rPr>
          <w:rFonts w:eastAsia="Times New Roman"/>
          <w:color w:val="353332"/>
        </w:rPr>
        <w:t>,</w:t>
      </w:r>
      <w:r w:rsidR="138DA42A" w:rsidRPr="00D82915">
        <w:rPr>
          <w:rFonts w:eastAsia="Times New Roman"/>
          <w:color w:val="353332"/>
        </w:rPr>
        <w:t xml:space="preserve"> through the </w:t>
      </w:r>
      <w:r w:rsidR="00540845">
        <w:rPr>
          <w:rFonts w:eastAsia="Times New Roman"/>
          <w:color w:val="353332"/>
        </w:rPr>
        <w:t>r</w:t>
      </w:r>
      <w:r w:rsidR="138DA42A" w:rsidRPr="00D82915">
        <w:rPr>
          <w:rFonts w:eastAsia="Times New Roman"/>
          <w:color w:val="353332"/>
        </w:rPr>
        <w:t>epository and navigation assistance</w:t>
      </w:r>
      <w:r w:rsidR="00697150">
        <w:rPr>
          <w:rFonts w:eastAsia="Times New Roman"/>
          <w:color w:val="353332"/>
        </w:rPr>
        <w:t>,</w:t>
      </w:r>
      <w:r w:rsidR="138DA42A" w:rsidRPr="00D82915">
        <w:rPr>
          <w:rFonts w:eastAsia="Times New Roman"/>
          <w:color w:val="353332"/>
        </w:rPr>
        <w:t xml:space="preserve"> should reduce perceived regulatory risk, making the EU more attractive for biotech investment. The sandbox might signal to global investors that tailored regulatory tools exist for disruptive innovations, providing viable pathways to market and reducing uncertainty. The </w:t>
      </w:r>
      <w:r w:rsidR="00B66426">
        <w:rPr>
          <w:rFonts w:eastAsia="Times New Roman"/>
          <w:color w:val="353332"/>
        </w:rPr>
        <w:t>f</w:t>
      </w:r>
      <w:r w:rsidR="138DA42A" w:rsidRPr="00D82915">
        <w:rPr>
          <w:rFonts w:eastAsia="Times New Roman"/>
          <w:color w:val="353332"/>
        </w:rPr>
        <w:t xml:space="preserve">oresight </w:t>
      </w:r>
      <w:r w:rsidR="00B66426">
        <w:rPr>
          <w:rFonts w:eastAsia="Times New Roman"/>
          <w:color w:val="353332"/>
        </w:rPr>
        <w:t>p</w:t>
      </w:r>
      <w:r w:rsidR="138DA42A" w:rsidRPr="00D82915">
        <w:rPr>
          <w:rFonts w:eastAsia="Times New Roman"/>
          <w:color w:val="353332"/>
        </w:rPr>
        <w:t xml:space="preserve">anel demonstrates that the EU actively incorporates emerging trends into regulatory planning, aligning long-term policy with cutting-edge innovation and supporting confidence that governance and rules will adapt to technological progress. These measures have the potential to reverse declining trends in EU biotech and partially close the investment and commercialisation gap with the </w:t>
      </w:r>
      <w:r w:rsidR="0036189D">
        <w:rPr>
          <w:rFonts w:eastAsia="Times New Roman"/>
          <w:color w:val="353332"/>
        </w:rPr>
        <w:t>US</w:t>
      </w:r>
      <w:r w:rsidR="138DA42A" w:rsidRPr="00D82915">
        <w:rPr>
          <w:rFonts w:eastAsia="Times New Roman"/>
          <w:color w:val="353332"/>
        </w:rPr>
        <w:t xml:space="preserve"> and </w:t>
      </w:r>
      <w:r w:rsidR="451092CF" w:rsidRPr="5B077B09">
        <w:rPr>
          <w:rFonts w:eastAsia="Times New Roman"/>
          <w:color w:val="353332"/>
        </w:rPr>
        <w:t>China</w:t>
      </w:r>
      <w:r w:rsidR="138DA42A" w:rsidRPr="00D82915">
        <w:rPr>
          <w:rFonts w:eastAsia="Times New Roman"/>
          <w:color w:val="353332"/>
        </w:rPr>
        <w:t xml:space="preserve">. </w:t>
      </w:r>
    </w:p>
    <w:p w14:paraId="11E4E184" w14:textId="2610D2B7" w:rsidR="5373D27A" w:rsidRPr="002655BE" w:rsidRDefault="006428C8" w:rsidP="002655BE">
      <w:pPr>
        <w:spacing w:after="270"/>
        <w:rPr>
          <w:rFonts w:eastAsia="Times New Roman"/>
          <w:color w:val="353332"/>
          <w:lang w:val="en-IE"/>
        </w:rPr>
      </w:pPr>
      <w:r w:rsidRPr="00292763">
        <w:rPr>
          <w:rFonts w:eastAsia="Times New Roman"/>
          <w:b/>
          <w:bCs/>
          <w:color w:val="353332"/>
        </w:rPr>
        <w:t>F</w:t>
      </w:r>
      <w:r w:rsidR="138DA42A" w:rsidRPr="00292763">
        <w:rPr>
          <w:rFonts w:eastAsia="Times New Roman"/>
          <w:b/>
          <w:bCs/>
          <w:color w:val="353332"/>
        </w:rPr>
        <w:t>unctioning of the internal market</w:t>
      </w:r>
      <w:r>
        <w:rPr>
          <w:rFonts w:eastAsia="Times New Roman"/>
          <w:b/>
          <w:bCs/>
          <w:color w:val="353332"/>
        </w:rPr>
        <w:t xml:space="preserve">: </w:t>
      </w:r>
      <w:r w:rsidR="00023A32">
        <w:rPr>
          <w:rFonts w:eastAsia="Times New Roman"/>
          <w:color w:val="353332"/>
        </w:rPr>
        <w:t>Its functioning</w:t>
      </w:r>
      <w:r w:rsidR="138DA42A" w:rsidRPr="2936F752">
        <w:rPr>
          <w:rFonts w:eastAsia="Times New Roman"/>
          <w:color w:val="353332"/>
        </w:rPr>
        <w:t xml:space="preserve"> is expected to improve through greater harmonisation and transparency, as the </w:t>
      </w:r>
      <w:r w:rsidR="00EC48D8" w:rsidRPr="2936F752">
        <w:rPr>
          <w:rFonts w:eastAsia="Times New Roman"/>
          <w:color w:val="353332"/>
        </w:rPr>
        <w:t>r</w:t>
      </w:r>
      <w:r w:rsidR="138DA42A" w:rsidRPr="2936F752">
        <w:rPr>
          <w:rFonts w:eastAsia="Times New Roman"/>
          <w:color w:val="353332"/>
        </w:rPr>
        <w:t>epository promotes convergence by making consistent regulatory interpretations visible across Member States</w:t>
      </w:r>
      <w:r w:rsidR="00AA68D4" w:rsidRPr="2936F752">
        <w:rPr>
          <w:rFonts w:eastAsia="Times New Roman"/>
          <w:color w:val="353332"/>
        </w:rPr>
        <w:t xml:space="preserve"> and</w:t>
      </w:r>
      <w:r w:rsidR="138DA42A" w:rsidRPr="2936F752">
        <w:rPr>
          <w:rFonts w:eastAsia="Times New Roman"/>
          <w:color w:val="353332"/>
        </w:rPr>
        <w:t xml:space="preserve"> reducing divergent classifications that fragment the </w:t>
      </w:r>
      <w:r w:rsidR="138DA42A" w:rsidRPr="000D5C59">
        <w:rPr>
          <w:rFonts w:eastAsia="Times New Roman"/>
          <w:color w:val="353332"/>
        </w:rPr>
        <w:t>market and distort competition. Navigation assistance and structured guidance minimise interpretive disputes and streamline cross-border compliance. For public authorities, the Biotech Act</w:t>
      </w:r>
      <w:r w:rsidR="005A63BD" w:rsidRPr="000D5C59">
        <w:rPr>
          <w:rFonts w:eastAsia="Times New Roman"/>
          <w:color w:val="353332"/>
        </w:rPr>
        <w:t xml:space="preserve"> </w:t>
      </w:r>
      <w:r w:rsidR="138DA42A" w:rsidRPr="000D5C59">
        <w:rPr>
          <w:rFonts w:eastAsia="Times New Roman"/>
          <w:color w:val="353332"/>
        </w:rPr>
        <w:t xml:space="preserve">is designed to </w:t>
      </w:r>
      <w:r w:rsidR="00AA68D4" w:rsidRPr="000D5C59">
        <w:rPr>
          <w:rFonts w:eastAsia="Times New Roman"/>
          <w:color w:val="353332"/>
        </w:rPr>
        <w:t xml:space="preserve">improve </w:t>
      </w:r>
      <w:r w:rsidR="138DA42A" w:rsidRPr="000D5C59">
        <w:rPr>
          <w:rFonts w:eastAsia="Times New Roman"/>
          <w:color w:val="353332"/>
        </w:rPr>
        <w:t>efficiency and preparedness by reducing duplication through the</w:t>
      </w:r>
      <w:r w:rsidR="138DA42A" w:rsidRPr="2936F752">
        <w:rPr>
          <w:rFonts w:eastAsia="Times New Roman"/>
          <w:color w:val="353332"/>
        </w:rPr>
        <w:t xml:space="preserve"> shared </w:t>
      </w:r>
      <w:r w:rsidR="005A63BD">
        <w:rPr>
          <w:rFonts w:eastAsia="Times New Roman"/>
          <w:color w:val="353332"/>
        </w:rPr>
        <w:t>r</w:t>
      </w:r>
      <w:r w:rsidR="138DA42A" w:rsidRPr="2936F752">
        <w:rPr>
          <w:rFonts w:eastAsia="Times New Roman"/>
          <w:color w:val="353332"/>
        </w:rPr>
        <w:t xml:space="preserve">epository reference base, streamlining pre-authorisation interactions through navigation assistance, and building anticipatory capacity through the sandbox and </w:t>
      </w:r>
      <w:r w:rsidR="00BB6DB9" w:rsidRPr="2936F752">
        <w:rPr>
          <w:rFonts w:eastAsia="Times New Roman"/>
          <w:color w:val="353332"/>
        </w:rPr>
        <w:t>f</w:t>
      </w:r>
      <w:r w:rsidR="138DA42A" w:rsidRPr="2936F752">
        <w:rPr>
          <w:rFonts w:eastAsia="Times New Roman"/>
          <w:color w:val="353332"/>
        </w:rPr>
        <w:t xml:space="preserve">oresight </w:t>
      </w:r>
      <w:r w:rsidR="00BB6DB9" w:rsidRPr="2936F752">
        <w:rPr>
          <w:rFonts w:eastAsia="Times New Roman"/>
          <w:color w:val="353332"/>
        </w:rPr>
        <w:t>p</w:t>
      </w:r>
      <w:r w:rsidR="138DA42A" w:rsidRPr="2936F752">
        <w:rPr>
          <w:rFonts w:eastAsia="Times New Roman"/>
          <w:color w:val="353332"/>
        </w:rPr>
        <w:t xml:space="preserve">anel. Although establishing the sandbox and operating the </w:t>
      </w:r>
      <w:r w:rsidR="00614B95" w:rsidRPr="2936F752">
        <w:rPr>
          <w:rFonts w:eastAsia="Times New Roman"/>
          <w:color w:val="353332"/>
        </w:rPr>
        <w:t>f</w:t>
      </w:r>
      <w:r w:rsidR="138DA42A" w:rsidRPr="2936F752">
        <w:rPr>
          <w:rFonts w:eastAsia="Times New Roman"/>
          <w:color w:val="353332"/>
        </w:rPr>
        <w:t xml:space="preserve">oresight </w:t>
      </w:r>
      <w:r w:rsidR="00614B95" w:rsidRPr="2936F752">
        <w:rPr>
          <w:rFonts w:eastAsia="Times New Roman"/>
          <w:color w:val="353332"/>
        </w:rPr>
        <w:t>p</w:t>
      </w:r>
      <w:r w:rsidR="138DA42A" w:rsidRPr="2936F752">
        <w:rPr>
          <w:rFonts w:eastAsia="Times New Roman"/>
          <w:color w:val="353332"/>
        </w:rPr>
        <w:t>anel require upfront investment</w:t>
      </w:r>
      <w:r w:rsidR="00AA68D4" w:rsidRPr="2936F752">
        <w:rPr>
          <w:rFonts w:eastAsia="Times New Roman"/>
          <w:color w:val="353332"/>
        </w:rPr>
        <w:t>,</w:t>
      </w:r>
      <w:r w:rsidR="26637DD9" w:rsidRPr="2936F752">
        <w:rPr>
          <w:rFonts w:eastAsia="Times New Roman"/>
          <w:color w:val="353332"/>
        </w:rPr>
        <w:t xml:space="preserve"> </w:t>
      </w:r>
      <w:r w:rsidR="138DA42A" w:rsidRPr="2936F752">
        <w:rPr>
          <w:rFonts w:eastAsia="Times New Roman"/>
          <w:color w:val="353332"/>
        </w:rPr>
        <w:t xml:space="preserve">these costs are </w:t>
      </w:r>
      <w:r w:rsidR="4A0A1C81" w:rsidRPr="2936F752">
        <w:rPr>
          <w:rFonts w:eastAsia="Times New Roman"/>
          <w:color w:val="353332"/>
        </w:rPr>
        <w:t xml:space="preserve">limited given the expected </w:t>
      </w:r>
      <w:r w:rsidR="11182959" w:rsidRPr="2936F752">
        <w:rPr>
          <w:rFonts w:eastAsia="Times New Roman"/>
          <w:color w:val="353332"/>
        </w:rPr>
        <w:t>low</w:t>
      </w:r>
      <w:r w:rsidR="4A0A1C81" w:rsidRPr="2936F752">
        <w:rPr>
          <w:rFonts w:eastAsia="Times New Roman"/>
          <w:color w:val="353332"/>
        </w:rPr>
        <w:t xml:space="preserve"> number of</w:t>
      </w:r>
      <w:r w:rsidR="5C7C6314" w:rsidRPr="2936F752">
        <w:rPr>
          <w:rFonts w:eastAsia="Times New Roman"/>
          <w:color w:val="353332"/>
        </w:rPr>
        <w:t xml:space="preserve"> such</w:t>
      </w:r>
      <w:r w:rsidR="4A0A1C81" w:rsidRPr="2936F752">
        <w:rPr>
          <w:rFonts w:eastAsia="Times New Roman"/>
          <w:color w:val="353332"/>
        </w:rPr>
        <w:t xml:space="preserve"> sandboxes,</w:t>
      </w:r>
      <w:r w:rsidR="138DA42A" w:rsidRPr="2936F752">
        <w:rPr>
          <w:rFonts w:eastAsia="Times New Roman"/>
          <w:color w:val="353332"/>
        </w:rPr>
        <w:t xml:space="preserve"> borne at EU</w:t>
      </w:r>
      <w:r w:rsidR="11F06930" w:rsidRPr="2936F752">
        <w:rPr>
          <w:rFonts w:eastAsia="Times New Roman"/>
          <w:color w:val="353332"/>
        </w:rPr>
        <w:t>-</w:t>
      </w:r>
      <w:r w:rsidR="138DA42A" w:rsidRPr="2936F752">
        <w:rPr>
          <w:rFonts w:eastAsia="Times New Roman"/>
          <w:color w:val="353332"/>
        </w:rPr>
        <w:t>level</w:t>
      </w:r>
      <w:r w:rsidR="2BD766DE" w:rsidRPr="2936F752">
        <w:rPr>
          <w:rFonts w:eastAsia="Times New Roman"/>
          <w:color w:val="353332"/>
        </w:rPr>
        <w:t xml:space="preserve"> </w:t>
      </w:r>
      <w:r w:rsidR="138DA42A" w:rsidRPr="2936F752">
        <w:rPr>
          <w:rFonts w:eastAsia="Times New Roman"/>
          <w:color w:val="353332"/>
        </w:rPr>
        <w:t xml:space="preserve">with no </w:t>
      </w:r>
      <w:r w:rsidR="138DA42A" w:rsidRPr="000D5C59">
        <w:rPr>
          <w:rFonts w:eastAsia="Times New Roman"/>
          <w:color w:val="353332"/>
        </w:rPr>
        <w:t xml:space="preserve">additional burden on Member States, and are expected to be offset by efficiency gains, reduced uncertainty, and scale effects. For public health and safety, </w:t>
      </w:r>
      <w:r w:rsidR="6DDFD70C" w:rsidRPr="000D5C59">
        <w:rPr>
          <w:rFonts w:eastAsia="Times New Roman"/>
          <w:color w:val="353332"/>
        </w:rPr>
        <w:t>t</w:t>
      </w:r>
      <w:r w:rsidR="138DA42A" w:rsidRPr="000D5C59">
        <w:rPr>
          <w:rFonts w:eastAsia="Times New Roman"/>
          <w:color w:val="353332"/>
        </w:rPr>
        <w:t xml:space="preserve">he combined regulatory tools </w:t>
      </w:r>
      <w:r w:rsidR="005A63BD" w:rsidRPr="000D5C59">
        <w:rPr>
          <w:rFonts w:eastAsia="Times New Roman"/>
          <w:color w:val="353332"/>
        </w:rPr>
        <w:t xml:space="preserve">aim to </w:t>
      </w:r>
      <w:r w:rsidR="138DA42A" w:rsidRPr="000D5C59">
        <w:rPr>
          <w:rFonts w:eastAsia="Times New Roman"/>
          <w:color w:val="353332"/>
        </w:rPr>
        <w:t>offer a more innovation</w:t>
      </w:r>
      <w:r w:rsidR="00AA68D4" w:rsidRPr="000D5C59">
        <w:rPr>
          <w:rFonts w:eastAsia="Times New Roman"/>
          <w:color w:val="353332"/>
        </w:rPr>
        <w:t>-</w:t>
      </w:r>
      <w:r w:rsidR="138DA42A" w:rsidRPr="000D5C59">
        <w:rPr>
          <w:rFonts w:eastAsia="Times New Roman"/>
          <w:color w:val="353332"/>
        </w:rPr>
        <w:t>conducive regulatory</w:t>
      </w:r>
      <w:r w:rsidR="138DA42A" w:rsidRPr="2936F752">
        <w:rPr>
          <w:rFonts w:eastAsia="Times New Roman"/>
          <w:color w:val="353332"/>
        </w:rPr>
        <w:t xml:space="preserve"> system, bringing more breakthrough products with potential major patient benefit to the market through a more efficient and adapted regulatory process</w:t>
      </w:r>
      <w:r w:rsidR="7FC0D8E0" w:rsidRPr="44DFA752">
        <w:rPr>
          <w:rFonts w:eastAsia="Times New Roman"/>
          <w:color w:val="353332"/>
        </w:rPr>
        <w:t xml:space="preserve"> – without compromising safety standards.</w:t>
      </w:r>
      <w:r w:rsidR="138DA42A" w:rsidRPr="2936F752">
        <w:rPr>
          <w:rFonts w:eastAsia="Times New Roman"/>
          <w:color w:val="353332"/>
        </w:rPr>
        <w:t xml:space="preserve"> </w:t>
      </w:r>
    </w:p>
    <w:p w14:paraId="538AC7F7" w14:textId="653D319A" w:rsidR="1B21CC5F" w:rsidRDefault="00023A32" w:rsidP="2936F752">
      <w:pPr>
        <w:rPr>
          <w:lang w:val="en-US"/>
        </w:rPr>
      </w:pPr>
      <w:r>
        <w:rPr>
          <w:b/>
          <w:bCs/>
          <w:lang w:val="en-US"/>
        </w:rPr>
        <w:t>P</w:t>
      </w:r>
      <w:r w:rsidR="00EC785B" w:rsidRPr="00D63DC4">
        <w:rPr>
          <w:b/>
          <w:bCs/>
          <w:lang w:val="en-US"/>
        </w:rPr>
        <w:t>ublic authorities</w:t>
      </w:r>
      <w:r>
        <w:rPr>
          <w:b/>
          <w:bCs/>
          <w:lang w:val="en-US"/>
        </w:rPr>
        <w:t>:</w:t>
      </w:r>
      <w:r w:rsidR="007F0384">
        <w:rPr>
          <w:b/>
          <w:bCs/>
          <w:lang w:val="en-US"/>
        </w:rPr>
        <w:t xml:space="preserve"> </w:t>
      </w:r>
      <w:r>
        <w:rPr>
          <w:lang w:val="en-US"/>
        </w:rPr>
        <w:t>T</w:t>
      </w:r>
      <w:r w:rsidR="1B21CC5F" w:rsidRPr="00DA5CB2">
        <w:rPr>
          <w:lang w:val="en-US"/>
        </w:rPr>
        <w:t>he proposed measures will entail only limited costs, while delivering long-term efficiency gains</w:t>
      </w:r>
      <w:r w:rsidR="00246256">
        <w:rPr>
          <w:lang w:val="en-US"/>
        </w:rPr>
        <w:t xml:space="preserve">, </w:t>
      </w:r>
      <w:r w:rsidR="1B21CC5F" w:rsidRPr="00DA5CB2">
        <w:rPr>
          <w:lang w:val="en-US"/>
        </w:rPr>
        <w:t>particularly through streamlined authorisation processes that reduce administrative workload. Regulatory assistance via the support network will leverage existing national structures, adopting an antenna approach to better coordinate and deploy assistance providers at the national level. The regulatory status repository, though requiring initial development, will build upon existing or planned resources—such as the SoHO compendium or the Medical Devices Manual on Borderline and Classification—or simply reference national publications, thereby minimising duplication and resubmissions by developers. This, in turn, will further alleviate the burden on public authorities by reducing uncertainty and improving procedural efficiency. The foresight panel, while incurring marginal costs for logistical support, staff allocation, and expert compensation, is designed to strengthen anticipatory governance, ensuring greater preparedness for emerging technological shifts and ultimately lowering the future regulatory burden for complex, innovative products. Though no data exists on the cost-benefit ratio of a regulatory sandbox for novel health biotech products, its use will be highly targeted, keeping expenses minimal. Importantly, investments to establish the sandbox and operate the foresight panel will be fully funded by the Commission, imposing no additional financial obligations on Member States.</w:t>
      </w:r>
    </w:p>
    <w:p w14:paraId="050CE084" w14:textId="0F4F2FA8" w:rsidR="00321C94" w:rsidRPr="00321C94" w:rsidRDefault="00321C94" w:rsidP="00321C94">
      <w:pPr>
        <w:rPr>
          <w:rFonts w:eastAsia="Times New Roman"/>
          <w:lang w:val="en-IE"/>
        </w:rPr>
      </w:pPr>
      <w:r w:rsidRPr="00321C94">
        <w:rPr>
          <w:rFonts w:eastAsia="Times New Roman"/>
          <w:lang w:val="en-IE"/>
        </w:rPr>
        <w:t xml:space="preserve">On </w:t>
      </w:r>
      <w:r w:rsidRPr="00DA5CB2">
        <w:rPr>
          <w:rFonts w:eastAsia="Times New Roman"/>
          <w:b/>
          <w:bCs/>
          <w:lang w:val="en-IE"/>
        </w:rPr>
        <w:t>public health and safety</w:t>
      </w:r>
      <w:r w:rsidRPr="00321C94">
        <w:rPr>
          <w:rFonts w:eastAsia="Times New Roman"/>
          <w:lang w:val="en-IE"/>
        </w:rPr>
        <w:t>, no impacts are expected as safety standards remain untouched by these provisions. </w:t>
      </w:r>
    </w:p>
    <w:p w14:paraId="45E94CFF" w14:textId="6B6737B7" w:rsidR="2CC3304C" w:rsidRPr="00DA5CB2" w:rsidRDefault="00321C94" w:rsidP="00D63DC4">
      <w:pPr>
        <w:rPr>
          <w:rFonts w:ascii="Corbel" w:eastAsia="Corbel" w:hAnsi="Corbel" w:cs="Corbel"/>
          <w:b/>
          <w:bCs/>
          <w:caps/>
        </w:rPr>
      </w:pPr>
      <w:r w:rsidRPr="00321C94">
        <w:rPr>
          <w:rFonts w:eastAsia="Times New Roman"/>
          <w:lang w:val="en-IE"/>
        </w:rPr>
        <w:t> </w:t>
      </w:r>
      <w:r w:rsidR="7947B6FB" w:rsidRPr="00DA5CB2">
        <w:rPr>
          <w:b/>
          <w:bCs/>
        </w:rPr>
        <w:t xml:space="preserve">Table 1. Summary assessment of the effects due to the </w:t>
      </w:r>
      <w:r w:rsidR="007E456E" w:rsidRPr="00DA5CB2">
        <w:rPr>
          <w:b/>
          <w:bCs/>
        </w:rPr>
        <w:t>intervention n</w:t>
      </w:r>
      <w:r w:rsidR="007B5CF8" w:rsidRPr="00DA5CB2">
        <w:rPr>
          <w:b/>
          <w:bCs/>
        </w:rPr>
        <w:t>°1</w:t>
      </w:r>
    </w:p>
    <w:tbl>
      <w:tblPr>
        <w:tblStyle w:val="TableGrid"/>
        <w:tblW w:w="8617" w:type="dxa"/>
        <w:tblLook w:val="04A0" w:firstRow="1" w:lastRow="0" w:firstColumn="1" w:lastColumn="0" w:noHBand="0" w:noVBand="1"/>
      </w:tblPr>
      <w:tblGrid>
        <w:gridCol w:w="2098"/>
        <w:gridCol w:w="907"/>
        <w:gridCol w:w="907"/>
        <w:gridCol w:w="907"/>
        <w:gridCol w:w="1077"/>
        <w:gridCol w:w="907"/>
        <w:gridCol w:w="907"/>
        <w:gridCol w:w="907"/>
      </w:tblGrid>
      <w:tr w:rsidR="005F4A84" w14:paraId="56C72EF6" w14:textId="77777777" w:rsidTr="439FD4AD">
        <w:trPr>
          <w:trHeight w:val="300"/>
        </w:trPr>
        <w:tc>
          <w:tcPr>
            <w:tcW w:w="2098" w:type="dxa"/>
          </w:tcPr>
          <w:p w14:paraId="1A3EA32B" w14:textId="71D148F6" w:rsidR="506D42CE" w:rsidRPr="00DA5CB2" w:rsidRDefault="00876704" w:rsidP="00DA5CB2">
            <w:pPr>
              <w:spacing w:before="60" w:after="270"/>
              <w:jc w:val="left"/>
              <w:rPr>
                <w:b/>
                <w:caps/>
                <w:sz w:val="20"/>
                <w:szCs w:val="20"/>
              </w:rPr>
            </w:pPr>
            <w:r w:rsidRPr="00176DBC">
              <w:rPr>
                <w:b/>
                <w:sz w:val="20"/>
                <w:szCs w:val="20"/>
              </w:rPr>
              <w:t xml:space="preserve">Policy </w:t>
            </w:r>
            <w:r w:rsidR="003757AF">
              <w:rPr>
                <w:b/>
                <w:sz w:val="20"/>
                <w:szCs w:val="20"/>
              </w:rPr>
              <w:t xml:space="preserve">measure </w:t>
            </w:r>
          </w:p>
        </w:tc>
        <w:tc>
          <w:tcPr>
            <w:tcW w:w="907" w:type="dxa"/>
          </w:tcPr>
          <w:p w14:paraId="03EA2744" w14:textId="7BC311AA" w:rsidR="506D42CE" w:rsidRPr="00DA5CB2" w:rsidRDefault="506D42CE" w:rsidP="004F48D9">
            <w:pPr>
              <w:spacing w:before="60" w:after="270"/>
              <w:rPr>
                <w:b/>
                <w:caps/>
                <w:sz w:val="20"/>
                <w:szCs w:val="20"/>
              </w:rPr>
            </w:pPr>
            <w:r w:rsidRPr="00DA5CB2">
              <w:rPr>
                <w:b/>
                <w:caps/>
                <w:sz w:val="20"/>
                <w:szCs w:val="20"/>
              </w:rPr>
              <w:t>COB</w:t>
            </w:r>
          </w:p>
        </w:tc>
        <w:tc>
          <w:tcPr>
            <w:tcW w:w="907" w:type="dxa"/>
          </w:tcPr>
          <w:p w14:paraId="611CEE76" w14:textId="4EE36D8F" w:rsidR="506D42CE" w:rsidRPr="00DA5CB2" w:rsidRDefault="00876704" w:rsidP="004F48D9">
            <w:pPr>
              <w:spacing w:before="60" w:after="270"/>
              <w:rPr>
                <w:b/>
                <w:caps/>
                <w:sz w:val="20"/>
                <w:szCs w:val="20"/>
              </w:rPr>
            </w:pPr>
            <w:r w:rsidRPr="00176DBC">
              <w:rPr>
                <w:b/>
                <w:sz w:val="20"/>
                <w:szCs w:val="20"/>
              </w:rPr>
              <w:t>Admin</w:t>
            </w:r>
          </w:p>
        </w:tc>
        <w:tc>
          <w:tcPr>
            <w:tcW w:w="907" w:type="dxa"/>
          </w:tcPr>
          <w:p w14:paraId="344DC8E0" w14:textId="5C0FEE95" w:rsidR="506D42CE" w:rsidRPr="00DA5CB2" w:rsidRDefault="506D42CE" w:rsidP="004F48D9">
            <w:pPr>
              <w:spacing w:before="60" w:after="270"/>
              <w:rPr>
                <w:b/>
                <w:caps/>
                <w:sz w:val="20"/>
                <w:szCs w:val="20"/>
              </w:rPr>
            </w:pPr>
            <w:r w:rsidRPr="00DA5CB2">
              <w:rPr>
                <w:b/>
                <w:caps/>
                <w:sz w:val="20"/>
                <w:szCs w:val="20"/>
              </w:rPr>
              <w:t>CTI</w:t>
            </w:r>
          </w:p>
        </w:tc>
        <w:tc>
          <w:tcPr>
            <w:tcW w:w="1077" w:type="dxa"/>
          </w:tcPr>
          <w:p w14:paraId="6B48FD6E" w14:textId="6F944723" w:rsidR="506D42CE" w:rsidRPr="00DA5CB2" w:rsidRDefault="00876704" w:rsidP="004F48D9">
            <w:pPr>
              <w:spacing w:before="60" w:after="270"/>
              <w:rPr>
                <w:b/>
                <w:caps/>
                <w:sz w:val="20"/>
                <w:szCs w:val="20"/>
              </w:rPr>
            </w:pPr>
            <w:r w:rsidRPr="00176DBC">
              <w:rPr>
                <w:b/>
                <w:sz w:val="20"/>
                <w:szCs w:val="20"/>
              </w:rPr>
              <w:t>Int mar</w:t>
            </w:r>
          </w:p>
        </w:tc>
        <w:tc>
          <w:tcPr>
            <w:tcW w:w="907" w:type="dxa"/>
          </w:tcPr>
          <w:p w14:paraId="1CC8FBF4" w14:textId="5828BE05" w:rsidR="506D42CE" w:rsidRPr="00DA5CB2" w:rsidRDefault="506D42CE" w:rsidP="004F48D9">
            <w:pPr>
              <w:spacing w:before="60" w:after="270"/>
              <w:rPr>
                <w:b/>
                <w:caps/>
                <w:sz w:val="20"/>
                <w:szCs w:val="20"/>
                <w:lang w:val="en-US"/>
              </w:rPr>
            </w:pPr>
            <w:r w:rsidRPr="00DA5CB2">
              <w:rPr>
                <w:b/>
                <w:caps/>
                <w:sz w:val="20"/>
                <w:szCs w:val="20"/>
              </w:rPr>
              <w:t>I</w:t>
            </w:r>
            <w:r w:rsidRPr="00DA5CB2">
              <w:rPr>
                <w:b/>
                <w:caps/>
                <w:sz w:val="20"/>
                <w:szCs w:val="20"/>
                <w:lang w:val="en-US"/>
              </w:rPr>
              <w:t>&amp;R</w:t>
            </w:r>
          </w:p>
        </w:tc>
        <w:tc>
          <w:tcPr>
            <w:tcW w:w="907" w:type="dxa"/>
          </w:tcPr>
          <w:p w14:paraId="45DBB414" w14:textId="6F1DDF4C" w:rsidR="506D42CE" w:rsidRPr="00DA5CB2" w:rsidRDefault="506D42CE" w:rsidP="004F48D9">
            <w:pPr>
              <w:spacing w:before="60" w:after="270"/>
              <w:rPr>
                <w:b/>
                <w:caps/>
                <w:sz w:val="20"/>
                <w:szCs w:val="20"/>
              </w:rPr>
            </w:pPr>
            <w:r w:rsidRPr="00DA5CB2">
              <w:rPr>
                <w:b/>
                <w:caps/>
                <w:sz w:val="20"/>
                <w:szCs w:val="20"/>
              </w:rPr>
              <w:t>PA</w:t>
            </w:r>
          </w:p>
        </w:tc>
        <w:tc>
          <w:tcPr>
            <w:tcW w:w="907" w:type="dxa"/>
          </w:tcPr>
          <w:p w14:paraId="4533AE21" w14:textId="6BDADCFC" w:rsidR="506D42CE" w:rsidRPr="00DA5CB2" w:rsidRDefault="506D42CE" w:rsidP="004F48D9">
            <w:pPr>
              <w:spacing w:before="60" w:after="270"/>
              <w:rPr>
                <w:b/>
                <w:caps/>
                <w:sz w:val="20"/>
                <w:szCs w:val="20"/>
              </w:rPr>
            </w:pPr>
            <w:r w:rsidRPr="00DA5CB2">
              <w:rPr>
                <w:b/>
                <w:caps/>
                <w:sz w:val="20"/>
                <w:szCs w:val="20"/>
              </w:rPr>
              <w:t>H&amp;S</w:t>
            </w:r>
          </w:p>
        </w:tc>
      </w:tr>
      <w:tr w:rsidR="005F4A84" w14:paraId="02BF7AF2" w14:textId="77777777" w:rsidTr="439FD4AD">
        <w:trPr>
          <w:trHeight w:val="300"/>
        </w:trPr>
        <w:tc>
          <w:tcPr>
            <w:tcW w:w="2098" w:type="dxa"/>
          </w:tcPr>
          <w:p w14:paraId="52D7D45B" w14:textId="05914296" w:rsidR="506D42CE" w:rsidRPr="00DA5CB2" w:rsidRDefault="506D42CE" w:rsidP="004F48D9">
            <w:pPr>
              <w:spacing w:before="60" w:after="270"/>
              <w:rPr>
                <w:b/>
                <w:sz w:val="20"/>
                <w:szCs w:val="20"/>
              </w:rPr>
            </w:pPr>
            <w:r w:rsidRPr="00DA5CB2">
              <w:rPr>
                <w:b/>
                <w:sz w:val="20"/>
                <w:szCs w:val="20"/>
              </w:rPr>
              <w:t>Union regulatory status repository</w:t>
            </w:r>
          </w:p>
        </w:tc>
        <w:tc>
          <w:tcPr>
            <w:tcW w:w="907" w:type="dxa"/>
          </w:tcPr>
          <w:p w14:paraId="4EF36FAC" w14:textId="77AD20F6" w:rsidR="506D42CE" w:rsidRPr="00DA5CB2" w:rsidRDefault="506D42CE" w:rsidP="004F48D9">
            <w:pPr>
              <w:spacing w:before="60" w:after="270"/>
              <w:rPr>
                <w:sz w:val="20"/>
                <w:szCs w:val="20"/>
              </w:rPr>
            </w:pPr>
            <w:r w:rsidRPr="00DA5CB2">
              <w:rPr>
                <w:sz w:val="20"/>
                <w:szCs w:val="20"/>
              </w:rPr>
              <w:t>+</w:t>
            </w:r>
          </w:p>
        </w:tc>
        <w:tc>
          <w:tcPr>
            <w:tcW w:w="907" w:type="dxa"/>
          </w:tcPr>
          <w:p w14:paraId="18D956BC" w14:textId="77A31FC2" w:rsidR="506D42CE" w:rsidRPr="00DA5CB2" w:rsidRDefault="506D42CE" w:rsidP="004F48D9">
            <w:pPr>
              <w:spacing w:before="60" w:after="270"/>
              <w:rPr>
                <w:sz w:val="20"/>
                <w:szCs w:val="20"/>
              </w:rPr>
            </w:pPr>
            <w:r w:rsidRPr="00DA5CB2">
              <w:rPr>
                <w:sz w:val="20"/>
                <w:szCs w:val="20"/>
              </w:rPr>
              <w:t>+</w:t>
            </w:r>
          </w:p>
        </w:tc>
        <w:tc>
          <w:tcPr>
            <w:tcW w:w="907" w:type="dxa"/>
          </w:tcPr>
          <w:p w14:paraId="606D8866" w14:textId="7F042D47" w:rsidR="506D42CE" w:rsidRPr="00DA5CB2" w:rsidRDefault="506D42CE" w:rsidP="004F48D9">
            <w:pPr>
              <w:spacing w:before="60" w:after="270"/>
              <w:rPr>
                <w:sz w:val="20"/>
                <w:szCs w:val="20"/>
              </w:rPr>
            </w:pPr>
            <w:r w:rsidRPr="00DA5CB2">
              <w:rPr>
                <w:sz w:val="20"/>
                <w:szCs w:val="20"/>
              </w:rPr>
              <w:t>+</w:t>
            </w:r>
          </w:p>
        </w:tc>
        <w:tc>
          <w:tcPr>
            <w:tcW w:w="1077" w:type="dxa"/>
          </w:tcPr>
          <w:p w14:paraId="354DC431" w14:textId="657BFF6A" w:rsidR="506D42CE" w:rsidRPr="00DA5CB2" w:rsidRDefault="506D42CE" w:rsidP="004F48D9">
            <w:pPr>
              <w:spacing w:before="60" w:after="270"/>
              <w:rPr>
                <w:sz w:val="20"/>
                <w:szCs w:val="20"/>
              </w:rPr>
            </w:pPr>
            <w:r w:rsidRPr="00DA5CB2">
              <w:rPr>
                <w:sz w:val="20"/>
                <w:szCs w:val="20"/>
              </w:rPr>
              <w:t>+</w:t>
            </w:r>
          </w:p>
        </w:tc>
        <w:tc>
          <w:tcPr>
            <w:tcW w:w="907" w:type="dxa"/>
          </w:tcPr>
          <w:p w14:paraId="7A802C09" w14:textId="647EA7C7" w:rsidR="506D42CE" w:rsidRPr="00DA5CB2" w:rsidRDefault="506D42CE" w:rsidP="004F48D9">
            <w:pPr>
              <w:spacing w:before="60" w:after="270"/>
              <w:rPr>
                <w:sz w:val="20"/>
                <w:szCs w:val="20"/>
              </w:rPr>
            </w:pPr>
            <w:r w:rsidRPr="00DA5CB2">
              <w:rPr>
                <w:sz w:val="20"/>
                <w:szCs w:val="20"/>
              </w:rPr>
              <w:t>+</w:t>
            </w:r>
          </w:p>
        </w:tc>
        <w:tc>
          <w:tcPr>
            <w:tcW w:w="907" w:type="dxa"/>
          </w:tcPr>
          <w:p w14:paraId="4F90C16E" w14:textId="04E8EB59" w:rsidR="506D42CE" w:rsidRPr="00DA5CB2" w:rsidRDefault="2512B132" w:rsidP="004F48D9">
            <w:pPr>
              <w:spacing w:before="60" w:after="270"/>
              <w:rPr>
                <w:sz w:val="20"/>
                <w:szCs w:val="20"/>
              </w:rPr>
            </w:pPr>
            <w:r w:rsidRPr="439FD4AD">
              <w:rPr>
                <w:sz w:val="20"/>
                <w:szCs w:val="20"/>
              </w:rPr>
              <w:t>n/a</w:t>
            </w:r>
          </w:p>
        </w:tc>
        <w:tc>
          <w:tcPr>
            <w:tcW w:w="907" w:type="dxa"/>
          </w:tcPr>
          <w:p w14:paraId="07057233" w14:textId="02BF2EF0" w:rsidR="506D42CE" w:rsidRPr="00DA5CB2" w:rsidRDefault="506D42CE" w:rsidP="004F48D9">
            <w:pPr>
              <w:spacing w:before="60" w:after="270"/>
              <w:rPr>
                <w:sz w:val="20"/>
                <w:szCs w:val="20"/>
              </w:rPr>
            </w:pPr>
            <w:r w:rsidRPr="00DA5CB2">
              <w:rPr>
                <w:sz w:val="20"/>
                <w:szCs w:val="20"/>
              </w:rPr>
              <w:t>0</w:t>
            </w:r>
          </w:p>
        </w:tc>
      </w:tr>
      <w:tr w:rsidR="005F4A84" w14:paraId="1F196227" w14:textId="77777777" w:rsidTr="439FD4AD">
        <w:trPr>
          <w:trHeight w:val="300"/>
        </w:trPr>
        <w:tc>
          <w:tcPr>
            <w:tcW w:w="2098" w:type="dxa"/>
          </w:tcPr>
          <w:p w14:paraId="2525484D" w14:textId="2B8F1DFD" w:rsidR="506D42CE" w:rsidRPr="00DA5CB2" w:rsidRDefault="506D42CE" w:rsidP="004F48D9">
            <w:pPr>
              <w:spacing w:before="60" w:after="270"/>
              <w:rPr>
                <w:b/>
                <w:sz w:val="20"/>
                <w:szCs w:val="20"/>
              </w:rPr>
            </w:pPr>
            <w:r w:rsidRPr="00DA5CB2">
              <w:rPr>
                <w:b/>
                <w:sz w:val="20"/>
                <w:szCs w:val="20"/>
              </w:rPr>
              <w:t>Foresight Panel for Emerging Health Innovation</w:t>
            </w:r>
          </w:p>
        </w:tc>
        <w:tc>
          <w:tcPr>
            <w:tcW w:w="907" w:type="dxa"/>
          </w:tcPr>
          <w:p w14:paraId="0DA456E4" w14:textId="5F345949" w:rsidR="506D42CE" w:rsidRPr="00DA5CB2" w:rsidRDefault="506D42CE" w:rsidP="004F48D9">
            <w:pPr>
              <w:spacing w:before="60" w:after="270"/>
              <w:rPr>
                <w:sz w:val="20"/>
                <w:szCs w:val="20"/>
              </w:rPr>
            </w:pPr>
            <w:r w:rsidRPr="00DA5CB2">
              <w:rPr>
                <w:sz w:val="20"/>
                <w:szCs w:val="20"/>
              </w:rPr>
              <w:t>+</w:t>
            </w:r>
          </w:p>
        </w:tc>
        <w:tc>
          <w:tcPr>
            <w:tcW w:w="907" w:type="dxa"/>
          </w:tcPr>
          <w:p w14:paraId="400FAAA4" w14:textId="322D497D" w:rsidR="506D42CE" w:rsidRPr="00DA5CB2" w:rsidRDefault="506D42CE" w:rsidP="004F48D9">
            <w:pPr>
              <w:spacing w:before="60" w:after="270"/>
              <w:rPr>
                <w:sz w:val="20"/>
                <w:szCs w:val="20"/>
              </w:rPr>
            </w:pPr>
            <w:r w:rsidRPr="00DA5CB2">
              <w:rPr>
                <w:sz w:val="20"/>
                <w:szCs w:val="20"/>
              </w:rPr>
              <w:t>0</w:t>
            </w:r>
          </w:p>
        </w:tc>
        <w:tc>
          <w:tcPr>
            <w:tcW w:w="907" w:type="dxa"/>
          </w:tcPr>
          <w:p w14:paraId="6EF0518E" w14:textId="45DEEEC8" w:rsidR="506D42CE" w:rsidRPr="00DA5CB2" w:rsidRDefault="506D42CE" w:rsidP="004F48D9">
            <w:pPr>
              <w:spacing w:before="60" w:after="270"/>
              <w:rPr>
                <w:sz w:val="20"/>
                <w:szCs w:val="20"/>
              </w:rPr>
            </w:pPr>
            <w:r w:rsidRPr="00DA5CB2">
              <w:rPr>
                <w:sz w:val="20"/>
                <w:szCs w:val="20"/>
              </w:rPr>
              <w:t>+</w:t>
            </w:r>
          </w:p>
        </w:tc>
        <w:tc>
          <w:tcPr>
            <w:tcW w:w="1077" w:type="dxa"/>
          </w:tcPr>
          <w:p w14:paraId="07C6D456" w14:textId="14EA7619" w:rsidR="506D42CE" w:rsidRPr="00DA5CB2" w:rsidRDefault="506D42CE" w:rsidP="004F48D9">
            <w:pPr>
              <w:spacing w:before="60" w:after="270"/>
              <w:rPr>
                <w:sz w:val="20"/>
                <w:szCs w:val="20"/>
              </w:rPr>
            </w:pPr>
            <w:r w:rsidRPr="00DA5CB2">
              <w:rPr>
                <w:sz w:val="20"/>
                <w:szCs w:val="20"/>
              </w:rPr>
              <w:t>+</w:t>
            </w:r>
          </w:p>
        </w:tc>
        <w:tc>
          <w:tcPr>
            <w:tcW w:w="907" w:type="dxa"/>
          </w:tcPr>
          <w:p w14:paraId="29ADA361" w14:textId="7B2AF6B4" w:rsidR="506D42CE" w:rsidRPr="00DA5CB2" w:rsidRDefault="506D42CE" w:rsidP="004F48D9">
            <w:pPr>
              <w:spacing w:before="60" w:after="270"/>
              <w:rPr>
                <w:sz w:val="20"/>
                <w:szCs w:val="20"/>
              </w:rPr>
            </w:pPr>
            <w:r w:rsidRPr="00DA5CB2">
              <w:rPr>
                <w:sz w:val="20"/>
                <w:szCs w:val="20"/>
              </w:rPr>
              <w:t>+</w:t>
            </w:r>
          </w:p>
        </w:tc>
        <w:tc>
          <w:tcPr>
            <w:tcW w:w="907" w:type="dxa"/>
          </w:tcPr>
          <w:p w14:paraId="0E320C55" w14:textId="7699710C" w:rsidR="506D42CE" w:rsidRPr="00DA5CB2" w:rsidRDefault="50575C87" w:rsidP="004F48D9">
            <w:pPr>
              <w:spacing w:before="60" w:after="270"/>
              <w:rPr>
                <w:sz w:val="20"/>
                <w:szCs w:val="20"/>
              </w:rPr>
            </w:pPr>
            <w:r w:rsidRPr="439FD4AD">
              <w:rPr>
                <w:sz w:val="20"/>
                <w:szCs w:val="20"/>
              </w:rPr>
              <w:t>n/a</w:t>
            </w:r>
          </w:p>
        </w:tc>
        <w:tc>
          <w:tcPr>
            <w:tcW w:w="907" w:type="dxa"/>
          </w:tcPr>
          <w:p w14:paraId="7253C8CE" w14:textId="61248052" w:rsidR="506D42CE" w:rsidRPr="00DA5CB2" w:rsidRDefault="506D42CE" w:rsidP="004F48D9">
            <w:pPr>
              <w:spacing w:before="60" w:after="270"/>
              <w:rPr>
                <w:sz w:val="20"/>
                <w:szCs w:val="20"/>
              </w:rPr>
            </w:pPr>
            <w:r w:rsidRPr="00DA5CB2">
              <w:rPr>
                <w:sz w:val="20"/>
                <w:szCs w:val="20"/>
              </w:rPr>
              <w:t>0</w:t>
            </w:r>
          </w:p>
        </w:tc>
      </w:tr>
      <w:tr w:rsidR="005F4A84" w14:paraId="410A5A4B" w14:textId="77777777" w:rsidTr="439FD4AD">
        <w:trPr>
          <w:trHeight w:val="300"/>
        </w:trPr>
        <w:tc>
          <w:tcPr>
            <w:tcW w:w="2098" w:type="dxa"/>
          </w:tcPr>
          <w:p w14:paraId="11CABF92" w14:textId="0159B448" w:rsidR="506D42CE" w:rsidRPr="00DA5CB2" w:rsidRDefault="506D42CE" w:rsidP="004F48D9">
            <w:pPr>
              <w:spacing w:before="60" w:after="270"/>
              <w:rPr>
                <w:b/>
                <w:sz w:val="20"/>
                <w:szCs w:val="20"/>
              </w:rPr>
            </w:pPr>
            <w:r w:rsidRPr="00DA5CB2">
              <w:rPr>
                <w:b/>
                <w:sz w:val="20"/>
                <w:szCs w:val="20"/>
              </w:rPr>
              <w:t>Regulatory sandboxes</w:t>
            </w:r>
          </w:p>
        </w:tc>
        <w:tc>
          <w:tcPr>
            <w:tcW w:w="907" w:type="dxa"/>
          </w:tcPr>
          <w:p w14:paraId="0F3C517E" w14:textId="14EA715A" w:rsidR="506D42CE" w:rsidRPr="00DA5CB2" w:rsidRDefault="506D42CE" w:rsidP="004F48D9">
            <w:pPr>
              <w:spacing w:before="60" w:after="270"/>
              <w:rPr>
                <w:sz w:val="20"/>
                <w:szCs w:val="20"/>
              </w:rPr>
            </w:pPr>
            <w:r w:rsidRPr="00DA5CB2">
              <w:rPr>
                <w:sz w:val="20"/>
                <w:szCs w:val="20"/>
              </w:rPr>
              <w:t>+</w:t>
            </w:r>
          </w:p>
        </w:tc>
        <w:tc>
          <w:tcPr>
            <w:tcW w:w="907" w:type="dxa"/>
          </w:tcPr>
          <w:p w14:paraId="09F328B7" w14:textId="4C896F16" w:rsidR="506D42CE" w:rsidRPr="00DA5CB2" w:rsidRDefault="506D42CE" w:rsidP="004F48D9">
            <w:pPr>
              <w:spacing w:before="60" w:after="270"/>
              <w:rPr>
                <w:sz w:val="20"/>
                <w:szCs w:val="20"/>
              </w:rPr>
            </w:pPr>
            <w:r w:rsidRPr="00DA5CB2">
              <w:rPr>
                <w:sz w:val="20"/>
                <w:szCs w:val="20"/>
              </w:rPr>
              <w:t>+</w:t>
            </w:r>
          </w:p>
        </w:tc>
        <w:tc>
          <w:tcPr>
            <w:tcW w:w="907" w:type="dxa"/>
          </w:tcPr>
          <w:p w14:paraId="476B6D37" w14:textId="7719212B" w:rsidR="506D42CE" w:rsidRPr="00DA5CB2" w:rsidRDefault="506D42CE" w:rsidP="004F48D9">
            <w:pPr>
              <w:spacing w:before="60" w:after="270"/>
              <w:rPr>
                <w:sz w:val="20"/>
                <w:szCs w:val="20"/>
              </w:rPr>
            </w:pPr>
            <w:r w:rsidRPr="00DA5CB2">
              <w:rPr>
                <w:sz w:val="20"/>
                <w:szCs w:val="20"/>
              </w:rPr>
              <w:t>+</w:t>
            </w:r>
          </w:p>
        </w:tc>
        <w:tc>
          <w:tcPr>
            <w:tcW w:w="1077" w:type="dxa"/>
          </w:tcPr>
          <w:p w14:paraId="2FCBBA55" w14:textId="233AD1D2" w:rsidR="506D42CE" w:rsidRPr="00DA5CB2" w:rsidRDefault="506D42CE" w:rsidP="004F48D9">
            <w:pPr>
              <w:spacing w:before="60" w:after="270"/>
              <w:rPr>
                <w:sz w:val="20"/>
                <w:szCs w:val="20"/>
              </w:rPr>
            </w:pPr>
            <w:r w:rsidRPr="00DA5CB2">
              <w:rPr>
                <w:sz w:val="20"/>
                <w:szCs w:val="20"/>
              </w:rPr>
              <w:t>+</w:t>
            </w:r>
          </w:p>
        </w:tc>
        <w:tc>
          <w:tcPr>
            <w:tcW w:w="907" w:type="dxa"/>
          </w:tcPr>
          <w:p w14:paraId="6B894D98" w14:textId="0EF0C402" w:rsidR="506D42CE" w:rsidRPr="00DA5CB2" w:rsidRDefault="506D42CE" w:rsidP="004F48D9">
            <w:pPr>
              <w:spacing w:before="60" w:after="270"/>
              <w:rPr>
                <w:sz w:val="20"/>
                <w:szCs w:val="20"/>
              </w:rPr>
            </w:pPr>
            <w:r w:rsidRPr="00DA5CB2">
              <w:rPr>
                <w:sz w:val="20"/>
                <w:szCs w:val="20"/>
              </w:rPr>
              <w:t>+</w:t>
            </w:r>
          </w:p>
        </w:tc>
        <w:tc>
          <w:tcPr>
            <w:tcW w:w="907" w:type="dxa"/>
          </w:tcPr>
          <w:p w14:paraId="3C93088B" w14:textId="7792D0A4" w:rsidR="506D42CE" w:rsidRPr="00DA5CB2" w:rsidRDefault="127236C0" w:rsidP="004F48D9">
            <w:pPr>
              <w:spacing w:before="60" w:after="270"/>
              <w:rPr>
                <w:sz w:val="20"/>
                <w:szCs w:val="20"/>
              </w:rPr>
            </w:pPr>
            <w:r w:rsidRPr="439FD4AD">
              <w:rPr>
                <w:sz w:val="20"/>
                <w:szCs w:val="20"/>
              </w:rPr>
              <w:t>n/a</w:t>
            </w:r>
          </w:p>
        </w:tc>
        <w:tc>
          <w:tcPr>
            <w:tcW w:w="907" w:type="dxa"/>
          </w:tcPr>
          <w:p w14:paraId="5B795FDB" w14:textId="46C98854" w:rsidR="506D42CE" w:rsidRPr="00DA5CB2" w:rsidRDefault="506D42CE" w:rsidP="004F48D9">
            <w:pPr>
              <w:spacing w:before="60" w:after="270"/>
              <w:rPr>
                <w:sz w:val="20"/>
                <w:szCs w:val="20"/>
              </w:rPr>
            </w:pPr>
            <w:r w:rsidRPr="00DA5CB2">
              <w:rPr>
                <w:sz w:val="20"/>
                <w:szCs w:val="20"/>
              </w:rPr>
              <w:t>0</w:t>
            </w:r>
          </w:p>
        </w:tc>
      </w:tr>
    </w:tbl>
    <w:p w14:paraId="31A31E32" w14:textId="27AA39ED" w:rsidR="000F3479" w:rsidRPr="00DD0CE5" w:rsidRDefault="000F3479" w:rsidP="00DA5CB2">
      <w:pPr>
        <w:pStyle w:val="Heading3"/>
        <w:spacing w:before="240"/>
      </w:pPr>
      <w:bookmarkStart w:id="178" w:name="_Toc224747220"/>
      <w:bookmarkStart w:id="179" w:name="_Toc224749690"/>
      <w:bookmarkStart w:id="180" w:name="_Toc225974568"/>
      <w:bookmarkStart w:id="181" w:name="_Toc225975241"/>
      <w:bookmarkStart w:id="182" w:name="_Toc225975298"/>
      <w:r w:rsidRPr="00DD0CE5">
        <w:t xml:space="preserve">Intervention n°2: </w:t>
      </w:r>
      <w:r w:rsidR="00A74302">
        <w:t>T</w:t>
      </w:r>
      <w:r w:rsidRPr="00DD0CE5">
        <w:t>argeted regulatory reform of the General Food Law</w:t>
      </w:r>
      <w:r w:rsidRPr="00DD0CE5">
        <w:rPr>
          <w:vertAlign w:val="superscript"/>
        </w:rPr>
        <w:footnoteReference w:id="171"/>
      </w:r>
      <w:bookmarkEnd w:id="178"/>
      <w:bookmarkEnd w:id="179"/>
      <w:bookmarkEnd w:id="180"/>
      <w:bookmarkEnd w:id="181"/>
      <w:bookmarkEnd w:id="182"/>
    </w:p>
    <w:p w14:paraId="59CA43B2" w14:textId="42399112" w:rsidR="000F3479" w:rsidRPr="00DD0CE5" w:rsidRDefault="000F3479" w:rsidP="000F3479">
      <w:pPr>
        <w:pBdr>
          <w:top w:val="nil"/>
          <w:left w:val="nil"/>
          <w:bottom w:val="nil"/>
          <w:right w:val="nil"/>
          <w:between w:val="nil"/>
        </w:pBdr>
        <w:rPr>
          <w:rFonts w:eastAsia="Times New Roman"/>
          <w:noProof/>
          <w:color w:val="000000" w:themeColor="text1"/>
          <w:lang w:val="en-IE"/>
        </w:rPr>
      </w:pPr>
      <w:r w:rsidRPr="00E90A46">
        <w:rPr>
          <w:rFonts w:eastAsia="Times New Roman"/>
          <w:noProof/>
          <w:color w:val="000000" w:themeColor="text1"/>
          <w:lang w:val="en-IE"/>
        </w:rPr>
        <w:t xml:space="preserve">First, the </w:t>
      </w:r>
      <w:r w:rsidR="005A63BD" w:rsidRPr="00E90A46">
        <w:rPr>
          <w:rFonts w:eastAsia="Times New Roman"/>
          <w:noProof/>
          <w:color w:val="000000" w:themeColor="text1"/>
          <w:lang w:val="en-IE"/>
        </w:rPr>
        <w:t xml:space="preserve">Regulation </w:t>
      </w:r>
      <w:r w:rsidRPr="00E90A46">
        <w:rPr>
          <w:rFonts w:eastAsia="Times New Roman"/>
          <w:noProof/>
          <w:color w:val="000000" w:themeColor="text1"/>
          <w:lang w:val="en-IE"/>
        </w:rPr>
        <w:t>proposal includes measures to accelerate and improve EFSA risk assessment processes for products subject to pre-market authorisation under Union food and feed law. These include:</w:t>
      </w:r>
    </w:p>
    <w:p w14:paraId="3F93F435" w14:textId="28432A3F" w:rsidR="000F3479" w:rsidRPr="00DD0CE5" w:rsidRDefault="009D6A30" w:rsidP="00430713">
      <w:pPr>
        <w:pStyle w:val="ListParagraph"/>
        <w:numPr>
          <w:ilvl w:val="0"/>
          <w:numId w:val="5"/>
        </w:numPr>
        <w:rPr>
          <w:rFonts w:eastAsia="Times New Roman"/>
          <w:noProof/>
          <w:color w:val="000000" w:themeColor="text1"/>
        </w:rPr>
      </w:pPr>
      <w:r>
        <w:rPr>
          <w:rFonts w:eastAsia="Times New Roman"/>
          <w:noProof/>
          <w:color w:val="000000" w:themeColor="text1"/>
        </w:rPr>
        <w:t>t</w:t>
      </w:r>
      <w:r w:rsidR="000F3479" w:rsidRPr="00DD0CE5">
        <w:rPr>
          <w:rFonts w:eastAsia="Times New Roman"/>
          <w:noProof/>
          <w:color w:val="000000" w:themeColor="text1"/>
        </w:rPr>
        <w:t xml:space="preserve">he </w:t>
      </w:r>
      <w:bookmarkStart w:id="183" w:name="_Hlk224582192"/>
      <w:r w:rsidR="000F3479" w:rsidRPr="00DD0CE5">
        <w:rPr>
          <w:rFonts w:eastAsia="Times New Roman"/>
          <w:b/>
          <w:bCs/>
          <w:noProof/>
          <w:color w:val="000000" w:themeColor="text1"/>
        </w:rPr>
        <w:t xml:space="preserve">broadening of </w:t>
      </w:r>
      <w:r w:rsidR="00824ED6">
        <w:rPr>
          <w:rFonts w:eastAsia="Times New Roman"/>
          <w:b/>
          <w:bCs/>
          <w:noProof/>
          <w:color w:val="000000" w:themeColor="text1"/>
        </w:rPr>
        <w:t>the scope</w:t>
      </w:r>
      <w:r w:rsidR="000F3479" w:rsidRPr="00DD0CE5">
        <w:rPr>
          <w:rFonts w:eastAsia="Times New Roman"/>
          <w:b/>
          <w:bCs/>
          <w:noProof/>
          <w:color w:val="000000" w:themeColor="text1"/>
        </w:rPr>
        <w:t xml:space="preserve"> of general pre-submission advice</w:t>
      </w:r>
      <w:r w:rsidR="000F3479" w:rsidRPr="00DD0CE5">
        <w:rPr>
          <w:rFonts w:eastAsia="Times New Roman"/>
          <w:noProof/>
          <w:color w:val="000000" w:themeColor="text1"/>
        </w:rPr>
        <w:t xml:space="preserve"> (currently limited to administrative and regulatory requirements) to </w:t>
      </w:r>
      <w:r w:rsidR="00541648">
        <w:rPr>
          <w:rFonts w:eastAsia="Times New Roman"/>
          <w:noProof/>
          <w:color w:val="000000" w:themeColor="text1"/>
        </w:rPr>
        <w:t>cover</w:t>
      </w:r>
      <w:r w:rsidR="00541648" w:rsidRPr="00DD0CE5">
        <w:rPr>
          <w:rFonts w:eastAsia="Times New Roman"/>
          <w:noProof/>
          <w:color w:val="000000" w:themeColor="text1"/>
        </w:rPr>
        <w:t xml:space="preserve"> </w:t>
      </w:r>
      <w:r w:rsidR="000F3479" w:rsidRPr="00DD0CE5">
        <w:rPr>
          <w:rFonts w:eastAsia="Times New Roman"/>
          <w:noProof/>
          <w:color w:val="000000" w:themeColor="text1"/>
        </w:rPr>
        <w:t>scientific matters, such as study design and testing strategies, while merging it with the renewal-related advice into a single, unified and simplified procedure</w:t>
      </w:r>
      <w:bookmarkEnd w:id="183"/>
      <w:r w:rsidR="000F3479" w:rsidRPr="00DD0CE5">
        <w:rPr>
          <w:rFonts w:eastAsia="Times New Roman"/>
          <w:noProof/>
          <w:color w:val="000000" w:themeColor="text1"/>
        </w:rPr>
        <w:t>;</w:t>
      </w:r>
    </w:p>
    <w:p w14:paraId="2A0C685A" w14:textId="3D554AD0" w:rsidR="000F3479" w:rsidRPr="00DD0CE5" w:rsidRDefault="003B640A" w:rsidP="00430713">
      <w:pPr>
        <w:pStyle w:val="ListParagraph"/>
        <w:numPr>
          <w:ilvl w:val="0"/>
          <w:numId w:val="5"/>
        </w:numPr>
        <w:rPr>
          <w:rFonts w:eastAsia="Times New Roman"/>
          <w:noProof/>
          <w:color w:val="000000" w:themeColor="text1"/>
        </w:rPr>
      </w:pPr>
      <w:r>
        <w:rPr>
          <w:rFonts w:eastAsia="Times New Roman"/>
          <w:noProof/>
          <w:color w:val="000000" w:themeColor="text1"/>
        </w:rPr>
        <w:t>a shortening</w:t>
      </w:r>
      <w:r w:rsidR="00167979">
        <w:rPr>
          <w:rFonts w:eastAsia="Times New Roman"/>
          <w:noProof/>
          <w:color w:val="000000" w:themeColor="text1"/>
        </w:rPr>
        <w:t xml:space="preserve"> </w:t>
      </w:r>
      <w:r>
        <w:rPr>
          <w:rFonts w:eastAsia="Times New Roman"/>
          <w:noProof/>
          <w:color w:val="000000" w:themeColor="text1"/>
        </w:rPr>
        <w:t xml:space="preserve">to </w:t>
      </w:r>
      <w:r w:rsidR="000F3479" w:rsidRPr="00DD0CE5">
        <w:rPr>
          <w:rFonts w:eastAsia="Times New Roman"/>
          <w:b/>
          <w:bCs/>
          <w:noProof/>
          <w:color w:val="000000" w:themeColor="text1"/>
        </w:rPr>
        <w:t>three months</w:t>
      </w:r>
      <w:r w:rsidR="000F3479" w:rsidRPr="00DD0CE5">
        <w:rPr>
          <w:rFonts w:eastAsia="Times New Roman"/>
          <w:noProof/>
          <w:color w:val="000000" w:themeColor="text1"/>
        </w:rPr>
        <w:t xml:space="preserve"> </w:t>
      </w:r>
      <w:r w:rsidR="00AE0260">
        <w:rPr>
          <w:rFonts w:eastAsia="Times New Roman"/>
          <w:noProof/>
          <w:color w:val="000000" w:themeColor="text1"/>
        </w:rPr>
        <w:t xml:space="preserve">of the </w:t>
      </w:r>
      <w:r w:rsidR="000F3479" w:rsidRPr="00DD0CE5">
        <w:rPr>
          <w:rFonts w:eastAsia="Times New Roman"/>
          <w:b/>
          <w:bCs/>
          <w:noProof/>
          <w:color w:val="000000" w:themeColor="text1"/>
        </w:rPr>
        <w:t>procedural delay for non-compliance with the study notification requirements at pre-submission phase</w:t>
      </w:r>
      <w:r w:rsidR="000F3479" w:rsidRPr="00DD0CE5">
        <w:rPr>
          <w:rFonts w:eastAsia="Times New Roman"/>
          <w:noProof/>
          <w:color w:val="000000" w:themeColor="text1"/>
        </w:rPr>
        <w:t>;</w:t>
      </w:r>
    </w:p>
    <w:p w14:paraId="390C0908" w14:textId="74AD53B5" w:rsidR="000F3479" w:rsidRPr="00DD0CE5" w:rsidRDefault="00A477BD" w:rsidP="00430713">
      <w:pPr>
        <w:pStyle w:val="ListParagraph"/>
        <w:numPr>
          <w:ilvl w:val="0"/>
          <w:numId w:val="5"/>
        </w:numPr>
        <w:rPr>
          <w:rFonts w:eastAsia="Times New Roman"/>
          <w:noProof/>
          <w:color w:val="000000" w:themeColor="text1"/>
        </w:rPr>
      </w:pPr>
      <w:r>
        <w:rPr>
          <w:rFonts w:eastAsia="Times New Roman"/>
          <w:noProof/>
          <w:color w:val="000000" w:themeColor="text1"/>
        </w:rPr>
        <w:t>a</w:t>
      </w:r>
      <w:r w:rsidR="000F3479" w:rsidRPr="00DD0CE5">
        <w:rPr>
          <w:rFonts w:eastAsia="Times New Roman"/>
          <w:noProof/>
          <w:color w:val="000000" w:themeColor="text1"/>
        </w:rPr>
        <w:t xml:space="preserve"> targeted</w:t>
      </w:r>
      <w:r w:rsidR="00824ED6">
        <w:rPr>
          <w:rFonts w:eastAsia="Times New Roman"/>
          <w:noProof/>
          <w:color w:val="000000" w:themeColor="text1"/>
        </w:rPr>
        <w:t xml:space="preserve"> </w:t>
      </w:r>
      <w:r w:rsidR="000F3479" w:rsidRPr="00DD0CE5">
        <w:rPr>
          <w:rFonts w:eastAsia="Times New Roman"/>
          <w:noProof/>
          <w:color w:val="000000" w:themeColor="text1"/>
        </w:rPr>
        <w:t xml:space="preserve">and limited </w:t>
      </w:r>
      <w:r w:rsidR="000F3479" w:rsidRPr="00DD0CE5">
        <w:rPr>
          <w:rFonts w:eastAsia="Times New Roman"/>
          <w:b/>
          <w:bCs/>
          <w:noProof/>
          <w:color w:val="000000" w:themeColor="text1"/>
        </w:rPr>
        <w:t xml:space="preserve">revision of the Scientific Committee/Scientific Panel governance </w:t>
      </w:r>
      <w:r w:rsidR="000F3479" w:rsidRPr="00DD0CE5">
        <w:rPr>
          <w:rFonts w:eastAsia="Times New Roman"/>
          <w:noProof/>
          <w:color w:val="000000" w:themeColor="text1"/>
        </w:rPr>
        <w:t>while maintaining the composition of the Scientific Committee;</w:t>
      </w:r>
    </w:p>
    <w:p w14:paraId="6729F4D1" w14:textId="69F5F69E" w:rsidR="000F3479" w:rsidRPr="004F48D9" w:rsidRDefault="00A477BD" w:rsidP="00430713">
      <w:pPr>
        <w:pStyle w:val="ListParagraph"/>
        <w:numPr>
          <w:ilvl w:val="0"/>
          <w:numId w:val="5"/>
        </w:numPr>
        <w:rPr>
          <w:rFonts w:eastAsia="Times New Roman"/>
          <w:color w:val="000000" w:themeColor="text1"/>
        </w:rPr>
      </w:pPr>
      <w:r>
        <w:rPr>
          <w:rFonts w:eastAsia="Times New Roman"/>
          <w:noProof/>
          <w:color w:val="000000" w:themeColor="text1"/>
        </w:rPr>
        <w:t>t</w:t>
      </w:r>
      <w:r w:rsidR="000F3479" w:rsidRPr="00DD0CE5">
        <w:rPr>
          <w:rFonts w:eastAsia="Times New Roman"/>
          <w:noProof/>
          <w:color w:val="000000" w:themeColor="text1"/>
        </w:rPr>
        <w:t xml:space="preserve">he </w:t>
      </w:r>
      <w:r w:rsidR="000F3479" w:rsidRPr="00DD0CE5">
        <w:rPr>
          <w:rFonts w:eastAsia="Times New Roman"/>
          <w:b/>
          <w:bCs/>
          <w:noProof/>
          <w:color w:val="000000" w:themeColor="text1"/>
        </w:rPr>
        <w:t>expansion of EFSA mandate</w:t>
      </w:r>
      <w:r w:rsidR="000F3479" w:rsidRPr="00DD0CE5">
        <w:rPr>
          <w:rFonts w:eastAsia="Times New Roman"/>
          <w:noProof/>
          <w:color w:val="000000" w:themeColor="text1"/>
        </w:rPr>
        <w:t xml:space="preserve"> to provide scientific advice on </w:t>
      </w:r>
      <w:r w:rsidR="6105786D" w:rsidRPr="43DBC58C">
        <w:rPr>
          <w:rFonts w:eastAsia="Times New Roman"/>
          <w:noProof/>
          <w:color w:val="000000" w:themeColor="text1"/>
        </w:rPr>
        <w:t xml:space="preserve">all aspects of </w:t>
      </w:r>
      <w:r w:rsidR="000F3479" w:rsidRPr="00DD0CE5">
        <w:rPr>
          <w:rFonts w:eastAsia="Times New Roman"/>
          <w:noProof/>
          <w:color w:val="000000" w:themeColor="text1"/>
        </w:rPr>
        <w:t>human nutrition.</w:t>
      </w:r>
    </w:p>
    <w:p w14:paraId="6C8B4953" w14:textId="5FF055DF" w:rsidR="00B8319C" w:rsidRPr="00303F3B" w:rsidRDefault="000F3479" w:rsidP="00AD0C18">
      <w:pPr>
        <w:spacing w:after="160" w:line="259" w:lineRule="auto"/>
      </w:pPr>
      <w:r w:rsidRPr="00DD0CE5">
        <w:rPr>
          <w:rFonts w:eastAsia="Times New Roman"/>
          <w:noProof/>
          <w:color w:val="000000" w:themeColor="text1"/>
        </w:rPr>
        <w:t>Secondly, the proposal establishes</w:t>
      </w:r>
      <w:r w:rsidRPr="00DD0CE5">
        <w:rPr>
          <w:rFonts w:eastAsia="Times New Roman"/>
          <w:noProof/>
          <w:color w:val="000000" w:themeColor="text1"/>
          <w:lang w:val="en-IE"/>
        </w:rPr>
        <w:t xml:space="preserve"> a </w:t>
      </w:r>
      <w:r w:rsidRPr="00DD0CE5">
        <w:rPr>
          <w:rFonts w:eastAsia="Times New Roman"/>
          <w:b/>
          <w:bCs/>
          <w:noProof/>
          <w:color w:val="000000" w:themeColor="text1"/>
          <w:lang w:val="en-IE"/>
        </w:rPr>
        <w:t>comprehensive regulatory sandboxes framework within Union food law</w:t>
      </w:r>
      <w:r w:rsidRPr="00DD0CE5">
        <w:rPr>
          <w:rFonts w:eastAsia="Times New Roman"/>
          <w:noProof/>
          <w:color w:val="000000" w:themeColor="text1"/>
          <w:lang w:val="en-IE"/>
        </w:rPr>
        <w:t>, enabling Member States to create controlled environments for testing innovative technologies, products and substances</w:t>
      </w:r>
      <w:r w:rsidR="00D71B82" w:rsidRPr="00D71B82">
        <w:rPr>
          <w:rFonts w:eastAsia="Times New Roman"/>
          <w:noProof/>
          <w:color w:val="000000" w:themeColor="text1"/>
          <w:lang w:val="en-IE"/>
        </w:rPr>
        <w:t xml:space="preserve"> </w:t>
      </w:r>
      <w:r w:rsidRPr="00DD0CE5">
        <w:rPr>
          <w:rFonts w:eastAsia="Times New Roman"/>
          <w:noProof/>
          <w:color w:val="000000" w:themeColor="text1"/>
          <w:lang w:val="en-IE"/>
        </w:rPr>
        <w:t>at pre-market stage</w:t>
      </w:r>
      <w:r w:rsidR="00B73A36">
        <w:rPr>
          <w:rFonts w:eastAsia="Times New Roman"/>
          <w:noProof/>
          <w:color w:val="000000" w:themeColor="text1"/>
          <w:lang w:val="en-IE"/>
        </w:rPr>
        <w:t xml:space="preserve">, </w:t>
      </w:r>
      <w:r w:rsidR="00381F62" w:rsidRPr="00381F62">
        <w:rPr>
          <w:rFonts w:eastAsia="Times New Roman"/>
          <w:noProof/>
          <w:color w:val="000000" w:themeColor="text1"/>
          <w:lang w:val="en-IE"/>
        </w:rPr>
        <w:t>data requirements and altern</w:t>
      </w:r>
      <w:r w:rsidR="00381F62">
        <w:rPr>
          <w:rFonts w:eastAsia="Times New Roman"/>
          <w:noProof/>
          <w:color w:val="000000" w:themeColor="text1"/>
          <w:lang w:val="en-IE"/>
        </w:rPr>
        <w:t>a</w:t>
      </w:r>
      <w:r w:rsidR="00381F62" w:rsidRPr="00381F62">
        <w:rPr>
          <w:rFonts w:eastAsia="Times New Roman"/>
          <w:noProof/>
          <w:color w:val="000000" w:themeColor="text1"/>
          <w:lang w:val="en-IE"/>
        </w:rPr>
        <w:t xml:space="preserve">tive regulatory requirements </w:t>
      </w:r>
      <w:r w:rsidRPr="00DD0CE5">
        <w:rPr>
          <w:rFonts w:eastAsia="Times New Roman"/>
          <w:noProof/>
          <w:color w:val="000000" w:themeColor="text1"/>
          <w:lang w:val="en-IE"/>
        </w:rPr>
        <w:t>for food production, processing and distribution</w:t>
      </w:r>
      <w:r w:rsidR="00B8319C">
        <w:rPr>
          <w:rFonts w:eastAsia="Times New Roman"/>
          <w:noProof/>
          <w:color w:val="000000" w:themeColor="text1"/>
          <w:lang w:val="en-IE"/>
        </w:rPr>
        <w:t>,</w:t>
      </w:r>
      <w:r w:rsidRPr="00DD0CE5">
        <w:rPr>
          <w:rFonts w:eastAsia="Times New Roman"/>
          <w:noProof/>
          <w:color w:val="000000" w:themeColor="text1"/>
          <w:lang w:val="en-IE"/>
        </w:rPr>
        <w:t xml:space="preserve"> feed produced for food-producing animals, food contact materials, and GMO-containing products.</w:t>
      </w:r>
      <w:r w:rsidR="002518B9">
        <w:rPr>
          <w:rFonts w:eastAsia="Times New Roman"/>
          <w:noProof/>
          <w:color w:val="000000" w:themeColor="text1"/>
          <w:lang w:val="en-IE"/>
        </w:rPr>
        <w:t xml:space="preserve"> </w:t>
      </w:r>
      <w:r w:rsidR="00213E5D">
        <w:rPr>
          <w:rFonts w:eastAsia="Times New Roman"/>
          <w:noProof/>
          <w:color w:val="000000" w:themeColor="text1"/>
          <w:lang w:val="en-IE"/>
        </w:rPr>
        <w:t xml:space="preserve">The proposal, however, </w:t>
      </w:r>
      <w:r w:rsidR="00213E5D" w:rsidRPr="00DA5CB2">
        <w:rPr>
          <w:rFonts w:eastAsia="Times New Roman"/>
          <w:b/>
          <w:color w:val="000000" w:themeColor="text1"/>
          <w:lang w:val="en-IE"/>
        </w:rPr>
        <w:t>does not allow</w:t>
      </w:r>
      <w:r w:rsidR="00213E5D">
        <w:rPr>
          <w:rFonts w:eastAsia="Times New Roman"/>
          <w:noProof/>
          <w:color w:val="000000" w:themeColor="text1"/>
          <w:lang w:val="en-IE"/>
        </w:rPr>
        <w:t xml:space="preserve"> the</w:t>
      </w:r>
      <w:r w:rsidR="00A1127E">
        <w:rPr>
          <w:rFonts w:eastAsia="Times New Roman"/>
          <w:noProof/>
          <w:color w:val="000000" w:themeColor="text1"/>
          <w:lang w:val="en-IE"/>
        </w:rPr>
        <w:t xml:space="preserve"> </w:t>
      </w:r>
      <w:r w:rsidR="00ED445A">
        <w:rPr>
          <w:rFonts w:eastAsia="Times New Roman"/>
          <w:noProof/>
          <w:color w:val="000000" w:themeColor="text1"/>
          <w:lang w:val="en-IE"/>
        </w:rPr>
        <w:t>establishment</w:t>
      </w:r>
      <w:r w:rsidR="00A1127E">
        <w:rPr>
          <w:rFonts w:eastAsia="Times New Roman"/>
          <w:noProof/>
          <w:color w:val="000000" w:themeColor="text1"/>
          <w:lang w:val="en-IE"/>
        </w:rPr>
        <w:t xml:space="preserve"> </w:t>
      </w:r>
      <w:r w:rsidR="00032367" w:rsidRPr="00DA5CB2">
        <w:rPr>
          <w:rFonts w:eastAsia="Times New Roman"/>
          <w:b/>
          <w:color w:val="000000" w:themeColor="text1"/>
          <w:lang w:val="en-IE"/>
        </w:rPr>
        <w:t>of</w:t>
      </w:r>
      <w:r w:rsidR="00B8319C" w:rsidRPr="00DA5CB2">
        <w:rPr>
          <w:rFonts w:eastAsia="Times New Roman"/>
          <w:b/>
          <w:color w:val="000000" w:themeColor="text1"/>
          <w:lang w:val="en-IE"/>
        </w:rPr>
        <w:t xml:space="preserve"> </w:t>
      </w:r>
      <w:r w:rsidR="00213E5D" w:rsidRPr="00DA5CB2">
        <w:rPr>
          <w:rFonts w:eastAsia="Times New Roman"/>
          <w:b/>
          <w:color w:val="000000" w:themeColor="text1"/>
          <w:lang w:val="en-IE"/>
        </w:rPr>
        <w:t>r</w:t>
      </w:r>
      <w:r w:rsidR="00B8319C" w:rsidRPr="00DA5CB2">
        <w:rPr>
          <w:rFonts w:eastAsia="Times New Roman"/>
          <w:b/>
          <w:color w:val="000000" w:themeColor="text1"/>
          <w:lang w:val="en-IE"/>
        </w:rPr>
        <w:t>egulatory sandboxes</w:t>
      </w:r>
      <w:r w:rsidR="00B8319C">
        <w:rPr>
          <w:rFonts w:eastAsia="Times New Roman"/>
          <w:color w:val="000000" w:themeColor="text1"/>
          <w:lang w:val="en-IE"/>
        </w:rPr>
        <w:t xml:space="preserve"> for </w:t>
      </w:r>
      <w:r w:rsidR="00032367">
        <w:rPr>
          <w:rFonts w:eastAsia="Times New Roman"/>
          <w:noProof/>
          <w:color w:val="000000" w:themeColor="text1"/>
          <w:lang w:val="en-IE"/>
        </w:rPr>
        <w:t xml:space="preserve">the following categories of </w:t>
      </w:r>
      <w:r w:rsidR="00B8319C">
        <w:rPr>
          <w:rFonts w:eastAsia="Times New Roman"/>
          <w:color w:val="000000" w:themeColor="text1"/>
          <w:lang w:val="en-IE"/>
        </w:rPr>
        <w:t>products</w:t>
      </w:r>
      <w:r w:rsidR="00032367">
        <w:rPr>
          <w:rFonts w:eastAsia="Times New Roman"/>
          <w:noProof/>
          <w:color w:val="000000" w:themeColor="text1"/>
          <w:lang w:val="en-IE"/>
        </w:rPr>
        <w:t xml:space="preserve">: </w:t>
      </w:r>
      <w:r w:rsidR="00AD0C18">
        <w:rPr>
          <w:rFonts w:eastAsia="Times New Roman"/>
          <w:b/>
          <w:bCs/>
          <w:noProof/>
          <w:color w:val="000000" w:themeColor="text1"/>
          <w:lang w:val="en-IE"/>
        </w:rPr>
        <w:t xml:space="preserve">(a) </w:t>
      </w:r>
      <w:r w:rsidR="00032367" w:rsidRPr="00DA5CB2">
        <w:rPr>
          <w:rFonts w:eastAsia="Times New Roman"/>
          <w:b/>
          <w:color w:val="000000" w:themeColor="text1"/>
          <w:lang w:val="en-IE"/>
        </w:rPr>
        <w:t>Novel foods:</w:t>
      </w:r>
      <w:r w:rsidR="00032367">
        <w:rPr>
          <w:rFonts w:eastAsia="Times New Roman"/>
          <w:noProof/>
          <w:color w:val="000000" w:themeColor="text1"/>
          <w:lang w:val="en-IE"/>
        </w:rPr>
        <w:t xml:space="preserve"> </w:t>
      </w:r>
      <w:r w:rsidR="00B8319C" w:rsidRPr="00B8319C">
        <w:t>Experience has shown that certain types of novel foods</w:t>
      </w:r>
      <w:r w:rsidR="00C402EA" w:rsidRPr="00C402EA">
        <w:t xml:space="preserve"> involve highly innovative processes and complex scientific considerations, which require thorough oversight even at testing/experimental phase. This makes such foods less suited to the flexible, experimental nature of sandboxes. Furthermore, experience has shown that certain types of novel foods trigger ethical or cultural concerns among various consumer </w:t>
      </w:r>
      <w:r w:rsidR="00B8319C" w:rsidRPr="00B8319C">
        <w:t xml:space="preserve">segments regarding their acceptability. </w:t>
      </w:r>
      <w:r w:rsidR="001E2366">
        <w:t>Ther</w:t>
      </w:r>
      <w:r w:rsidR="00450E27">
        <w:t>e</w:t>
      </w:r>
      <w:r w:rsidR="001E2366">
        <w:t>fore,</w:t>
      </w:r>
      <w:r w:rsidR="00450E27">
        <w:t xml:space="preserve"> all</w:t>
      </w:r>
      <w:r w:rsidR="00B8319C" w:rsidRPr="00B8319C">
        <w:t xml:space="preserve"> aspects </w:t>
      </w:r>
      <w:r w:rsidR="00450E27">
        <w:t xml:space="preserve">of </w:t>
      </w:r>
      <w:r w:rsidR="001E2366">
        <w:t xml:space="preserve">novel foods in general </w:t>
      </w:r>
      <w:r w:rsidR="00B8319C" w:rsidRPr="00B8319C">
        <w:t xml:space="preserve">are best addressed </w:t>
      </w:r>
      <w:r w:rsidR="00CE7F5A">
        <w:t>solely</w:t>
      </w:r>
      <w:r w:rsidR="00B8319C" w:rsidRPr="00B8319C">
        <w:t xml:space="preserve"> within the applicable rigorous regulatory framework established by Regulation (EU) 2015/2283 of the European Parliament and of the Council</w:t>
      </w:r>
      <w:r w:rsidR="0064054C">
        <w:t xml:space="preserve"> and </w:t>
      </w:r>
      <w:r w:rsidR="00D91BC2">
        <w:t>should not be subject to regulatory sandboxes</w:t>
      </w:r>
      <w:r w:rsidR="00B246B9">
        <w:rPr>
          <w:rStyle w:val="FootnoteReference"/>
        </w:rPr>
        <w:footnoteReference w:id="172"/>
      </w:r>
      <w:r w:rsidR="00CE7F5A">
        <w:t>;</w:t>
      </w:r>
      <w:r w:rsidR="00AD0C18">
        <w:t xml:space="preserve"> </w:t>
      </w:r>
      <w:r w:rsidR="00AD0C18">
        <w:rPr>
          <w:b/>
          <w:bCs/>
        </w:rPr>
        <w:t xml:space="preserve">(b) </w:t>
      </w:r>
      <w:r w:rsidR="00EB560D">
        <w:rPr>
          <w:b/>
          <w:bCs/>
        </w:rPr>
        <w:t>Recycled p</w:t>
      </w:r>
      <w:r w:rsidR="00F91FB4" w:rsidRPr="00DA5CB2">
        <w:rPr>
          <w:b/>
          <w:bCs/>
        </w:rPr>
        <w:t>lasti</w:t>
      </w:r>
      <w:r w:rsidR="00F91FB4">
        <w:rPr>
          <w:b/>
        </w:rPr>
        <w:t xml:space="preserve">c </w:t>
      </w:r>
      <w:r w:rsidR="00BE26E0">
        <w:rPr>
          <w:b/>
          <w:bCs/>
        </w:rPr>
        <w:t>food contact</w:t>
      </w:r>
      <w:r w:rsidR="00F91FB4" w:rsidRPr="00DA5CB2">
        <w:rPr>
          <w:b/>
          <w:bCs/>
        </w:rPr>
        <w:t xml:space="preserve"> </w:t>
      </w:r>
      <w:r w:rsidR="00F91FB4">
        <w:rPr>
          <w:b/>
          <w:bCs/>
        </w:rPr>
        <w:t xml:space="preserve">materials: </w:t>
      </w:r>
      <w:r w:rsidR="00C945D0" w:rsidRPr="00B8319C">
        <w:t>As regards innovations concerning novel plastic recycling technologies for plastics intended to come into contact with food, chapter IV of Commission Regulation (EU) 2022/1616 already establishes a framework that is meant to encourage the development of such novel technologies without prior authorisation. To ensure uniform rules on the development of novel recycling technologies that safeguard the health of the consumers, it is appropriate to exclude the development of recycling technologies from the possible use of regulatory sandboxes and rely instead on the procedure established in chapter IV of Regulation (EU) 2022/1616</w:t>
      </w:r>
      <w:r w:rsidR="00AD0C18">
        <w:t>;</w:t>
      </w:r>
      <w:r w:rsidR="00C850B5">
        <w:rPr>
          <w:rStyle w:val="FootnoteReference"/>
        </w:rPr>
        <w:footnoteReference w:id="173"/>
      </w:r>
      <w:r w:rsidR="00AD0C18">
        <w:t xml:space="preserve"> and, </w:t>
      </w:r>
      <w:r w:rsidR="00AD0C18">
        <w:rPr>
          <w:b/>
          <w:bCs/>
        </w:rPr>
        <w:t xml:space="preserve">(c) </w:t>
      </w:r>
      <w:r w:rsidR="000721E2" w:rsidRPr="00DA5CB2">
        <w:rPr>
          <w:b/>
          <w:bCs/>
        </w:rPr>
        <w:t>GMOs regulated under Part B of Directive 2001/18/EC:</w:t>
      </w:r>
      <w:r w:rsidR="000721E2">
        <w:t xml:space="preserve"> </w:t>
      </w:r>
      <w:r w:rsidR="00B8319C" w:rsidRPr="00B8319C">
        <w:t xml:space="preserve">For </w:t>
      </w:r>
      <w:r w:rsidR="00AD0C18">
        <w:t xml:space="preserve">certain </w:t>
      </w:r>
      <w:r w:rsidR="00B8319C" w:rsidRPr="00B8319C">
        <w:t xml:space="preserve">GMOs legal pathways </w:t>
      </w:r>
      <w:r w:rsidR="00AD0C18">
        <w:t xml:space="preserve">already </w:t>
      </w:r>
      <w:r w:rsidR="00B8319C" w:rsidRPr="00B8319C">
        <w:t>exist to allow testing of innovations, such as under Part B of Directive 2001/18/EC on the deliberate release of genetically modified organisms (GMOs) for purposes other than placing on the market, and there</w:t>
      </w:r>
      <w:r w:rsidR="000721E2">
        <w:t xml:space="preserve">fore </w:t>
      </w:r>
      <w:r w:rsidR="00B8319C" w:rsidRPr="00B8319C">
        <w:t xml:space="preserve">there should not be a duplication of paths in </w:t>
      </w:r>
      <w:r w:rsidR="000721E2">
        <w:t xml:space="preserve">the interest of </w:t>
      </w:r>
      <w:r w:rsidR="00B8319C" w:rsidRPr="00B8319C">
        <w:t xml:space="preserve">legal certainty. For this reason, regulatory sandboxes should be restricted to products containing or consisting of GMOs subject to authorisation under Part C of Directive 2001/18/EC. </w:t>
      </w:r>
    </w:p>
    <w:p w14:paraId="77AE33C4" w14:textId="3B80C27F" w:rsidR="002518B9" w:rsidRPr="00303F3B" w:rsidRDefault="000721E2" w:rsidP="002518B9">
      <w:pPr>
        <w:spacing w:after="160" w:line="259" w:lineRule="auto"/>
      </w:pPr>
      <w:r>
        <w:t xml:space="preserve">Regulatory sandboxes established in the context of Regulation (EC) No 178/2002 </w:t>
      </w:r>
      <w:r w:rsidR="00051F88">
        <w:t>would not</w:t>
      </w:r>
      <w:r w:rsidR="002518B9" w:rsidRPr="00303F3B">
        <w:t xml:space="preserve"> replace or circumvent existing pre-market authorisation procedures</w:t>
      </w:r>
      <w:r w:rsidR="001C608F">
        <w:t>, as</w:t>
      </w:r>
      <w:r w:rsidR="002518B9">
        <w:t xml:space="preserve"> a</w:t>
      </w:r>
      <w:r w:rsidR="002518B9" w:rsidRPr="00303F3B">
        <w:t xml:space="preserve">ny product subject to pre-market authorisation – for example a new feed additive tested within a sandbox – would still need to undergo the full authorisation process before being placed on the EU market.  </w:t>
      </w:r>
    </w:p>
    <w:p w14:paraId="2719A1C8" w14:textId="442B5155" w:rsidR="00C34F68" w:rsidRDefault="00301FDE" w:rsidP="00C34F68">
      <w:pPr>
        <w:pBdr>
          <w:top w:val="nil"/>
          <w:left w:val="nil"/>
          <w:bottom w:val="nil"/>
          <w:right w:val="nil"/>
          <w:between w:val="nil"/>
        </w:pBdr>
        <w:rPr>
          <w:rFonts w:eastAsia="Times New Roman"/>
          <w:noProof/>
          <w:color w:val="000000" w:themeColor="text1"/>
          <w:lang w:val="en-IE"/>
        </w:rPr>
      </w:pPr>
      <w:r w:rsidRPr="00E86B7E">
        <w:rPr>
          <w:rFonts w:eastAsia="Times New Roman"/>
          <w:noProof/>
          <w:color w:val="000000" w:themeColor="text1"/>
          <w:u w:val="single"/>
          <w:lang w:val="en-IE"/>
        </w:rPr>
        <w:t xml:space="preserve">Expected </w:t>
      </w:r>
      <w:r w:rsidR="00C34F68" w:rsidRPr="00883196">
        <w:rPr>
          <w:rFonts w:eastAsia="Times New Roman"/>
          <w:noProof/>
          <w:color w:val="000000" w:themeColor="text1"/>
          <w:u w:val="single"/>
          <w:lang w:val="en-IE"/>
        </w:rPr>
        <w:t>impacts</w:t>
      </w:r>
      <w:r w:rsidR="00264044">
        <w:rPr>
          <w:rFonts w:eastAsia="Times New Roman"/>
          <w:noProof/>
          <w:color w:val="000000" w:themeColor="text1"/>
          <w:lang w:val="en-IE"/>
        </w:rPr>
        <w:t xml:space="preserve">: </w:t>
      </w:r>
    </w:p>
    <w:p w14:paraId="6D6FBFDA" w14:textId="227B3260" w:rsidR="00880CEB" w:rsidRPr="00F838F9" w:rsidRDefault="00FE479B" w:rsidP="00880CEB">
      <w:pPr>
        <w:rPr>
          <w:lang w:val="en-US"/>
        </w:rPr>
      </w:pPr>
      <w:r w:rsidRPr="00DA5CB2">
        <w:rPr>
          <w:b/>
          <w:bCs/>
          <w:lang w:val="en-US"/>
        </w:rPr>
        <w:t>C</w:t>
      </w:r>
      <w:r w:rsidR="00880CEB" w:rsidRPr="00C72938">
        <w:rPr>
          <w:b/>
          <w:lang w:val="en-US"/>
        </w:rPr>
        <w:t xml:space="preserve">onduct of </w:t>
      </w:r>
      <w:r w:rsidRPr="00FE479B">
        <w:rPr>
          <w:b/>
          <w:bCs/>
          <w:lang w:val="en-US"/>
        </w:rPr>
        <w:t>business</w:t>
      </w:r>
      <w:r>
        <w:rPr>
          <w:b/>
          <w:lang w:val="en-US"/>
        </w:rPr>
        <w:t xml:space="preserve">: </w:t>
      </w:r>
      <w:r w:rsidRPr="00DA5CB2">
        <w:rPr>
          <w:bCs/>
          <w:lang w:val="en-US"/>
        </w:rPr>
        <w:t>T</w:t>
      </w:r>
      <w:r w:rsidR="00880CEB" w:rsidRPr="2B046E98">
        <w:rPr>
          <w:lang w:val="en-US"/>
        </w:rPr>
        <w:t xml:space="preserve">he proposed extension of the scope of EFSA’s general pre-submission advice to cover also scientific aspects is expected to significantly improve application dossier quality, reduce validation timelines and limit </w:t>
      </w:r>
      <w:r w:rsidR="005B3DAF">
        <w:rPr>
          <w:lang w:val="en-US"/>
        </w:rPr>
        <w:t>‘</w:t>
      </w:r>
      <w:r w:rsidR="00880CEB" w:rsidRPr="2B046E98">
        <w:rPr>
          <w:lang w:val="en-US"/>
        </w:rPr>
        <w:t>stop-the-clocks</w:t>
      </w:r>
      <w:r w:rsidR="005B3DAF">
        <w:rPr>
          <w:lang w:val="en-US"/>
        </w:rPr>
        <w:t>’</w:t>
      </w:r>
      <w:r w:rsidR="00880CEB" w:rsidRPr="2B046E98">
        <w:rPr>
          <w:lang w:val="en-US"/>
        </w:rPr>
        <w:t xml:space="preserve"> during the risk assessment phase, thereby contributing to shorten time-to-market. By enabling applicants, especially SMEs and first-time applicants, to clarify study design, endpoints and methodologies in advance, with EFSA staff and external experts, the measures should increase predictability without undermining the ‘non-committal’ character of the pre-submission advice and without altering the applicant’s burden of proof or EFSA’s independence. Shortening the </w:t>
      </w:r>
      <w:r w:rsidR="0049032C">
        <w:rPr>
          <w:lang w:val="en-US"/>
        </w:rPr>
        <w:t>procedural delay</w:t>
      </w:r>
      <w:r w:rsidR="00880CEB" w:rsidRPr="2B046E98">
        <w:rPr>
          <w:lang w:val="en-US"/>
        </w:rPr>
        <w:t xml:space="preserve"> for non-compliance with study notification obligations from six to three months further reduces procedural delays at pre-submission phase. In parallel, the introduction of a framework for regulatory sandboxes allows companies to test innovative technologies, products and processes in controlled environments before pre-market authorisation procedures, helping them to understand data requirements and regulatory expectations while maintaining oversight and safety. Overall, the conduct of business along the food chain is expected to become more innovation-friendly and less encumbered by avoidable procedural obstacles.</w:t>
      </w:r>
    </w:p>
    <w:p w14:paraId="73201118" w14:textId="10E539BF" w:rsidR="00880CEB" w:rsidRPr="00F838F9" w:rsidRDefault="00FE479B" w:rsidP="00880CEB">
      <w:pPr>
        <w:rPr>
          <w:lang w:val="en-US"/>
        </w:rPr>
      </w:pPr>
      <w:r w:rsidRPr="00DA5CB2">
        <w:rPr>
          <w:b/>
          <w:bCs/>
          <w:lang w:val="en-US"/>
        </w:rPr>
        <w:t>A</w:t>
      </w:r>
      <w:r w:rsidR="00880CEB" w:rsidRPr="00C72938">
        <w:rPr>
          <w:b/>
          <w:lang w:val="en-US"/>
        </w:rPr>
        <w:t>dministrative costs on businesses</w:t>
      </w:r>
      <w:r w:rsidRPr="00FE479B">
        <w:rPr>
          <w:b/>
          <w:lang w:val="en-US"/>
        </w:rPr>
        <w:t xml:space="preserve"> (</w:t>
      </w:r>
      <w:r w:rsidR="00880CEB" w:rsidRPr="00DA5CB2">
        <w:rPr>
          <w:b/>
          <w:lang w:val="en-US"/>
        </w:rPr>
        <w:t>including SMEs</w:t>
      </w:r>
      <w:r w:rsidRPr="00DA5CB2">
        <w:rPr>
          <w:b/>
          <w:lang w:val="en-US"/>
        </w:rPr>
        <w:t>):</w:t>
      </w:r>
      <w:r w:rsidR="00880CEB" w:rsidRPr="2B046E98">
        <w:rPr>
          <w:lang w:val="en-US"/>
        </w:rPr>
        <w:t xml:space="preserve"> the reform is expected to reduce unnecessary burdens linked to incomplete or </w:t>
      </w:r>
      <w:r w:rsidR="006834C1" w:rsidRPr="2B046E98">
        <w:rPr>
          <w:lang w:val="en-US"/>
        </w:rPr>
        <w:t>poor-quality</w:t>
      </w:r>
      <w:r w:rsidR="00880CEB" w:rsidRPr="2B046E98">
        <w:rPr>
          <w:lang w:val="en-US"/>
        </w:rPr>
        <w:t xml:space="preserve"> application dossiers. The enlarged scope of pre-submission advice should help applicants tailor their data generation more precisely to EFSA’s requirements, avoiding mis-designed studies and decreasing the likelihood of repeated information requests and related delays. This is particularly important for SMEs and one-time applicants, for whom administrative and compliance costs weigh more heavily and who currently underuse existing advice instruments. </w:t>
      </w:r>
      <w:r w:rsidR="00880CEB" w:rsidRPr="00E20909">
        <w:rPr>
          <w:lang w:val="en-US"/>
        </w:rPr>
        <w:t>By clarifying notification obligations and other procedural requirement</w:t>
      </w:r>
      <w:r w:rsidR="00880CEB" w:rsidRPr="2B046E98">
        <w:rPr>
          <w:lang w:val="en-US"/>
        </w:rPr>
        <w:t>s at an early stage, the reform can streamline compliance and reduce the cumulative administrative effort over the life cycle of an application.</w:t>
      </w:r>
    </w:p>
    <w:p w14:paraId="303CAC26" w14:textId="15E1AB9E" w:rsidR="00880CEB" w:rsidRPr="00F838F9" w:rsidRDefault="00FE479B" w:rsidP="00880CEB">
      <w:pPr>
        <w:rPr>
          <w:lang w:val="en-US"/>
        </w:rPr>
      </w:pPr>
      <w:r w:rsidRPr="00F339F4">
        <w:rPr>
          <w:b/>
          <w:lang w:val="en-US"/>
        </w:rPr>
        <w:t>C</w:t>
      </w:r>
      <w:r w:rsidR="00880CEB" w:rsidRPr="00C72938">
        <w:rPr>
          <w:b/>
          <w:lang w:val="en-US"/>
        </w:rPr>
        <w:t>ompetitiveness, trade and investment flows</w:t>
      </w:r>
      <w:r>
        <w:rPr>
          <w:lang w:val="en-US"/>
        </w:rPr>
        <w:t>: T</w:t>
      </w:r>
      <w:r w:rsidR="00880CEB" w:rsidRPr="00F838F9">
        <w:rPr>
          <w:lang w:val="en-US"/>
        </w:rPr>
        <w:t xml:space="preserve">he targeted amendments are expected to strengthen the EU’s competitive position by making the regulatory environment more conducive to innovation while preserving high safety standards. Faster and more predictable </w:t>
      </w:r>
      <w:r w:rsidR="00880CEB">
        <w:rPr>
          <w:lang w:val="en-US"/>
        </w:rPr>
        <w:t>risk assessment processes</w:t>
      </w:r>
      <w:r w:rsidR="00880CEB" w:rsidRPr="00F838F9">
        <w:rPr>
          <w:lang w:val="en-US"/>
        </w:rPr>
        <w:t>, fewer unnecessary administrative hurdles and reduced non-compliance penalties should lower the cost of bringing new products to market and make the EU a more attractive location for R&amp;D and investment. By facilitating the development and approval of innovative products and related technologies, the reform supports the ability of EU firms to compete globally, leveraging the existing reputation of EU standards as a quality benchmark and reinforcing the EU’s capacity to shape international norms.</w:t>
      </w:r>
    </w:p>
    <w:p w14:paraId="22A4ECF9" w14:textId="1CE1B0A7" w:rsidR="00880CEB" w:rsidRPr="00F838F9" w:rsidRDefault="00FE479B" w:rsidP="00880CEB">
      <w:pPr>
        <w:rPr>
          <w:lang w:val="en-US"/>
        </w:rPr>
      </w:pPr>
      <w:r w:rsidRPr="00D63DC4">
        <w:rPr>
          <w:b/>
          <w:bCs/>
          <w:lang w:val="en-US"/>
        </w:rPr>
        <w:t>F</w:t>
      </w:r>
      <w:r w:rsidR="00880CEB" w:rsidRPr="00C72938">
        <w:rPr>
          <w:b/>
          <w:lang w:val="en-US"/>
        </w:rPr>
        <w:t>unctioning of the internal market and competition</w:t>
      </w:r>
      <w:r>
        <w:rPr>
          <w:lang w:val="en-US"/>
        </w:rPr>
        <w:t>:</w:t>
      </w:r>
      <w:r w:rsidR="00880CEB" w:rsidRPr="00F838F9">
        <w:rPr>
          <w:lang w:val="en-US"/>
        </w:rPr>
        <w:t xml:space="preserve"> the reform is not expected to materially alter the baseline. The measures </w:t>
      </w:r>
      <w:r w:rsidR="00775449">
        <w:rPr>
          <w:lang w:val="en-US"/>
        </w:rPr>
        <w:t xml:space="preserve">would </w:t>
      </w:r>
      <w:r w:rsidR="00880CEB" w:rsidRPr="00F838F9">
        <w:rPr>
          <w:lang w:val="en-US"/>
        </w:rPr>
        <w:t xml:space="preserve">apply horizontally and uniformly to all operators and Member States, and do not change the core harmonised framework established by the General Food Law and sectoral legislation. The level playing field across the internal market, underpinned by common risk-analysis principles and centralised EFSA risk assessment, </w:t>
      </w:r>
      <w:r w:rsidR="00775449">
        <w:rPr>
          <w:lang w:val="en-US"/>
        </w:rPr>
        <w:t xml:space="preserve">would </w:t>
      </w:r>
      <w:r w:rsidR="00880CEB" w:rsidRPr="00F838F9">
        <w:rPr>
          <w:lang w:val="en-US"/>
        </w:rPr>
        <w:t xml:space="preserve">therefore remain intact. </w:t>
      </w:r>
    </w:p>
    <w:p w14:paraId="2C23C4A8" w14:textId="36C367EB" w:rsidR="00880CEB" w:rsidRPr="00F838F9" w:rsidRDefault="00FE479B" w:rsidP="00880CEB">
      <w:pPr>
        <w:rPr>
          <w:lang w:val="en-US"/>
        </w:rPr>
      </w:pPr>
      <w:r w:rsidRPr="00D63DC4">
        <w:rPr>
          <w:b/>
          <w:bCs/>
          <w:lang w:val="en-US"/>
        </w:rPr>
        <w:t>I</w:t>
      </w:r>
      <w:r w:rsidR="00880CEB" w:rsidRPr="00C72938">
        <w:rPr>
          <w:b/>
          <w:lang w:val="en-US"/>
        </w:rPr>
        <w:t>nnovation and research</w:t>
      </w:r>
      <w:r>
        <w:rPr>
          <w:lang w:val="en-US"/>
        </w:rPr>
        <w:t>: T</w:t>
      </w:r>
      <w:r w:rsidR="00880CEB" w:rsidRPr="2B046E98">
        <w:rPr>
          <w:lang w:val="en-US"/>
        </w:rPr>
        <w:t xml:space="preserve">he new </w:t>
      </w:r>
      <w:r w:rsidR="00666BE7">
        <w:rPr>
          <w:lang w:val="en-US"/>
        </w:rPr>
        <w:t xml:space="preserve">legislative </w:t>
      </w:r>
      <w:r w:rsidR="00880CEB" w:rsidRPr="2B046E98">
        <w:rPr>
          <w:lang w:val="en-US"/>
        </w:rPr>
        <w:t xml:space="preserve">framework for </w:t>
      </w:r>
      <w:r w:rsidR="009D2282">
        <w:rPr>
          <w:lang w:val="en-US"/>
        </w:rPr>
        <w:t xml:space="preserve">regulatory </w:t>
      </w:r>
      <w:r w:rsidR="00880CEB" w:rsidRPr="2B046E98">
        <w:rPr>
          <w:lang w:val="en-US"/>
        </w:rPr>
        <w:t xml:space="preserve">sandboxes is expected to be potentially transformative. By allowing supervised experimentation with technologies, products and substances in real-world conditions before pre-market authorisation, sandboxes significantly reduce both technological and regulatory risks for innovators, particularly start-ups and SMEs. Shorter learning cycles, direct feedback on safety, usability and acceptance, and clearer insight into data and evidentiary expectations should accelerate development and derisk investment in more ambitious, less incremental innovations. Participation in </w:t>
      </w:r>
      <w:r w:rsidR="00D91A2A">
        <w:rPr>
          <w:lang w:val="en-US"/>
        </w:rPr>
        <w:t xml:space="preserve">regulatory </w:t>
      </w:r>
      <w:r w:rsidR="00880CEB" w:rsidRPr="2B046E98">
        <w:rPr>
          <w:lang w:val="en-US"/>
        </w:rPr>
        <w:t>sandboxes</w:t>
      </w:r>
      <w:r w:rsidR="00D91A2A">
        <w:rPr>
          <w:lang w:val="en-US"/>
        </w:rPr>
        <w:t xml:space="preserve"> </w:t>
      </w:r>
      <w:r w:rsidR="00194AD7">
        <w:rPr>
          <w:lang w:val="en-US"/>
        </w:rPr>
        <w:t>established</w:t>
      </w:r>
      <w:r w:rsidR="002D26F4">
        <w:rPr>
          <w:lang w:val="en-US"/>
        </w:rPr>
        <w:t xml:space="preserve"> by Member States</w:t>
      </w:r>
      <w:r w:rsidR="00194AD7">
        <w:rPr>
          <w:lang w:val="en-US"/>
        </w:rPr>
        <w:t xml:space="preserve"> in accordance with the</w:t>
      </w:r>
      <w:r w:rsidR="002D26F4">
        <w:rPr>
          <w:lang w:val="en-US"/>
        </w:rPr>
        <w:t xml:space="preserve"> proposed</w:t>
      </w:r>
      <w:r w:rsidR="00194AD7">
        <w:rPr>
          <w:lang w:val="en-US"/>
        </w:rPr>
        <w:t xml:space="preserve"> amendment of the General Good Law</w:t>
      </w:r>
      <w:r w:rsidR="00880CEB" w:rsidRPr="2B046E98">
        <w:rPr>
          <w:lang w:val="en-US"/>
        </w:rPr>
        <w:t>, with visible regulatory engagement, is also likely to signal credibility to investors and industrial partners, facilitating access to finance and strategic collaborations. Overall, the measures are expected to improve the innovation climate in the EU food and feed sector, while keeping full pre-market authorisation requirements in place for products entering the market.</w:t>
      </w:r>
    </w:p>
    <w:p w14:paraId="733C1D59" w14:textId="4997C05B" w:rsidR="00880CEB" w:rsidRPr="00F838F9" w:rsidRDefault="00FE479B" w:rsidP="00880CEB">
      <w:pPr>
        <w:rPr>
          <w:lang w:val="en-US"/>
        </w:rPr>
      </w:pPr>
      <w:r>
        <w:rPr>
          <w:b/>
          <w:lang w:val="en-US"/>
        </w:rPr>
        <w:t>P</w:t>
      </w:r>
      <w:r w:rsidR="00880CEB" w:rsidRPr="00C72938">
        <w:rPr>
          <w:b/>
          <w:lang w:val="en-US"/>
        </w:rPr>
        <w:t>ublic authorities</w:t>
      </w:r>
      <w:r>
        <w:rPr>
          <w:lang w:val="en-US"/>
        </w:rPr>
        <w:t xml:space="preserve">: </w:t>
      </w:r>
      <w:r w:rsidR="00880CEB" w:rsidRPr="00F838F9">
        <w:rPr>
          <w:lang w:val="en-US"/>
        </w:rPr>
        <w:t xml:space="preserve">Concerning </w:t>
      </w:r>
      <w:r w:rsidR="00880CEB">
        <w:rPr>
          <w:lang w:val="en-US"/>
        </w:rPr>
        <w:t>public authorities</w:t>
      </w:r>
      <w:r w:rsidR="009D015A">
        <w:rPr>
          <w:lang w:val="en-US"/>
        </w:rPr>
        <w:t>,</w:t>
      </w:r>
      <w:r w:rsidR="00880CEB" w:rsidRPr="00F838F9">
        <w:rPr>
          <w:lang w:val="en-US"/>
        </w:rPr>
        <w:t xml:space="preserve"> notably national competent bodies</w:t>
      </w:r>
      <w:r w:rsidR="00333003">
        <w:rPr>
          <w:lang w:val="en-US"/>
        </w:rPr>
        <w:t>, as well as EFSA</w:t>
      </w:r>
      <w:r w:rsidR="00880CEB" w:rsidRPr="00F838F9">
        <w:rPr>
          <w:lang w:val="en-US"/>
        </w:rPr>
        <w:t xml:space="preserve">, the reform is </w:t>
      </w:r>
      <w:r w:rsidR="00593598">
        <w:rPr>
          <w:lang w:val="en-US"/>
        </w:rPr>
        <w:t>expected</w:t>
      </w:r>
      <w:r w:rsidR="00880CEB" w:rsidRPr="00F838F9">
        <w:rPr>
          <w:lang w:val="en-US"/>
        </w:rPr>
        <w:t xml:space="preserve"> to improve </w:t>
      </w:r>
      <w:r w:rsidR="00A9297F">
        <w:rPr>
          <w:lang w:val="en-US"/>
        </w:rPr>
        <w:t xml:space="preserve">the </w:t>
      </w:r>
      <w:r w:rsidR="00880CEB" w:rsidRPr="00F838F9">
        <w:rPr>
          <w:lang w:val="en-US"/>
        </w:rPr>
        <w:t xml:space="preserve">efficiency and the quality of </w:t>
      </w:r>
      <w:r w:rsidR="00880CEB">
        <w:rPr>
          <w:lang w:val="en-US"/>
        </w:rPr>
        <w:t xml:space="preserve">scientific and </w:t>
      </w:r>
      <w:r w:rsidR="00880CEB" w:rsidRPr="00F838F9">
        <w:rPr>
          <w:lang w:val="en-US"/>
        </w:rPr>
        <w:t xml:space="preserve">regulatory outputs. Enhanced pre-submission advice, including scientific aspects and delivered by </w:t>
      </w:r>
      <w:r w:rsidR="00880CEB">
        <w:rPr>
          <w:lang w:val="en-US"/>
        </w:rPr>
        <w:t>EFSA</w:t>
      </w:r>
      <w:r w:rsidR="00880CEB" w:rsidRPr="00F838F9">
        <w:rPr>
          <w:lang w:val="en-US"/>
        </w:rPr>
        <w:t xml:space="preserve"> staff </w:t>
      </w:r>
      <w:r w:rsidR="00880CEB">
        <w:rPr>
          <w:lang w:val="en-US"/>
        </w:rPr>
        <w:t>and external experts</w:t>
      </w:r>
      <w:r w:rsidR="00880CEB" w:rsidRPr="00F838F9">
        <w:rPr>
          <w:lang w:val="en-US"/>
        </w:rPr>
        <w:t xml:space="preserve"> who may also support subsequent risk assessment, should improve dossier quality, reduce the frequency and duration of stop-the-clock procedures, and allow better allocation of EFSA</w:t>
      </w:r>
      <w:r w:rsidR="00880CEB">
        <w:rPr>
          <w:lang w:val="en-US"/>
        </w:rPr>
        <w:t>’s</w:t>
      </w:r>
      <w:r w:rsidR="00880CEB" w:rsidRPr="00F838F9">
        <w:rPr>
          <w:lang w:val="en-US"/>
        </w:rPr>
        <w:t xml:space="preserve"> resources along the application process. Adjustments to EFSA’s scientific panel governance – having EFSA staff chair panels and the Scientific Committee – are expected to reinforce coherence, methodological consistency and timeliness across assessments. While the expanded advice function may require some additional staff and coordination efforts, these are expected to be offset by savings from fewer procedural delays and less remedial work on weak-quality dossiers. For national authorities, participation in regulatory sandboxes offers a vehicle for systematic regulatory learning, enabling them to test data requirements and alternative regulatory approaches in a controlled setting and to feed robust evidence into EU-level </w:t>
      </w:r>
      <w:r w:rsidR="00880CEB">
        <w:rPr>
          <w:lang w:val="en-US"/>
        </w:rPr>
        <w:t xml:space="preserve">scientific </w:t>
      </w:r>
      <w:r w:rsidR="00880CEB" w:rsidRPr="00F838F9">
        <w:rPr>
          <w:lang w:val="en-US"/>
        </w:rPr>
        <w:t xml:space="preserve">guidance and </w:t>
      </w:r>
      <w:r w:rsidR="00880CEB">
        <w:rPr>
          <w:lang w:val="en-US"/>
        </w:rPr>
        <w:t xml:space="preserve">regulatory </w:t>
      </w:r>
      <w:r w:rsidR="00880CEB" w:rsidRPr="00F838F9">
        <w:rPr>
          <w:lang w:val="en-US"/>
        </w:rPr>
        <w:t>standards.</w:t>
      </w:r>
    </w:p>
    <w:p w14:paraId="643EC1A3" w14:textId="0B15968D" w:rsidR="00880CEB" w:rsidRDefault="009D015A" w:rsidP="00880CEB">
      <w:pPr>
        <w:rPr>
          <w:lang w:val="en-US"/>
        </w:rPr>
      </w:pPr>
      <w:r w:rsidRPr="00A9297F">
        <w:rPr>
          <w:b/>
          <w:bCs/>
          <w:lang w:val="en-US"/>
        </w:rPr>
        <w:t>P</w:t>
      </w:r>
      <w:r w:rsidR="00880CEB" w:rsidRPr="00C72938">
        <w:rPr>
          <w:b/>
          <w:lang w:val="en-US"/>
        </w:rPr>
        <w:t>ublic health and safety</w:t>
      </w:r>
      <w:r>
        <w:rPr>
          <w:lang w:val="en-US"/>
        </w:rPr>
        <w:t>:</w:t>
      </w:r>
      <w:r w:rsidR="00880CEB" w:rsidRPr="00F838F9">
        <w:rPr>
          <w:lang w:val="en-US"/>
        </w:rPr>
        <w:t xml:space="preserve"> the targeted amendments are designed to preserve, and potentially enhance in the longer term, the high level of safety standards currently afforded by EU food law. The streamlining of EFSA procedures and the extension of pre-submission advice aim to ensure that risk assessments are supplied with more relevant, better structured data, thereby supporting robust scientific opinions within shorter timelines. </w:t>
      </w:r>
      <w:r w:rsidR="00880CEB">
        <w:t xml:space="preserve">The expanded mandate of EFSA on nutrition matters, enabling EFSA to provide advice on all nutrition matters aim at further equip EU regulators with the necessary scientific knowledge to address challenges relating with the increasing prevalence of diet-related health issues. </w:t>
      </w:r>
      <w:r w:rsidR="00880CEB" w:rsidRPr="00F838F9">
        <w:rPr>
          <w:lang w:val="en-US"/>
        </w:rPr>
        <w:t xml:space="preserve">The </w:t>
      </w:r>
      <w:r w:rsidR="00E273F4">
        <w:rPr>
          <w:lang w:val="en-US"/>
        </w:rPr>
        <w:t>regulatory</w:t>
      </w:r>
      <w:r w:rsidR="00880CEB" w:rsidRPr="00F838F9">
        <w:rPr>
          <w:lang w:val="en-US"/>
        </w:rPr>
        <w:t xml:space="preserve"> sandbox framework, under strict safeguards, is expected to function as a regulatory learning tool, generating richer real-world evidence on exposures, hazards, patterns of use and the effectiveness of risk-management options. This should enable more accurate risk characterisation, more proportionate and effective risk-management measures, and earlier detection of potential safety issues in a controlled environment. Provided that capacity is available to analyse and use sandbox generated data, the overall effect is expected to be at least the maintenance, and potentially the strengthening, of the EU’s high standards of public, animal and plant health protection and environmental safety.</w:t>
      </w:r>
    </w:p>
    <w:p w14:paraId="40D7D6B4" w14:textId="67EE1EE8" w:rsidR="00854A04" w:rsidRPr="00A9297F" w:rsidRDefault="00854A04" w:rsidP="00A9297F">
      <w:pPr>
        <w:rPr>
          <w:rFonts w:ascii="Corbel" w:eastAsia="Corbel" w:hAnsi="Corbel" w:cs="Corbel"/>
          <w:b/>
          <w:bCs/>
          <w:caps/>
        </w:rPr>
      </w:pPr>
      <w:r w:rsidRPr="00A9297F">
        <w:rPr>
          <w:b/>
          <w:bCs/>
        </w:rPr>
        <w:t xml:space="preserve">Table 2. Summary assessment of the effects due to the </w:t>
      </w:r>
      <w:r w:rsidR="00B5158E" w:rsidRPr="00A9297F">
        <w:rPr>
          <w:b/>
          <w:bCs/>
        </w:rPr>
        <w:t>intervention n</w:t>
      </w:r>
      <w:r w:rsidRPr="00A9297F">
        <w:rPr>
          <w:b/>
          <w:bCs/>
        </w:rPr>
        <w:t>°2</w:t>
      </w:r>
    </w:p>
    <w:tbl>
      <w:tblPr>
        <w:tblStyle w:val="TableGrid"/>
        <w:tblW w:w="8560" w:type="dxa"/>
        <w:tblLook w:val="04A0" w:firstRow="1" w:lastRow="0" w:firstColumn="1" w:lastColumn="0" w:noHBand="0" w:noVBand="1"/>
      </w:tblPr>
      <w:tblGrid>
        <w:gridCol w:w="2041"/>
        <w:gridCol w:w="907"/>
        <w:gridCol w:w="907"/>
        <w:gridCol w:w="907"/>
        <w:gridCol w:w="1077"/>
        <w:gridCol w:w="907"/>
        <w:gridCol w:w="907"/>
        <w:gridCol w:w="907"/>
      </w:tblGrid>
      <w:tr w:rsidR="004E017A" w:rsidRPr="00854A04" w14:paraId="001F5986" w14:textId="77777777" w:rsidTr="00960776">
        <w:tc>
          <w:tcPr>
            <w:tcW w:w="2041" w:type="dxa"/>
          </w:tcPr>
          <w:p w14:paraId="50A78E74" w14:textId="563D4BCE" w:rsidR="002C2465" w:rsidRPr="00A9297F" w:rsidRDefault="002C2465">
            <w:pPr>
              <w:rPr>
                <w:b/>
                <w:bCs/>
                <w:sz w:val="20"/>
                <w:szCs w:val="20"/>
              </w:rPr>
            </w:pPr>
            <w:r w:rsidRPr="00A9297F">
              <w:rPr>
                <w:b/>
                <w:bCs/>
                <w:sz w:val="20"/>
                <w:szCs w:val="20"/>
              </w:rPr>
              <w:t xml:space="preserve">Policy </w:t>
            </w:r>
            <w:r w:rsidR="003757AF">
              <w:rPr>
                <w:b/>
                <w:bCs/>
                <w:sz w:val="20"/>
                <w:szCs w:val="20"/>
              </w:rPr>
              <w:t xml:space="preserve">measure </w:t>
            </w:r>
          </w:p>
        </w:tc>
        <w:tc>
          <w:tcPr>
            <w:tcW w:w="907" w:type="dxa"/>
          </w:tcPr>
          <w:p w14:paraId="4710D1D4" w14:textId="77777777" w:rsidR="002C2465" w:rsidRPr="00A9297F" w:rsidRDefault="002C2465">
            <w:pPr>
              <w:rPr>
                <w:b/>
                <w:bCs/>
                <w:sz w:val="20"/>
                <w:szCs w:val="20"/>
              </w:rPr>
            </w:pPr>
            <w:r w:rsidRPr="00A9297F">
              <w:rPr>
                <w:b/>
                <w:bCs/>
                <w:sz w:val="20"/>
                <w:szCs w:val="20"/>
              </w:rPr>
              <w:t>COB</w:t>
            </w:r>
          </w:p>
        </w:tc>
        <w:tc>
          <w:tcPr>
            <w:tcW w:w="907" w:type="dxa"/>
          </w:tcPr>
          <w:p w14:paraId="6B4E9C1D" w14:textId="77777777" w:rsidR="002C2465" w:rsidRPr="00A9297F" w:rsidRDefault="002C2465">
            <w:pPr>
              <w:rPr>
                <w:b/>
                <w:bCs/>
                <w:sz w:val="20"/>
                <w:szCs w:val="20"/>
              </w:rPr>
            </w:pPr>
            <w:r w:rsidRPr="00A9297F">
              <w:rPr>
                <w:b/>
                <w:bCs/>
                <w:sz w:val="20"/>
                <w:szCs w:val="20"/>
              </w:rPr>
              <w:t>Admin</w:t>
            </w:r>
          </w:p>
        </w:tc>
        <w:tc>
          <w:tcPr>
            <w:tcW w:w="907" w:type="dxa"/>
          </w:tcPr>
          <w:p w14:paraId="41C7E62B" w14:textId="77777777" w:rsidR="002C2465" w:rsidRPr="00A9297F" w:rsidRDefault="002C2465">
            <w:pPr>
              <w:rPr>
                <w:b/>
                <w:bCs/>
                <w:sz w:val="20"/>
                <w:szCs w:val="20"/>
              </w:rPr>
            </w:pPr>
            <w:r w:rsidRPr="00A9297F">
              <w:rPr>
                <w:b/>
                <w:bCs/>
                <w:sz w:val="20"/>
                <w:szCs w:val="20"/>
              </w:rPr>
              <w:t>CTI</w:t>
            </w:r>
          </w:p>
        </w:tc>
        <w:tc>
          <w:tcPr>
            <w:tcW w:w="1077" w:type="dxa"/>
          </w:tcPr>
          <w:p w14:paraId="2CD5CD2C" w14:textId="77777777" w:rsidR="002C2465" w:rsidRPr="00A9297F" w:rsidRDefault="002C2465">
            <w:pPr>
              <w:rPr>
                <w:b/>
                <w:bCs/>
                <w:sz w:val="20"/>
                <w:szCs w:val="20"/>
              </w:rPr>
            </w:pPr>
            <w:r w:rsidRPr="00A9297F">
              <w:rPr>
                <w:b/>
                <w:bCs/>
                <w:sz w:val="20"/>
                <w:szCs w:val="20"/>
              </w:rPr>
              <w:t>Int Mar</w:t>
            </w:r>
          </w:p>
        </w:tc>
        <w:tc>
          <w:tcPr>
            <w:tcW w:w="907" w:type="dxa"/>
          </w:tcPr>
          <w:p w14:paraId="212CEAC0" w14:textId="77777777" w:rsidR="002C2465" w:rsidRPr="00A9297F" w:rsidRDefault="002C2465">
            <w:pPr>
              <w:rPr>
                <w:b/>
                <w:bCs/>
                <w:sz w:val="20"/>
                <w:szCs w:val="20"/>
                <w:lang w:val="en-US"/>
              </w:rPr>
            </w:pPr>
            <w:r w:rsidRPr="00A9297F">
              <w:rPr>
                <w:b/>
                <w:bCs/>
                <w:sz w:val="20"/>
                <w:szCs w:val="20"/>
              </w:rPr>
              <w:t>I</w:t>
            </w:r>
            <w:r w:rsidRPr="00A9297F">
              <w:rPr>
                <w:b/>
                <w:bCs/>
                <w:sz w:val="20"/>
                <w:szCs w:val="20"/>
                <w:lang w:val="en-US"/>
              </w:rPr>
              <w:t>&amp;R</w:t>
            </w:r>
          </w:p>
        </w:tc>
        <w:tc>
          <w:tcPr>
            <w:tcW w:w="907" w:type="dxa"/>
          </w:tcPr>
          <w:p w14:paraId="53369274" w14:textId="77777777" w:rsidR="002C2465" w:rsidRPr="00A9297F" w:rsidRDefault="002C2465">
            <w:pPr>
              <w:rPr>
                <w:b/>
                <w:bCs/>
                <w:sz w:val="20"/>
                <w:szCs w:val="20"/>
              </w:rPr>
            </w:pPr>
            <w:r w:rsidRPr="00A9297F">
              <w:rPr>
                <w:b/>
                <w:bCs/>
                <w:sz w:val="20"/>
                <w:szCs w:val="20"/>
              </w:rPr>
              <w:t>PA</w:t>
            </w:r>
          </w:p>
        </w:tc>
        <w:tc>
          <w:tcPr>
            <w:tcW w:w="907" w:type="dxa"/>
          </w:tcPr>
          <w:p w14:paraId="6F9D49A6" w14:textId="77777777" w:rsidR="002C2465" w:rsidRPr="00A9297F" w:rsidRDefault="002C2465">
            <w:pPr>
              <w:rPr>
                <w:b/>
                <w:bCs/>
                <w:sz w:val="20"/>
                <w:szCs w:val="20"/>
              </w:rPr>
            </w:pPr>
            <w:r w:rsidRPr="00A9297F">
              <w:rPr>
                <w:b/>
                <w:bCs/>
                <w:sz w:val="20"/>
                <w:szCs w:val="20"/>
              </w:rPr>
              <w:t>H&amp;S</w:t>
            </w:r>
          </w:p>
        </w:tc>
      </w:tr>
      <w:tr w:rsidR="004E017A" w:rsidRPr="00854A04" w14:paraId="1F6266D1" w14:textId="77777777" w:rsidTr="00960776">
        <w:tc>
          <w:tcPr>
            <w:tcW w:w="2041" w:type="dxa"/>
          </w:tcPr>
          <w:p w14:paraId="4DBA12AA" w14:textId="77777777" w:rsidR="002C2465" w:rsidRPr="00A9297F" w:rsidRDefault="002C2465">
            <w:pPr>
              <w:jc w:val="left"/>
              <w:rPr>
                <w:b/>
                <w:bCs/>
                <w:sz w:val="20"/>
                <w:szCs w:val="20"/>
              </w:rPr>
            </w:pPr>
            <w:r w:rsidRPr="00A9297F">
              <w:rPr>
                <w:b/>
                <w:bCs/>
                <w:sz w:val="20"/>
                <w:szCs w:val="20"/>
                <w:lang w:val="en-US"/>
              </w:rPr>
              <w:t>Improved timeliness and coherence of EFSA risk assessment processes</w:t>
            </w:r>
          </w:p>
        </w:tc>
        <w:tc>
          <w:tcPr>
            <w:tcW w:w="907" w:type="dxa"/>
          </w:tcPr>
          <w:p w14:paraId="766AEB4F" w14:textId="06EBF250" w:rsidR="002C2465" w:rsidRPr="00C72938" w:rsidRDefault="002C2465">
            <w:pPr>
              <w:rPr>
                <w:b/>
                <w:sz w:val="20"/>
                <w:szCs w:val="20"/>
              </w:rPr>
            </w:pPr>
            <w:r w:rsidRPr="00C72938">
              <w:rPr>
                <w:b/>
                <w:sz w:val="20"/>
                <w:szCs w:val="20"/>
              </w:rPr>
              <w:t>+</w:t>
            </w:r>
            <w:r w:rsidR="00012951">
              <w:rPr>
                <w:b/>
                <w:sz w:val="20"/>
                <w:szCs w:val="20"/>
              </w:rPr>
              <w:t>+</w:t>
            </w:r>
          </w:p>
        </w:tc>
        <w:tc>
          <w:tcPr>
            <w:tcW w:w="907" w:type="dxa"/>
          </w:tcPr>
          <w:p w14:paraId="7ED21EF8" w14:textId="759CD864" w:rsidR="002C2465" w:rsidRPr="00C72938" w:rsidRDefault="002C2465">
            <w:pPr>
              <w:rPr>
                <w:b/>
                <w:sz w:val="20"/>
                <w:szCs w:val="20"/>
              </w:rPr>
            </w:pPr>
            <w:r w:rsidRPr="00C72938">
              <w:rPr>
                <w:b/>
                <w:sz w:val="20"/>
                <w:szCs w:val="20"/>
              </w:rPr>
              <w:t>+</w:t>
            </w:r>
            <w:r w:rsidR="00012951">
              <w:rPr>
                <w:b/>
                <w:sz w:val="20"/>
                <w:szCs w:val="20"/>
              </w:rPr>
              <w:t>+</w:t>
            </w:r>
          </w:p>
        </w:tc>
        <w:tc>
          <w:tcPr>
            <w:tcW w:w="907" w:type="dxa"/>
          </w:tcPr>
          <w:p w14:paraId="5DFB183D" w14:textId="40048235" w:rsidR="002C2465" w:rsidRPr="00C72938" w:rsidRDefault="002C2465">
            <w:pPr>
              <w:rPr>
                <w:b/>
                <w:sz w:val="20"/>
                <w:szCs w:val="20"/>
              </w:rPr>
            </w:pPr>
            <w:r w:rsidRPr="00C72938">
              <w:rPr>
                <w:b/>
                <w:sz w:val="20"/>
                <w:szCs w:val="20"/>
              </w:rPr>
              <w:t>+</w:t>
            </w:r>
            <w:r w:rsidR="00012951">
              <w:rPr>
                <w:b/>
                <w:sz w:val="20"/>
                <w:szCs w:val="20"/>
              </w:rPr>
              <w:t>+</w:t>
            </w:r>
          </w:p>
        </w:tc>
        <w:tc>
          <w:tcPr>
            <w:tcW w:w="1077" w:type="dxa"/>
          </w:tcPr>
          <w:p w14:paraId="04DDB7A7" w14:textId="0891FA9A" w:rsidR="002C2465" w:rsidRPr="00C72938" w:rsidRDefault="00D038A2">
            <w:pPr>
              <w:rPr>
                <w:b/>
                <w:sz w:val="20"/>
                <w:szCs w:val="20"/>
              </w:rPr>
            </w:pPr>
            <w:r>
              <w:rPr>
                <w:b/>
                <w:sz w:val="20"/>
                <w:szCs w:val="20"/>
              </w:rPr>
              <w:t>0</w:t>
            </w:r>
          </w:p>
        </w:tc>
        <w:tc>
          <w:tcPr>
            <w:tcW w:w="907" w:type="dxa"/>
          </w:tcPr>
          <w:p w14:paraId="48DB2CD4" w14:textId="4ABD71E3" w:rsidR="002C2465" w:rsidRPr="00C72938" w:rsidRDefault="00D038A2">
            <w:pPr>
              <w:rPr>
                <w:b/>
                <w:sz w:val="20"/>
                <w:szCs w:val="20"/>
              </w:rPr>
            </w:pPr>
            <w:r>
              <w:rPr>
                <w:b/>
                <w:sz w:val="20"/>
                <w:szCs w:val="20"/>
              </w:rPr>
              <w:t>0/</w:t>
            </w:r>
            <w:r w:rsidR="008D322A">
              <w:rPr>
                <w:b/>
                <w:sz w:val="20"/>
                <w:szCs w:val="20"/>
              </w:rPr>
              <w:t>+</w:t>
            </w:r>
          </w:p>
        </w:tc>
        <w:tc>
          <w:tcPr>
            <w:tcW w:w="907" w:type="dxa"/>
          </w:tcPr>
          <w:p w14:paraId="1B538C79" w14:textId="2F8E0E10" w:rsidR="002C2465" w:rsidRPr="00C72938" w:rsidRDefault="002C2465">
            <w:pPr>
              <w:rPr>
                <w:b/>
                <w:sz w:val="20"/>
                <w:szCs w:val="20"/>
              </w:rPr>
            </w:pPr>
            <w:r w:rsidRPr="00C72938">
              <w:rPr>
                <w:b/>
                <w:sz w:val="20"/>
                <w:szCs w:val="20"/>
              </w:rPr>
              <w:t>+</w:t>
            </w:r>
            <w:r w:rsidR="00D038A2">
              <w:rPr>
                <w:b/>
                <w:sz w:val="20"/>
                <w:szCs w:val="20"/>
              </w:rPr>
              <w:t>+</w:t>
            </w:r>
          </w:p>
        </w:tc>
        <w:tc>
          <w:tcPr>
            <w:tcW w:w="907" w:type="dxa"/>
          </w:tcPr>
          <w:p w14:paraId="6F40AE0F" w14:textId="4A8B7D84" w:rsidR="002C2465" w:rsidRPr="00C72938" w:rsidRDefault="002C2465">
            <w:pPr>
              <w:rPr>
                <w:b/>
                <w:sz w:val="20"/>
                <w:szCs w:val="20"/>
              </w:rPr>
            </w:pPr>
            <w:r w:rsidRPr="00C72938">
              <w:rPr>
                <w:b/>
                <w:sz w:val="20"/>
                <w:szCs w:val="20"/>
              </w:rPr>
              <w:t>+</w:t>
            </w:r>
          </w:p>
        </w:tc>
      </w:tr>
      <w:tr w:rsidR="004E017A" w:rsidRPr="00854A04" w14:paraId="1CDB51F1" w14:textId="77777777" w:rsidTr="00960776">
        <w:tc>
          <w:tcPr>
            <w:tcW w:w="2041" w:type="dxa"/>
          </w:tcPr>
          <w:p w14:paraId="1D0F3306" w14:textId="77777777" w:rsidR="002C2465" w:rsidRPr="00A9297F" w:rsidRDefault="002C2465">
            <w:pPr>
              <w:jc w:val="left"/>
              <w:rPr>
                <w:b/>
                <w:bCs/>
                <w:sz w:val="20"/>
                <w:szCs w:val="20"/>
                <w:lang w:val="en-US"/>
              </w:rPr>
            </w:pPr>
            <w:r w:rsidRPr="00A9297F">
              <w:rPr>
                <w:b/>
                <w:bCs/>
                <w:sz w:val="20"/>
                <w:szCs w:val="20"/>
                <w:lang w:val="en-US"/>
              </w:rPr>
              <w:t>Regulatory framework for sandboxes in relation to food, feed, and GMOs</w:t>
            </w:r>
          </w:p>
        </w:tc>
        <w:tc>
          <w:tcPr>
            <w:tcW w:w="907" w:type="dxa"/>
          </w:tcPr>
          <w:p w14:paraId="6B253183" w14:textId="446B3F9C" w:rsidR="002C2465" w:rsidRPr="00C72938" w:rsidRDefault="002C2465">
            <w:pPr>
              <w:rPr>
                <w:b/>
                <w:sz w:val="20"/>
                <w:szCs w:val="20"/>
              </w:rPr>
            </w:pPr>
            <w:r w:rsidRPr="00C72938">
              <w:rPr>
                <w:b/>
                <w:sz w:val="20"/>
                <w:szCs w:val="20"/>
              </w:rPr>
              <w:t>+</w:t>
            </w:r>
            <w:r w:rsidR="00012951">
              <w:rPr>
                <w:b/>
                <w:sz w:val="20"/>
                <w:szCs w:val="20"/>
              </w:rPr>
              <w:t>+</w:t>
            </w:r>
          </w:p>
        </w:tc>
        <w:tc>
          <w:tcPr>
            <w:tcW w:w="907" w:type="dxa"/>
          </w:tcPr>
          <w:p w14:paraId="0CE9619C" w14:textId="645B0E29" w:rsidR="002C2465" w:rsidRPr="00C72938" w:rsidRDefault="00D038A2">
            <w:pPr>
              <w:rPr>
                <w:b/>
                <w:sz w:val="20"/>
                <w:szCs w:val="20"/>
              </w:rPr>
            </w:pPr>
            <w:r>
              <w:rPr>
                <w:b/>
                <w:sz w:val="20"/>
                <w:szCs w:val="20"/>
              </w:rPr>
              <w:t>0</w:t>
            </w:r>
          </w:p>
        </w:tc>
        <w:tc>
          <w:tcPr>
            <w:tcW w:w="907" w:type="dxa"/>
          </w:tcPr>
          <w:p w14:paraId="70524A40" w14:textId="3F1D8257" w:rsidR="002C2465" w:rsidRPr="00C72938" w:rsidRDefault="002C2465">
            <w:pPr>
              <w:rPr>
                <w:b/>
                <w:sz w:val="20"/>
                <w:szCs w:val="20"/>
              </w:rPr>
            </w:pPr>
            <w:r w:rsidRPr="00C72938">
              <w:rPr>
                <w:b/>
                <w:sz w:val="20"/>
                <w:szCs w:val="20"/>
              </w:rPr>
              <w:t>+</w:t>
            </w:r>
          </w:p>
        </w:tc>
        <w:tc>
          <w:tcPr>
            <w:tcW w:w="1077" w:type="dxa"/>
          </w:tcPr>
          <w:p w14:paraId="1FF77C60" w14:textId="6A1E22B0" w:rsidR="002C2465" w:rsidRPr="00C72938" w:rsidRDefault="00264BBC">
            <w:pPr>
              <w:rPr>
                <w:b/>
                <w:sz w:val="20"/>
                <w:szCs w:val="20"/>
              </w:rPr>
            </w:pPr>
            <w:r>
              <w:rPr>
                <w:b/>
                <w:sz w:val="20"/>
                <w:szCs w:val="20"/>
              </w:rPr>
              <w:t>0</w:t>
            </w:r>
          </w:p>
        </w:tc>
        <w:tc>
          <w:tcPr>
            <w:tcW w:w="907" w:type="dxa"/>
          </w:tcPr>
          <w:p w14:paraId="746B43EA" w14:textId="422A9717" w:rsidR="002C2465" w:rsidRPr="00C72938" w:rsidRDefault="002C2465">
            <w:pPr>
              <w:rPr>
                <w:b/>
                <w:sz w:val="20"/>
                <w:szCs w:val="20"/>
              </w:rPr>
            </w:pPr>
            <w:r w:rsidRPr="00C72938">
              <w:rPr>
                <w:b/>
                <w:sz w:val="20"/>
                <w:szCs w:val="20"/>
              </w:rPr>
              <w:t>+</w:t>
            </w:r>
            <w:r w:rsidR="008D322A">
              <w:rPr>
                <w:b/>
                <w:sz w:val="20"/>
                <w:szCs w:val="20"/>
              </w:rPr>
              <w:t>+</w:t>
            </w:r>
          </w:p>
        </w:tc>
        <w:tc>
          <w:tcPr>
            <w:tcW w:w="907" w:type="dxa"/>
          </w:tcPr>
          <w:p w14:paraId="52196E6E" w14:textId="3C85C9BB" w:rsidR="002C2465" w:rsidRPr="00C72938" w:rsidRDefault="002C2465">
            <w:pPr>
              <w:rPr>
                <w:b/>
                <w:sz w:val="20"/>
                <w:szCs w:val="20"/>
              </w:rPr>
            </w:pPr>
            <w:r w:rsidRPr="00C72938">
              <w:rPr>
                <w:b/>
                <w:sz w:val="20"/>
                <w:szCs w:val="20"/>
              </w:rPr>
              <w:t>+</w:t>
            </w:r>
          </w:p>
        </w:tc>
        <w:tc>
          <w:tcPr>
            <w:tcW w:w="907" w:type="dxa"/>
          </w:tcPr>
          <w:p w14:paraId="34AE46B5" w14:textId="47FE1A99" w:rsidR="002C2465" w:rsidRPr="00C72938" w:rsidRDefault="002C2465">
            <w:pPr>
              <w:rPr>
                <w:b/>
                <w:sz w:val="20"/>
                <w:szCs w:val="20"/>
              </w:rPr>
            </w:pPr>
            <w:r w:rsidRPr="00C72938">
              <w:rPr>
                <w:b/>
                <w:sz w:val="20"/>
                <w:szCs w:val="20"/>
              </w:rPr>
              <w:t>+</w:t>
            </w:r>
          </w:p>
        </w:tc>
      </w:tr>
    </w:tbl>
    <w:p w14:paraId="36290A90" w14:textId="77777777" w:rsidR="002C2465" w:rsidRPr="008759D0" w:rsidRDefault="002C2465" w:rsidP="00880CEB">
      <w:pPr>
        <w:rPr>
          <w:lang w:val="en-US"/>
        </w:rPr>
      </w:pPr>
    </w:p>
    <w:p w14:paraId="12D0E8A6" w14:textId="252B62DF" w:rsidR="000F3479" w:rsidRPr="00DD0CE5" w:rsidRDefault="000F3479" w:rsidP="0097386B">
      <w:pPr>
        <w:pStyle w:val="Heading3"/>
        <w:rPr>
          <w:vertAlign w:val="superscript"/>
        </w:rPr>
      </w:pPr>
      <w:bookmarkStart w:id="184" w:name="_Toc224747221"/>
      <w:bookmarkStart w:id="185" w:name="_Toc224749691"/>
      <w:bookmarkStart w:id="186" w:name="_Toc225974569"/>
      <w:bookmarkStart w:id="187" w:name="_Toc225975242"/>
      <w:bookmarkStart w:id="188" w:name="_Toc225975299"/>
      <w:r w:rsidRPr="00DD0CE5">
        <w:t xml:space="preserve">Intervention n°3: </w:t>
      </w:r>
      <w:r w:rsidR="00226260">
        <w:t>T</w:t>
      </w:r>
      <w:r w:rsidRPr="00DD0CE5">
        <w:t>argeted regulatory reform of the Advanced Therapy Medicinal Products (ATMPs) framework</w:t>
      </w:r>
      <w:r w:rsidRPr="00DD0CE5">
        <w:rPr>
          <w:vertAlign w:val="superscript"/>
        </w:rPr>
        <w:footnoteReference w:id="174"/>
      </w:r>
      <w:bookmarkEnd w:id="184"/>
      <w:bookmarkEnd w:id="185"/>
      <w:bookmarkEnd w:id="186"/>
      <w:bookmarkEnd w:id="187"/>
      <w:bookmarkEnd w:id="188"/>
    </w:p>
    <w:p w14:paraId="544818DD" w14:textId="6E825960" w:rsidR="000F3479" w:rsidRPr="004F48D9" w:rsidRDefault="000F3479" w:rsidP="00021767">
      <w:pPr>
        <w:rPr>
          <w:noProof/>
        </w:rPr>
      </w:pPr>
      <w:r w:rsidRPr="00DD0CE5">
        <w:rPr>
          <w:noProof/>
        </w:rPr>
        <w:t>The proposed regulatory simplification and future-proofing of ATMPs include</w:t>
      </w:r>
      <w:r w:rsidR="00C8355D">
        <w:rPr>
          <w:noProof/>
        </w:rPr>
        <w:t>s</w:t>
      </w:r>
      <w:r w:rsidRPr="00DD0CE5">
        <w:rPr>
          <w:noProof/>
        </w:rPr>
        <w:t xml:space="preserve"> </w:t>
      </w:r>
      <w:r w:rsidR="60BED102" w:rsidRPr="12C46FC7">
        <w:rPr>
          <w:noProof/>
        </w:rPr>
        <w:t xml:space="preserve">two </w:t>
      </w:r>
      <w:r w:rsidRPr="00DD0CE5">
        <w:rPr>
          <w:noProof/>
        </w:rPr>
        <w:t>interconnected changes</w:t>
      </w:r>
      <w:r w:rsidR="00536BFF">
        <w:rPr>
          <w:noProof/>
        </w:rPr>
        <w:t>. First, it e</w:t>
      </w:r>
      <w:r w:rsidR="70F483DA" w:rsidRPr="004F48D9">
        <w:rPr>
          <w:noProof/>
        </w:rPr>
        <w:t>stablish</w:t>
      </w:r>
      <w:r w:rsidR="00C8355D">
        <w:rPr>
          <w:noProof/>
        </w:rPr>
        <w:t xml:space="preserve">es </w:t>
      </w:r>
      <w:r w:rsidRPr="004F48D9">
        <w:rPr>
          <w:noProof/>
        </w:rPr>
        <w:t>a</w:t>
      </w:r>
      <w:r w:rsidRPr="004F48D9">
        <w:rPr>
          <w:b/>
          <w:bCs/>
          <w:noProof/>
        </w:rPr>
        <w:t xml:space="preserve"> risk-proportionate approach for clinical trials involving ATMPs containing or consisting of GMOs</w:t>
      </w:r>
      <w:r w:rsidRPr="004F48D9">
        <w:rPr>
          <w:noProof/>
        </w:rPr>
        <w:t xml:space="preserve">. </w:t>
      </w:r>
      <w:r w:rsidR="7D162716" w:rsidRPr="004F48D9">
        <w:rPr>
          <w:noProof/>
        </w:rPr>
        <w:t xml:space="preserve">Under this approach </w:t>
      </w:r>
      <w:r w:rsidR="00AB07CB">
        <w:rPr>
          <w:noProof/>
        </w:rPr>
        <w:t>s</w:t>
      </w:r>
      <w:r w:rsidRPr="004F48D9">
        <w:rPr>
          <w:noProof/>
        </w:rPr>
        <w:t xml:space="preserve">ponsors </w:t>
      </w:r>
      <w:r w:rsidR="276582A6" w:rsidRPr="004F48D9">
        <w:rPr>
          <w:noProof/>
        </w:rPr>
        <w:t xml:space="preserve">would be </w:t>
      </w:r>
      <w:r w:rsidRPr="004F48D9">
        <w:rPr>
          <w:noProof/>
        </w:rPr>
        <w:t xml:space="preserve"> exempt</w:t>
      </w:r>
      <w:r w:rsidR="00BB1AF1">
        <w:rPr>
          <w:noProof/>
        </w:rPr>
        <w:t>ed</w:t>
      </w:r>
      <w:r w:rsidRPr="004F48D9">
        <w:rPr>
          <w:noProof/>
        </w:rPr>
        <w:t xml:space="preserve"> from submitting environmental risk assessments </w:t>
      </w:r>
      <w:r w:rsidR="005D61C1">
        <w:rPr>
          <w:noProof/>
        </w:rPr>
        <w:t>(ERAs)</w:t>
      </w:r>
      <w:r w:rsidRPr="004F48D9">
        <w:rPr>
          <w:noProof/>
        </w:rPr>
        <w:t xml:space="preserve"> </w:t>
      </w:r>
      <w:r w:rsidR="4038F4AC" w:rsidRPr="004F48D9">
        <w:rPr>
          <w:noProof/>
        </w:rPr>
        <w:t>for</w:t>
      </w:r>
      <w:r w:rsidRPr="004F48D9">
        <w:rPr>
          <w:noProof/>
        </w:rPr>
        <w:t xml:space="preserve"> products present</w:t>
      </w:r>
      <w:r w:rsidR="57407302" w:rsidRPr="004F48D9">
        <w:rPr>
          <w:noProof/>
        </w:rPr>
        <w:t>ing</w:t>
      </w:r>
      <w:r w:rsidRPr="004F48D9">
        <w:rPr>
          <w:noProof/>
        </w:rPr>
        <w:t xml:space="preserve"> no or negligible risks.</w:t>
      </w:r>
      <w:r w:rsidR="00C8355D">
        <w:rPr>
          <w:noProof/>
        </w:rPr>
        <w:t xml:space="preserve"> Second, it aims at </w:t>
      </w:r>
      <w:r w:rsidR="00C8355D">
        <w:rPr>
          <w:b/>
          <w:bCs/>
          <w:noProof/>
        </w:rPr>
        <w:t>f</w:t>
      </w:r>
      <w:r w:rsidRPr="004F48D9">
        <w:rPr>
          <w:b/>
          <w:bCs/>
          <w:noProof/>
        </w:rPr>
        <w:t>uture-proofing the regulatory framework</w:t>
      </w:r>
      <w:r w:rsidR="102702C6" w:rsidRPr="004F48D9">
        <w:rPr>
          <w:b/>
          <w:bCs/>
          <w:noProof/>
        </w:rPr>
        <w:t xml:space="preserve"> </w:t>
      </w:r>
      <w:r w:rsidR="1ED2DF64" w:rsidRPr="004F48D9">
        <w:rPr>
          <w:noProof/>
        </w:rPr>
        <w:t>by</w:t>
      </w:r>
      <w:r w:rsidRPr="004F48D9">
        <w:rPr>
          <w:noProof/>
        </w:rPr>
        <w:t xml:space="preserve"> amend</w:t>
      </w:r>
      <w:r w:rsidR="7E9A3F17" w:rsidRPr="004F48D9">
        <w:rPr>
          <w:noProof/>
        </w:rPr>
        <w:t>ing</w:t>
      </w:r>
      <w:r w:rsidRPr="004F48D9">
        <w:rPr>
          <w:noProof/>
        </w:rPr>
        <w:t xml:space="preserve"> the definition of tissue</w:t>
      </w:r>
      <w:r w:rsidR="4A73611A" w:rsidRPr="004F48D9">
        <w:rPr>
          <w:noProof/>
        </w:rPr>
        <w:t>-</w:t>
      </w:r>
      <w:r w:rsidRPr="004F48D9">
        <w:rPr>
          <w:noProof/>
        </w:rPr>
        <w:t xml:space="preserve">engineered products </w:t>
      </w:r>
      <w:r w:rsidR="11524802" w:rsidRPr="004F48D9">
        <w:rPr>
          <w:noProof/>
        </w:rPr>
        <w:t>to reflect</w:t>
      </w:r>
      <w:r w:rsidRPr="004F48D9">
        <w:rPr>
          <w:noProof/>
        </w:rPr>
        <w:t xml:space="preserve"> technical and scientific advances, without extending the scope of </w:t>
      </w:r>
      <w:r w:rsidR="2A3C851B" w:rsidRPr="004F48D9">
        <w:rPr>
          <w:noProof/>
        </w:rPr>
        <w:t>the</w:t>
      </w:r>
      <w:r w:rsidRPr="004F48D9">
        <w:rPr>
          <w:noProof/>
        </w:rPr>
        <w:t xml:space="preserve"> definition.</w:t>
      </w:r>
    </w:p>
    <w:p w14:paraId="0286EBD2" w14:textId="6DD56E92" w:rsidR="00155110" w:rsidRDefault="005005EC" w:rsidP="00CF3BA2">
      <w:pPr>
        <w:spacing w:after="120" w:line="270" w:lineRule="atLeast"/>
        <w:rPr>
          <w:rFonts w:eastAsia="Times New Roman"/>
          <w:noProof/>
          <w:color w:val="000000" w:themeColor="text1"/>
          <w:lang w:val="en-IE"/>
        </w:rPr>
      </w:pPr>
      <w:r w:rsidRPr="00E86B7E">
        <w:rPr>
          <w:rFonts w:eastAsia="Times New Roman"/>
          <w:color w:val="000000" w:themeColor="text1"/>
          <w:u w:val="single"/>
          <w:lang w:val="en-IE"/>
        </w:rPr>
        <w:t>Expected impacts</w:t>
      </w:r>
      <w:r>
        <w:rPr>
          <w:rFonts w:eastAsia="Times New Roman"/>
          <w:noProof/>
          <w:color w:val="000000" w:themeColor="text1"/>
          <w:lang w:val="en-IE"/>
        </w:rPr>
        <w:t>:</w:t>
      </w:r>
    </w:p>
    <w:p w14:paraId="6D0C36AB" w14:textId="7231182E" w:rsidR="00852992" w:rsidRPr="00D82915" w:rsidRDefault="0025340A" w:rsidP="004F48D9">
      <w:pPr>
        <w:spacing w:after="270" w:line="270" w:lineRule="atLeast"/>
        <w:rPr>
          <w:rFonts w:eastAsia="Times New Roman"/>
          <w:color w:val="000000" w:themeColor="text1"/>
          <w:lang w:val="en-IE"/>
        </w:rPr>
      </w:pPr>
      <w:r w:rsidRPr="008F0463">
        <w:rPr>
          <w:rFonts w:eastAsia="Times New Roman"/>
          <w:color w:val="000000" w:themeColor="text1"/>
          <w:lang w:val="en-IE"/>
        </w:rPr>
        <w:t>Overall, the reform is expected to strengthen the EU’s attractiveness for high-risk biotech investment</w:t>
      </w:r>
      <w:r w:rsidRPr="2FB7B29B">
        <w:rPr>
          <w:rFonts w:eastAsia="Times New Roman"/>
          <w:color w:val="000000" w:themeColor="text1"/>
          <w:lang w:val="en-IE"/>
        </w:rPr>
        <w:t xml:space="preserve"> </w:t>
      </w:r>
      <w:r w:rsidRPr="008F0463">
        <w:rPr>
          <w:rFonts w:eastAsia="Times New Roman"/>
          <w:color w:val="000000" w:themeColor="text1"/>
          <w:lang w:val="en-IE"/>
        </w:rPr>
        <w:t>and support the growth of a rapidly expanding ATMP sector across Member States</w:t>
      </w:r>
      <w:r w:rsidR="00AB07CB">
        <w:rPr>
          <w:rFonts w:eastAsia="Times New Roman"/>
          <w:color w:val="000000" w:themeColor="text1"/>
          <w:lang w:val="en-IE"/>
        </w:rPr>
        <w:t>.</w:t>
      </w:r>
      <w:r w:rsidR="004A56A6">
        <w:rPr>
          <w:rFonts w:eastAsia="Times New Roman"/>
          <w:color w:val="000000" w:themeColor="text1"/>
          <w:lang w:val="en-IE"/>
        </w:rPr>
        <w:t xml:space="preserve"> Th</w:t>
      </w:r>
      <w:r w:rsidR="00E71A9B">
        <w:rPr>
          <w:rFonts w:eastAsia="Times New Roman"/>
          <w:color w:val="000000" w:themeColor="text1"/>
          <w:lang w:val="en-IE"/>
        </w:rPr>
        <w:t xml:space="preserve">e </w:t>
      </w:r>
      <w:r w:rsidR="00E71A9B" w:rsidRPr="00A03E34">
        <w:rPr>
          <w:rFonts w:eastAsia="Times New Roman"/>
          <w:color w:val="000000" w:themeColor="text1"/>
          <w:lang w:val="en-IE"/>
        </w:rPr>
        <w:t xml:space="preserve">proposed </w:t>
      </w:r>
      <w:r w:rsidR="008F67ED" w:rsidRPr="00A03E34">
        <w:rPr>
          <w:rFonts w:eastAsia="Times New Roman"/>
          <w:color w:val="000000" w:themeColor="text1"/>
          <w:lang w:val="en-IE"/>
        </w:rPr>
        <w:t>amendment</w:t>
      </w:r>
      <w:r w:rsidR="00B83B9E">
        <w:rPr>
          <w:rFonts w:eastAsia="Times New Roman"/>
          <w:color w:val="000000" w:themeColor="text1"/>
          <w:lang w:val="en-IE"/>
        </w:rPr>
        <w:t>s</w:t>
      </w:r>
      <w:r w:rsidR="008F67ED" w:rsidRPr="00A03E34">
        <w:rPr>
          <w:rFonts w:eastAsia="Times New Roman"/>
          <w:color w:val="000000" w:themeColor="text1"/>
          <w:lang w:val="en-IE"/>
        </w:rPr>
        <w:t xml:space="preserve"> </w:t>
      </w:r>
      <w:r w:rsidR="008F67ED">
        <w:rPr>
          <w:rFonts w:eastAsia="Times New Roman"/>
          <w:color w:val="000000" w:themeColor="text1"/>
          <w:lang w:val="en-IE"/>
        </w:rPr>
        <w:t xml:space="preserve">are expected to </w:t>
      </w:r>
      <w:r w:rsidRPr="008F0463">
        <w:rPr>
          <w:rFonts w:eastAsia="Times New Roman"/>
          <w:color w:val="000000" w:themeColor="text1"/>
          <w:lang w:val="en-IE"/>
        </w:rPr>
        <w:t>contribut</w:t>
      </w:r>
      <w:r w:rsidR="00E71A9B">
        <w:rPr>
          <w:rFonts w:eastAsia="Times New Roman"/>
          <w:color w:val="000000" w:themeColor="text1"/>
          <w:lang w:val="en-IE"/>
        </w:rPr>
        <w:t>e</w:t>
      </w:r>
      <w:r w:rsidRPr="008F0463">
        <w:rPr>
          <w:rFonts w:eastAsia="Times New Roman"/>
          <w:color w:val="000000" w:themeColor="text1"/>
          <w:lang w:val="en-IE"/>
        </w:rPr>
        <w:t xml:space="preserve"> to the </w:t>
      </w:r>
      <w:r w:rsidR="00073476">
        <w:rPr>
          <w:rFonts w:eastAsia="Times New Roman"/>
          <w:color w:val="000000" w:themeColor="text1"/>
          <w:lang w:val="en-IE"/>
        </w:rPr>
        <w:t>EU’s</w:t>
      </w:r>
      <w:r w:rsidRPr="008F0463">
        <w:rPr>
          <w:rFonts w:eastAsia="Times New Roman"/>
          <w:color w:val="000000" w:themeColor="text1"/>
          <w:lang w:val="en-IE"/>
        </w:rPr>
        <w:t xml:space="preserve"> global competitiveness in biotechnology</w:t>
      </w:r>
      <w:r w:rsidRPr="31D8FEEE">
        <w:rPr>
          <w:rFonts w:eastAsia="Times New Roman"/>
          <w:color w:val="000000" w:themeColor="text1"/>
          <w:lang w:val="en-IE"/>
        </w:rPr>
        <w:t>.</w:t>
      </w:r>
      <w:r>
        <w:rPr>
          <w:rFonts w:eastAsia="Times New Roman"/>
          <w:color w:val="000000" w:themeColor="text1"/>
          <w:lang w:val="en-IE"/>
        </w:rPr>
        <w:t xml:space="preserve"> P</w:t>
      </w:r>
      <w:r w:rsidR="6E81912F" w:rsidRPr="00D82915">
        <w:rPr>
          <w:rFonts w:eastAsia="Times New Roman"/>
          <w:color w:val="000000" w:themeColor="text1"/>
          <w:lang w:val="en-IE"/>
        </w:rPr>
        <w:t xml:space="preserve">redominantly positive impacts </w:t>
      </w:r>
      <w:r>
        <w:rPr>
          <w:rFonts w:eastAsia="Times New Roman"/>
          <w:color w:val="000000" w:themeColor="text1"/>
          <w:lang w:val="en-IE"/>
        </w:rPr>
        <w:t xml:space="preserve">are expected for </w:t>
      </w:r>
      <w:r w:rsidR="6E81912F" w:rsidRPr="00D82915">
        <w:rPr>
          <w:rFonts w:eastAsia="Times New Roman"/>
          <w:color w:val="000000" w:themeColor="text1"/>
          <w:lang w:val="en-IE"/>
        </w:rPr>
        <w:t xml:space="preserve">businesses (in </w:t>
      </w:r>
      <w:r w:rsidR="001C6C58">
        <w:rPr>
          <w:rFonts w:eastAsia="Times New Roman"/>
          <w:noProof/>
          <w:color w:val="000000" w:themeColor="text1"/>
          <w:lang w:val="en-IE"/>
        </w:rPr>
        <w:t>pa</w:t>
      </w:r>
      <w:r w:rsidR="6E81912F" w:rsidRPr="00D82915">
        <w:rPr>
          <w:rFonts w:eastAsia="Times New Roman"/>
          <w:noProof/>
          <w:color w:val="000000" w:themeColor="text1"/>
          <w:lang w:val="en-IE"/>
        </w:rPr>
        <w:t>rticular</w:t>
      </w:r>
      <w:r w:rsidR="6E81912F" w:rsidRPr="00D82915">
        <w:rPr>
          <w:rFonts w:eastAsia="Times New Roman"/>
          <w:color w:val="000000" w:themeColor="text1"/>
          <w:lang w:val="en-IE"/>
        </w:rPr>
        <w:t xml:space="preserve"> SMEs), research and innovation, the internal market, and public health</w:t>
      </w:r>
      <w:r w:rsidR="000D6FCF">
        <w:rPr>
          <w:rFonts w:eastAsia="Times New Roman"/>
          <w:noProof/>
          <w:color w:val="000000" w:themeColor="text1"/>
          <w:lang w:val="en-IE"/>
        </w:rPr>
        <w:t>.</w:t>
      </w:r>
    </w:p>
    <w:p w14:paraId="2AF4B204" w14:textId="07E93964" w:rsidR="6E81912F" w:rsidRPr="00981357" w:rsidRDefault="00E01263" w:rsidP="5DBFCAB8">
      <w:pPr>
        <w:spacing w:after="120" w:line="270" w:lineRule="atLeast"/>
        <w:rPr>
          <w:rFonts w:eastAsiaTheme="minorEastAsia"/>
          <w:color w:val="000000" w:themeColor="text1"/>
          <w:lang w:val="en-IE"/>
        </w:rPr>
      </w:pPr>
      <w:r>
        <w:rPr>
          <w:rFonts w:eastAsia="Times New Roman"/>
          <w:b/>
          <w:color w:val="000000" w:themeColor="text1"/>
          <w:lang w:val="en-IE"/>
        </w:rPr>
        <w:t>Conduct of b</w:t>
      </w:r>
      <w:r w:rsidR="3FFE7953" w:rsidRPr="00E86B7E">
        <w:rPr>
          <w:rFonts w:eastAsia="Times New Roman"/>
          <w:b/>
          <w:color w:val="000000" w:themeColor="text1"/>
          <w:lang w:val="en-IE"/>
        </w:rPr>
        <w:t>usinesses</w:t>
      </w:r>
      <w:r>
        <w:rPr>
          <w:rFonts w:eastAsia="Times New Roman"/>
          <w:b/>
          <w:color w:val="000000" w:themeColor="text1"/>
          <w:lang w:val="en-IE"/>
        </w:rPr>
        <w:t xml:space="preserve">, </w:t>
      </w:r>
      <w:r w:rsidR="00FE479B">
        <w:rPr>
          <w:rFonts w:eastAsia="Times New Roman"/>
          <w:b/>
          <w:color w:val="000000" w:themeColor="text1"/>
          <w:lang w:val="en-IE"/>
        </w:rPr>
        <w:t>i</w:t>
      </w:r>
      <w:r w:rsidR="3FFE7953" w:rsidRPr="00E86B7E">
        <w:rPr>
          <w:rFonts w:eastAsia="Times New Roman"/>
          <w:b/>
          <w:color w:val="000000" w:themeColor="text1"/>
          <w:lang w:val="en-IE"/>
        </w:rPr>
        <w:t>nnovation</w:t>
      </w:r>
      <w:r>
        <w:rPr>
          <w:rFonts w:eastAsia="Times New Roman"/>
          <w:b/>
          <w:color w:val="000000" w:themeColor="text1"/>
          <w:lang w:val="en-IE"/>
        </w:rPr>
        <w:t xml:space="preserve"> and research</w:t>
      </w:r>
      <w:r w:rsidR="009D015A">
        <w:rPr>
          <w:rFonts w:eastAsia="Times New Roman"/>
          <w:b/>
          <w:color w:val="000000" w:themeColor="text1"/>
          <w:lang w:val="en-IE"/>
        </w:rPr>
        <w:t>:</w:t>
      </w:r>
      <w:r w:rsidR="00FE479B" w:rsidRPr="00B83B9E">
        <w:rPr>
          <w:rFonts w:eastAsia="Times New Roman"/>
          <w:bCs/>
          <w:color w:val="000000" w:themeColor="text1"/>
          <w:lang w:val="en-IE"/>
        </w:rPr>
        <w:t xml:space="preserve"> </w:t>
      </w:r>
      <w:r w:rsidR="000D6FCF">
        <w:rPr>
          <w:rFonts w:eastAsia="Times New Roman"/>
          <w:bCs/>
          <w:color w:val="000000" w:themeColor="text1"/>
          <w:lang w:val="en-IE"/>
        </w:rPr>
        <w:t>T</w:t>
      </w:r>
      <w:r w:rsidR="0385F573" w:rsidRPr="00D82915">
        <w:rPr>
          <w:rFonts w:eastAsia="Times New Roman"/>
          <w:color w:val="000000" w:themeColor="text1"/>
          <w:lang w:val="en-IE"/>
        </w:rPr>
        <w:t xml:space="preserve">he introduction of a targeted exemption from </w:t>
      </w:r>
      <w:r w:rsidR="00B83B9E">
        <w:rPr>
          <w:rFonts w:eastAsia="Times New Roman"/>
          <w:color w:val="000000" w:themeColor="text1"/>
          <w:lang w:val="en-IE"/>
        </w:rPr>
        <w:t>ERA</w:t>
      </w:r>
      <w:r w:rsidR="0385F573" w:rsidRPr="00D82915">
        <w:rPr>
          <w:rFonts w:eastAsia="Times New Roman"/>
          <w:color w:val="000000" w:themeColor="text1"/>
          <w:lang w:val="en-IE"/>
        </w:rPr>
        <w:t xml:space="preserve"> requirements </w:t>
      </w:r>
      <w:r w:rsidR="5948C57A" w:rsidRPr="004F48D9">
        <w:rPr>
          <w:rFonts w:eastAsia="Times New Roman"/>
          <w:b/>
          <w:bCs/>
          <w:color w:val="000000" w:themeColor="text1"/>
          <w:lang w:val="en-IE"/>
        </w:rPr>
        <w:t xml:space="preserve">during the </w:t>
      </w:r>
      <w:r w:rsidR="00B83B9E">
        <w:rPr>
          <w:rFonts w:eastAsia="Times New Roman"/>
          <w:b/>
          <w:bCs/>
          <w:color w:val="000000" w:themeColor="text1"/>
          <w:lang w:val="en-IE"/>
        </w:rPr>
        <w:t>CT</w:t>
      </w:r>
      <w:r w:rsidR="00E009F7">
        <w:rPr>
          <w:rFonts w:eastAsia="Times New Roman"/>
          <w:b/>
          <w:bCs/>
          <w:color w:val="000000" w:themeColor="text1"/>
          <w:lang w:val="en-IE"/>
        </w:rPr>
        <w:t xml:space="preserve"> application</w:t>
      </w:r>
      <w:r w:rsidR="5948C57A" w:rsidRPr="004F48D9">
        <w:rPr>
          <w:rFonts w:eastAsia="Times New Roman"/>
          <w:b/>
          <w:bCs/>
          <w:color w:val="000000" w:themeColor="text1"/>
          <w:lang w:val="en-IE"/>
        </w:rPr>
        <w:t xml:space="preserve"> phase</w:t>
      </w:r>
      <w:r w:rsidR="0385F573" w:rsidRPr="1CB98D0D">
        <w:rPr>
          <w:rFonts w:eastAsia="Times New Roman"/>
          <w:color w:val="000000" w:themeColor="text1"/>
          <w:lang w:val="en-IE"/>
        </w:rPr>
        <w:t xml:space="preserve"> </w:t>
      </w:r>
      <w:r w:rsidR="0385F573" w:rsidRPr="00D82915">
        <w:rPr>
          <w:rFonts w:eastAsia="Times New Roman"/>
          <w:color w:val="000000" w:themeColor="text1"/>
          <w:lang w:val="en-IE"/>
        </w:rPr>
        <w:t xml:space="preserve">for clearly defined categories of </w:t>
      </w:r>
      <w:r w:rsidR="078602D3" w:rsidRPr="3A7F0105">
        <w:rPr>
          <w:rFonts w:eastAsia="Times New Roman"/>
          <w:color w:val="000000" w:themeColor="text1"/>
          <w:lang w:val="en-IE"/>
        </w:rPr>
        <w:t xml:space="preserve">low-risk investigational </w:t>
      </w:r>
      <w:r w:rsidR="0385F573" w:rsidRPr="00D82915">
        <w:rPr>
          <w:rFonts w:eastAsia="Times New Roman"/>
          <w:color w:val="000000" w:themeColor="text1"/>
          <w:lang w:val="en-IE"/>
        </w:rPr>
        <w:t xml:space="preserve">ATMPs </w:t>
      </w:r>
      <w:r w:rsidR="6752BD89" w:rsidRPr="4A7C7110">
        <w:rPr>
          <w:rFonts w:eastAsia="Times New Roman"/>
          <w:color w:val="000000" w:themeColor="text1"/>
          <w:lang w:val="en-IE"/>
        </w:rPr>
        <w:t xml:space="preserve">directly addresses a </w:t>
      </w:r>
      <w:r w:rsidR="6752BD89" w:rsidRPr="208ED8B0">
        <w:rPr>
          <w:rFonts w:eastAsia="Times New Roman"/>
          <w:color w:val="000000" w:themeColor="text1"/>
          <w:lang w:val="en-IE"/>
        </w:rPr>
        <w:t xml:space="preserve">key barrier to </w:t>
      </w:r>
      <w:r w:rsidR="6752BD89" w:rsidRPr="387B2FA2">
        <w:rPr>
          <w:rFonts w:eastAsia="Times New Roman"/>
          <w:color w:val="000000" w:themeColor="text1"/>
          <w:lang w:val="en-IE"/>
        </w:rPr>
        <w:t xml:space="preserve">conducting clinical </w:t>
      </w:r>
      <w:r w:rsidR="6752BD89" w:rsidRPr="3A8039BB">
        <w:rPr>
          <w:rFonts w:eastAsia="Times New Roman"/>
          <w:color w:val="000000" w:themeColor="text1"/>
          <w:lang w:val="en-IE"/>
        </w:rPr>
        <w:t>trials in Europe.</w:t>
      </w:r>
      <w:r w:rsidR="0385F573" w:rsidRPr="6993EA76">
        <w:rPr>
          <w:rFonts w:eastAsia="Times New Roman"/>
          <w:color w:val="000000" w:themeColor="text1"/>
          <w:lang w:val="en-IE"/>
        </w:rPr>
        <w:t xml:space="preserve"> </w:t>
      </w:r>
      <w:r w:rsidR="286442D8" w:rsidRPr="5DBFCAB8">
        <w:rPr>
          <w:rFonts w:eastAsia="Times New Roman"/>
          <w:color w:val="000000" w:themeColor="text1"/>
          <w:lang w:val="en-IE"/>
        </w:rPr>
        <w:t xml:space="preserve">Even where the </w:t>
      </w:r>
      <w:r w:rsidR="007550C6" w:rsidRPr="007550C6">
        <w:rPr>
          <w:rFonts w:eastAsia="Times New Roman"/>
          <w:color w:val="000000" w:themeColor="text1"/>
        </w:rPr>
        <w:t>recently agreed pharmaceutical legislation reform</w:t>
      </w:r>
      <w:r w:rsidR="286442D8" w:rsidRPr="5DBFCAB8">
        <w:rPr>
          <w:rFonts w:eastAsia="Times New Roman"/>
          <w:color w:val="000000" w:themeColor="text1"/>
          <w:lang w:val="en-IE"/>
        </w:rPr>
        <w:t xml:space="preserve"> </w:t>
      </w:r>
      <w:r w:rsidR="286442D8" w:rsidRPr="5DBFCAB8">
        <w:rPr>
          <w:rFonts w:eastAsia="Times New Roman"/>
          <w:lang w:val="en-IE"/>
        </w:rPr>
        <w:t xml:space="preserve">addresses the fragmentation of ERA requirements across Member States by centralising/harmonising the </w:t>
      </w:r>
      <w:r w:rsidR="286442D8" w:rsidRPr="5DBFCAB8">
        <w:rPr>
          <w:rFonts w:eastAsia="Times New Roman"/>
          <w:color w:val="000000" w:themeColor="text1"/>
          <w:lang w:val="en-IE"/>
        </w:rPr>
        <w:t>ERA procedure</w:t>
      </w:r>
      <w:r w:rsidR="7398671A" w:rsidRPr="5DBFCAB8">
        <w:rPr>
          <w:rFonts w:eastAsia="Times New Roman"/>
          <w:color w:val="000000" w:themeColor="text1"/>
          <w:lang w:val="en-IE"/>
        </w:rPr>
        <w:t xml:space="preserve">, requiring sponsors to obtain ERA approval prior to, or </w:t>
      </w:r>
      <w:r w:rsidR="3E897A72" w:rsidRPr="5DBFCAB8">
        <w:rPr>
          <w:rFonts w:eastAsia="Times New Roman"/>
          <w:color w:val="000000" w:themeColor="text1"/>
          <w:lang w:val="en-IE"/>
        </w:rPr>
        <w:t>alongside</w:t>
      </w:r>
      <w:r w:rsidR="7398671A" w:rsidRPr="5DBFCAB8">
        <w:rPr>
          <w:rFonts w:eastAsia="Times New Roman"/>
          <w:color w:val="000000" w:themeColor="text1"/>
          <w:lang w:val="en-IE"/>
        </w:rPr>
        <w:t xml:space="preserve">, a </w:t>
      </w:r>
      <w:r w:rsidR="00B83B9E">
        <w:rPr>
          <w:rFonts w:eastAsia="Times New Roman"/>
          <w:color w:val="000000" w:themeColor="text1"/>
          <w:lang w:val="en-IE"/>
        </w:rPr>
        <w:t>CT</w:t>
      </w:r>
      <w:r w:rsidR="7398671A" w:rsidRPr="5DBFCAB8">
        <w:rPr>
          <w:rFonts w:eastAsia="Times New Roman"/>
          <w:color w:val="000000" w:themeColor="text1"/>
          <w:lang w:val="en-IE"/>
        </w:rPr>
        <w:t xml:space="preserve"> authorisation</w:t>
      </w:r>
      <w:r w:rsidR="00B83B9E">
        <w:rPr>
          <w:rFonts w:eastAsia="Times New Roman"/>
          <w:color w:val="000000" w:themeColor="text1"/>
          <w:lang w:val="en-IE"/>
        </w:rPr>
        <w:t>,</w:t>
      </w:r>
      <w:r w:rsidR="7398671A" w:rsidRPr="5DBFCAB8">
        <w:rPr>
          <w:rFonts w:eastAsia="Times New Roman"/>
          <w:color w:val="000000" w:themeColor="text1"/>
          <w:lang w:val="en-IE"/>
        </w:rPr>
        <w:t xml:space="preserve"> imposes a disproportionate regul</w:t>
      </w:r>
      <w:r w:rsidR="6B255CDE" w:rsidRPr="5DBFCAB8">
        <w:rPr>
          <w:rFonts w:eastAsia="Times New Roman"/>
          <w:color w:val="000000" w:themeColor="text1"/>
          <w:lang w:val="en-IE"/>
        </w:rPr>
        <w:t>atory burden at an ea</w:t>
      </w:r>
      <w:r w:rsidR="000116CA">
        <w:rPr>
          <w:rFonts w:eastAsia="Times New Roman"/>
          <w:color w:val="000000" w:themeColor="text1"/>
          <w:lang w:val="en-IE"/>
        </w:rPr>
        <w:t>r</w:t>
      </w:r>
      <w:r w:rsidR="6B255CDE" w:rsidRPr="5DBFCAB8">
        <w:rPr>
          <w:rFonts w:eastAsia="Times New Roman"/>
          <w:color w:val="000000" w:themeColor="text1"/>
          <w:lang w:val="en-IE"/>
        </w:rPr>
        <w:t xml:space="preserve">ly stage of development where the risk profile of the product is already well-characterised and low. </w:t>
      </w:r>
      <w:r w:rsidR="4E3D184B" w:rsidRPr="5DBFCAB8">
        <w:rPr>
          <w:rFonts w:eastAsia="Times New Roman"/>
          <w:color w:val="000000" w:themeColor="text1"/>
          <w:lang w:val="en-IE"/>
        </w:rPr>
        <w:t>This</w:t>
      </w:r>
      <w:r w:rsidR="036DED4A" w:rsidRPr="5DBFCAB8">
        <w:rPr>
          <w:rFonts w:eastAsia="Times New Roman"/>
          <w:color w:val="000000" w:themeColor="text1"/>
          <w:lang w:val="en-IE"/>
        </w:rPr>
        <w:t xml:space="preserve"> deter</w:t>
      </w:r>
      <w:r w:rsidR="7284A8D2" w:rsidRPr="5DBFCAB8">
        <w:rPr>
          <w:rFonts w:eastAsia="Times New Roman"/>
          <w:color w:val="000000" w:themeColor="text1"/>
          <w:lang w:val="en-IE"/>
        </w:rPr>
        <w:t>s</w:t>
      </w:r>
      <w:r w:rsidR="544997FA" w:rsidRPr="1853553C">
        <w:rPr>
          <w:rFonts w:eastAsia="Times New Roman"/>
          <w:color w:val="000000" w:themeColor="text1"/>
          <w:lang w:val="en-IE"/>
        </w:rPr>
        <w:t xml:space="preserve"> sponsors –particularly SMEs</w:t>
      </w:r>
      <w:r w:rsidR="007E1A15">
        <w:rPr>
          <w:rFonts w:eastAsia="Times New Roman"/>
          <w:color w:val="000000" w:themeColor="text1"/>
          <w:lang w:val="en-IE"/>
        </w:rPr>
        <w:t xml:space="preserve"> </w:t>
      </w:r>
      <w:r w:rsidR="007E1A15" w:rsidRPr="1853553C">
        <w:rPr>
          <w:rFonts w:eastAsia="Times New Roman"/>
          <w:color w:val="000000" w:themeColor="text1"/>
          <w:lang w:val="en-IE"/>
        </w:rPr>
        <w:t>–</w:t>
      </w:r>
      <w:r w:rsidR="000D6F0E">
        <w:rPr>
          <w:rFonts w:eastAsia="Times New Roman"/>
          <w:color w:val="000000" w:themeColor="text1"/>
          <w:lang w:val="en-IE"/>
        </w:rPr>
        <w:t xml:space="preserve"> </w:t>
      </w:r>
      <w:r w:rsidR="544997FA" w:rsidRPr="1853553C">
        <w:rPr>
          <w:rFonts w:eastAsia="Times New Roman"/>
          <w:color w:val="000000" w:themeColor="text1"/>
          <w:lang w:val="en-IE"/>
        </w:rPr>
        <w:t xml:space="preserve">from choosing the EU as a trial location, </w:t>
      </w:r>
      <w:r w:rsidR="544997FA" w:rsidRPr="479F3BE4">
        <w:rPr>
          <w:rFonts w:eastAsia="Times New Roman"/>
          <w:color w:val="000000" w:themeColor="text1"/>
          <w:lang w:val="en-IE"/>
        </w:rPr>
        <w:t>dive</w:t>
      </w:r>
      <w:r w:rsidR="0C54DF15" w:rsidRPr="479F3BE4">
        <w:rPr>
          <w:rFonts w:eastAsia="Times New Roman"/>
          <w:color w:val="000000" w:themeColor="text1"/>
          <w:lang w:val="en-IE"/>
        </w:rPr>
        <w:t>rting early-</w:t>
      </w:r>
      <w:r w:rsidR="28252CE1" w:rsidRPr="316BEC77">
        <w:rPr>
          <w:rFonts w:eastAsia="Times New Roman"/>
          <w:color w:val="000000" w:themeColor="text1"/>
          <w:lang w:val="en-IE"/>
        </w:rPr>
        <w:t>stage</w:t>
      </w:r>
      <w:r w:rsidR="0C54DF15" w:rsidRPr="479F3BE4">
        <w:rPr>
          <w:rFonts w:eastAsia="Times New Roman"/>
          <w:color w:val="000000" w:themeColor="text1"/>
          <w:lang w:val="en-IE"/>
        </w:rPr>
        <w:t xml:space="preserve"> innovation to </w:t>
      </w:r>
      <w:r w:rsidR="0C54DF15" w:rsidRPr="11578632">
        <w:rPr>
          <w:rFonts w:eastAsia="Times New Roman"/>
          <w:color w:val="000000" w:themeColor="text1"/>
          <w:lang w:val="en-IE"/>
        </w:rPr>
        <w:t>jurisdictions</w:t>
      </w:r>
      <w:r w:rsidR="0385F573" w:rsidRPr="479F3BE4">
        <w:rPr>
          <w:rFonts w:eastAsia="Times New Roman"/>
          <w:color w:val="000000" w:themeColor="text1"/>
          <w:lang w:val="en-IE"/>
        </w:rPr>
        <w:t xml:space="preserve"> </w:t>
      </w:r>
      <w:r w:rsidR="0C54DF15" w:rsidRPr="479F3BE4">
        <w:rPr>
          <w:rFonts w:eastAsia="Times New Roman"/>
          <w:color w:val="000000" w:themeColor="text1"/>
          <w:lang w:val="en-IE"/>
        </w:rPr>
        <w:t>with more streamlined processes.</w:t>
      </w:r>
      <w:r w:rsidR="0385F573" w:rsidRPr="2F283E44">
        <w:rPr>
          <w:rFonts w:eastAsia="Times New Roman"/>
          <w:color w:val="000000" w:themeColor="text1"/>
          <w:lang w:val="en-IE"/>
        </w:rPr>
        <w:t xml:space="preserve"> </w:t>
      </w:r>
      <w:r w:rsidR="27DAE26A" w:rsidRPr="1FF3DD3E">
        <w:rPr>
          <w:rFonts w:eastAsia="Times New Roman"/>
          <w:color w:val="000000" w:themeColor="text1"/>
          <w:lang w:val="en-IE"/>
        </w:rPr>
        <w:t xml:space="preserve">This competitive </w:t>
      </w:r>
      <w:r w:rsidR="12F7A796" w:rsidRPr="1FF3DD3E">
        <w:rPr>
          <w:rFonts w:eastAsia="Times New Roman"/>
          <w:color w:val="000000" w:themeColor="text1"/>
          <w:lang w:val="en-IE"/>
        </w:rPr>
        <w:t>disadvantage</w:t>
      </w:r>
      <w:r w:rsidR="27DAE26A" w:rsidRPr="1FF3DD3E">
        <w:rPr>
          <w:rFonts w:eastAsia="Times New Roman"/>
          <w:color w:val="000000" w:themeColor="text1"/>
          <w:lang w:val="en-IE"/>
        </w:rPr>
        <w:t xml:space="preserve"> is evident when comp</w:t>
      </w:r>
      <w:r w:rsidR="43024D1F" w:rsidRPr="1FF3DD3E">
        <w:rPr>
          <w:rFonts w:eastAsia="Times New Roman"/>
          <w:color w:val="000000" w:themeColor="text1"/>
          <w:lang w:val="en-IE"/>
        </w:rPr>
        <w:t xml:space="preserve">aring with the </w:t>
      </w:r>
      <w:r w:rsidR="00260159">
        <w:rPr>
          <w:rFonts w:eastAsia="Times New Roman"/>
          <w:color w:val="000000" w:themeColor="text1"/>
          <w:lang w:val="en-IE"/>
        </w:rPr>
        <w:t>US</w:t>
      </w:r>
      <w:r w:rsidR="43024D1F" w:rsidRPr="1FF3DD3E">
        <w:rPr>
          <w:rFonts w:eastAsia="Times New Roman"/>
          <w:color w:val="000000" w:themeColor="text1"/>
          <w:lang w:val="en-IE"/>
        </w:rPr>
        <w:t>: the F</w:t>
      </w:r>
      <w:r w:rsidR="00260159">
        <w:rPr>
          <w:rFonts w:eastAsia="Times New Roman"/>
          <w:color w:val="000000" w:themeColor="text1"/>
          <w:lang w:val="en-IE"/>
        </w:rPr>
        <w:t xml:space="preserve">ood and Drug Administration </w:t>
      </w:r>
      <w:r w:rsidR="43024D1F" w:rsidRPr="1FF3DD3E">
        <w:rPr>
          <w:rFonts w:eastAsia="Times New Roman"/>
          <w:color w:val="000000" w:themeColor="text1"/>
          <w:lang w:val="en-IE"/>
        </w:rPr>
        <w:t>grants a</w:t>
      </w:r>
      <w:r w:rsidR="005629A6">
        <w:rPr>
          <w:rFonts w:eastAsia="Times New Roman"/>
          <w:color w:val="000000" w:themeColor="text1"/>
          <w:lang w:val="en-IE"/>
        </w:rPr>
        <w:t>n</w:t>
      </w:r>
      <w:r w:rsidR="43024D1F" w:rsidRPr="1FF3DD3E">
        <w:rPr>
          <w:rFonts w:eastAsia="Times New Roman"/>
          <w:color w:val="000000" w:themeColor="text1"/>
          <w:lang w:val="en-IE"/>
        </w:rPr>
        <w:t xml:space="preserve"> exclusion from </w:t>
      </w:r>
      <w:r w:rsidR="00260159">
        <w:rPr>
          <w:rFonts w:eastAsia="Times New Roman"/>
          <w:color w:val="000000" w:themeColor="text1"/>
          <w:lang w:val="en-IE"/>
        </w:rPr>
        <w:t>ERA</w:t>
      </w:r>
      <w:r w:rsidR="5C52E59C" w:rsidRPr="1FF3DD3E">
        <w:rPr>
          <w:rFonts w:eastAsia="Times New Roman"/>
          <w:color w:val="000000" w:themeColor="text1"/>
          <w:lang w:val="en-IE"/>
        </w:rPr>
        <w:t xml:space="preserve"> for the vast majority of gene therapy Investigational New Drud (IND) applications at the clinical trial stage. That regu</w:t>
      </w:r>
      <w:r w:rsidR="790217B2" w:rsidRPr="1FF3DD3E">
        <w:rPr>
          <w:rFonts w:eastAsia="Times New Roman"/>
          <w:color w:val="000000" w:themeColor="text1"/>
          <w:lang w:val="en-IE"/>
        </w:rPr>
        <w:t>latory efficiency accelerates development timelines and explains why a significant share of ATMP clinical trials are conducted in the US rather tha</w:t>
      </w:r>
      <w:r w:rsidR="0072637E">
        <w:rPr>
          <w:rFonts w:eastAsia="Times New Roman"/>
          <w:color w:val="000000" w:themeColor="text1"/>
          <w:lang w:val="en-IE"/>
        </w:rPr>
        <w:t>n in</w:t>
      </w:r>
      <w:r w:rsidR="790217B2" w:rsidRPr="1FF3DD3E">
        <w:rPr>
          <w:rFonts w:eastAsia="Times New Roman"/>
          <w:color w:val="000000" w:themeColor="text1"/>
          <w:lang w:val="en-IE"/>
        </w:rPr>
        <w:t xml:space="preserve"> the EU. </w:t>
      </w:r>
      <w:r w:rsidR="0C54DF15" w:rsidRPr="001B17F0">
        <w:rPr>
          <w:rFonts w:eastAsia="Times New Roman"/>
          <w:color w:val="000000" w:themeColor="text1"/>
          <w:lang w:val="en-IE"/>
        </w:rPr>
        <w:t>While an</w:t>
      </w:r>
      <w:r w:rsidR="60A7FC45" w:rsidRPr="001B17F0">
        <w:rPr>
          <w:rFonts w:eastAsia="Times New Roman"/>
          <w:color w:val="000000" w:themeColor="text1"/>
          <w:lang w:val="en-IE"/>
        </w:rPr>
        <w:t xml:space="preserve"> ERA will still be required at the marketing </w:t>
      </w:r>
      <w:r w:rsidR="5752D921" w:rsidRPr="001B17F0">
        <w:rPr>
          <w:rFonts w:eastAsia="Times New Roman"/>
          <w:color w:val="000000" w:themeColor="text1"/>
          <w:lang w:val="en-IE"/>
        </w:rPr>
        <w:t>authorisation</w:t>
      </w:r>
      <w:r w:rsidR="60A7FC45" w:rsidRPr="001B17F0">
        <w:rPr>
          <w:rFonts w:eastAsia="Times New Roman"/>
          <w:color w:val="000000" w:themeColor="text1"/>
          <w:lang w:val="en-IE"/>
        </w:rPr>
        <w:t xml:space="preserve"> stage, </w:t>
      </w:r>
      <w:r w:rsidR="60A7FC45" w:rsidRPr="003C46AE">
        <w:rPr>
          <w:rFonts w:eastAsia="Times New Roman"/>
          <w:color w:val="000000" w:themeColor="text1"/>
          <w:lang w:val="en-IE"/>
        </w:rPr>
        <w:t xml:space="preserve">removing this </w:t>
      </w:r>
      <w:r w:rsidR="202A406D" w:rsidRPr="003C46AE">
        <w:rPr>
          <w:rFonts w:eastAsia="Times New Roman"/>
          <w:color w:val="000000" w:themeColor="text1"/>
          <w:lang w:val="en-IE"/>
        </w:rPr>
        <w:t>requirement</w:t>
      </w:r>
      <w:r w:rsidR="60A7FC45" w:rsidRPr="003C46AE">
        <w:rPr>
          <w:rFonts w:eastAsia="Times New Roman"/>
          <w:color w:val="000000" w:themeColor="text1"/>
          <w:lang w:val="en-IE"/>
        </w:rPr>
        <w:t xml:space="preserve"> during clinical </w:t>
      </w:r>
      <w:r w:rsidR="16015746" w:rsidRPr="003C46AE">
        <w:rPr>
          <w:rFonts w:eastAsia="Times New Roman"/>
          <w:color w:val="000000" w:themeColor="text1"/>
          <w:lang w:val="en-IE"/>
        </w:rPr>
        <w:t>development</w:t>
      </w:r>
      <w:r w:rsidR="60A7FC45" w:rsidRPr="003C46AE">
        <w:rPr>
          <w:rFonts w:eastAsia="Times New Roman"/>
          <w:color w:val="000000" w:themeColor="text1"/>
          <w:lang w:val="en-IE"/>
        </w:rPr>
        <w:t xml:space="preserve"> removes a critical friction point</w:t>
      </w:r>
      <w:r w:rsidR="001D5ECB">
        <w:rPr>
          <w:rFonts w:eastAsia="Times New Roman"/>
          <w:color w:val="000000" w:themeColor="text1"/>
          <w:lang w:val="en-IE"/>
        </w:rPr>
        <w:t>.</w:t>
      </w:r>
      <w:r w:rsidR="00031E56">
        <w:rPr>
          <w:rFonts w:eastAsiaTheme="minorEastAsia"/>
          <w:color w:val="000000" w:themeColor="text1"/>
          <w:lang w:val="en-IE"/>
        </w:rPr>
        <w:t xml:space="preserve"> This provision is expected to attract clinical research </w:t>
      </w:r>
      <w:r w:rsidR="003815B1">
        <w:rPr>
          <w:rFonts w:eastAsiaTheme="minorEastAsia"/>
          <w:color w:val="000000" w:themeColor="text1"/>
          <w:lang w:val="en-IE"/>
        </w:rPr>
        <w:t xml:space="preserve">on </w:t>
      </w:r>
      <w:r w:rsidR="000A196F">
        <w:rPr>
          <w:rFonts w:eastAsiaTheme="minorEastAsia"/>
          <w:color w:val="000000" w:themeColor="text1"/>
          <w:lang w:val="en-IE"/>
        </w:rPr>
        <w:t>certain categories of</w:t>
      </w:r>
      <w:r w:rsidR="003815B1">
        <w:rPr>
          <w:rFonts w:eastAsiaTheme="minorEastAsia"/>
          <w:color w:val="000000" w:themeColor="text1"/>
          <w:lang w:val="en-IE"/>
        </w:rPr>
        <w:t xml:space="preserve"> ATMP in the E</w:t>
      </w:r>
      <w:r w:rsidR="003D1464">
        <w:rPr>
          <w:rFonts w:eastAsiaTheme="minorEastAsia"/>
          <w:color w:val="000000" w:themeColor="text1"/>
          <w:lang w:val="en-IE"/>
        </w:rPr>
        <w:t>U</w:t>
      </w:r>
      <w:r w:rsidR="00886E8D">
        <w:rPr>
          <w:rFonts w:eastAsiaTheme="minorEastAsia"/>
          <w:color w:val="000000" w:themeColor="text1"/>
          <w:lang w:val="en-IE"/>
        </w:rPr>
        <w:t xml:space="preserve"> even if </w:t>
      </w:r>
      <w:r w:rsidR="000A196F">
        <w:rPr>
          <w:rFonts w:eastAsiaTheme="minorEastAsia"/>
          <w:color w:val="000000" w:themeColor="text1"/>
          <w:lang w:val="en-IE"/>
        </w:rPr>
        <w:t xml:space="preserve">it is not possible to quantify </w:t>
      </w:r>
      <w:r w:rsidR="00886E8D">
        <w:rPr>
          <w:rFonts w:eastAsiaTheme="minorEastAsia"/>
          <w:color w:val="000000" w:themeColor="text1"/>
          <w:lang w:val="en-IE"/>
        </w:rPr>
        <w:t xml:space="preserve">the precise impact </w:t>
      </w:r>
      <w:r w:rsidR="00110582">
        <w:rPr>
          <w:rFonts w:eastAsiaTheme="minorEastAsia"/>
          <w:color w:val="000000" w:themeColor="text1"/>
          <w:lang w:val="en-IE"/>
        </w:rPr>
        <w:t>at this stage.</w:t>
      </w:r>
    </w:p>
    <w:p w14:paraId="7525AEB8" w14:textId="2F0E8F14" w:rsidR="6E81912F" w:rsidRPr="00380C6E" w:rsidRDefault="005C1B57" w:rsidP="0072637E">
      <w:pPr>
        <w:spacing w:after="120" w:line="270" w:lineRule="atLeast"/>
        <w:rPr>
          <w:rFonts w:eastAsia="Times New Roman"/>
          <w:color w:val="000000" w:themeColor="text1"/>
          <w:lang w:val="en-IE"/>
        </w:rPr>
      </w:pPr>
      <w:r>
        <w:rPr>
          <w:rFonts w:eastAsia="Times New Roman"/>
          <w:color w:val="000000" w:themeColor="text1"/>
          <w:lang w:val="en-IE"/>
        </w:rPr>
        <w:t xml:space="preserve">An empowerment which would allow the Commission to </w:t>
      </w:r>
      <w:r w:rsidR="008200BD">
        <w:rPr>
          <w:rFonts w:eastAsia="Times New Roman"/>
          <w:color w:val="000000" w:themeColor="text1"/>
          <w:lang w:val="en-IE"/>
        </w:rPr>
        <w:t>amend the ATMP Regulation</w:t>
      </w:r>
      <w:r w:rsidR="00E73F31" w:rsidRPr="00E73F31">
        <w:t xml:space="preserve"> </w:t>
      </w:r>
      <w:r w:rsidR="00E73F31" w:rsidRPr="00E73F31">
        <w:rPr>
          <w:rFonts w:eastAsia="Times New Roman"/>
          <w:color w:val="000000" w:themeColor="text1"/>
          <w:lang w:val="en-IE"/>
        </w:rPr>
        <w:t>via delegated acts</w:t>
      </w:r>
      <w:r w:rsidR="00E73F31">
        <w:rPr>
          <w:rFonts w:eastAsia="Times New Roman"/>
          <w:color w:val="000000" w:themeColor="text1"/>
          <w:lang w:val="en-IE"/>
        </w:rPr>
        <w:t>,</w:t>
      </w:r>
      <w:r w:rsidR="008200BD">
        <w:rPr>
          <w:rFonts w:eastAsia="Times New Roman"/>
          <w:color w:val="000000" w:themeColor="text1"/>
          <w:lang w:val="en-IE"/>
        </w:rPr>
        <w:t xml:space="preserve"> in order to </w:t>
      </w:r>
      <w:r w:rsidR="00FB6BAE">
        <w:rPr>
          <w:rFonts w:eastAsia="Times New Roman"/>
          <w:color w:val="000000" w:themeColor="text1"/>
          <w:lang w:val="en-IE"/>
        </w:rPr>
        <w:t>amend</w:t>
      </w:r>
      <w:r w:rsidR="6E81912F" w:rsidRPr="00D82915">
        <w:rPr>
          <w:rFonts w:eastAsia="Times New Roman"/>
          <w:color w:val="000000" w:themeColor="text1"/>
          <w:lang w:val="en-IE"/>
        </w:rPr>
        <w:t xml:space="preserve"> the definition of </w:t>
      </w:r>
      <w:r w:rsidR="008B0E02">
        <w:rPr>
          <w:rFonts w:eastAsia="Times New Roman"/>
          <w:noProof/>
          <w:color w:val="000000" w:themeColor="text1"/>
          <w:lang w:val="en-IE"/>
        </w:rPr>
        <w:t>t</w:t>
      </w:r>
      <w:r w:rsidR="00822597" w:rsidRPr="004F48D9">
        <w:rPr>
          <w:rFonts w:eastAsia="Times New Roman"/>
          <w:noProof/>
          <w:color w:val="000000" w:themeColor="text1"/>
          <w:lang w:val="en-IE"/>
        </w:rPr>
        <w:t xml:space="preserve">issue </w:t>
      </w:r>
      <w:r w:rsidR="00574BB3" w:rsidRPr="00D82915">
        <w:rPr>
          <w:rFonts w:eastAsia="Times New Roman"/>
          <w:color w:val="000000" w:themeColor="text1"/>
          <w:lang w:val="en-IE"/>
        </w:rPr>
        <w:t>engineered</w:t>
      </w:r>
      <w:r w:rsidR="00822597" w:rsidRPr="00D82915">
        <w:rPr>
          <w:rFonts w:eastAsia="Times New Roman"/>
          <w:color w:val="000000" w:themeColor="text1"/>
          <w:lang w:val="en-IE"/>
        </w:rPr>
        <w:t xml:space="preserve"> </w:t>
      </w:r>
      <w:r w:rsidR="008B0E02">
        <w:rPr>
          <w:rFonts w:eastAsia="Times New Roman"/>
          <w:noProof/>
          <w:color w:val="000000" w:themeColor="text1"/>
          <w:lang w:val="en-IE"/>
        </w:rPr>
        <w:t>p</w:t>
      </w:r>
      <w:r w:rsidR="00822597" w:rsidRPr="004F48D9">
        <w:rPr>
          <w:rFonts w:eastAsia="Times New Roman"/>
          <w:noProof/>
          <w:color w:val="000000" w:themeColor="text1"/>
          <w:lang w:val="en-IE"/>
        </w:rPr>
        <w:t>roduct</w:t>
      </w:r>
      <w:r w:rsidR="6E81912F" w:rsidRPr="004F48D9">
        <w:rPr>
          <w:rFonts w:eastAsia="Times New Roman"/>
          <w:noProof/>
          <w:color w:val="000000" w:themeColor="text1"/>
          <w:lang w:val="en-IE"/>
        </w:rPr>
        <w:t>s</w:t>
      </w:r>
      <w:r w:rsidR="6E81912F" w:rsidRPr="00D82915">
        <w:rPr>
          <w:rFonts w:eastAsia="Times New Roman"/>
          <w:color w:val="000000" w:themeColor="text1"/>
          <w:lang w:val="en-IE"/>
        </w:rPr>
        <w:t xml:space="preserve"> </w:t>
      </w:r>
      <w:r w:rsidR="00993530">
        <w:rPr>
          <w:rFonts w:eastAsia="Times New Roman"/>
          <w:color w:val="000000" w:themeColor="text1"/>
          <w:lang w:val="en-IE"/>
        </w:rPr>
        <w:t xml:space="preserve">will </w:t>
      </w:r>
      <w:r w:rsidR="6E81912F" w:rsidRPr="004F48D9">
        <w:rPr>
          <w:rFonts w:eastAsia="Times New Roman"/>
          <w:color w:val="000000" w:themeColor="text1"/>
          <w:lang w:val="en-IE"/>
        </w:rPr>
        <w:t xml:space="preserve">future‑proof the </w:t>
      </w:r>
      <w:r w:rsidR="00EA0BCF">
        <w:rPr>
          <w:rFonts w:eastAsia="Times New Roman"/>
          <w:color w:val="000000" w:themeColor="text1"/>
          <w:lang w:val="en-IE"/>
        </w:rPr>
        <w:t xml:space="preserve">ATMP </w:t>
      </w:r>
      <w:r w:rsidR="6E81912F" w:rsidRPr="004F48D9">
        <w:rPr>
          <w:rFonts w:eastAsia="Times New Roman"/>
          <w:color w:val="000000" w:themeColor="text1"/>
          <w:lang w:val="en-IE"/>
        </w:rPr>
        <w:t>framework</w:t>
      </w:r>
      <w:r w:rsidR="000B1B57">
        <w:rPr>
          <w:rFonts w:eastAsia="Times New Roman"/>
          <w:color w:val="000000" w:themeColor="text1"/>
          <w:lang w:val="en-IE"/>
        </w:rPr>
        <w:t xml:space="preserve"> </w:t>
      </w:r>
      <w:r w:rsidR="00AB3F35">
        <w:rPr>
          <w:rFonts w:eastAsia="Times New Roman"/>
          <w:color w:val="000000" w:themeColor="text1"/>
          <w:lang w:val="en-IE"/>
        </w:rPr>
        <w:t xml:space="preserve">by allowing to take into consideration </w:t>
      </w:r>
      <w:r w:rsidR="00AB3F35" w:rsidRPr="00C74881">
        <w:rPr>
          <w:rFonts w:eastAsia="Times New Roman"/>
          <w:b/>
          <w:color w:val="000000" w:themeColor="text1"/>
          <w:lang w:val="en-IE"/>
        </w:rPr>
        <w:t xml:space="preserve">technical and scientific </w:t>
      </w:r>
      <w:r w:rsidR="007322A3" w:rsidRPr="00C74881">
        <w:rPr>
          <w:rFonts w:eastAsia="Times New Roman"/>
          <w:b/>
          <w:color w:val="000000" w:themeColor="text1"/>
          <w:lang w:val="en-IE"/>
        </w:rPr>
        <w:t>advancements</w:t>
      </w:r>
      <w:r w:rsidR="007322A3">
        <w:rPr>
          <w:rFonts w:eastAsia="Times New Roman"/>
          <w:color w:val="000000" w:themeColor="text1"/>
          <w:lang w:val="en-IE"/>
        </w:rPr>
        <w:t xml:space="preserve"> in the field of ATMPs</w:t>
      </w:r>
      <w:r w:rsidR="6E81912F" w:rsidRPr="00D82915">
        <w:rPr>
          <w:rFonts w:eastAsia="Times New Roman"/>
          <w:color w:val="000000" w:themeColor="text1"/>
          <w:lang w:val="en-IE"/>
        </w:rPr>
        <w:t>.</w:t>
      </w:r>
      <w:r w:rsidR="4EF87F92" w:rsidRPr="29EC3807">
        <w:rPr>
          <w:rFonts w:eastAsia="Times New Roman"/>
          <w:color w:val="000000" w:themeColor="text1"/>
          <w:lang w:val="en-IE"/>
        </w:rPr>
        <w:t xml:space="preserve"> </w:t>
      </w:r>
      <w:r w:rsidR="4EF87F92" w:rsidRPr="2723A898">
        <w:rPr>
          <w:rFonts w:eastAsia="Times New Roman"/>
          <w:color w:val="000000" w:themeColor="text1"/>
          <w:lang w:val="en-IE"/>
        </w:rPr>
        <w:t xml:space="preserve">The need for such </w:t>
      </w:r>
      <w:r w:rsidR="00067E4A">
        <w:rPr>
          <w:rFonts w:eastAsia="Times New Roman"/>
          <w:color w:val="000000" w:themeColor="text1"/>
          <w:lang w:val="en-IE"/>
        </w:rPr>
        <w:t>adaptation</w:t>
      </w:r>
      <w:r w:rsidR="005C5366">
        <w:rPr>
          <w:rFonts w:eastAsia="Times New Roman"/>
          <w:color w:val="000000" w:themeColor="text1"/>
          <w:lang w:val="en-IE"/>
        </w:rPr>
        <w:t>s</w:t>
      </w:r>
      <w:r w:rsidR="00067E4A">
        <w:rPr>
          <w:rFonts w:eastAsia="Times New Roman"/>
          <w:color w:val="000000" w:themeColor="text1"/>
          <w:lang w:val="en-IE"/>
        </w:rPr>
        <w:t xml:space="preserve"> </w:t>
      </w:r>
      <w:r w:rsidR="4EF87F92" w:rsidRPr="2723A898">
        <w:rPr>
          <w:rFonts w:eastAsia="Times New Roman"/>
          <w:color w:val="000000" w:themeColor="text1"/>
          <w:lang w:val="en-IE"/>
        </w:rPr>
        <w:t xml:space="preserve">is </w:t>
      </w:r>
      <w:r w:rsidR="7F1AB164" w:rsidRPr="2723A898">
        <w:rPr>
          <w:rFonts w:eastAsia="Times New Roman"/>
          <w:color w:val="000000" w:themeColor="text1"/>
          <w:lang w:val="en-IE"/>
        </w:rPr>
        <w:t>underscored</w:t>
      </w:r>
      <w:r w:rsidR="4EF87F92" w:rsidRPr="2723A898">
        <w:rPr>
          <w:rFonts w:eastAsia="Times New Roman"/>
          <w:color w:val="000000" w:themeColor="text1"/>
          <w:lang w:val="en-IE"/>
        </w:rPr>
        <w:t xml:space="preserve"> by concrete cases</w:t>
      </w:r>
      <w:r w:rsidR="00784D05">
        <w:rPr>
          <w:rFonts w:eastAsia="Times New Roman"/>
          <w:color w:val="000000" w:themeColor="text1"/>
          <w:lang w:val="en-IE"/>
        </w:rPr>
        <w:t xml:space="preserve">. For </w:t>
      </w:r>
      <w:r w:rsidR="0041241A">
        <w:rPr>
          <w:rFonts w:eastAsia="Times New Roman"/>
          <w:color w:val="000000" w:themeColor="text1"/>
          <w:lang w:val="en-IE"/>
        </w:rPr>
        <w:t>example,</w:t>
      </w:r>
      <w:r w:rsidR="4EF87F92" w:rsidRPr="2723A898">
        <w:rPr>
          <w:rFonts w:eastAsia="Times New Roman"/>
          <w:color w:val="000000" w:themeColor="text1"/>
          <w:lang w:val="en-IE"/>
        </w:rPr>
        <w:t xml:space="preserve"> an acellular tissue-engineered vascular graft in</w:t>
      </w:r>
      <w:r w:rsidR="0D16E88F" w:rsidRPr="2723A898">
        <w:rPr>
          <w:rFonts w:eastAsia="Times New Roman"/>
          <w:color w:val="000000" w:themeColor="text1"/>
          <w:lang w:val="en-IE"/>
        </w:rPr>
        <w:t xml:space="preserve">tended for urgent revascularisation in severe arterial injury has faced 18 years of classification uncertainty in the EU. </w:t>
      </w:r>
      <w:r w:rsidR="47432A0B" w:rsidRPr="2C2743FC">
        <w:rPr>
          <w:rFonts w:eastAsia="Times New Roman"/>
          <w:color w:val="000000" w:themeColor="text1"/>
          <w:lang w:val="en-IE"/>
        </w:rPr>
        <w:t xml:space="preserve">Its </w:t>
      </w:r>
      <w:r w:rsidR="7E612BA2" w:rsidRPr="2C2743FC">
        <w:rPr>
          <w:rFonts w:eastAsia="Times New Roman"/>
          <w:color w:val="000000" w:themeColor="text1"/>
          <w:lang w:val="en-IE"/>
        </w:rPr>
        <w:t>acellular</w:t>
      </w:r>
      <w:r w:rsidR="47432A0B" w:rsidRPr="4D65D9C7">
        <w:rPr>
          <w:rFonts w:eastAsia="Times New Roman"/>
          <w:color w:val="000000" w:themeColor="text1"/>
          <w:lang w:val="en-IE"/>
        </w:rPr>
        <w:t xml:space="preserve"> nature excluded it from the existing tissue-</w:t>
      </w:r>
      <w:r w:rsidR="03147FF7" w:rsidRPr="58491B2B">
        <w:rPr>
          <w:rFonts w:eastAsia="Times New Roman"/>
          <w:color w:val="000000" w:themeColor="text1"/>
          <w:lang w:val="en-IE"/>
        </w:rPr>
        <w:t>engineered</w:t>
      </w:r>
      <w:r w:rsidR="47432A0B" w:rsidRPr="4D65D9C7">
        <w:rPr>
          <w:rFonts w:eastAsia="Times New Roman"/>
          <w:color w:val="000000" w:themeColor="text1"/>
          <w:lang w:val="en-IE"/>
        </w:rPr>
        <w:t xml:space="preserve"> product (TEP) definition. </w:t>
      </w:r>
      <w:r w:rsidR="47432A0B" w:rsidRPr="18F1A316">
        <w:rPr>
          <w:rFonts w:eastAsia="Times New Roman"/>
          <w:color w:val="000000" w:themeColor="text1"/>
          <w:lang w:val="en-IE"/>
        </w:rPr>
        <w:t xml:space="preserve">Meanwhile, the </w:t>
      </w:r>
      <w:r w:rsidR="47432A0B" w:rsidRPr="00380C6E">
        <w:rPr>
          <w:rFonts w:eastAsia="Times New Roman"/>
          <w:color w:val="000000" w:themeColor="text1"/>
          <w:lang w:val="en-IE"/>
        </w:rPr>
        <w:t>FDA approved the same p</w:t>
      </w:r>
      <w:r w:rsidR="58B4A49E" w:rsidRPr="00380C6E">
        <w:rPr>
          <w:rFonts w:eastAsia="Times New Roman"/>
          <w:color w:val="000000" w:themeColor="text1"/>
          <w:lang w:val="en-IE"/>
        </w:rPr>
        <w:t xml:space="preserve">roduct, </w:t>
      </w:r>
      <w:r w:rsidR="122FF12D" w:rsidRPr="00380C6E">
        <w:rPr>
          <w:rFonts w:eastAsia="Times New Roman"/>
          <w:color w:val="000000" w:themeColor="text1"/>
          <w:lang w:val="en-IE"/>
        </w:rPr>
        <w:t>demonstrating</w:t>
      </w:r>
      <w:r w:rsidR="58B4A49E" w:rsidRPr="00380C6E">
        <w:rPr>
          <w:rFonts w:eastAsia="Times New Roman"/>
          <w:color w:val="000000" w:themeColor="text1"/>
          <w:lang w:val="en-IE"/>
        </w:rPr>
        <w:t xml:space="preserve"> how regulatory rigidity can d</w:t>
      </w:r>
      <w:r w:rsidR="4E4E02FD" w:rsidRPr="00380C6E">
        <w:rPr>
          <w:rFonts w:eastAsia="Times New Roman"/>
          <w:color w:val="000000" w:themeColor="text1"/>
          <w:lang w:val="en-IE"/>
        </w:rPr>
        <w:t>rive innovation away from Europe.</w:t>
      </w:r>
      <w:r w:rsidR="58B4A49E" w:rsidRPr="00380C6E">
        <w:rPr>
          <w:rFonts w:eastAsia="Times New Roman"/>
          <w:color w:val="000000" w:themeColor="text1"/>
          <w:lang w:val="en-IE"/>
        </w:rPr>
        <w:t xml:space="preserve"> </w:t>
      </w:r>
    </w:p>
    <w:p w14:paraId="45F75D55" w14:textId="09ABEBC3" w:rsidR="005D48D5" w:rsidRPr="00380C6E" w:rsidRDefault="00BE387E">
      <w:pPr>
        <w:spacing w:after="120" w:line="270" w:lineRule="atLeast"/>
        <w:rPr>
          <w:rFonts w:eastAsia="Times New Roman"/>
          <w:color w:val="000000" w:themeColor="text1"/>
          <w:lang w:val="en-IE"/>
        </w:rPr>
      </w:pPr>
      <w:r w:rsidRPr="00380C6E">
        <w:rPr>
          <w:rFonts w:eastAsia="Times New Roman"/>
          <w:color w:val="000000" w:themeColor="text1"/>
          <w:lang w:val="en-IE"/>
        </w:rPr>
        <w:t xml:space="preserve">Both </w:t>
      </w:r>
      <w:r w:rsidRPr="00380C6E">
        <w:rPr>
          <w:rFonts w:eastAsia="Times New Roman"/>
          <w:noProof/>
          <w:color w:val="000000" w:themeColor="text1"/>
          <w:lang w:val="en-IE"/>
        </w:rPr>
        <w:t>measure</w:t>
      </w:r>
      <w:r w:rsidR="004742EC" w:rsidRPr="00380C6E">
        <w:rPr>
          <w:rFonts w:eastAsia="Times New Roman"/>
          <w:noProof/>
          <w:color w:val="000000" w:themeColor="text1"/>
          <w:lang w:val="en-IE"/>
        </w:rPr>
        <w:t>s</w:t>
      </w:r>
      <w:r w:rsidR="001C6C58" w:rsidRPr="00380C6E">
        <w:rPr>
          <w:rFonts w:eastAsia="Times New Roman"/>
          <w:noProof/>
          <w:color w:val="000000" w:themeColor="text1"/>
          <w:lang w:val="en-IE"/>
        </w:rPr>
        <w:t xml:space="preserve"> are </w:t>
      </w:r>
      <w:r w:rsidR="6E81912F" w:rsidRPr="00380C6E">
        <w:rPr>
          <w:rFonts w:eastAsia="Times New Roman"/>
          <w:color w:val="000000" w:themeColor="text1"/>
          <w:lang w:val="en-IE"/>
        </w:rPr>
        <w:t xml:space="preserve">expected to </w:t>
      </w:r>
      <w:r w:rsidR="6E81912F" w:rsidRPr="00380C6E">
        <w:rPr>
          <w:rFonts w:eastAsia="Times New Roman"/>
          <w:b/>
          <w:color w:val="000000" w:themeColor="text1"/>
          <w:lang w:val="en-IE"/>
        </w:rPr>
        <w:t>lower operational costs</w:t>
      </w:r>
      <w:r w:rsidR="6E81912F" w:rsidRPr="00380C6E">
        <w:rPr>
          <w:rFonts w:eastAsia="Times New Roman"/>
          <w:color w:val="000000" w:themeColor="text1"/>
          <w:lang w:val="en-IE"/>
        </w:rPr>
        <w:t xml:space="preserve"> </w:t>
      </w:r>
      <w:r w:rsidR="68D480E0" w:rsidRPr="00C72938">
        <w:rPr>
          <w:rFonts w:eastAsia="system-ui"/>
          <w:color w:val="0F1115"/>
          <w:lang w:val="en-IE"/>
        </w:rPr>
        <w:t xml:space="preserve">by </w:t>
      </w:r>
      <w:r w:rsidR="68D480E0" w:rsidRPr="00C72938">
        <w:rPr>
          <w:rFonts w:eastAsia="system-ui"/>
          <w:b/>
          <w:color w:val="0F1115"/>
          <w:lang w:val="en-IE"/>
        </w:rPr>
        <w:t>removing non‑value‑adding regulatory steps</w:t>
      </w:r>
      <w:r w:rsidR="007D6472" w:rsidRPr="007D6472">
        <w:rPr>
          <w:rFonts w:eastAsia="system-ui"/>
          <w:color w:val="0F1115"/>
          <w:lang w:val="en-US"/>
        </w:rPr>
        <w:t>, potentially removing a burden of 0.15-0.3 FTE-years per clinical trial application</w:t>
      </w:r>
      <w:r w:rsidR="007D6472">
        <w:rPr>
          <w:rFonts w:eastAsia="system-ui"/>
          <w:color w:val="0F1115"/>
          <w:lang w:val="en-US"/>
        </w:rPr>
        <w:t xml:space="preserve">, </w:t>
      </w:r>
      <w:r w:rsidR="68D480E0" w:rsidRPr="00C72938">
        <w:rPr>
          <w:rFonts w:eastAsia="system-ui"/>
          <w:color w:val="0F1115"/>
          <w:lang w:val="en-IE"/>
        </w:rPr>
        <w:t xml:space="preserve">and </w:t>
      </w:r>
      <w:r w:rsidR="68D480E0" w:rsidRPr="00C72938">
        <w:rPr>
          <w:rFonts w:eastAsia="system-ui"/>
          <w:b/>
          <w:color w:val="0F1115"/>
          <w:lang w:val="en-IE"/>
        </w:rPr>
        <w:t>reducing uncertainty</w:t>
      </w:r>
      <w:r w:rsidR="1D365DFC" w:rsidRPr="00C72938">
        <w:rPr>
          <w:rFonts w:eastAsia="system-ui"/>
          <w:b/>
          <w:color w:val="0F1115"/>
          <w:lang w:val="en-IE"/>
        </w:rPr>
        <w:t>.</w:t>
      </w:r>
      <w:r w:rsidR="1D365DFC" w:rsidRPr="00380C6E">
        <w:rPr>
          <w:rFonts w:eastAsia="Times New Roman"/>
          <w:lang w:val="en-IE"/>
        </w:rPr>
        <w:t xml:space="preserve"> </w:t>
      </w:r>
      <w:r w:rsidR="02B2F7B6" w:rsidRPr="00380C6E">
        <w:rPr>
          <w:rFonts w:eastAsia="Times New Roman"/>
          <w:color w:val="000000" w:themeColor="text1"/>
          <w:lang w:val="en-IE"/>
        </w:rPr>
        <w:t>Together, they</w:t>
      </w:r>
      <w:r w:rsidR="6E81912F" w:rsidRPr="00380C6E" w:rsidDel="00C32AF1">
        <w:rPr>
          <w:rFonts w:eastAsia="Times New Roman"/>
          <w:color w:val="000000" w:themeColor="text1"/>
          <w:lang w:val="en-IE"/>
        </w:rPr>
        <w:t xml:space="preserve"> </w:t>
      </w:r>
      <w:r w:rsidR="6E81912F" w:rsidRPr="00380C6E">
        <w:rPr>
          <w:rFonts w:eastAsia="Times New Roman"/>
          <w:b/>
          <w:color w:val="000000" w:themeColor="text1"/>
          <w:lang w:val="en-IE"/>
        </w:rPr>
        <w:t>speed the transition</w:t>
      </w:r>
      <w:r w:rsidR="6E81912F" w:rsidRPr="00380C6E">
        <w:rPr>
          <w:rFonts w:eastAsia="Times New Roman"/>
          <w:color w:val="000000" w:themeColor="text1"/>
          <w:lang w:val="en-IE"/>
        </w:rPr>
        <w:t xml:space="preserve"> from research to clinical development, particularly for SMEs, </w:t>
      </w:r>
      <w:r w:rsidR="2E366583" w:rsidRPr="00380C6E">
        <w:rPr>
          <w:rFonts w:eastAsia="Times New Roman"/>
          <w:color w:val="000000" w:themeColor="text1"/>
          <w:lang w:val="en-IE"/>
        </w:rPr>
        <w:t>while making the EU a more competitive and predictable environment for ATMP innovation.</w:t>
      </w:r>
    </w:p>
    <w:p w14:paraId="36165324" w14:textId="458324C9" w:rsidR="00433640" w:rsidRPr="003C46AE" w:rsidRDefault="00E01263" w:rsidP="00D82915">
      <w:pPr>
        <w:spacing w:after="120" w:line="270" w:lineRule="atLeast"/>
        <w:rPr>
          <w:rFonts w:eastAsia="Times New Roman"/>
          <w:color w:val="000000" w:themeColor="text1"/>
          <w:lang w:val="en-IE"/>
        </w:rPr>
      </w:pPr>
      <w:r w:rsidRPr="00C74881">
        <w:rPr>
          <w:rFonts w:eastAsia="Times New Roman"/>
          <w:b/>
          <w:bCs/>
          <w:color w:val="000000" w:themeColor="text1"/>
          <w:lang w:val="en-IE"/>
        </w:rPr>
        <w:t>Functioning</w:t>
      </w:r>
      <w:r w:rsidR="009D015A" w:rsidRPr="00C74881">
        <w:rPr>
          <w:rFonts w:eastAsia="Times New Roman"/>
          <w:b/>
          <w:color w:val="000000" w:themeColor="text1"/>
          <w:lang w:val="en-IE"/>
        </w:rPr>
        <w:t xml:space="preserve"> of the </w:t>
      </w:r>
      <w:r w:rsidR="00FE479B">
        <w:rPr>
          <w:rFonts w:eastAsia="Times New Roman"/>
          <w:b/>
          <w:bCs/>
          <w:color w:val="000000" w:themeColor="text1"/>
          <w:lang w:val="en-IE"/>
        </w:rPr>
        <w:t>i</w:t>
      </w:r>
      <w:r w:rsidR="3EFEA160" w:rsidRPr="488421B7">
        <w:rPr>
          <w:rFonts w:eastAsia="Times New Roman"/>
          <w:b/>
          <w:bCs/>
          <w:color w:val="000000" w:themeColor="text1"/>
          <w:lang w:val="en-IE"/>
        </w:rPr>
        <w:t>nternal</w:t>
      </w:r>
      <w:r w:rsidR="00380C6E" w:rsidRPr="488421B7">
        <w:rPr>
          <w:rFonts w:eastAsia="Times New Roman"/>
          <w:b/>
          <w:bCs/>
          <w:color w:val="000000" w:themeColor="text1"/>
          <w:lang w:val="en-IE"/>
        </w:rPr>
        <w:t xml:space="preserve"> </w:t>
      </w:r>
      <w:r w:rsidR="00FE479B">
        <w:rPr>
          <w:rFonts w:eastAsia="Times New Roman"/>
          <w:b/>
          <w:bCs/>
          <w:color w:val="000000" w:themeColor="text1"/>
          <w:lang w:val="en-IE"/>
        </w:rPr>
        <w:t>m</w:t>
      </w:r>
      <w:r w:rsidR="3EFEA160" w:rsidRPr="488421B7">
        <w:rPr>
          <w:rFonts w:eastAsia="Times New Roman"/>
          <w:b/>
          <w:bCs/>
          <w:color w:val="000000" w:themeColor="text1"/>
          <w:lang w:val="en-IE"/>
        </w:rPr>
        <w:t xml:space="preserve">arket and </w:t>
      </w:r>
      <w:r w:rsidR="00FE479B">
        <w:rPr>
          <w:rFonts w:eastAsia="Times New Roman"/>
          <w:b/>
          <w:bCs/>
          <w:color w:val="000000" w:themeColor="text1"/>
          <w:lang w:val="en-IE"/>
        </w:rPr>
        <w:t>c</w:t>
      </w:r>
      <w:r w:rsidR="3EFEA160" w:rsidRPr="488421B7">
        <w:rPr>
          <w:rFonts w:eastAsia="Times New Roman"/>
          <w:b/>
          <w:bCs/>
          <w:color w:val="000000" w:themeColor="text1"/>
          <w:lang w:val="en-IE"/>
        </w:rPr>
        <w:t>ompetitiveness</w:t>
      </w:r>
      <w:r>
        <w:rPr>
          <w:rFonts w:eastAsia="Times New Roman"/>
          <w:color w:val="000000" w:themeColor="text1"/>
          <w:lang w:val="en-IE"/>
        </w:rPr>
        <w:t>: T</w:t>
      </w:r>
      <w:r w:rsidR="7A9E50B2" w:rsidRPr="00380C6E">
        <w:rPr>
          <w:rFonts w:eastAsia="Times New Roman"/>
          <w:color w:val="000000" w:themeColor="text1"/>
          <w:lang w:val="en-IE"/>
        </w:rPr>
        <w:t xml:space="preserve">he impact of </w:t>
      </w:r>
      <w:r w:rsidR="47DBB1EE" w:rsidRPr="00380C6E">
        <w:rPr>
          <w:rFonts w:eastAsia="Times New Roman"/>
          <w:color w:val="000000" w:themeColor="text1"/>
          <w:lang w:val="en-IE"/>
        </w:rPr>
        <w:t>s</w:t>
      </w:r>
      <w:r w:rsidR="6E81912F" w:rsidRPr="00380C6E">
        <w:rPr>
          <w:rFonts w:eastAsia="Times New Roman"/>
          <w:color w:val="000000" w:themeColor="text1"/>
          <w:lang w:val="en-IE"/>
        </w:rPr>
        <w:t>treamlining Regulation (EU) No 536/2014</w:t>
      </w:r>
      <w:r w:rsidR="1FB24020" w:rsidRPr="00380C6E">
        <w:rPr>
          <w:rFonts w:eastAsia="Times New Roman"/>
          <w:color w:val="000000" w:themeColor="text1"/>
          <w:lang w:val="en-IE"/>
        </w:rPr>
        <w:t>,</w:t>
      </w:r>
      <w:r w:rsidR="6E81912F" w:rsidRPr="00380C6E">
        <w:rPr>
          <w:rFonts w:eastAsia="Times New Roman"/>
          <w:color w:val="000000" w:themeColor="text1"/>
          <w:lang w:val="en-IE"/>
        </w:rPr>
        <w:t xml:space="preserve"> in co</w:t>
      </w:r>
      <w:r w:rsidR="00C72938">
        <w:rPr>
          <w:rFonts w:eastAsia="Times New Roman"/>
          <w:color w:val="000000" w:themeColor="text1"/>
          <w:lang w:val="en-IE"/>
        </w:rPr>
        <w:t>n</w:t>
      </w:r>
      <w:r w:rsidR="66264CC9" w:rsidRPr="00380C6E">
        <w:rPr>
          <w:rFonts w:eastAsia="Times New Roman"/>
          <w:color w:val="000000" w:themeColor="text1"/>
          <w:lang w:val="en-IE"/>
        </w:rPr>
        <w:t>junc</w:t>
      </w:r>
      <w:r w:rsidR="6E81912F" w:rsidRPr="00380C6E">
        <w:rPr>
          <w:rFonts w:eastAsia="Times New Roman"/>
          <w:color w:val="000000" w:themeColor="text1"/>
          <w:lang w:val="en-IE"/>
        </w:rPr>
        <w:t xml:space="preserve">tion with </w:t>
      </w:r>
      <w:r w:rsidR="2F434936" w:rsidRPr="00380C6E">
        <w:rPr>
          <w:rFonts w:eastAsia="Times New Roman"/>
          <w:color w:val="000000" w:themeColor="text1"/>
          <w:lang w:val="en-IE"/>
        </w:rPr>
        <w:t>modifications</w:t>
      </w:r>
      <w:r w:rsidR="6E81912F" w:rsidRPr="00380C6E">
        <w:rPr>
          <w:rFonts w:eastAsia="Times New Roman"/>
          <w:color w:val="000000" w:themeColor="text1"/>
          <w:lang w:val="en-IE"/>
        </w:rPr>
        <w:t xml:space="preserve"> </w:t>
      </w:r>
      <w:r w:rsidR="2A8AD8D6" w:rsidRPr="00380C6E">
        <w:rPr>
          <w:rFonts w:eastAsia="Times New Roman"/>
          <w:color w:val="000000" w:themeColor="text1"/>
          <w:lang w:val="en-IE"/>
        </w:rPr>
        <w:t>to</w:t>
      </w:r>
      <w:r w:rsidR="6E81912F" w:rsidRPr="00380C6E">
        <w:rPr>
          <w:rFonts w:eastAsia="Times New Roman"/>
          <w:color w:val="000000" w:themeColor="text1"/>
          <w:lang w:val="en-IE"/>
        </w:rPr>
        <w:t xml:space="preserve"> ERA requirements </w:t>
      </w:r>
      <w:r w:rsidR="66A2A4DF" w:rsidRPr="00380C6E">
        <w:rPr>
          <w:rFonts w:eastAsia="Times New Roman"/>
          <w:color w:val="000000" w:themeColor="text1"/>
          <w:lang w:val="en-IE"/>
        </w:rPr>
        <w:t>for investigational GMO-ATMPs</w:t>
      </w:r>
      <w:r w:rsidR="6E81912F" w:rsidRPr="00380C6E">
        <w:rPr>
          <w:rFonts w:eastAsia="Times New Roman"/>
          <w:color w:val="000000" w:themeColor="text1"/>
          <w:lang w:val="en-IE"/>
        </w:rPr>
        <w:t xml:space="preserve"> and </w:t>
      </w:r>
      <w:r w:rsidR="59E271EB" w:rsidRPr="00380C6E">
        <w:rPr>
          <w:rFonts w:eastAsia="Times New Roman"/>
          <w:color w:val="000000" w:themeColor="text1"/>
          <w:lang w:val="en-IE"/>
        </w:rPr>
        <w:t>amendments to</w:t>
      </w:r>
      <w:r w:rsidR="6E81912F" w:rsidRPr="00380C6E">
        <w:rPr>
          <w:rFonts w:eastAsia="Times New Roman"/>
          <w:color w:val="000000" w:themeColor="text1"/>
          <w:lang w:val="en-IE"/>
        </w:rPr>
        <w:t xml:space="preserve"> ATMP definitions, </w:t>
      </w:r>
      <w:r w:rsidR="2596CF4D" w:rsidRPr="00380C6E">
        <w:rPr>
          <w:rFonts w:eastAsia="Times New Roman"/>
          <w:color w:val="000000" w:themeColor="text1"/>
          <w:lang w:val="en-IE"/>
        </w:rPr>
        <w:t xml:space="preserve">is </w:t>
      </w:r>
      <w:r w:rsidR="004A1346">
        <w:rPr>
          <w:rFonts w:eastAsia="Times New Roman"/>
          <w:color w:val="000000" w:themeColor="text1"/>
          <w:lang w:val="en-IE"/>
        </w:rPr>
        <w:t xml:space="preserve">expected </w:t>
      </w:r>
      <w:r w:rsidR="2596CF4D" w:rsidRPr="00380C6E">
        <w:rPr>
          <w:rFonts w:eastAsia="Times New Roman"/>
          <w:color w:val="000000" w:themeColor="text1"/>
          <w:lang w:val="en-IE"/>
        </w:rPr>
        <w:t xml:space="preserve">to be profound and multifaceted </w:t>
      </w:r>
      <w:r w:rsidR="625CC2FE" w:rsidRPr="00380C6E">
        <w:rPr>
          <w:rFonts w:eastAsia="Times New Roman"/>
          <w:color w:val="000000" w:themeColor="text1"/>
          <w:lang w:val="en-IE"/>
        </w:rPr>
        <w:t>concerning</w:t>
      </w:r>
      <w:r w:rsidR="2596CF4D" w:rsidRPr="00380C6E">
        <w:rPr>
          <w:rFonts w:eastAsia="Times New Roman"/>
          <w:color w:val="000000" w:themeColor="text1"/>
          <w:lang w:val="en-IE"/>
        </w:rPr>
        <w:t xml:space="preserve"> internal market dynamics and EU competitiveness. </w:t>
      </w:r>
      <w:r w:rsidR="4DE05A68" w:rsidRPr="00380C6E">
        <w:rPr>
          <w:rFonts w:eastAsia="Times New Roman"/>
          <w:color w:val="000000" w:themeColor="text1"/>
          <w:lang w:val="en-IE"/>
        </w:rPr>
        <w:t>By exempting certain investigational ATMPs containing GMOs from full ERA</w:t>
      </w:r>
      <w:r w:rsidR="742DA78A" w:rsidRPr="00380C6E">
        <w:rPr>
          <w:rFonts w:eastAsia="Times New Roman"/>
          <w:color w:val="000000" w:themeColor="text1"/>
          <w:lang w:val="en-IE"/>
        </w:rPr>
        <w:t xml:space="preserve"> submissions</w:t>
      </w:r>
      <w:r w:rsidR="29AA24CA" w:rsidRPr="00380C6E">
        <w:rPr>
          <w:rFonts w:eastAsia="Times New Roman"/>
          <w:color w:val="000000" w:themeColor="text1"/>
          <w:lang w:val="en-IE"/>
        </w:rPr>
        <w:t>, this change</w:t>
      </w:r>
      <w:r w:rsidR="29AA24CA" w:rsidRPr="4FBB4B45">
        <w:rPr>
          <w:rFonts w:eastAsia="Times New Roman"/>
          <w:color w:val="000000" w:themeColor="text1"/>
          <w:lang w:val="en-IE"/>
        </w:rPr>
        <w:t xml:space="preserve"> </w:t>
      </w:r>
      <w:r w:rsidR="29AA24CA" w:rsidRPr="27FB0AC9">
        <w:rPr>
          <w:rFonts w:eastAsia="Times New Roman"/>
          <w:color w:val="000000" w:themeColor="text1"/>
          <w:lang w:val="en-IE"/>
        </w:rPr>
        <w:t xml:space="preserve">not only </w:t>
      </w:r>
      <w:r w:rsidR="49329DE6" w:rsidRPr="3A774F52">
        <w:rPr>
          <w:rFonts w:eastAsia="Times New Roman"/>
          <w:color w:val="000000" w:themeColor="text1"/>
          <w:lang w:val="en-IE"/>
        </w:rPr>
        <w:t>facilitates</w:t>
      </w:r>
      <w:r w:rsidR="29AA24CA" w:rsidRPr="27FB0AC9">
        <w:rPr>
          <w:rFonts w:eastAsia="Times New Roman"/>
          <w:color w:val="000000" w:themeColor="text1"/>
          <w:lang w:val="en-IE"/>
        </w:rPr>
        <w:t xml:space="preserve"> faster </w:t>
      </w:r>
      <w:r w:rsidR="29AA24CA" w:rsidRPr="117DD1BE">
        <w:rPr>
          <w:rFonts w:eastAsia="Times New Roman"/>
          <w:color w:val="000000" w:themeColor="text1"/>
          <w:lang w:val="en-IE"/>
        </w:rPr>
        <w:t xml:space="preserve">progression from trial </w:t>
      </w:r>
      <w:r w:rsidR="6BF9B507" w:rsidRPr="0FC790D5">
        <w:rPr>
          <w:rFonts w:eastAsia="Times New Roman"/>
          <w:color w:val="000000" w:themeColor="text1"/>
          <w:lang w:val="en-IE"/>
        </w:rPr>
        <w:t>initiation</w:t>
      </w:r>
      <w:r w:rsidR="29AA24CA" w:rsidRPr="117DD1BE">
        <w:rPr>
          <w:rFonts w:eastAsia="Times New Roman"/>
          <w:color w:val="000000" w:themeColor="text1"/>
          <w:lang w:val="en-IE"/>
        </w:rPr>
        <w:t xml:space="preserve"> to product development, but also </w:t>
      </w:r>
      <w:r w:rsidR="29AA24CA" w:rsidRPr="7B79189A">
        <w:rPr>
          <w:rFonts w:eastAsia="Times New Roman"/>
          <w:color w:val="000000" w:themeColor="text1"/>
          <w:lang w:val="en-IE"/>
        </w:rPr>
        <w:t>significantly influences sponsors’ d</w:t>
      </w:r>
      <w:r w:rsidR="5FF0B77A" w:rsidRPr="7B79189A">
        <w:rPr>
          <w:rFonts w:eastAsia="Times New Roman"/>
          <w:color w:val="000000" w:themeColor="text1"/>
          <w:lang w:val="en-IE"/>
        </w:rPr>
        <w:t>ecisions to conduct clinical trials in Europe.</w:t>
      </w:r>
      <w:r w:rsidR="6E81912F" w:rsidRPr="68FD444B">
        <w:rPr>
          <w:rFonts w:eastAsia="Times New Roman"/>
          <w:color w:val="000000" w:themeColor="text1"/>
          <w:lang w:val="en-IE"/>
        </w:rPr>
        <w:t xml:space="preserve"> </w:t>
      </w:r>
      <w:r w:rsidR="6CB0BDE2" w:rsidRPr="25C1969F">
        <w:rPr>
          <w:rFonts w:eastAsia="Times New Roman"/>
          <w:color w:val="000000" w:themeColor="text1"/>
          <w:lang w:val="en-IE"/>
        </w:rPr>
        <w:t>Consequently, t</w:t>
      </w:r>
      <w:r w:rsidR="156405DA" w:rsidRPr="25C1969F">
        <w:rPr>
          <w:rFonts w:eastAsia="Times New Roman"/>
          <w:color w:val="000000" w:themeColor="text1"/>
          <w:lang w:val="en-IE"/>
        </w:rPr>
        <w:t>he EU could</w:t>
      </w:r>
      <w:r w:rsidR="156405DA" w:rsidRPr="59C7DF74">
        <w:rPr>
          <w:rFonts w:eastAsia="Times New Roman"/>
          <w:color w:val="000000" w:themeColor="text1"/>
          <w:lang w:val="en-IE"/>
        </w:rPr>
        <w:t xml:space="preserve"> emerge as a leading </w:t>
      </w:r>
      <w:r w:rsidR="156405DA" w:rsidRPr="7C912A2B">
        <w:rPr>
          <w:rFonts w:eastAsia="Times New Roman"/>
          <w:color w:val="000000" w:themeColor="text1"/>
          <w:lang w:val="en-IE"/>
        </w:rPr>
        <w:t xml:space="preserve">destination for biotech investment, accelerating </w:t>
      </w:r>
      <w:r w:rsidR="156405DA" w:rsidRPr="71719159">
        <w:rPr>
          <w:rFonts w:eastAsia="Times New Roman"/>
          <w:color w:val="000000" w:themeColor="text1"/>
          <w:lang w:val="en-IE"/>
        </w:rPr>
        <w:t xml:space="preserve">the development of innovative therapies. </w:t>
      </w:r>
      <w:r w:rsidR="33470E0C" w:rsidRPr="71719159">
        <w:rPr>
          <w:rFonts w:eastAsia="Times New Roman"/>
          <w:color w:val="000000" w:themeColor="text1"/>
          <w:lang w:val="en-IE"/>
        </w:rPr>
        <w:t>Future</w:t>
      </w:r>
      <w:r w:rsidR="33470E0C" w:rsidRPr="22E2EAE1">
        <w:rPr>
          <w:rFonts w:eastAsia="Times New Roman"/>
          <w:color w:val="000000" w:themeColor="text1"/>
          <w:lang w:val="en-IE"/>
        </w:rPr>
        <w:t xml:space="preserve">-proofing ATMP definitions allows EU to </w:t>
      </w:r>
      <w:r w:rsidR="14143CF5" w:rsidRPr="7FDB8447">
        <w:rPr>
          <w:rFonts w:eastAsia="Times New Roman"/>
          <w:color w:val="000000" w:themeColor="text1"/>
          <w:lang w:val="en-IE"/>
        </w:rPr>
        <w:t>enhance</w:t>
      </w:r>
      <w:r w:rsidR="33470E0C" w:rsidRPr="0B9B9489">
        <w:rPr>
          <w:rFonts w:eastAsia="Times New Roman"/>
          <w:color w:val="000000" w:themeColor="text1"/>
          <w:lang w:val="en-IE"/>
        </w:rPr>
        <w:t xml:space="preserve"> </w:t>
      </w:r>
      <w:r w:rsidR="5EC12914" w:rsidRPr="1FE39679">
        <w:rPr>
          <w:rFonts w:eastAsia="Times New Roman"/>
          <w:color w:val="000000" w:themeColor="text1"/>
          <w:lang w:val="en-IE"/>
        </w:rPr>
        <w:t xml:space="preserve">its </w:t>
      </w:r>
      <w:r w:rsidR="5EC12914" w:rsidRPr="54935278">
        <w:rPr>
          <w:rFonts w:eastAsia="Times New Roman"/>
          <w:color w:val="000000" w:themeColor="text1"/>
          <w:lang w:val="en-IE"/>
        </w:rPr>
        <w:t xml:space="preserve">scientific and technological leadership in </w:t>
      </w:r>
      <w:r w:rsidR="5EC12914" w:rsidRPr="21D21040">
        <w:rPr>
          <w:rFonts w:eastAsia="Times New Roman"/>
          <w:color w:val="000000" w:themeColor="text1"/>
          <w:lang w:val="en-IE"/>
        </w:rPr>
        <w:t xml:space="preserve">biotechnology and regenerative </w:t>
      </w:r>
      <w:r w:rsidR="5EC12914" w:rsidRPr="269D850D">
        <w:rPr>
          <w:rFonts w:eastAsia="Times New Roman"/>
          <w:color w:val="000000" w:themeColor="text1"/>
          <w:lang w:val="en-IE"/>
        </w:rPr>
        <w:t>medicine</w:t>
      </w:r>
      <w:r w:rsidR="42D23295" w:rsidRPr="1B5E1BD0">
        <w:rPr>
          <w:rFonts w:eastAsia="Times New Roman"/>
          <w:color w:val="000000" w:themeColor="text1"/>
          <w:lang w:val="en-IE"/>
        </w:rPr>
        <w:t>, while</w:t>
      </w:r>
      <w:r w:rsidR="541FF27E" w:rsidRPr="537C799B">
        <w:rPr>
          <w:rFonts w:eastAsia="Times New Roman"/>
          <w:color w:val="000000" w:themeColor="text1"/>
          <w:lang w:val="en-IE"/>
        </w:rPr>
        <w:t xml:space="preserve"> further </w:t>
      </w:r>
      <w:r w:rsidR="541FF27E" w:rsidRPr="1B5E1BD0">
        <w:rPr>
          <w:rFonts w:eastAsia="Times New Roman"/>
          <w:color w:val="000000" w:themeColor="text1"/>
          <w:lang w:val="en-IE"/>
        </w:rPr>
        <w:t>cement</w:t>
      </w:r>
      <w:r w:rsidR="441DD614" w:rsidRPr="1B5E1BD0">
        <w:rPr>
          <w:rFonts w:eastAsia="Times New Roman"/>
          <w:color w:val="000000" w:themeColor="text1"/>
          <w:lang w:val="en-IE"/>
        </w:rPr>
        <w:t>ing</w:t>
      </w:r>
      <w:r w:rsidR="541FF27E" w:rsidRPr="537C799B">
        <w:rPr>
          <w:rFonts w:eastAsia="Times New Roman"/>
          <w:color w:val="000000" w:themeColor="text1"/>
          <w:lang w:val="en-IE"/>
        </w:rPr>
        <w:t xml:space="preserve"> its reputation </w:t>
      </w:r>
      <w:r w:rsidR="541FF27E" w:rsidRPr="646F34E8">
        <w:rPr>
          <w:rFonts w:eastAsia="Times New Roman"/>
          <w:color w:val="000000" w:themeColor="text1"/>
          <w:lang w:val="en-IE"/>
        </w:rPr>
        <w:t>as a</w:t>
      </w:r>
      <w:r w:rsidR="541FF27E" w:rsidRPr="0AA4EFC2">
        <w:rPr>
          <w:rFonts w:eastAsia="Times New Roman"/>
          <w:color w:val="000000" w:themeColor="text1"/>
          <w:lang w:val="en-IE"/>
        </w:rPr>
        <w:t xml:space="preserve"> regulator</w:t>
      </w:r>
      <w:r w:rsidR="541FF27E" w:rsidRPr="646F34E8">
        <w:rPr>
          <w:rFonts w:eastAsia="Times New Roman"/>
          <w:color w:val="000000" w:themeColor="text1"/>
          <w:lang w:val="en-IE"/>
        </w:rPr>
        <w:t xml:space="preserve"> pioneer</w:t>
      </w:r>
      <w:r w:rsidR="26675BE6" w:rsidRPr="76EA03B4">
        <w:rPr>
          <w:rFonts w:eastAsia="Times New Roman"/>
          <w:color w:val="000000" w:themeColor="text1"/>
          <w:lang w:val="en-IE"/>
        </w:rPr>
        <w:t>.</w:t>
      </w:r>
      <w:r w:rsidR="541FF27E" w:rsidRPr="646F34E8">
        <w:rPr>
          <w:rFonts w:eastAsia="Times New Roman"/>
          <w:color w:val="000000" w:themeColor="text1"/>
          <w:lang w:val="en-IE"/>
        </w:rPr>
        <w:t xml:space="preserve"> </w:t>
      </w:r>
      <w:r w:rsidR="23B5AA00" w:rsidRPr="3A76C65A">
        <w:rPr>
          <w:rFonts w:eastAsia="Times New Roman"/>
          <w:color w:val="000000" w:themeColor="text1"/>
          <w:lang w:val="en-IE"/>
        </w:rPr>
        <w:t>The reform</w:t>
      </w:r>
      <w:r w:rsidR="6E81912F" w:rsidRPr="00D82915">
        <w:rPr>
          <w:rFonts w:eastAsia="Times New Roman"/>
          <w:color w:val="000000" w:themeColor="text1"/>
          <w:lang w:val="en-IE"/>
        </w:rPr>
        <w:t xml:space="preserve"> is also expected to attract more high</w:t>
      </w:r>
      <w:r w:rsidR="00DB4327">
        <w:rPr>
          <w:rFonts w:eastAsia="Times New Roman"/>
          <w:color w:val="000000" w:themeColor="text1"/>
          <w:lang w:val="en-IE"/>
        </w:rPr>
        <w:t>-</w:t>
      </w:r>
      <w:r w:rsidR="6E81912F" w:rsidRPr="00D82915">
        <w:rPr>
          <w:rFonts w:eastAsia="Times New Roman"/>
          <w:color w:val="000000" w:themeColor="text1"/>
          <w:lang w:val="en-IE"/>
        </w:rPr>
        <w:t>risk capital</w:t>
      </w:r>
      <w:r w:rsidR="0749DB05" w:rsidRPr="003C46AE">
        <w:rPr>
          <w:rFonts w:eastAsia="Times New Roman"/>
          <w:color w:val="000000" w:themeColor="text1"/>
          <w:lang w:val="en-IE"/>
        </w:rPr>
        <w:t xml:space="preserve">, </w:t>
      </w:r>
      <w:r w:rsidR="6E81912F" w:rsidRPr="003C46AE">
        <w:rPr>
          <w:rFonts w:eastAsia="Times New Roman"/>
          <w:color w:val="000000" w:themeColor="text1"/>
          <w:lang w:val="en-IE"/>
        </w:rPr>
        <w:t xml:space="preserve">support the growth of more than 580 ATMP companies across over 20 Member States, </w:t>
      </w:r>
      <w:r w:rsidR="11AF030F" w:rsidRPr="003C46AE">
        <w:rPr>
          <w:rFonts w:eastAsia="Times New Roman"/>
          <w:color w:val="000000" w:themeColor="text1"/>
          <w:lang w:val="en-IE"/>
        </w:rPr>
        <w:t>and help</w:t>
      </w:r>
      <w:r w:rsidR="6E81912F" w:rsidRPr="003C46AE">
        <w:rPr>
          <w:rFonts w:eastAsia="Times New Roman"/>
          <w:color w:val="000000" w:themeColor="text1"/>
          <w:lang w:val="en-IE"/>
        </w:rPr>
        <w:t xml:space="preserve"> maintain EU competitiveness. </w:t>
      </w:r>
    </w:p>
    <w:p w14:paraId="15CF2662" w14:textId="69FB1F6B" w:rsidR="00121E2F" w:rsidRPr="008F0463" w:rsidRDefault="2A5FC42E" w:rsidP="00D63DC4">
      <w:pPr>
        <w:spacing w:after="120" w:line="270" w:lineRule="atLeast"/>
        <w:rPr>
          <w:rFonts w:eastAsia="Times New Roman"/>
          <w:color w:val="000000" w:themeColor="text1"/>
          <w:lang w:val="en-IE"/>
        </w:rPr>
      </w:pPr>
      <w:r w:rsidRPr="003C46AE">
        <w:rPr>
          <w:rFonts w:eastAsia="Times New Roman"/>
          <w:b/>
          <w:color w:val="000000" w:themeColor="text1"/>
          <w:lang w:val="en-IE"/>
        </w:rPr>
        <w:t xml:space="preserve">Public </w:t>
      </w:r>
      <w:r w:rsidR="00E01263" w:rsidRPr="003C46AE">
        <w:rPr>
          <w:rFonts w:eastAsia="Times New Roman"/>
          <w:b/>
          <w:color w:val="000000" w:themeColor="text1"/>
          <w:lang w:val="en-IE"/>
        </w:rPr>
        <w:t>h</w:t>
      </w:r>
      <w:r w:rsidRPr="003C46AE">
        <w:rPr>
          <w:rFonts w:eastAsia="Times New Roman"/>
          <w:b/>
          <w:color w:val="000000" w:themeColor="text1"/>
          <w:lang w:val="en-IE"/>
        </w:rPr>
        <w:t xml:space="preserve">ealth </w:t>
      </w:r>
      <w:r w:rsidR="00E01263" w:rsidRPr="003C46AE">
        <w:rPr>
          <w:rFonts w:eastAsia="Times New Roman"/>
          <w:b/>
          <w:color w:val="000000" w:themeColor="text1"/>
          <w:lang w:val="en-IE"/>
        </w:rPr>
        <w:t xml:space="preserve">and safety: </w:t>
      </w:r>
      <w:r w:rsidR="00E01263" w:rsidRPr="003C46AE">
        <w:rPr>
          <w:rFonts w:eastAsia="Times New Roman"/>
          <w:color w:val="000000" w:themeColor="text1"/>
          <w:lang w:val="en-IE"/>
        </w:rPr>
        <w:t>T</w:t>
      </w:r>
      <w:r w:rsidR="6E81912F" w:rsidRPr="003C46AE">
        <w:rPr>
          <w:rFonts w:eastAsia="Times New Roman"/>
          <w:color w:val="000000" w:themeColor="text1"/>
          <w:lang w:val="en-IE"/>
        </w:rPr>
        <w:t xml:space="preserve">he </w:t>
      </w:r>
      <w:r w:rsidR="004A1346" w:rsidRPr="003C46AE">
        <w:rPr>
          <w:rFonts w:eastAsia="Times New Roman"/>
          <w:color w:val="000000" w:themeColor="text1"/>
          <w:lang w:val="en-IE"/>
        </w:rPr>
        <w:t xml:space="preserve">Biotech Act </w:t>
      </w:r>
      <w:r w:rsidR="6E81912F" w:rsidRPr="003C46AE">
        <w:rPr>
          <w:rFonts w:eastAsia="Times New Roman"/>
          <w:color w:val="000000" w:themeColor="text1"/>
          <w:lang w:val="en-IE"/>
        </w:rPr>
        <w:t xml:space="preserve">targets procedural simplification rather than substantive relaxation of safety standards. </w:t>
      </w:r>
      <w:r w:rsidR="00394505" w:rsidRPr="003C46AE">
        <w:rPr>
          <w:rFonts w:eastAsia="Times New Roman"/>
          <w:color w:val="000000" w:themeColor="text1"/>
          <w:lang w:val="en-IE"/>
        </w:rPr>
        <w:t xml:space="preserve">The </w:t>
      </w:r>
      <w:r w:rsidR="6E81912F" w:rsidRPr="003C46AE">
        <w:rPr>
          <w:rFonts w:eastAsia="Times New Roman"/>
          <w:color w:val="000000" w:themeColor="text1"/>
          <w:lang w:val="en-IE"/>
        </w:rPr>
        <w:t xml:space="preserve">ERA exemptions only apply to </w:t>
      </w:r>
      <w:r w:rsidR="002E5440" w:rsidRPr="003C46AE">
        <w:rPr>
          <w:rFonts w:eastAsia="Times New Roman"/>
          <w:noProof/>
          <w:color w:val="000000" w:themeColor="text1"/>
          <w:lang w:val="en-IE"/>
        </w:rPr>
        <w:t>ATM</w:t>
      </w:r>
      <w:r w:rsidR="00E2066C" w:rsidRPr="003C46AE">
        <w:rPr>
          <w:rFonts w:eastAsia="Times New Roman"/>
          <w:noProof/>
          <w:color w:val="000000" w:themeColor="text1"/>
          <w:lang w:val="en-IE"/>
        </w:rPr>
        <w:t>P</w:t>
      </w:r>
      <w:r w:rsidR="6E81912F" w:rsidRPr="003C46AE">
        <w:rPr>
          <w:rFonts w:eastAsia="Times New Roman"/>
          <w:noProof/>
          <w:color w:val="000000" w:themeColor="text1"/>
          <w:lang w:val="en-IE"/>
        </w:rPr>
        <w:t>s</w:t>
      </w:r>
      <w:r w:rsidR="6E81912F" w:rsidRPr="003C46AE">
        <w:rPr>
          <w:rFonts w:eastAsia="Times New Roman"/>
          <w:color w:val="000000" w:themeColor="text1"/>
          <w:lang w:val="en-IE"/>
        </w:rPr>
        <w:t xml:space="preserve"> </w:t>
      </w:r>
      <w:r w:rsidR="00394505" w:rsidRPr="003C46AE">
        <w:rPr>
          <w:rFonts w:eastAsia="Times New Roman"/>
          <w:color w:val="000000" w:themeColor="text1"/>
          <w:lang w:val="en-IE"/>
        </w:rPr>
        <w:t xml:space="preserve">which </w:t>
      </w:r>
      <w:r w:rsidR="6E81912F" w:rsidRPr="003C46AE">
        <w:rPr>
          <w:rFonts w:eastAsia="Times New Roman"/>
          <w:color w:val="000000" w:themeColor="text1"/>
          <w:lang w:val="en-IE"/>
        </w:rPr>
        <w:t>fall into clearly defined categories</w:t>
      </w:r>
      <w:r w:rsidR="6E81912F" w:rsidRPr="00D82915">
        <w:rPr>
          <w:rFonts w:eastAsia="Times New Roman"/>
          <w:color w:val="000000" w:themeColor="text1"/>
          <w:lang w:val="en-IE"/>
        </w:rPr>
        <w:t xml:space="preserve"> with no or negligible risks</w:t>
      </w:r>
      <w:r w:rsidR="007413EA" w:rsidRPr="00D82915">
        <w:rPr>
          <w:rFonts w:eastAsia="Times New Roman"/>
          <w:color w:val="000000" w:themeColor="text1"/>
          <w:lang w:val="en-IE"/>
        </w:rPr>
        <w:t xml:space="preserve">. </w:t>
      </w:r>
      <w:r w:rsidR="007413EA" w:rsidRPr="00D82915">
        <w:rPr>
          <w:rFonts w:eastAsia="Times New Roman"/>
          <w:b/>
          <w:color w:val="000000" w:themeColor="text1"/>
          <w:lang w:val="en-IE"/>
        </w:rPr>
        <w:t>Safety oversight</w:t>
      </w:r>
      <w:r w:rsidR="007413EA" w:rsidRPr="00D82915">
        <w:rPr>
          <w:rFonts w:eastAsia="Times New Roman"/>
          <w:color w:val="000000" w:themeColor="text1"/>
          <w:lang w:val="en-IE"/>
        </w:rPr>
        <w:t xml:space="preserve"> is maintained through the review of sponsor declarations within the clinical trial assessment process, comprehensive risk–benefit evaluation</w:t>
      </w:r>
      <w:r w:rsidR="00F86726" w:rsidRPr="008F0463">
        <w:rPr>
          <w:rFonts w:eastAsia="Times New Roman"/>
          <w:noProof/>
          <w:color w:val="000000" w:themeColor="text1"/>
          <w:lang w:val="en-IE"/>
        </w:rPr>
        <w:t xml:space="preserve"> </w:t>
      </w:r>
      <w:r w:rsidR="007413EA" w:rsidRPr="008F0463">
        <w:rPr>
          <w:rFonts w:eastAsia="Times New Roman"/>
          <w:noProof/>
          <w:color w:val="000000" w:themeColor="text1"/>
          <w:lang w:val="en-IE"/>
        </w:rPr>
        <w:t>and long-term follow-up requirements.</w:t>
      </w:r>
      <w:r w:rsidR="007413EA" w:rsidRPr="008F0463">
        <w:rPr>
          <w:rFonts w:eastAsia="Times New Roman"/>
          <w:color w:val="000000" w:themeColor="text1"/>
          <w:lang w:val="en-IE"/>
        </w:rPr>
        <w:t xml:space="preserve"> </w:t>
      </w:r>
    </w:p>
    <w:p w14:paraId="56E66875" w14:textId="1E5D7C95" w:rsidR="00121E2F" w:rsidRPr="008F0463" w:rsidRDefault="007413EA" w:rsidP="553DD3B7">
      <w:pPr>
        <w:spacing w:after="270" w:line="270" w:lineRule="atLeast"/>
        <w:rPr>
          <w:rFonts w:eastAsia="Times New Roman"/>
          <w:color w:val="000000" w:themeColor="text1"/>
          <w:lang w:val="en-IE"/>
        </w:rPr>
      </w:pPr>
      <w:r w:rsidRPr="008F0463">
        <w:rPr>
          <w:rFonts w:eastAsia="Times New Roman"/>
          <w:color w:val="000000" w:themeColor="text1"/>
          <w:lang w:val="en-IE"/>
        </w:rPr>
        <w:t xml:space="preserve">By reducing unnecessary procedural delays and shortening assessment timelines, the measures are expected to facilitate </w:t>
      </w:r>
      <w:r w:rsidRPr="009F01D2">
        <w:rPr>
          <w:rFonts w:eastAsia="Times New Roman"/>
          <w:b/>
          <w:color w:val="000000" w:themeColor="text1"/>
          <w:lang w:val="en-IE"/>
        </w:rPr>
        <w:t>earlier initiation of</w:t>
      </w:r>
      <w:r w:rsidRPr="008F0463">
        <w:rPr>
          <w:rFonts w:eastAsia="Times New Roman"/>
          <w:color w:val="000000" w:themeColor="text1"/>
          <w:lang w:val="en-IE"/>
        </w:rPr>
        <w:t xml:space="preserve"> </w:t>
      </w:r>
      <w:r w:rsidR="00392326">
        <w:rPr>
          <w:rFonts w:eastAsia="Times New Roman"/>
          <w:b/>
          <w:color w:val="000000" w:themeColor="text1"/>
          <w:lang w:val="en-IE"/>
        </w:rPr>
        <w:t>CTs</w:t>
      </w:r>
      <w:r w:rsidRPr="008F0463">
        <w:rPr>
          <w:rFonts w:eastAsia="Times New Roman"/>
          <w:color w:val="000000" w:themeColor="text1"/>
          <w:lang w:val="en-IE"/>
        </w:rPr>
        <w:t xml:space="preserve"> and potentially earlier </w:t>
      </w:r>
      <w:r w:rsidRPr="008F0463">
        <w:rPr>
          <w:rFonts w:eastAsia="Times New Roman"/>
          <w:b/>
          <w:color w:val="000000" w:themeColor="text1"/>
          <w:lang w:val="en-IE"/>
        </w:rPr>
        <w:t>access</w:t>
      </w:r>
      <w:r w:rsidRPr="008F0463">
        <w:rPr>
          <w:rFonts w:eastAsia="Times New Roman"/>
          <w:color w:val="000000" w:themeColor="text1"/>
          <w:lang w:val="en-IE"/>
        </w:rPr>
        <w:t xml:space="preserve"> for EU patients to safe, effective and often transformative advanced therapies</w:t>
      </w:r>
      <w:r w:rsidR="1F791CD3" w:rsidRPr="643A5A37">
        <w:rPr>
          <w:rFonts w:eastAsia="Times New Roman"/>
          <w:color w:val="000000" w:themeColor="text1"/>
          <w:lang w:val="en-IE"/>
        </w:rPr>
        <w:t>.</w:t>
      </w:r>
      <w:r w:rsidRPr="008F0463">
        <w:rPr>
          <w:rFonts w:eastAsia="Times New Roman"/>
          <w:color w:val="000000" w:themeColor="text1"/>
          <w:lang w:val="en-IE"/>
        </w:rPr>
        <w:t xml:space="preserve"> </w:t>
      </w:r>
    </w:p>
    <w:p w14:paraId="4102DEC8" w14:textId="755977A2" w:rsidR="00121E2F" w:rsidRPr="008F0463" w:rsidRDefault="274FB4F3" w:rsidP="00121E2F">
      <w:pPr>
        <w:spacing w:after="270" w:line="270" w:lineRule="atLeast"/>
        <w:rPr>
          <w:rFonts w:eastAsia="Times New Roman"/>
          <w:color w:val="000000" w:themeColor="text1"/>
          <w:lang w:val="en-IE"/>
        </w:rPr>
      </w:pPr>
      <w:r w:rsidRPr="553DD3B7">
        <w:rPr>
          <w:rFonts w:eastAsia="Times New Roman"/>
          <w:color w:val="000000" w:themeColor="text1"/>
          <w:lang w:val="en-IE"/>
        </w:rPr>
        <w:t>Furthermore</w:t>
      </w:r>
      <w:r w:rsidR="007413EA" w:rsidRPr="008F0463">
        <w:rPr>
          <w:rFonts w:eastAsia="Times New Roman"/>
          <w:color w:val="000000" w:themeColor="text1"/>
          <w:lang w:val="en-IE"/>
        </w:rPr>
        <w:t xml:space="preserve">, the ability to adapt ATMP definitions to scientific progress helps reduce the risk of regulatory blind spots for </w:t>
      </w:r>
      <w:r w:rsidR="007413EA" w:rsidRPr="008F0463">
        <w:rPr>
          <w:rFonts w:eastAsia="Times New Roman"/>
          <w:b/>
          <w:color w:val="000000" w:themeColor="text1"/>
          <w:lang w:val="en-IE"/>
        </w:rPr>
        <w:t>emerging technologies</w:t>
      </w:r>
      <w:r w:rsidR="007413EA" w:rsidRPr="008F0463">
        <w:rPr>
          <w:rFonts w:eastAsia="Times New Roman"/>
          <w:color w:val="000000" w:themeColor="text1"/>
          <w:lang w:val="en-IE"/>
        </w:rPr>
        <w:t xml:space="preserve">, ensuring that innovative therapies remain subject to </w:t>
      </w:r>
      <w:r w:rsidR="00171625">
        <w:rPr>
          <w:rFonts w:eastAsia="Times New Roman"/>
          <w:color w:val="000000" w:themeColor="text1"/>
          <w:lang w:val="en-IE"/>
        </w:rPr>
        <w:t xml:space="preserve">the most </w:t>
      </w:r>
      <w:r w:rsidR="007413EA" w:rsidRPr="008F0463">
        <w:rPr>
          <w:rFonts w:eastAsia="Times New Roman"/>
          <w:color w:val="000000" w:themeColor="text1"/>
          <w:lang w:val="en-IE"/>
        </w:rPr>
        <w:t xml:space="preserve">appropriate regulatory oversight. </w:t>
      </w:r>
    </w:p>
    <w:p w14:paraId="2E86834A" w14:textId="2BE18E35" w:rsidR="1421312D" w:rsidRPr="00392326" w:rsidRDefault="007B5CF8" w:rsidP="00392326">
      <w:pPr>
        <w:rPr>
          <w:b/>
          <w:bCs/>
          <w:caps/>
        </w:rPr>
      </w:pPr>
      <w:r w:rsidRPr="00392326">
        <w:rPr>
          <w:b/>
          <w:bCs/>
        </w:rPr>
        <w:t xml:space="preserve">Table </w:t>
      </w:r>
      <w:r w:rsidR="0025340A" w:rsidRPr="00392326">
        <w:rPr>
          <w:b/>
          <w:bCs/>
          <w:caps/>
        </w:rPr>
        <w:t>3</w:t>
      </w:r>
      <w:r w:rsidRPr="00392326">
        <w:rPr>
          <w:b/>
          <w:bCs/>
        </w:rPr>
        <w:t xml:space="preserve">. Summary assessment of the effects due to the </w:t>
      </w:r>
      <w:r w:rsidR="00144998" w:rsidRPr="00392326">
        <w:rPr>
          <w:b/>
          <w:bCs/>
        </w:rPr>
        <w:t>intervention n</w:t>
      </w:r>
      <w:r w:rsidRPr="00392326">
        <w:rPr>
          <w:b/>
          <w:bCs/>
        </w:rPr>
        <w:t>°3</w:t>
      </w:r>
    </w:p>
    <w:tbl>
      <w:tblPr>
        <w:tblStyle w:val="TableGrid"/>
        <w:tblW w:w="8560" w:type="dxa"/>
        <w:tblLook w:val="04A0" w:firstRow="1" w:lastRow="0" w:firstColumn="1" w:lastColumn="0" w:noHBand="0" w:noVBand="1"/>
      </w:tblPr>
      <w:tblGrid>
        <w:gridCol w:w="2041"/>
        <w:gridCol w:w="907"/>
        <w:gridCol w:w="907"/>
        <w:gridCol w:w="907"/>
        <w:gridCol w:w="1077"/>
        <w:gridCol w:w="907"/>
        <w:gridCol w:w="907"/>
        <w:gridCol w:w="907"/>
      </w:tblGrid>
      <w:tr w:rsidR="00960776" w14:paraId="03BD838D" w14:textId="77777777" w:rsidTr="00960776">
        <w:tc>
          <w:tcPr>
            <w:tcW w:w="2041" w:type="dxa"/>
          </w:tcPr>
          <w:p w14:paraId="6A993346" w14:textId="68D3AB24" w:rsidR="262CCF8D" w:rsidRPr="00392326" w:rsidRDefault="262CCF8D" w:rsidP="004F48D9">
            <w:pPr>
              <w:spacing w:after="270" w:line="270" w:lineRule="atLeast"/>
              <w:rPr>
                <w:b/>
                <w:caps/>
                <w:sz w:val="20"/>
                <w:szCs w:val="20"/>
              </w:rPr>
            </w:pPr>
            <w:r w:rsidRPr="00392326">
              <w:rPr>
                <w:b/>
                <w:caps/>
                <w:sz w:val="20"/>
                <w:szCs w:val="20"/>
              </w:rPr>
              <w:t>P</w:t>
            </w:r>
            <w:r w:rsidR="00272EA2" w:rsidRPr="003757AF">
              <w:rPr>
                <w:b/>
                <w:sz w:val="20"/>
                <w:szCs w:val="20"/>
              </w:rPr>
              <w:t>olicy measure</w:t>
            </w:r>
          </w:p>
        </w:tc>
        <w:tc>
          <w:tcPr>
            <w:tcW w:w="907" w:type="dxa"/>
          </w:tcPr>
          <w:p w14:paraId="54239BE2" w14:textId="05366189" w:rsidR="262CCF8D" w:rsidRPr="00392326" w:rsidRDefault="262CCF8D" w:rsidP="004F48D9">
            <w:pPr>
              <w:spacing w:after="270" w:line="270" w:lineRule="atLeast"/>
              <w:rPr>
                <w:b/>
                <w:caps/>
                <w:sz w:val="20"/>
                <w:szCs w:val="20"/>
              </w:rPr>
            </w:pPr>
            <w:r w:rsidRPr="00392326">
              <w:rPr>
                <w:b/>
                <w:caps/>
                <w:sz w:val="20"/>
                <w:szCs w:val="20"/>
              </w:rPr>
              <w:t>COB</w:t>
            </w:r>
          </w:p>
        </w:tc>
        <w:tc>
          <w:tcPr>
            <w:tcW w:w="907" w:type="dxa"/>
          </w:tcPr>
          <w:p w14:paraId="6D1100B8" w14:textId="5C6F9B2F" w:rsidR="262CCF8D" w:rsidRPr="00392326" w:rsidRDefault="00DC6CE3" w:rsidP="004F48D9">
            <w:pPr>
              <w:spacing w:after="270" w:line="270" w:lineRule="atLeast"/>
              <w:rPr>
                <w:b/>
                <w:caps/>
                <w:sz w:val="20"/>
                <w:szCs w:val="20"/>
              </w:rPr>
            </w:pPr>
            <w:r w:rsidRPr="003757AF">
              <w:rPr>
                <w:b/>
                <w:sz w:val="20"/>
                <w:szCs w:val="20"/>
              </w:rPr>
              <w:t>Admin</w:t>
            </w:r>
          </w:p>
        </w:tc>
        <w:tc>
          <w:tcPr>
            <w:tcW w:w="907" w:type="dxa"/>
          </w:tcPr>
          <w:p w14:paraId="13EDEA1F" w14:textId="682458FE" w:rsidR="262CCF8D" w:rsidRPr="00392326" w:rsidRDefault="262CCF8D" w:rsidP="004F48D9">
            <w:pPr>
              <w:spacing w:after="270" w:line="270" w:lineRule="atLeast"/>
              <w:rPr>
                <w:b/>
                <w:caps/>
                <w:sz w:val="20"/>
                <w:szCs w:val="20"/>
              </w:rPr>
            </w:pPr>
            <w:r w:rsidRPr="00392326">
              <w:rPr>
                <w:b/>
                <w:caps/>
                <w:sz w:val="20"/>
                <w:szCs w:val="20"/>
              </w:rPr>
              <w:t>CTI</w:t>
            </w:r>
          </w:p>
        </w:tc>
        <w:tc>
          <w:tcPr>
            <w:tcW w:w="1077" w:type="dxa"/>
          </w:tcPr>
          <w:p w14:paraId="15CA7193" w14:textId="591DF7B9" w:rsidR="262CCF8D" w:rsidRPr="00392326" w:rsidRDefault="00DC6CE3" w:rsidP="004F48D9">
            <w:pPr>
              <w:spacing w:after="270" w:line="270" w:lineRule="atLeast"/>
              <w:rPr>
                <w:b/>
                <w:caps/>
                <w:sz w:val="20"/>
                <w:szCs w:val="20"/>
              </w:rPr>
            </w:pPr>
            <w:r w:rsidRPr="003757AF">
              <w:rPr>
                <w:b/>
                <w:sz w:val="20"/>
                <w:szCs w:val="20"/>
              </w:rPr>
              <w:t>Int mar</w:t>
            </w:r>
          </w:p>
        </w:tc>
        <w:tc>
          <w:tcPr>
            <w:tcW w:w="907" w:type="dxa"/>
          </w:tcPr>
          <w:p w14:paraId="0547694D" w14:textId="148F83F6" w:rsidR="262CCF8D" w:rsidRPr="00392326" w:rsidRDefault="262CCF8D" w:rsidP="004F48D9">
            <w:pPr>
              <w:spacing w:after="270" w:line="270" w:lineRule="atLeast"/>
              <w:rPr>
                <w:b/>
                <w:caps/>
                <w:sz w:val="20"/>
                <w:szCs w:val="20"/>
              </w:rPr>
            </w:pPr>
            <w:r w:rsidRPr="00392326">
              <w:rPr>
                <w:b/>
                <w:caps/>
                <w:sz w:val="20"/>
                <w:szCs w:val="20"/>
              </w:rPr>
              <w:t>I</w:t>
            </w:r>
            <w:r w:rsidRPr="00392326">
              <w:rPr>
                <w:b/>
                <w:caps/>
                <w:sz w:val="20"/>
                <w:szCs w:val="20"/>
                <w:lang w:val="en-US"/>
              </w:rPr>
              <w:t>&amp;R</w:t>
            </w:r>
          </w:p>
        </w:tc>
        <w:tc>
          <w:tcPr>
            <w:tcW w:w="907" w:type="dxa"/>
          </w:tcPr>
          <w:p w14:paraId="47E90462" w14:textId="0B73D27F" w:rsidR="262CCF8D" w:rsidRPr="00392326" w:rsidRDefault="262CCF8D" w:rsidP="004F48D9">
            <w:pPr>
              <w:spacing w:after="270" w:line="270" w:lineRule="atLeast"/>
              <w:rPr>
                <w:b/>
                <w:caps/>
                <w:sz w:val="20"/>
                <w:szCs w:val="20"/>
              </w:rPr>
            </w:pPr>
            <w:r w:rsidRPr="00392326">
              <w:rPr>
                <w:b/>
                <w:caps/>
                <w:sz w:val="20"/>
                <w:szCs w:val="20"/>
              </w:rPr>
              <w:t>PA</w:t>
            </w:r>
          </w:p>
        </w:tc>
        <w:tc>
          <w:tcPr>
            <w:tcW w:w="907" w:type="dxa"/>
          </w:tcPr>
          <w:p w14:paraId="1A7593CB" w14:textId="3984C1D8" w:rsidR="262CCF8D" w:rsidRPr="00392326" w:rsidRDefault="262CCF8D" w:rsidP="004F48D9">
            <w:pPr>
              <w:spacing w:after="270" w:line="270" w:lineRule="atLeast"/>
              <w:rPr>
                <w:b/>
                <w:caps/>
                <w:sz w:val="20"/>
                <w:szCs w:val="20"/>
              </w:rPr>
            </w:pPr>
            <w:r w:rsidRPr="00392326">
              <w:rPr>
                <w:b/>
                <w:caps/>
                <w:sz w:val="20"/>
                <w:szCs w:val="20"/>
              </w:rPr>
              <w:t>H&amp;S</w:t>
            </w:r>
          </w:p>
        </w:tc>
      </w:tr>
      <w:tr w:rsidR="00960776" w14:paraId="1BE2A379" w14:textId="77777777" w:rsidTr="00960776">
        <w:tc>
          <w:tcPr>
            <w:tcW w:w="2041" w:type="dxa"/>
          </w:tcPr>
          <w:p w14:paraId="63360B83" w14:textId="22843395" w:rsidR="262CCF8D" w:rsidRPr="00392326" w:rsidRDefault="1CACE192" w:rsidP="004F48D9">
            <w:pPr>
              <w:spacing w:after="270" w:line="270" w:lineRule="atLeast"/>
              <w:rPr>
                <w:b/>
                <w:sz w:val="20"/>
                <w:szCs w:val="20"/>
              </w:rPr>
            </w:pPr>
            <w:r w:rsidRPr="00392326">
              <w:rPr>
                <w:b/>
                <w:sz w:val="20"/>
                <w:szCs w:val="20"/>
              </w:rPr>
              <w:t>1</w:t>
            </w:r>
            <w:r w:rsidR="00876704" w:rsidRPr="00392326">
              <w:rPr>
                <w:b/>
                <w:sz w:val="20"/>
                <w:szCs w:val="20"/>
              </w:rPr>
              <w:t>.</w:t>
            </w:r>
            <w:r w:rsidR="009C1088" w:rsidRPr="00392326">
              <w:rPr>
                <w:b/>
                <w:sz w:val="20"/>
                <w:szCs w:val="20"/>
              </w:rPr>
              <w:t xml:space="preserve"> targeted ERA exemption</w:t>
            </w:r>
          </w:p>
        </w:tc>
        <w:tc>
          <w:tcPr>
            <w:tcW w:w="907" w:type="dxa"/>
          </w:tcPr>
          <w:p w14:paraId="3EB7E09B" w14:textId="6874877C" w:rsidR="262CCF8D" w:rsidRPr="00392326" w:rsidRDefault="262CCF8D" w:rsidP="004F48D9">
            <w:pPr>
              <w:spacing w:after="270" w:line="270" w:lineRule="atLeast"/>
              <w:rPr>
                <w:sz w:val="20"/>
                <w:szCs w:val="20"/>
              </w:rPr>
            </w:pPr>
            <w:r w:rsidRPr="00392326">
              <w:rPr>
                <w:sz w:val="20"/>
                <w:szCs w:val="20"/>
              </w:rPr>
              <w:t>+</w:t>
            </w:r>
          </w:p>
        </w:tc>
        <w:tc>
          <w:tcPr>
            <w:tcW w:w="907" w:type="dxa"/>
          </w:tcPr>
          <w:p w14:paraId="6CEF51A4" w14:textId="03B6A9B2" w:rsidR="262CCF8D" w:rsidRPr="00392326" w:rsidRDefault="262CCF8D" w:rsidP="004F48D9">
            <w:pPr>
              <w:spacing w:after="270" w:line="270" w:lineRule="atLeast"/>
              <w:rPr>
                <w:sz w:val="20"/>
                <w:szCs w:val="20"/>
              </w:rPr>
            </w:pPr>
            <w:r w:rsidRPr="00392326">
              <w:rPr>
                <w:sz w:val="20"/>
                <w:szCs w:val="20"/>
              </w:rPr>
              <w:t>0</w:t>
            </w:r>
          </w:p>
        </w:tc>
        <w:tc>
          <w:tcPr>
            <w:tcW w:w="907" w:type="dxa"/>
          </w:tcPr>
          <w:p w14:paraId="02B27EB5" w14:textId="37EE461C" w:rsidR="262CCF8D" w:rsidRPr="00392326" w:rsidRDefault="262CCF8D" w:rsidP="004F48D9">
            <w:pPr>
              <w:spacing w:after="270" w:line="270" w:lineRule="atLeast"/>
              <w:rPr>
                <w:sz w:val="20"/>
                <w:szCs w:val="20"/>
              </w:rPr>
            </w:pPr>
            <w:r w:rsidRPr="00392326">
              <w:rPr>
                <w:sz w:val="20"/>
                <w:szCs w:val="20"/>
              </w:rPr>
              <w:t>+</w:t>
            </w:r>
          </w:p>
        </w:tc>
        <w:tc>
          <w:tcPr>
            <w:tcW w:w="1077" w:type="dxa"/>
          </w:tcPr>
          <w:p w14:paraId="3A7AD7F6" w14:textId="3386793C" w:rsidR="262CCF8D" w:rsidRPr="00392326" w:rsidRDefault="262CCF8D" w:rsidP="004F48D9">
            <w:pPr>
              <w:spacing w:after="270" w:line="270" w:lineRule="atLeast"/>
              <w:rPr>
                <w:sz w:val="20"/>
                <w:szCs w:val="20"/>
              </w:rPr>
            </w:pPr>
            <w:r w:rsidRPr="00392326">
              <w:rPr>
                <w:sz w:val="20"/>
                <w:szCs w:val="20"/>
              </w:rPr>
              <w:t>+</w:t>
            </w:r>
          </w:p>
        </w:tc>
        <w:tc>
          <w:tcPr>
            <w:tcW w:w="907" w:type="dxa"/>
          </w:tcPr>
          <w:p w14:paraId="58501695" w14:textId="3E5F270C" w:rsidR="262CCF8D" w:rsidRPr="00392326" w:rsidRDefault="262CCF8D" w:rsidP="004F48D9">
            <w:pPr>
              <w:spacing w:after="270" w:line="270" w:lineRule="atLeast"/>
              <w:rPr>
                <w:sz w:val="20"/>
                <w:szCs w:val="20"/>
              </w:rPr>
            </w:pPr>
            <w:r w:rsidRPr="00392326">
              <w:rPr>
                <w:sz w:val="20"/>
                <w:szCs w:val="20"/>
              </w:rPr>
              <w:t>+</w:t>
            </w:r>
          </w:p>
        </w:tc>
        <w:tc>
          <w:tcPr>
            <w:tcW w:w="907" w:type="dxa"/>
          </w:tcPr>
          <w:p w14:paraId="3BB7CCC6" w14:textId="03812BA9" w:rsidR="262CCF8D" w:rsidRPr="00392326" w:rsidRDefault="003968CD" w:rsidP="004F48D9">
            <w:pPr>
              <w:spacing w:after="270" w:line="270" w:lineRule="atLeast"/>
              <w:rPr>
                <w:sz w:val="20"/>
                <w:szCs w:val="20"/>
              </w:rPr>
            </w:pPr>
            <w:r>
              <w:rPr>
                <w:sz w:val="20"/>
                <w:szCs w:val="20"/>
              </w:rPr>
              <w:t>0</w:t>
            </w:r>
          </w:p>
        </w:tc>
        <w:tc>
          <w:tcPr>
            <w:tcW w:w="907" w:type="dxa"/>
          </w:tcPr>
          <w:p w14:paraId="79C81453" w14:textId="61124913" w:rsidR="262CCF8D" w:rsidRPr="00392326" w:rsidRDefault="262CCF8D" w:rsidP="004F48D9">
            <w:pPr>
              <w:spacing w:after="270" w:line="270" w:lineRule="atLeast"/>
              <w:rPr>
                <w:sz w:val="20"/>
                <w:szCs w:val="20"/>
              </w:rPr>
            </w:pPr>
            <w:r w:rsidRPr="00392326">
              <w:rPr>
                <w:sz w:val="20"/>
                <w:szCs w:val="20"/>
              </w:rPr>
              <w:t>0</w:t>
            </w:r>
          </w:p>
        </w:tc>
      </w:tr>
      <w:tr w:rsidR="00960776" w14:paraId="7A148F7B" w14:textId="77777777" w:rsidTr="00960776">
        <w:tc>
          <w:tcPr>
            <w:tcW w:w="2041" w:type="dxa"/>
          </w:tcPr>
          <w:p w14:paraId="777A035F" w14:textId="345890F2" w:rsidR="262CCF8D" w:rsidRPr="00392326" w:rsidRDefault="5A8E7D9E" w:rsidP="004F48D9">
            <w:pPr>
              <w:spacing w:after="270" w:line="270" w:lineRule="atLeast"/>
              <w:rPr>
                <w:b/>
                <w:sz w:val="20"/>
                <w:szCs w:val="20"/>
              </w:rPr>
            </w:pPr>
            <w:r w:rsidRPr="00392326">
              <w:rPr>
                <w:b/>
                <w:sz w:val="20"/>
                <w:szCs w:val="20"/>
              </w:rPr>
              <w:t>2</w:t>
            </w:r>
            <w:r w:rsidR="00876704" w:rsidRPr="00392326">
              <w:rPr>
                <w:b/>
                <w:sz w:val="20"/>
                <w:szCs w:val="20"/>
              </w:rPr>
              <w:t>.</w:t>
            </w:r>
            <w:r w:rsidR="009C1088" w:rsidRPr="00392326">
              <w:rPr>
                <w:b/>
                <w:sz w:val="20"/>
                <w:szCs w:val="20"/>
              </w:rPr>
              <w:t xml:space="preserve"> revised definition</w:t>
            </w:r>
          </w:p>
        </w:tc>
        <w:tc>
          <w:tcPr>
            <w:tcW w:w="907" w:type="dxa"/>
          </w:tcPr>
          <w:p w14:paraId="4E806916" w14:textId="086F1957" w:rsidR="262CCF8D" w:rsidRPr="00392326" w:rsidRDefault="262CCF8D" w:rsidP="004F48D9">
            <w:pPr>
              <w:spacing w:after="270" w:line="270" w:lineRule="atLeast"/>
              <w:rPr>
                <w:sz w:val="20"/>
                <w:szCs w:val="20"/>
              </w:rPr>
            </w:pPr>
            <w:r w:rsidRPr="00392326">
              <w:rPr>
                <w:sz w:val="20"/>
                <w:szCs w:val="20"/>
              </w:rPr>
              <w:t>+</w:t>
            </w:r>
          </w:p>
        </w:tc>
        <w:tc>
          <w:tcPr>
            <w:tcW w:w="907" w:type="dxa"/>
          </w:tcPr>
          <w:p w14:paraId="1C99AA99" w14:textId="0C875DED" w:rsidR="262CCF8D" w:rsidRPr="00392326" w:rsidRDefault="262CCF8D" w:rsidP="004F48D9">
            <w:pPr>
              <w:spacing w:after="270" w:line="270" w:lineRule="atLeast"/>
              <w:rPr>
                <w:sz w:val="20"/>
                <w:szCs w:val="20"/>
              </w:rPr>
            </w:pPr>
            <w:r w:rsidRPr="00392326">
              <w:rPr>
                <w:sz w:val="20"/>
                <w:szCs w:val="20"/>
              </w:rPr>
              <w:t>+</w:t>
            </w:r>
          </w:p>
        </w:tc>
        <w:tc>
          <w:tcPr>
            <w:tcW w:w="907" w:type="dxa"/>
          </w:tcPr>
          <w:p w14:paraId="6BB66948" w14:textId="62462563" w:rsidR="262CCF8D" w:rsidRPr="00392326" w:rsidRDefault="262CCF8D" w:rsidP="004F48D9">
            <w:pPr>
              <w:spacing w:after="270" w:line="270" w:lineRule="atLeast"/>
              <w:rPr>
                <w:sz w:val="20"/>
                <w:szCs w:val="20"/>
              </w:rPr>
            </w:pPr>
            <w:r w:rsidRPr="00392326">
              <w:rPr>
                <w:sz w:val="20"/>
                <w:szCs w:val="20"/>
              </w:rPr>
              <w:t>+</w:t>
            </w:r>
          </w:p>
        </w:tc>
        <w:tc>
          <w:tcPr>
            <w:tcW w:w="1077" w:type="dxa"/>
          </w:tcPr>
          <w:p w14:paraId="427D7DD7" w14:textId="0B4FE321" w:rsidR="262CCF8D" w:rsidRPr="00392326" w:rsidRDefault="262CCF8D" w:rsidP="004F48D9">
            <w:pPr>
              <w:spacing w:after="270" w:line="270" w:lineRule="atLeast"/>
              <w:rPr>
                <w:sz w:val="20"/>
                <w:szCs w:val="20"/>
              </w:rPr>
            </w:pPr>
            <w:r w:rsidRPr="00392326">
              <w:rPr>
                <w:sz w:val="20"/>
                <w:szCs w:val="20"/>
              </w:rPr>
              <w:t>+</w:t>
            </w:r>
          </w:p>
        </w:tc>
        <w:tc>
          <w:tcPr>
            <w:tcW w:w="907" w:type="dxa"/>
          </w:tcPr>
          <w:p w14:paraId="13813112" w14:textId="6AB78922" w:rsidR="262CCF8D" w:rsidRPr="00392326" w:rsidRDefault="262CCF8D" w:rsidP="004F48D9">
            <w:pPr>
              <w:spacing w:after="270" w:line="270" w:lineRule="atLeast"/>
              <w:rPr>
                <w:sz w:val="20"/>
                <w:szCs w:val="20"/>
              </w:rPr>
            </w:pPr>
            <w:r w:rsidRPr="00392326">
              <w:rPr>
                <w:sz w:val="20"/>
                <w:szCs w:val="20"/>
              </w:rPr>
              <w:t>+</w:t>
            </w:r>
          </w:p>
        </w:tc>
        <w:tc>
          <w:tcPr>
            <w:tcW w:w="907" w:type="dxa"/>
          </w:tcPr>
          <w:p w14:paraId="4B5C39D0" w14:textId="0D74A978" w:rsidR="262CCF8D" w:rsidRPr="00392326" w:rsidRDefault="003968CD" w:rsidP="004F48D9">
            <w:pPr>
              <w:spacing w:after="270" w:line="270" w:lineRule="atLeast"/>
              <w:rPr>
                <w:sz w:val="20"/>
                <w:szCs w:val="20"/>
              </w:rPr>
            </w:pPr>
            <w:r>
              <w:rPr>
                <w:sz w:val="20"/>
                <w:szCs w:val="20"/>
              </w:rPr>
              <w:t>0</w:t>
            </w:r>
          </w:p>
        </w:tc>
        <w:tc>
          <w:tcPr>
            <w:tcW w:w="907" w:type="dxa"/>
          </w:tcPr>
          <w:p w14:paraId="7CD50D01" w14:textId="6F4CE891" w:rsidR="262CCF8D" w:rsidRPr="00392326" w:rsidRDefault="262CCF8D" w:rsidP="004F48D9">
            <w:pPr>
              <w:spacing w:after="270" w:line="270" w:lineRule="atLeast"/>
              <w:rPr>
                <w:sz w:val="20"/>
                <w:szCs w:val="20"/>
              </w:rPr>
            </w:pPr>
            <w:r w:rsidRPr="00392326">
              <w:rPr>
                <w:sz w:val="20"/>
                <w:szCs w:val="20"/>
              </w:rPr>
              <w:t>0</w:t>
            </w:r>
          </w:p>
        </w:tc>
      </w:tr>
    </w:tbl>
    <w:p w14:paraId="4A46B9D7" w14:textId="309F8786" w:rsidR="46EE2B12" w:rsidRDefault="46EE2B12"/>
    <w:p w14:paraId="67F7B3BE" w14:textId="36D147A6" w:rsidR="000F3479" w:rsidRPr="00DD0CE5" w:rsidRDefault="000F3479" w:rsidP="00C34F68">
      <w:pPr>
        <w:pStyle w:val="Heading3"/>
      </w:pPr>
      <w:bookmarkStart w:id="189" w:name="_Toc224747222"/>
      <w:bookmarkStart w:id="190" w:name="_Toc224749692"/>
      <w:bookmarkStart w:id="191" w:name="_Toc225974570"/>
      <w:bookmarkStart w:id="192" w:name="_Toc225975243"/>
      <w:bookmarkStart w:id="193" w:name="_Toc225975300"/>
      <w:r w:rsidRPr="00DD0CE5">
        <w:t xml:space="preserve">Intervention n°4: </w:t>
      </w:r>
      <w:r w:rsidR="00CE61E7">
        <w:t>T</w:t>
      </w:r>
      <w:r w:rsidRPr="00DD0CE5">
        <w:t>argeted regulatory reform of clinical trials</w:t>
      </w:r>
      <w:r w:rsidRPr="00DD0CE5">
        <w:rPr>
          <w:vertAlign w:val="superscript"/>
        </w:rPr>
        <w:footnoteReference w:id="175"/>
      </w:r>
      <w:bookmarkEnd w:id="189"/>
      <w:bookmarkEnd w:id="190"/>
      <w:bookmarkEnd w:id="191"/>
      <w:bookmarkEnd w:id="192"/>
      <w:bookmarkEnd w:id="193"/>
      <w:r w:rsidRPr="00DD0CE5">
        <w:rPr>
          <w:vertAlign w:val="superscript"/>
        </w:rPr>
        <w:t xml:space="preserve"> </w:t>
      </w:r>
    </w:p>
    <w:p w14:paraId="592BAE0D" w14:textId="07FA6C80" w:rsidR="005E0D68" w:rsidRPr="00DD0CE5" w:rsidRDefault="005E0D68" w:rsidP="005E0D68">
      <w:r w:rsidRPr="00DD0CE5">
        <w:t xml:space="preserve">The amendments to the CTR aim to shorten authorisation timelines, strengthen collaboration </w:t>
      </w:r>
      <w:r w:rsidR="00544B0C">
        <w:t>between</w:t>
      </w:r>
      <w:r w:rsidR="00544B0C" w:rsidRPr="00DD0CE5">
        <w:t xml:space="preserve"> </w:t>
      </w:r>
      <w:r w:rsidRPr="00DD0CE5">
        <w:t>Member States, and enhance regulatory efficiency without compromising safety, quality, or ethical standards.</w:t>
      </w:r>
    </w:p>
    <w:p w14:paraId="7BC0FD77" w14:textId="17803E35" w:rsidR="005E0D68" w:rsidRPr="001253EC" w:rsidRDefault="005E0D68" w:rsidP="005E0D68">
      <w:r w:rsidRPr="001253EC">
        <w:t>The proposed amendments</w:t>
      </w:r>
      <w:r w:rsidR="00ED45EA">
        <w:t xml:space="preserve"> </w:t>
      </w:r>
      <w:r w:rsidRPr="001253EC">
        <w:t>articulate</w:t>
      </w:r>
      <w:r w:rsidR="00ED45EA">
        <w:t xml:space="preserve"> </w:t>
      </w:r>
      <w:r w:rsidRPr="001253EC">
        <w:t>around five pillars</w:t>
      </w:r>
      <w:r w:rsidR="00537F49" w:rsidRPr="001253EC">
        <w:t>:</w:t>
      </w:r>
    </w:p>
    <w:p w14:paraId="35C8A8C8" w14:textId="3B3B2AD5" w:rsidR="005E0D68" w:rsidRPr="001253EC" w:rsidRDefault="005E0D68" w:rsidP="00430713">
      <w:pPr>
        <w:pStyle w:val="Text2"/>
        <w:numPr>
          <w:ilvl w:val="0"/>
          <w:numId w:val="7"/>
        </w:numPr>
        <w:rPr>
          <w:b/>
          <w:bCs/>
          <w:noProof/>
          <w:color w:val="000000" w:themeColor="text1"/>
        </w:rPr>
      </w:pPr>
      <w:r w:rsidRPr="001253EC">
        <w:rPr>
          <w:b/>
          <w:bCs/>
          <w:noProof/>
          <w:color w:val="000000" w:themeColor="text1"/>
        </w:rPr>
        <w:t>Faster authorisation procedures</w:t>
      </w:r>
    </w:p>
    <w:p w14:paraId="07633A5F" w14:textId="45BB47F1" w:rsidR="005E0D68" w:rsidRPr="001253EC" w:rsidRDefault="005E0D68" w:rsidP="001253EC">
      <w:pPr>
        <w:pBdr>
          <w:top w:val="nil"/>
          <w:left w:val="nil"/>
          <w:bottom w:val="nil"/>
          <w:right w:val="nil"/>
          <w:between w:val="nil"/>
        </w:pBdr>
        <w:rPr>
          <w:rFonts w:eastAsia="Times New Roman"/>
          <w:noProof/>
          <w:color w:val="000000" w:themeColor="text1"/>
        </w:rPr>
      </w:pPr>
      <w:r w:rsidRPr="001253EC">
        <w:rPr>
          <w:rFonts w:eastAsia="Times New Roman"/>
          <w:noProof/>
          <w:color w:val="000000" w:themeColor="text1"/>
        </w:rPr>
        <w:t>Authorisation timelines for initial clinical trial applications are reduced from 106 to 75 days</w:t>
      </w:r>
      <w:r w:rsidR="00370037">
        <w:rPr>
          <w:rFonts w:eastAsia="Times New Roman"/>
          <w:noProof/>
          <w:color w:val="000000" w:themeColor="text1"/>
        </w:rPr>
        <w:t>,</w:t>
      </w:r>
      <w:r w:rsidRPr="001253EC">
        <w:rPr>
          <w:rFonts w:eastAsia="Times New Roman"/>
          <w:noProof/>
          <w:color w:val="000000" w:themeColor="text1"/>
        </w:rPr>
        <w:t xml:space="preserve"> or from 75 to 47 days</w:t>
      </w:r>
      <w:r w:rsidR="003B1B51">
        <w:rPr>
          <w:rFonts w:eastAsia="Times New Roman"/>
          <w:noProof/>
          <w:color w:val="000000" w:themeColor="text1"/>
        </w:rPr>
        <w:t>,</w:t>
      </w:r>
      <w:r w:rsidRPr="001253EC">
        <w:rPr>
          <w:rFonts w:eastAsia="Times New Roman"/>
          <w:noProof/>
          <w:color w:val="000000" w:themeColor="text1"/>
        </w:rPr>
        <w:t xml:space="preserve"> where no additional information is requested from the sponsor. For substantial modifications</w:t>
      </w:r>
      <w:r w:rsidRPr="004F48D9">
        <w:rPr>
          <w:rFonts w:eastAsia="Times New Roman"/>
          <w:color w:val="000000" w:themeColor="text1"/>
          <w:vertAlign w:val="superscript"/>
        </w:rPr>
        <w:footnoteReference w:id="176"/>
      </w:r>
      <w:r w:rsidRPr="001253EC">
        <w:rPr>
          <w:rFonts w:eastAsia="Times New Roman"/>
          <w:noProof/>
          <w:color w:val="000000" w:themeColor="text1"/>
        </w:rPr>
        <w:t>, timelines are reduced from 96 to 47 days or from 64 to 3</w:t>
      </w:r>
      <w:r w:rsidR="00F01EB3">
        <w:rPr>
          <w:rFonts w:eastAsia="Times New Roman"/>
          <w:noProof/>
          <w:color w:val="000000" w:themeColor="text1"/>
        </w:rPr>
        <w:t>3</w:t>
      </w:r>
      <w:r w:rsidRPr="001253EC">
        <w:rPr>
          <w:rFonts w:eastAsia="Times New Roman"/>
          <w:noProof/>
          <w:color w:val="000000" w:themeColor="text1"/>
        </w:rPr>
        <w:t xml:space="preserve"> days w</w:t>
      </w:r>
      <w:r w:rsidR="31284624" w:rsidRPr="001253EC">
        <w:rPr>
          <w:rFonts w:eastAsia="Times New Roman"/>
          <w:noProof/>
          <w:color w:val="000000" w:themeColor="text1"/>
        </w:rPr>
        <w:t>here there is no</w:t>
      </w:r>
      <w:r w:rsidRPr="001253EC">
        <w:rPr>
          <w:rFonts w:eastAsia="Times New Roman"/>
          <w:noProof/>
          <w:color w:val="000000" w:themeColor="text1"/>
        </w:rPr>
        <w:t xml:space="preserve"> additional request for information. The additional 50-day assessment period for ATMPs is removed.</w:t>
      </w:r>
    </w:p>
    <w:p w14:paraId="04C2F51B" w14:textId="4E7546B7" w:rsidR="005E0D68" w:rsidRPr="001253EC" w:rsidRDefault="005E0D68" w:rsidP="00430713">
      <w:pPr>
        <w:pStyle w:val="Text2"/>
        <w:numPr>
          <w:ilvl w:val="0"/>
          <w:numId w:val="7"/>
        </w:numPr>
        <w:rPr>
          <w:b/>
          <w:bCs/>
          <w:noProof/>
          <w:color w:val="000000" w:themeColor="text1"/>
        </w:rPr>
      </w:pPr>
      <w:r w:rsidRPr="001253EC">
        <w:rPr>
          <w:b/>
          <w:bCs/>
          <w:noProof/>
          <w:color w:val="000000" w:themeColor="text1"/>
        </w:rPr>
        <w:t>More predictable and efficient authorisation procedures</w:t>
      </w:r>
    </w:p>
    <w:p w14:paraId="4641AED3" w14:textId="262874E4" w:rsidR="005E0D68" w:rsidRPr="001253EC" w:rsidRDefault="005E0D68" w:rsidP="001253EC">
      <w:pPr>
        <w:pBdr>
          <w:top w:val="nil"/>
          <w:left w:val="nil"/>
          <w:bottom w:val="nil"/>
          <w:right w:val="nil"/>
          <w:between w:val="nil"/>
        </w:pBdr>
        <w:rPr>
          <w:rFonts w:eastAsia="Times New Roman"/>
          <w:noProof/>
          <w:color w:val="000000" w:themeColor="text1"/>
        </w:rPr>
      </w:pPr>
      <w:r w:rsidRPr="001253EC">
        <w:rPr>
          <w:rFonts w:eastAsia="Times New Roman"/>
          <w:noProof/>
          <w:color w:val="000000" w:themeColor="text1"/>
        </w:rPr>
        <w:t xml:space="preserve">The shorter authorisation timelines are supported by procedural changes to increase efficiency, cooperation, and consistency across Member States. The </w:t>
      </w:r>
      <w:r w:rsidR="000D5522">
        <w:rPr>
          <w:rFonts w:eastAsia="Times New Roman"/>
          <w:noProof/>
          <w:color w:val="000000" w:themeColor="text1"/>
        </w:rPr>
        <w:t>r</w:t>
      </w:r>
      <w:r w:rsidRPr="001253EC">
        <w:rPr>
          <w:rFonts w:eastAsia="Times New Roman"/>
          <w:noProof/>
          <w:color w:val="000000" w:themeColor="text1"/>
        </w:rPr>
        <w:t>eporting Member State (RMS) leads the evaluation of Part I</w:t>
      </w:r>
      <w:r w:rsidRPr="004F48D9">
        <w:rPr>
          <w:color w:val="000000" w:themeColor="text1"/>
          <w:vertAlign w:val="superscript"/>
        </w:rPr>
        <w:footnoteReference w:id="177"/>
      </w:r>
      <w:r w:rsidRPr="001253EC">
        <w:rPr>
          <w:rFonts w:eastAsia="Times New Roman"/>
          <w:noProof/>
          <w:color w:val="000000" w:themeColor="text1"/>
        </w:rPr>
        <w:t xml:space="preserve"> of the trial application, with other Member States </w:t>
      </w:r>
      <w:r w:rsidR="000D5522">
        <w:rPr>
          <w:rFonts w:eastAsia="Times New Roman"/>
          <w:noProof/>
          <w:color w:val="000000" w:themeColor="text1"/>
        </w:rPr>
        <w:t>c</w:t>
      </w:r>
      <w:r w:rsidRPr="001253EC">
        <w:rPr>
          <w:rFonts w:eastAsia="Times New Roman"/>
          <w:noProof/>
          <w:color w:val="000000" w:themeColor="text1"/>
        </w:rPr>
        <w:t>oncerned  providing complementary considerations. For initial applications, the validation of Part I will be carried out solely by the RMS</w:t>
      </w:r>
      <w:r w:rsidR="065E53C3" w:rsidRPr="001253EC">
        <w:rPr>
          <w:rFonts w:eastAsia="Times New Roman"/>
          <w:noProof/>
          <w:color w:val="000000" w:themeColor="text1"/>
        </w:rPr>
        <w:t xml:space="preserve"> without coordination and consolidation steps</w:t>
      </w:r>
      <w:r w:rsidR="1A5F7A21" w:rsidRPr="4BD40577">
        <w:rPr>
          <w:rFonts w:eastAsia="Times New Roman"/>
          <w:noProof/>
          <w:color w:val="000000" w:themeColor="text1"/>
        </w:rPr>
        <w:t xml:space="preserve"> with the other Member States concerned</w:t>
      </w:r>
      <w:r w:rsidR="065E53C3" w:rsidRPr="4BD40577">
        <w:rPr>
          <w:rFonts w:eastAsia="Times New Roman"/>
          <w:noProof/>
          <w:color w:val="000000" w:themeColor="text1"/>
        </w:rPr>
        <w:t>.</w:t>
      </w:r>
      <w:r w:rsidR="065E53C3" w:rsidRPr="001253EC">
        <w:rPr>
          <w:rFonts w:eastAsia="Times New Roman"/>
          <w:noProof/>
          <w:color w:val="000000" w:themeColor="text1"/>
        </w:rPr>
        <w:t xml:space="preserve"> </w:t>
      </w:r>
      <w:r w:rsidRPr="001253EC">
        <w:rPr>
          <w:rFonts w:eastAsia="Times New Roman"/>
          <w:noProof/>
          <w:color w:val="000000" w:themeColor="text1"/>
        </w:rPr>
        <w:t xml:space="preserve"> </w:t>
      </w:r>
      <w:r w:rsidR="608C6509" w:rsidRPr="001253EC">
        <w:rPr>
          <w:rFonts w:eastAsia="Times New Roman"/>
          <w:noProof/>
          <w:color w:val="000000" w:themeColor="text1"/>
        </w:rPr>
        <w:t>It is also</w:t>
      </w:r>
      <w:r w:rsidRPr="001253EC">
        <w:rPr>
          <w:rFonts w:eastAsia="Times New Roman"/>
          <w:noProof/>
          <w:color w:val="000000" w:themeColor="text1"/>
        </w:rPr>
        <w:t xml:space="preserve"> </w:t>
      </w:r>
      <w:r w:rsidR="00CF1194">
        <w:rPr>
          <w:rFonts w:eastAsia="Times New Roman"/>
          <w:noProof/>
          <w:color w:val="000000" w:themeColor="text1"/>
        </w:rPr>
        <w:t>allowing</w:t>
      </w:r>
      <w:r w:rsidR="00CF1194" w:rsidRPr="001253EC">
        <w:rPr>
          <w:rFonts w:eastAsia="Times New Roman"/>
          <w:noProof/>
          <w:color w:val="000000" w:themeColor="text1"/>
        </w:rPr>
        <w:t xml:space="preserve"> </w:t>
      </w:r>
      <w:r w:rsidRPr="001253EC">
        <w:rPr>
          <w:rFonts w:eastAsia="Times New Roman"/>
          <w:noProof/>
          <w:color w:val="000000" w:themeColor="text1"/>
        </w:rPr>
        <w:t>the RMS to initiate the</w:t>
      </w:r>
      <w:r w:rsidR="0009586B">
        <w:rPr>
          <w:rStyle w:val="CommentReference"/>
          <w:rFonts w:eastAsia="Times New Roman"/>
          <w:noProof/>
          <w:color w:val="000000" w:themeColor="text1"/>
          <w:sz w:val="24"/>
          <w:szCs w:val="24"/>
        </w:rPr>
        <w:t xml:space="preserve"> </w:t>
      </w:r>
      <w:r w:rsidR="4D1504EC" w:rsidRPr="001253EC">
        <w:rPr>
          <w:rFonts w:eastAsia="Times New Roman"/>
          <w:noProof/>
          <w:color w:val="000000" w:themeColor="text1"/>
        </w:rPr>
        <w:t>assessment already</w:t>
      </w:r>
      <w:r w:rsidRPr="001253EC">
        <w:rPr>
          <w:rFonts w:eastAsia="Times New Roman"/>
          <w:noProof/>
          <w:color w:val="000000" w:themeColor="text1"/>
        </w:rPr>
        <w:t xml:space="preserve"> during the validation phase, </w:t>
      </w:r>
      <w:r w:rsidR="00AF18C7">
        <w:rPr>
          <w:rFonts w:eastAsia="Times New Roman"/>
          <w:noProof/>
          <w:color w:val="000000" w:themeColor="text1"/>
        </w:rPr>
        <w:t>shortening</w:t>
      </w:r>
      <w:r w:rsidR="00352C8A" w:rsidRPr="001253EC">
        <w:rPr>
          <w:rFonts w:eastAsia="Times New Roman"/>
          <w:noProof/>
          <w:color w:val="000000" w:themeColor="text1"/>
        </w:rPr>
        <w:t xml:space="preserve"> </w:t>
      </w:r>
      <w:r w:rsidRPr="001253EC">
        <w:rPr>
          <w:rFonts w:eastAsia="Times New Roman"/>
          <w:noProof/>
          <w:color w:val="000000" w:themeColor="text1"/>
        </w:rPr>
        <w:t>the overall assessment time</w:t>
      </w:r>
      <w:r w:rsidR="00AF18C7">
        <w:rPr>
          <w:rFonts w:eastAsia="Times New Roman"/>
          <w:noProof/>
          <w:color w:val="000000" w:themeColor="text1"/>
        </w:rPr>
        <w:t xml:space="preserve"> by </w:t>
      </w:r>
      <w:r w:rsidR="2511782C">
        <w:rPr>
          <w:rFonts w:eastAsia="Times New Roman"/>
          <w:noProof/>
          <w:color w:val="000000" w:themeColor="text1"/>
        </w:rPr>
        <w:t>two</w:t>
      </w:r>
      <w:r w:rsidR="00AF18C7" w:rsidRPr="001253EC">
        <w:rPr>
          <w:rFonts w:eastAsia="Times New Roman"/>
          <w:noProof/>
          <w:color w:val="000000" w:themeColor="text1"/>
        </w:rPr>
        <w:t xml:space="preserve"> weeks</w:t>
      </w:r>
      <w:r w:rsidRPr="001253EC">
        <w:rPr>
          <w:rFonts w:eastAsia="Times New Roman"/>
          <w:noProof/>
          <w:color w:val="000000" w:themeColor="text1"/>
        </w:rPr>
        <w:t>. The ethics committee of the RMS will be mandatorily engaged in the review of Part I to ensure that the ethical review is fully integrated with scientific and regulatory</w:t>
      </w:r>
      <w:r w:rsidR="00ED45EA">
        <w:rPr>
          <w:rFonts w:eastAsia="Times New Roman"/>
          <w:noProof/>
          <w:color w:val="000000" w:themeColor="text1"/>
        </w:rPr>
        <w:t xml:space="preserve"> </w:t>
      </w:r>
      <w:r w:rsidRPr="001253EC">
        <w:rPr>
          <w:rFonts w:eastAsia="Times New Roman"/>
          <w:noProof/>
          <w:color w:val="000000" w:themeColor="text1"/>
        </w:rPr>
        <w:t>assessments. </w:t>
      </w:r>
      <w:r w:rsidR="00E5F5B2" w:rsidRPr="001253EC">
        <w:rPr>
          <w:rFonts w:eastAsia="Times New Roman"/>
          <w:noProof/>
          <w:color w:val="000000" w:themeColor="text1"/>
        </w:rPr>
        <w:t xml:space="preserve">The scope of the ethical review and the mandate of the Member States concerned in the assessment are clarified. </w:t>
      </w:r>
      <w:r w:rsidRPr="001253EC">
        <w:rPr>
          <w:rFonts w:eastAsia="Times New Roman"/>
          <w:noProof/>
          <w:color w:val="000000" w:themeColor="text1"/>
        </w:rPr>
        <w:t>Maximum timelines are designed to allocate seven day-periods per assessment step</w:t>
      </w:r>
      <w:r w:rsidR="00AF18C7">
        <w:rPr>
          <w:rFonts w:eastAsia="Times New Roman"/>
          <w:noProof/>
          <w:color w:val="000000" w:themeColor="text1"/>
        </w:rPr>
        <w:t>,</w:t>
      </w:r>
      <w:r w:rsidRPr="001253EC">
        <w:rPr>
          <w:rFonts w:eastAsia="Times New Roman"/>
          <w:noProof/>
          <w:color w:val="000000" w:themeColor="text1"/>
        </w:rPr>
        <w:t xml:space="preserve"> ensuring deadlines do not fall on weekends and thereby avoiding automatic extensions. This approach ensures predictability in timelines for sponsors and regulatory bodies. Substantial modifications to Part I and/or Part II for changes that may significantly affect participants' rights, safety, or data reliability can be assessed in parallel, with significantly shorter assessment times.</w:t>
      </w:r>
    </w:p>
    <w:p w14:paraId="60DCC053" w14:textId="08257A39" w:rsidR="005E0D68" w:rsidRPr="001253EC" w:rsidRDefault="005E0D68" w:rsidP="001253EC">
      <w:pPr>
        <w:pBdr>
          <w:top w:val="nil"/>
          <w:left w:val="nil"/>
          <w:bottom w:val="nil"/>
          <w:right w:val="nil"/>
          <w:between w:val="nil"/>
        </w:pBdr>
        <w:rPr>
          <w:rFonts w:eastAsia="Times New Roman"/>
          <w:noProof/>
          <w:color w:val="000000" w:themeColor="text1"/>
        </w:rPr>
      </w:pPr>
      <w:r w:rsidRPr="001253EC">
        <w:rPr>
          <w:rFonts w:eastAsia="Times New Roman"/>
          <w:noProof/>
          <w:color w:val="000000" w:themeColor="text1"/>
        </w:rPr>
        <w:t xml:space="preserve">Efficiency is further </w:t>
      </w:r>
      <w:r w:rsidR="00072991">
        <w:rPr>
          <w:rFonts w:eastAsia="Times New Roman"/>
          <w:noProof/>
          <w:color w:val="000000" w:themeColor="text1"/>
        </w:rPr>
        <w:t>improved</w:t>
      </w:r>
      <w:r w:rsidR="00072991" w:rsidRPr="001253EC">
        <w:rPr>
          <w:rFonts w:eastAsia="Times New Roman"/>
          <w:noProof/>
          <w:color w:val="000000" w:themeColor="text1"/>
        </w:rPr>
        <w:t xml:space="preserve"> </w:t>
      </w:r>
      <w:r w:rsidRPr="001253EC">
        <w:rPr>
          <w:rFonts w:eastAsia="Times New Roman"/>
          <w:noProof/>
          <w:color w:val="000000" w:themeColor="text1"/>
        </w:rPr>
        <w:t xml:space="preserve">through the establishment and re-use of a single investigational product core dossier containing documents common to all trials with the same investigational medicinal product (IMP), a mandatory use of harmonised EU templates, and </w:t>
      </w:r>
      <w:r w:rsidR="00072991">
        <w:rPr>
          <w:rFonts w:eastAsia="Times New Roman"/>
          <w:noProof/>
          <w:color w:val="000000" w:themeColor="text1"/>
        </w:rPr>
        <w:t xml:space="preserve">by </w:t>
      </w:r>
      <w:r w:rsidRPr="001253EC">
        <w:rPr>
          <w:rFonts w:eastAsia="Times New Roman"/>
          <w:noProof/>
          <w:color w:val="000000" w:themeColor="text1"/>
        </w:rPr>
        <w:t xml:space="preserve">shifting translation checks from Part I to Part II. An upgraded EU portal enhances communication </w:t>
      </w:r>
      <w:r w:rsidR="4A081111" w:rsidRPr="1D199134">
        <w:rPr>
          <w:rFonts w:eastAsia="Times New Roman"/>
          <w:noProof/>
          <w:color w:val="000000" w:themeColor="text1"/>
        </w:rPr>
        <w:t xml:space="preserve">between sponsors and </w:t>
      </w:r>
      <w:r w:rsidR="2439D0D7" w:rsidRPr="2B3396C0">
        <w:rPr>
          <w:rFonts w:eastAsia="Times New Roman"/>
          <w:noProof/>
          <w:color w:val="000000" w:themeColor="text1"/>
        </w:rPr>
        <w:t>assessing Member States</w:t>
      </w:r>
      <w:r w:rsidR="4A081111" w:rsidRPr="1D199134">
        <w:rPr>
          <w:rFonts w:eastAsia="Times New Roman"/>
          <w:noProof/>
          <w:color w:val="000000" w:themeColor="text1"/>
        </w:rPr>
        <w:t xml:space="preserve"> </w:t>
      </w:r>
      <w:r w:rsidRPr="1D199134">
        <w:rPr>
          <w:rFonts w:eastAsia="Times New Roman"/>
          <w:noProof/>
          <w:color w:val="000000" w:themeColor="text1"/>
        </w:rPr>
        <w:t>during</w:t>
      </w:r>
      <w:r w:rsidRPr="001253EC">
        <w:rPr>
          <w:rFonts w:eastAsia="Times New Roman"/>
          <w:noProof/>
          <w:color w:val="000000" w:themeColor="text1"/>
        </w:rPr>
        <w:t xml:space="preserve"> assessments. </w:t>
      </w:r>
    </w:p>
    <w:p w14:paraId="0FCB0AAB" w14:textId="5D9E68BB" w:rsidR="005E0D68" w:rsidRDefault="005E0D68" w:rsidP="00A472BA">
      <w:pPr>
        <w:pStyle w:val="Text2"/>
        <w:ind w:left="0"/>
      </w:pPr>
      <w:r w:rsidRPr="001253EC">
        <w:rPr>
          <w:color w:val="000000" w:themeColor="text1"/>
        </w:rPr>
        <w:t>The amendments also encourage participation of vulnerable populations in clinical trials</w:t>
      </w:r>
      <w:r w:rsidR="00072991">
        <w:rPr>
          <w:noProof/>
          <w:color w:val="000000" w:themeColor="text1"/>
        </w:rPr>
        <w:t>,</w:t>
      </w:r>
      <w:r w:rsidRPr="001253EC">
        <w:rPr>
          <w:noProof/>
          <w:color w:val="000000" w:themeColor="text1"/>
        </w:rPr>
        <w:t xml:space="preserve"> by carefully weighing the potential risks and benefits of their exclusion versus inclusion in trials. Additionally, women who become pregnant or start breast-feeding during their trial participation will not be automatically excluded from the trial</w:t>
      </w:r>
      <w:r w:rsidR="531A6CED" w:rsidRPr="653DF235">
        <w:rPr>
          <w:noProof/>
          <w:color w:val="000000" w:themeColor="text1"/>
        </w:rPr>
        <w:t>.</w:t>
      </w:r>
      <w:r w:rsidR="491A022C" w:rsidRPr="1C3FF6BF">
        <w:rPr>
          <w:noProof/>
          <w:color w:val="000000" w:themeColor="text1"/>
        </w:rPr>
        <w:t xml:space="preserve"> </w:t>
      </w:r>
      <w:r w:rsidR="531A6CED" w:rsidRPr="5DA7F291">
        <w:rPr>
          <w:noProof/>
        </w:rPr>
        <w:t xml:space="preserve">Their continued participation will instead be evaluated by assessing the risks and benefits involved. </w:t>
      </w:r>
    </w:p>
    <w:p w14:paraId="7B6505C7" w14:textId="0C593C51" w:rsidR="005E0D68" w:rsidRPr="001253EC" w:rsidRDefault="005E0D68" w:rsidP="001546C6">
      <w:pPr>
        <w:pStyle w:val="Text2"/>
        <w:numPr>
          <w:ilvl w:val="0"/>
          <w:numId w:val="7"/>
        </w:numPr>
        <w:rPr>
          <w:b/>
          <w:bCs/>
          <w:noProof/>
          <w:color w:val="000000" w:themeColor="text1"/>
        </w:rPr>
      </w:pPr>
      <w:r w:rsidRPr="001253EC">
        <w:rPr>
          <w:b/>
          <w:bCs/>
          <w:noProof/>
          <w:color w:val="000000" w:themeColor="text1"/>
        </w:rPr>
        <w:t>Context-specific clinical trial authorisation procedures</w:t>
      </w:r>
    </w:p>
    <w:p w14:paraId="3FF9A8F3" w14:textId="3401DECF" w:rsidR="00981FC3" w:rsidRDefault="005E0D68" w:rsidP="001253EC">
      <w:pPr>
        <w:pBdr>
          <w:top w:val="nil"/>
          <w:left w:val="nil"/>
          <w:bottom w:val="nil"/>
          <w:right w:val="nil"/>
          <w:between w:val="nil"/>
        </w:pBdr>
        <w:rPr>
          <w:rFonts w:eastAsia="Times New Roman"/>
          <w:noProof/>
          <w:color w:val="000000" w:themeColor="text1"/>
        </w:rPr>
      </w:pPr>
      <w:r w:rsidRPr="001253EC">
        <w:rPr>
          <w:rFonts w:eastAsia="Times New Roman"/>
          <w:noProof/>
          <w:color w:val="000000" w:themeColor="text1"/>
        </w:rPr>
        <w:t xml:space="preserve">The </w:t>
      </w:r>
      <w:r w:rsidR="000D5522">
        <w:rPr>
          <w:rFonts w:eastAsia="Times New Roman"/>
          <w:noProof/>
          <w:color w:val="000000" w:themeColor="text1"/>
        </w:rPr>
        <w:t xml:space="preserve">Regulation </w:t>
      </w:r>
      <w:r w:rsidRPr="001253EC">
        <w:rPr>
          <w:rFonts w:eastAsia="Times New Roman"/>
          <w:noProof/>
          <w:color w:val="000000" w:themeColor="text1"/>
        </w:rPr>
        <w:t>proposal sets out three tailored authorisation procedures to streamline regulatory requirements to the specific context and risks of the</w:t>
      </w:r>
      <w:r w:rsidR="00A351D2">
        <w:rPr>
          <w:rFonts w:eastAsia="Times New Roman"/>
          <w:noProof/>
          <w:color w:val="000000" w:themeColor="text1"/>
        </w:rPr>
        <w:t xml:space="preserve"> </w:t>
      </w:r>
      <w:r w:rsidR="00C85AD5">
        <w:rPr>
          <w:rFonts w:eastAsia="Times New Roman"/>
          <w:noProof/>
          <w:color w:val="000000" w:themeColor="text1"/>
        </w:rPr>
        <w:t>clinical trial</w:t>
      </w:r>
      <w:r w:rsidRPr="001253EC">
        <w:rPr>
          <w:rFonts w:eastAsia="Times New Roman"/>
          <w:noProof/>
          <w:color w:val="000000" w:themeColor="text1"/>
        </w:rPr>
        <w:t xml:space="preserve">. </w:t>
      </w:r>
    </w:p>
    <w:p w14:paraId="264B38E3" w14:textId="4DCE4C65" w:rsidR="00981FC3" w:rsidRDefault="00981FC3" w:rsidP="00430713">
      <w:pPr>
        <w:pStyle w:val="ListParagraph"/>
        <w:numPr>
          <w:ilvl w:val="0"/>
          <w:numId w:val="14"/>
        </w:numPr>
        <w:pBdr>
          <w:top w:val="nil"/>
          <w:left w:val="nil"/>
          <w:bottom w:val="nil"/>
          <w:right w:val="nil"/>
          <w:between w:val="nil"/>
        </w:pBdr>
        <w:rPr>
          <w:rFonts w:eastAsia="Times New Roman"/>
          <w:noProof/>
          <w:color w:val="000000" w:themeColor="text1"/>
        </w:rPr>
      </w:pPr>
      <w:r>
        <w:rPr>
          <w:rFonts w:eastAsia="Times New Roman"/>
          <w:noProof/>
          <w:color w:val="000000" w:themeColor="text1"/>
        </w:rPr>
        <w:t>I</w:t>
      </w:r>
      <w:r w:rsidR="005E0D68" w:rsidRPr="00BD422A">
        <w:rPr>
          <w:rFonts w:eastAsia="Times New Roman"/>
          <w:noProof/>
          <w:color w:val="000000" w:themeColor="text1"/>
        </w:rPr>
        <w:t>t</w:t>
      </w:r>
      <w:r w:rsidR="005E0D68" w:rsidRPr="00BD422A">
        <w:rPr>
          <w:rFonts w:eastAsia="Times New Roman"/>
          <w:color w:val="000000" w:themeColor="text1"/>
        </w:rPr>
        <w:t xml:space="preserve"> introduces a single assessment procedure for combined studies involving both medicines and </w:t>
      </w:r>
      <w:r w:rsidR="00E46549">
        <w:rPr>
          <w:rFonts w:eastAsia="Times New Roman"/>
          <w:color w:val="000000" w:themeColor="text1"/>
        </w:rPr>
        <w:t>medical</w:t>
      </w:r>
      <w:r w:rsidR="005E0D68" w:rsidRPr="00BD422A">
        <w:rPr>
          <w:rFonts w:eastAsia="Times New Roman"/>
          <w:color w:val="000000" w:themeColor="text1"/>
        </w:rPr>
        <w:t xml:space="preserve"> devices or </w:t>
      </w:r>
      <w:r w:rsidR="2E2F3585" w:rsidRPr="4487CF77">
        <w:rPr>
          <w:rFonts w:eastAsia="Times New Roman"/>
          <w:color w:val="000000" w:themeColor="text1"/>
        </w:rPr>
        <w:t>medicines and</w:t>
      </w:r>
      <w:r w:rsidR="005E0D68" w:rsidRPr="4487CF77">
        <w:rPr>
          <w:rFonts w:eastAsia="Times New Roman"/>
          <w:color w:val="000000" w:themeColor="text1"/>
        </w:rPr>
        <w:t xml:space="preserve"> </w:t>
      </w:r>
      <w:r w:rsidR="005E0D68" w:rsidRPr="00C72938">
        <w:rPr>
          <w:rFonts w:eastAsia="Times New Roman"/>
          <w:i/>
          <w:color w:val="000000" w:themeColor="text1"/>
        </w:rPr>
        <w:t>in</w:t>
      </w:r>
      <w:r w:rsidR="00E46549" w:rsidRPr="00C72938">
        <w:rPr>
          <w:rFonts w:eastAsia="Times New Roman"/>
          <w:i/>
          <w:color w:val="000000" w:themeColor="text1"/>
        </w:rPr>
        <w:t xml:space="preserve"> </w:t>
      </w:r>
      <w:r w:rsidR="005E0D68" w:rsidRPr="00C72938">
        <w:rPr>
          <w:rFonts w:eastAsia="Times New Roman"/>
          <w:i/>
          <w:color w:val="000000" w:themeColor="text1"/>
        </w:rPr>
        <w:t>vitro</w:t>
      </w:r>
      <w:r w:rsidR="005E0D68" w:rsidRPr="00BD422A">
        <w:rPr>
          <w:rFonts w:eastAsia="Times New Roman"/>
          <w:color w:val="000000" w:themeColor="text1"/>
        </w:rPr>
        <w:t xml:space="preserve"> diagnostic</w:t>
      </w:r>
      <w:r w:rsidR="00E46549">
        <w:rPr>
          <w:rFonts w:eastAsia="Times New Roman"/>
          <w:color w:val="000000" w:themeColor="text1"/>
        </w:rPr>
        <w:t xml:space="preserve"> medical device</w:t>
      </w:r>
      <w:r w:rsidR="005E0D68" w:rsidRPr="00BD422A">
        <w:rPr>
          <w:rFonts w:eastAsia="Times New Roman"/>
          <w:color w:val="000000" w:themeColor="text1"/>
        </w:rPr>
        <w:t>s</w:t>
      </w:r>
      <w:r w:rsidR="009240FD" w:rsidRPr="00BD422A">
        <w:rPr>
          <w:rFonts w:eastAsia="Times New Roman"/>
          <w:color w:val="000000" w:themeColor="text1"/>
        </w:rPr>
        <w:t>,</w:t>
      </w:r>
      <w:r w:rsidR="005E0D68" w:rsidRPr="00BD422A">
        <w:rPr>
          <w:rFonts w:eastAsia="Times New Roman"/>
          <w:color w:val="000000" w:themeColor="text1"/>
        </w:rPr>
        <w:t xml:space="preserve"> rationalising the relevant provisions of three EU regulations (i.e. CTR, MDR, and IVDR). </w:t>
      </w:r>
    </w:p>
    <w:p w14:paraId="2BB809A6" w14:textId="39105272" w:rsidR="00981FC3" w:rsidRDefault="00981FC3" w:rsidP="00430713">
      <w:pPr>
        <w:pStyle w:val="ListParagraph"/>
        <w:numPr>
          <w:ilvl w:val="0"/>
          <w:numId w:val="14"/>
        </w:numPr>
        <w:pBdr>
          <w:top w:val="nil"/>
          <w:left w:val="nil"/>
          <w:bottom w:val="nil"/>
          <w:right w:val="nil"/>
          <w:between w:val="nil"/>
        </w:pBdr>
        <w:rPr>
          <w:rFonts w:eastAsia="Times New Roman"/>
          <w:noProof/>
          <w:color w:val="000000" w:themeColor="text1"/>
        </w:rPr>
      </w:pPr>
      <w:r>
        <w:rPr>
          <w:rFonts w:eastAsia="Times New Roman"/>
          <w:noProof/>
          <w:color w:val="000000" w:themeColor="text1"/>
        </w:rPr>
        <w:t>I</w:t>
      </w:r>
      <w:r w:rsidR="005E0D68" w:rsidRPr="00BD422A">
        <w:rPr>
          <w:rFonts w:eastAsia="Times New Roman"/>
          <w:noProof/>
          <w:color w:val="000000" w:themeColor="text1"/>
        </w:rPr>
        <w:t>t</w:t>
      </w:r>
      <w:r w:rsidR="005E0D68" w:rsidRPr="00BD422A">
        <w:rPr>
          <w:rFonts w:eastAsia="Times New Roman"/>
          <w:color w:val="000000" w:themeColor="text1"/>
        </w:rPr>
        <w:t xml:space="preserve"> introduces a fast-track authorisation procedure with simplified requirements for multinational </w:t>
      </w:r>
      <w:r w:rsidR="00E14A58">
        <w:rPr>
          <w:rFonts w:eastAsia="Times New Roman"/>
          <w:color w:val="000000" w:themeColor="text1"/>
        </w:rPr>
        <w:t>clinical trial</w:t>
      </w:r>
      <w:r w:rsidR="00031395">
        <w:rPr>
          <w:rFonts w:eastAsia="Times New Roman"/>
          <w:color w:val="000000" w:themeColor="text1"/>
        </w:rPr>
        <w:t>s</w:t>
      </w:r>
      <w:r w:rsidR="005E0D68" w:rsidRPr="00BD422A">
        <w:rPr>
          <w:rFonts w:eastAsia="Times New Roman"/>
          <w:color w:val="000000" w:themeColor="text1"/>
        </w:rPr>
        <w:t> </w:t>
      </w:r>
      <w:r w:rsidR="008B7008">
        <w:rPr>
          <w:rFonts w:eastAsia="Times New Roman"/>
          <w:color w:val="000000" w:themeColor="text1"/>
        </w:rPr>
        <w:t xml:space="preserve">to ensure availability </w:t>
      </w:r>
      <w:r w:rsidR="524F8FCB" w:rsidRPr="19CD10B1">
        <w:rPr>
          <w:rFonts w:eastAsia="Times New Roman"/>
          <w:color w:val="000000" w:themeColor="text1"/>
        </w:rPr>
        <w:t xml:space="preserve">of </w:t>
      </w:r>
      <w:r w:rsidR="524F8FCB" w:rsidRPr="0A5CADA1">
        <w:rPr>
          <w:rFonts w:eastAsia="Times New Roman"/>
          <w:color w:val="000000" w:themeColor="text1"/>
        </w:rPr>
        <w:t>crisis-relevant medicines</w:t>
      </w:r>
      <w:r w:rsidR="008B7008" w:rsidRPr="19CD10B1">
        <w:rPr>
          <w:rFonts w:eastAsia="Times New Roman"/>
          <w:color w:val="000000" w:themeColor="text1"/>
        </w:rPr>
        <w:t xml:space="preserve"> </w:t>
      </w:r>
      <w:r w:rsidR="008B7008">
        <w:rPr>
          <w:rFonts w:eastAsia="Times New Roman"/>
          <w:color w:val="000000" w:themeColor="text1"/>
        </w:rPr>
        <w:t xml:space="preserve">to prevent/contain health threats, provide timely treatment options, or facilitate diagnosis </w:t>
      </w:r>
      <w:r w:rsidR="005E0D68" w:rsidRPr="00BD422A">
        <w:rPr>
          <w:rFonts w:eastAsia="Times New Roman"/>
          <w:color w:val="000000" w:themeColor="text1"/>
        </w:rPr>
        <w:t xml:space="preserve">in the context of an emerging or a recognised </w:t>
      </w:r>
      <w:r w:rsidR="53C402DA" w:rsidRPr="00BD422A">
        <w:rPr>
          <w:rFonts w:eastAsia="Times New Roman"/>
          <w:color w:val="000000" w:themeColor="text1"/>
        </w:rPr>
        <w:t xml:space="preserve">serious cross-border threat to </w:t>
      </w:r>
      <w:r w:rsidR="005E0D68" w:rsidRPr="00BD422A">
        <w:rPr>
          <w:rFonts w:eastAsia="Times New Roman"/>
          <w:color w:val="000000" w:themeColor="text1"/>
        </w:rPr>
        <w:t>health at Union level</w:t>
      </w:r>
      <w:r w:rsidR="005E0D68" w:rsidRPr="004F48D9">
        <w:rPr>
          <w:vertAlign w:val="superscript"/>
        </w:rPr>
        <w:footnoteReference w:id="178"/>
      </w:r>
      <w:r w:rsidR="005E0D68" w:rsidRPr="00BD422A">
        <w:rPr>
          <w:rFonts w:eastAsia="Times New Roman"/>
          <w:color w:val="000000" w:themeColor="text1"/>
        </w:rPr>
        <w:t xml:space="preserve">. </w:t>
      </w:r>
      <w:r w:rsidR="000862D7">
        <w:rPr>
          <w:rFonts w:eastAsia="Times New Roman"/>
          <w:color w:val="000000" w:themeColor="text1"/>
        </w:rPr>
        <w:t>The</w:t>
      </w:r>
      <w:r w:rsidR="2358400C" w:rsidRPr="087E0BF2">
        <w:rPr>
          <w:rFonts w:eastAsia="Times New Roman"/>
          <w:color w:val="000000" w:themeColor="text1"/>
        </w:rPr>
        <w:t xml:space="preserve"> </w:t>
      </w:r>
      <w:r w:rsidR="49236402" w:rsidRPr="70149734">
        <w:rPr>
          <w:rFonts w:eastAsia="Times New Roman"/>
          <w:color w:val="000000" w:themeColor="text1"/>
        </w:rPr>
        <w:t>procedure will be automatically applicable in a recognised serious cross-border threat to health</w:t>
      </w:r>
      <w:r w:rsidR="603E449A" w:rsidRPr="3D545322">
        <w:rPr>
          <w:rFonts w:eastAsia="Times New Roman"/>
          <w:color w:val="000000" w:themeColor="text1"/>
        </w:rPr>
        <w:t xml:space="preserve"> at Union level</w:t>
      </w:r>
      <w:r w:rsidR="585AEE42" w:rsidRPr="3D545322">
        <w:rPr>
          <w:rFonts w:eastAsia="Times New Roman"/>
          <w:color w:val="000000" w:themeColor="text1"/>
        </w:rPr>
        <w:t>.</w:t>
      </w:r>
      <w:r w:rsidR="65C7C482" w:rsidRPr="3D545322">
        <w:rPr>
          <w:rFonts w:eastAsia="Times New Roman"/>
          <w:color w:val="000000" w:themeColor="text1"/>
        </w:rPr>
        <w:t xml:space="preserve"> </w:t>
      </w:r>
      <w:r w:rsidR="68830633" w:rsidRPr="006AFD62">
        <w:rPr>
          <w:rFonts w:eastAsia="Times New Roman"/>
          <w:color w:val="000000" w:themeColor="text1"/>
        </w:rPr>
        <w:t>T</w:t>
      </w:r>
      <w:r w:rsidR="29239032" w:rsidRPr="006AFD62">
        <w:rPr>
          <w:rFonts w:eastAsia="Times New Roman"/>
          <w:color w:val="000000" w:themeColor="text1"/>
        </w:rPr>
        <w:t>he</w:t>
      </w:r>
      <w:r w:rsidR="000862D7">
        <w:rPr>
          <w:rFonts w:eastAsia="Times New Roman"/>
          <w:color w:val="000000" w:themeColor="text1"/>
        </w:rPr>
        <w:t xml:space="preserve"> Commission </w:t>
      </w:r>
      <w:r w:rsidR="000D5522">
        <w:rPr>
          <w:rFonts w:eastAsia="Times New Roman"/>
          <w:color w:val="000000" w:themeColor="text1"/>
        </w:rPr>
        <w:t>would be</w:t>
      </w:r>
      <w:r w:rsidR="000862D7">
        <w:rPr>
          <w:rFonts w:eastAsia="Times New Roman"/>
          <w:color w:val="000000" w:themeColor="text1"/>
        </w:rPr>
        <w:t xml:space="preserve"> </w:t>
      </w:r>
      <w:r w:rsidR="1729E9DA" w:rsidRPr="42994760">
        <w:rPr>
          <w:rFonts w:eastAsia="Times New Roman"/>
          <w:color w:val="000000" w:themeColor="text1"/>
        </w:rPr>
        <w:t>further</w:t>
      </w:r>
      <w:r w:rsidR="000862D7" w:rsidRPr="59817BD5">
        <w:rPr>
          <w:rFonts w:eastAsia="Times New Roman"/>
          <w:color w:val="000000" w:themeColor="text1"/>
        </w:rPr>
        <w:t xml:space="preserve"> </w:t>
      </w:r>
      <w:r w:rsidR="000862D7">
        <w:rPr>
          <w:rFonts w:eastAsia="Times New Roman"/>
          <w:color w:val="000000" w:themeColor="text1"/>
        </w:rPr>
        <w:t>empowered to define, through implementing acts, transparent criteria and a process for declaring the procedure applicable</w:t>
      </w:r>
      <w:r w:rsidR="5840237E" w:rsidRPr="36D38C36">
        <w:rPr>
          <w:rFonts w:eastAsia="Times New Roman"/>
          <w:color w:val="000000" w:themeColor="text1"/>
        </w:rPr>
        <w:t xml:space="preserve"> </w:t>
      </w:r>
      <w:r w:rsidR="5840237E" w:rsidRPr="16638E8F">
        <w:rPr>
          <w:rFonts w:eastAsia="Times New Roman"/>
          <w:color w:val="000000" w:themeColor="text1"/>
        </w:rPr>
        <w:t>in the context of an emerging</w:t>
      </w:r>
      <w:r w:rsidR="000862D7" w:rsidRPr="006AFD62">
        <w:rPr>
          <w:rFonts w:eastAsia="Times New Roman"/>
          <w:color w:val="000000" w:themeColor="text1"/>
        </w:rPr>
        <w:t xml:space="preserve"> </w:t>
      </w:r>
      <w:r w:rsidR="6F52DC0A" w:rsidRPr="006AFD62">
        <w:rPr>
          <w:rFonts w:eastAsia="Times New Roman"/>
          <w:color w:val="000000" w:themeColor="text1"/>
        </w:rPr>
        <w:t xml:space="preserve">serious </w:t>
      </w:r>
      <w:r w:rsidR="1B229AEA" w:rsidRPr="006AFD62">
        <w:rPr>
          <w:rFonts w:eastAsia="Times New Roman"/>
          <w:color w:val="000000" w:themeColor="text1"/>
        </w:rPr>
        <w:t>cross-border threat to health</w:t>
      </w:r>
      <w:r w:rsidR="000862D7" w:rsidRPr="006AFD62">
        <w:rPr>
          <w:rFonts w:eastAsia="Times New Roman"/>
          <w:color w:val="000000" w:themeColor="text1"/>
        </w:rPr>
        <w:t xml:space="preserve">. </w:t>
      </w:r>
    </w:p>
    <w:p w14:paraId="06FBAF8A" w14:textId="0FC23E9A" w:rsidR="005E0D68" w:rsidRPr="00BD422A" w:rsidRDefault="00981FC3" w:rsidP="00430713">
      <w:pPr>
        <w:pStyle w:val="ListParagraph"/>
        <w:numPr>
          <w:ilvl w:val="0"/>
          <w:numId w:val="14"/>
        </w:numPr>
        <w:pBdr>
          <w:top w:val="nil"/>
          <w:left w:val="nil"/>
          <w:bottom w:val="nil"/>
          <w:right w:val="nil"/>
          <w:between w:val="nil"/>
        </w:pBdr>
        <w:rPr>
          <w:rFonts w:eastAsia="Times New Roman"/>
          <w:color w:val="000000" w:themeColor="text1"/>
        </w:rPr>
      </w:pPr>
      <w:r>
        <w:rPr>
          <w:rFonts w:eastAsia="Times New Roman"/>
          <w:noProof/>
          <w:color w:val="000000" w:themeColor="text1"/>
        </w:rPr>
        <w:t>I</w:t>
      </w:r>
      <w:r w:rsidR="005E0D68" w:rsidRPr="00BD422A">
        <w:rPr>
          <w:rFonts w:eastAsia="Times New Roman"/>
          <w:noProof/>
          <w:color w:val="000000" w:themeColor="text1"/>
        </w:rPr>
        <w:t>t</w:t>
      </w:r>
      <w:r w:rsidR="005E0D68" w:rsidRPr="00BD422A">
        <w:rPr>
          <w:rFonts w:eastAsia="Times New Roman"/>
          <w:color w:val="000000" w:themeColor="text1"/>
        </w:rPr>
        <w:t xml:space="preserve"> strengthens the risk-proportionate approach by more precisely aligning regulatory requirements with the level of risk associated with a </w:t>
      </w:r>
      <w:r w:rsidR="003C2886">
        <w:rPr>
          <w:rFonts w:eastAsia="Times New Roman"/>
          <w:color w:val="000000" w:themeColor="text1"/>
        </w:rPr>
        <w:t>clinical trial</w:t>
      </w:r>
      <w:r w:rsidR="005E0D68" w:rsidRPr="00BD422A">
        <w:rPr>
          <w:rFonts w:eastAsia="Times New Roman"/>
          <w:color w:val="000000" w:themeColor="text1"/>
        </w:rPr>
        <w:t xml:space="preserve">. A new risk category, minimal intervention trials, </w:t>
      </w:r>
      <w:r w:rsidR="000D5522">
        <w:rPr>
          <w:rFonts w:eastAsia="Times New Roman"/>
          <w:color w:val="000000" w:themeColor="text1"/>
        </w:rPr>
        <w:t xml:space="preserve">is </w:t>
      </w:r>
      <w:r w:rsidR="005E0D68" w:rsidRPr="00BD422A">
        <w:rPr>
          <w:rFonts w:eastAsia="Times New Roman"/>
          <w:color w:val="000000" w:themeColor="text1"/>
        </w:rPr>
        <w:t>introduced to cover post-marketing authorisation trials, which will require ethical review only for the authorization itself.</w:t>
      </w:r>
    </w:p>
    <w:p w14:paraId="0089FB35" w14:textId="77777777" w:rsidR="005E0D68" w:rsidRPr="001253EC" w:rsidRDefault="005E0D68" w:rsidP="00430713">
      <w:pPr>
        <w:pStyle w:val="Text2"/>
        <w:numPr>
          <w:ilvl w:val="0"/>
          <w:numId w:val="7"/>
        </w:numPr>
        <w:rPr>
          <w:b/>
          <w:bCs/>
          <w:noProof/>
          <w:color w:val="000000" w:themeColor="text1"/>
        </w:rPr>
      </w:pPr>
      <w:r w:rsidRPr="001253EC">
        <w:rPr>
          <w:b/>
          <w:bCs/>
          <w:noProof/>
          <w:color w:val="000000" w:themeColor="text1"/>
        </w:rPr>
        <w:t xml:space="preserve">Innovation and Harmonised Data Governance </w:t>
      </w:r>
    </w:p>
    <w:p w14:paraId="4876CAF6" w14:textId="4481E385" w:rsidR="005E0D68" w:rsidRPr="001253EC" w:rsidRDefault="005E0D68" w:rsidP="001253EC">
      <w:pPr>
        <w:pBdr>
          <w:top w:val="nil"/>
          <w:left w:val="nil"/>
          <w:bottom w:val="nil"/>
          <w:right w:val="nil"/>
          <w:between w:val="nil"/>
        </w:pBdr>
        <w:rPr>
          <w:rFonts w:eastAsia="Times New Roman"/>
          <w:noProof/>
          <w:color w:val="000000" w:themeColor="text1"/>
        </w:rPr>
      </w:pPr>
      <w:r w:rsidRPr="001253EC">
        <w:rPr>
          <w:rFonts w:eastAsia="Times New Roman"/>
          <w:noProof/>
          <w:color w:val="000000" w:themeColor="text1"/>
        </w:rPr>
        <w:t xml:space="preserve">The proposal facilitates the integration of </w:t>
      </w:r>
      <w:r w:rsidR="00EB4609">
        <w:rPr>
          <w:rFonts w:eastAsia="Times New Roman"/>
          <w:noProof/>
          <w:color w:val="000000" w:themeColor="text1"/>
        </w:rPr>
        <w:t>AI</w:t>
      </w:r>
      <w:r w:rsidRPr="001253EC">
        <w:rPr>
          <w:rFonts w:eastAsia="Times New Roman"/>
          <w:noProof/>
          <w:color w:val="000000" w:themeColor="text1"/>
        </w:rPr>
        <w:t xml:space="preserve"> and digital tools</w:t>
      </w:r>
      <w:r w:rsidR="009D5D04">
        <w:rPr>
          <w:rFonts w:eastAsia="Times New Roman"/>
          <w:noProof/>
          <w:color w:val="000000" w:themeColor="text1"/>
        </w:rPr>
        <w:t xml:space="preserve"> (</w:t>
      </w:r>
      <w:r w:rsidRPr="001253EC">
        <w:rPr>
          <w:rFonts w:eastAsia="Times New Roman"/>
          <w:noProof/>
          <w:color w:val="000000" w:themeColor="text1"/>
        </w:rPr>
        <w:t>e.g. e-informed consent</w:t>
      </w:r>
      <w:r w:rsidR="009D5D04">
        <w:rPr>
          <w:rFonts w:eastAsia="Times New Roman"/>
          <w:noProof/>
          <w:color w:val="000000" w:themeColor="text1"/>
        </w:rPr>
        <w:t>)</w:t>
      </w:r>
      <w:r w:rsidRPr="001253EC">
        <w:rPr>
          <w:rFonts w:eastAsia="Times New Roman"/>
          <w:noProof/>
          <w:color w:val="000000" w:themeColor="text1"/>
        </w:rPr>
        <w:t xml:space="preserve">, reinforces direct </w:t>
      </w:r>
      <w:r w:rsidR="00177172" w:rsidRPr="001253EC">
        <w:rPr>
          <w:rFonts w:eastAsia="Times New Roman"/>
          <w:noProof/>
          <w:color w:val="000000" w:themeColor="text1"/>
        </w:rPr>
        <w:t>shipment</w:t>
      </w:r>
      <w:r w:rsidR="00177172">
        <w:rPr>
          <w:rFonts w:eastAsia="Times New Roman"/>
          <w:noProof/>
          <w:color w:val="000000" w:themeColor="text1"/>
        </w:rPr>
        <w:t xml:space="preserve"> of</w:t>
      </w:r>
      <w:r w:rsidR="00177172" w:rsidRPr="001253EC">
        <w:rPr>
          <w:rFonts w:eastAsia="Times New Roman"/>
          <w:noProof/>
          <w:color w:val="000000" w:themeColor="text1"/>
        </w:rPr>
        <w:t xml:space="preserve"> </w:t>
      </w:r>
      <w:r w:rsidRPr="001253EC">
        <w:rPr>
          <w:rFonts w:eastAsia="Times New Roman"/>
          <w:noProof/>
          <w:color w:val="000000" w:themeColor="text1"/>
        </w:rPr>
        <w:t xml:space="preserve">IMPs to patients and improves trial design, execution and oversight. It introduces regulatory sandboxes to test innovative approaches and establishes a single legal basis under the requirements of the GDPR for processing of personal data to provide legal clarity and streamline multinational trials. </w:t>
      </w:r>
    </w:p>
    <w:p w14:paraId="10552DBE" w14:textId="6F2FD603" w:rsidR="005E0D68" w:rsidRPr="001253EC" w:rsidRDefault="005E0D68" w:rsidP="00430713">
      <w:pPr>
        <w:pStyle w:val="Text2"/>
        <w:numPr>
          <w:ilvl w:val="0"/>
          <w:numId w:val="7"/>
        </w:numPr>
        <w:rPr>
          <w:b/>
          <w:bCs/>
          <w:noProof/>
          <w:color w:val="000000" w:themeColor="text1"/>
        </w:rPr>
      </w:pPr>
      <w:r w:rsidRPr="001253EC">
        <w:rPr>
          <w:b/>
          <w:bCs/>
          <w:noProof/>
          <w:color w:val="000000" w:themeColor="text1"/>
        </w:rPr>
        <w:t>Governance and Enforcement</w:t>
      </w:r>
    </w:p>
    <w:p w14:paraId="2EC87FF5" w14:textId="6299D784" w:rsidR="005E0D68" w:rsidRPr="001253EC" w:rsidRDefault="005E0D68" w:rsidP="001253EC">
      <w:pPr>
        <w:pBdr>
          <w:top w:val="nil"/>
          <w:left w:val="nil"/>
          <w:bottom w:val="nil"/>
          <w:right w:val="nil"/>
          <w:between w:val="nil"/>
        </w:pBdr>
        <w:rPr>
          <w:rFonts w:eastAsia="Times New Roman"/>
          <w:noProof/>
          <w:color w:val="000000" w:themeColor="text1"/>
        </w:rPr>
      </w:pPr>
      <w:r w:rsidRPr="001253EC">
        <w:rPr>
          <w:rFonts w:eastAsia="Times New Roman"/>
          <w:noProof/>
          <w:color w:val="000000" w:themeColor="text1"/>
        </w:rPr>
        <w:t xml:space="preserve">The proposal strengthens EU governance by improving cooperation among Member States’ authorities and Ethics Committees </w:t>
      </w:r>
      <w:r w:rsidR="00083C24">
        <w:rPr>
          <w:rFonts w:eastAsia="Times New Roman"/>
          <w:noProof/>
          <w:color w:val="000000" w:themeColor="text1"/>
        </w:rPr>
        <w:t>by</w:t>
      </w:r>
      <w:r w:rsidRPr="001253EC">
        <w:rPr>
          <w:rFonts w:eastAsia="Times New Roman"/>
          <w:noProof/>
          <w:color w:val="000000" w:themeColor="text1"/>
        </w:rPr>
        <w:t xml:space="preserve"> expand</w:t>
      </w:r>
      <w:r w:rsidR="00083C24">
        <w:rPr>
          <w:rFonts w:eastAsia="Times New Roman"/>
          <w:noProof/>
          <w:color w:val="000000" w:themeColor="text1"/>
        </w:rPr>
        <w:t>ing the</w:t>
      </w:r>
      <w:r w:rsidRPr="001253EC">
        <w:rPr>
          <w:rFonts w:eastAsia="Times New Roman"/>
          <w:noProof/>
          <w:color w:val="000000" w:themeColor="text1"/>
        </w:rPr>
        <w:t xml:space="preserve"> role for the Clinical Trials Coordination and Advisory Group. National competent authorities and ethics committees must have sufficient personnel and resources to perform assessments. National competent authorities gain stronger inspection powers, including unannounced and joint inspections, which may be delegated to other Member States or agencies. Harmonised guidelines standardise IMP distribution oversight. The Commission can verify compliance within the EU and assess whether </w:t>
      </w:r>
      <w:r w:rsidR="00C91433">
        <w:rPr>
          <w:rFonts w:eastAsia="Times New Roman"/>
          <w:noProof/>
          <w:color w:val="000000" w:themeColor="text1"/>
        </w:rPr>
        <w:t>clinical trial</w:t>
      </w:r>
      <w:r w:rsidR="00EB4609">
        <w:rPr>
          <w:rFonts w:eastAsia="Times New Roman"/>
          <w:noProof/>
          <w:color w:val="000000" w:themeColor="text1"/>
        </w:rPr>
        <w:t>s</w:t>
      </w:r>
      <w:r w:rsidRPr="001253EC">
        <w:rPr>
          <w:rFonts w:eastAsia="Times New Roman"/>
          <w:noProof/>
          <w:color w:val="000000" w:themeColor="text1"/>
        </w:rPr>
        <w:t xml:space="preserve"> outside the EU meet good clinical practice and ethical standards.</w:t>
      </w:r>
    </w:p>
    <w:p w14:paraId="11F34B29" w14:textId="00DEAF0C" w:rsidR="00677F74" w:rsidRPr="0025340A" w:rsidRDefault="00837EF1" w:rsidP="004F48D9">
      <w:pPr>
        <w:pBdr>
          <w:top w:val="nil"/>
          <w:left w:val="nil"/>
          <w:bottom w:val="nil"/>
          <w:right w:val="nil"/>
          <w:between w:val="nil"/>
        </w:pBdr>
        <w:rPr>
          <w:b/>
          <w:bCs/>
          <w:u w:val="single"/>
        </w:rPr>
      </w:pPr>
      <w:r w:rsidRPr="00514904">
        <w:rPr>
          <w:rFonts w:eastAsia="Times New Roman"/>
          <w:color w:val="000000" w:themeColor="text1"/>
          <w:u w:val="single"/>
          <w:lang w:val="en-IE"/>
        </w:rPr>
        <w:t>E</w:t>
      </w:r>
      <w:r w:rsidR="00574D27" w:rsidRPr="00514904">
        <w:rPr>
          <w:rFonts w:eastAsia="Times New Roman"/>
          <w:color w:val="000000" w:themeColor="text1"/>
          <w:u w:val="single"/>
          <w:lang w:val="en-IE"/>
        </w:rPr>
        <w:t>xpected impacts</w:t>
      </w:r>
      <w:r w:rsidR="00154D11" w:rsidRPr="004F48D9">
        <w:rPr>
          <w:rFonts w:eastAsia="Times New Roman"/>
          <w:noProof/>
          <w:color w:val="000000" w:themeColor="text1"/>
          <w:u w:val="single"/>
          <w:lang w:val="en-IE"/>
        </w:rPr>
        <w:t>:</w:t>
      </w:r>
    </w:p>
    <w:p w14:paraId="3D970FFE" w14:textId="49DC95E4" w:rsidR="00677F74" w:rsidRPr="002362A9" w:rsidRDefault="00677F74" w:rsidP="00677F74">
      <w:r w:rsidRPr="002362A9">
        <w:t xml:space="preserve">The policy </w:t>
      </w:r>
      <w:r w:rsidR="009354A0">
        <w:t>measures</w:t>
      </w:r>
      <w:r w:rsidRPr="002362A9">
        <w:t xml:space="preserve"> outlined </w:t>
      </w:r>
      <w:r w:rsidR="001F1870">
        <w:t>above</w:t>
      </w:r>
      <w:r w:rsidRPr="002362A9">
        <w:t xml:space="preserve"> aim to </w:t>
      </w:r>
      <w:r w:rsidR="00F26C40">
        <w:t>make</w:t>
      </w:r>
      <w:r w:rsidR="00F26C40" w:rsidRPr="002362A9">
        <w:t xml:space="preserve"> </w:t>
      </w:r>
      <w:r w:rsidRPr="002362A9">
        <w:t>the EU</w:t>
      </w:r>
      <w:r w:rsidR="00F26C40">
        <w:t xml:space="preserve"> more</w:t>
      </w:r>
      <w:r w:rsidRPr="002362A9">
        <w:t xml:space="preserve"> attractive</w:t>
      </w:r>
      <w:r w:rsidR="00F26C40">
        <w:t xml:space="preserve"> </w:t>
      </w:r>
      <w:r w:rsidRPr="002362A9">
        <w:t>to sponsors</w:t>
      </w:r>
      <w:r w:rsidR="47B7AC5F">
        <w:t>,</w:t>
      </w:r>
      <w:r w:rsidRPr="002362A9">
        <w:t xml:space="preserve"> </w:t>
      </w:r>
      <w:r w:rsidR="00E61892">
        <w:t>by reducing administrative burden</w:t>
      </w:r>
      <w:r w:rsidR="63923216">
        <w:t xml:space="preserve"> and shorten time to market</w:t>
      </w:r>
      <w:r w:rsidR="045F8EEE">
        <w:t>,</w:t>
      </w:r>
      <w:r w:rsidR="49B3365C">
        <w:t xml:space="preserve"> </w:t>
      </w:r>
      <w:r w:rsidR="2A159448">
        <w:t>thereby</w:t>
      </w:r>
      <w:r>
        <w:t xml:space="preserve"> increas</w:t>
      </w:r>
      <w:r w:rsidR="1C13ECA8">
        <w:t>ing</w:t>
      </w:r>
      <w:r w:rsidRPr="002362A9">
        <w:t xml:space="preserve"> the number of </w:t>
      </w:r>
      <w:r w:rsidR="00A92A04">
        <w:t>clinical trial</w:t>
      </w:r>
      <w:r w:rsidR="00E71166">
        <w:t>s</w:t>
      </w:r>
      <w:r w:rsidRPr="002362A9">
        <w:t xml:space="preserve"> conducted within the </w:t>
      </w:r>
      <w:r w:rsidR="00E71166">
        <w:t>EU</w:t>
      </w:r>
      <w:r w:rsidRPr="002362A9">
        <w:t>. The impact of the regulatory changes is assessed both quantitatively and qualitatively through a two-step procedure</w:t>
      </w:r>
      <w:r w:rsidR="72D71C77">
        <w:t xml:space="preserve"> (Figure 6)</w:t>
      </w:r>
      <w:r>
        <w:t>.</w:t>
      </w:r>
      <w:r w:rsidRPr="002362A9">
        <w:t xml:space="preserve"> First, the expected effect on the total number of </w:t>
      </w:r>
      <w:r w:rsidR="182A0CFB">
        <w:t xml:space="preserve">EU-based </w:t>
      </w:r>
      <w:r w:rsidRPr="002362A9">
        <w:t xml:space="preserve">clinical trials resulting from the simplification and acceleration of the authorisation process </w:t>
      </w:r>
      <w:r w:rsidR="70E3CCA5">
        <w:t xml:space="preserve">and conduct of </w:t>
      </w:r>
      <w:r w:rsidR="00A92A04">
        <w:t>clinical trial</w:t>
      </w:r>
      <w:r w:rsidR="00E71166">
        <w:t>s</w:t>
      </w:r>
      <w:r>
        <w:t xml:space="preserve"> is examined.</w:t>
      </w:r>
      <w:r w:rsidRPr="002362A9">
        <w:t xml:space="preserve"> Second, the broader economic implications and public health benefits arising from the increased number of </w:t>
      </w:r>
      <w:r w:rsidR="00A92A04">
        <w:t>clinical trial</w:t>
      </w:r>
      <w:r w:rsidR="00E71166">
        <w:t>s</w:t>
      </w:r>
      <w:r w:rsidRPr="002362A9">
        <w:t xml:space="preserve"> conducted across Member States are assessed.</w:t>
      </w:r>
    </w:p>
    <w:p w14:paraId="674D45EC" w14:textId="56397063" w:rsidR="00677F74" w:rsidRPr="00DB5DDF" w:rsidRDefault="00677F74" w:rsidP="00677F74">
      <w:pPr>
        <w:rPr>
          <w:b/>
        </w:rPr>
      </w:pPr>
      <w:r w:rsidRPr="0067204A">
        <w:rPr>
          <w:b/>
          <w:bCs/>
          <w:iCs/>
        </w:rPr>
        <w:t xml:space="preserve">Figure </w:t>
      </w:r>
      <w:r w:rsidR="005D364F" w:rsidRPr="0067204A">
        <w:rPr>
          <w:b/>
          <w:bCs/>
          <w:iCs/>
        </w:rPr>
        <w:t>6</w:t>
      </w:r>
      <w:r w:rsidR="007F6487">
        <w:rPr>
          <w:b/>
        </w:rPr>
        <w:t>.</w:t>
      </w:r>
      <w:r w:rsidRPr="00DB5DDF">
        <w:rPr>
          <w:b/>
        </w:rPr>
        <w:t xml:space="preserve"> Schematic illustration of the assessment</w:t>
      </w:r>
      <w:r w:rsidR="46E6C51C" w:rsidRPr="216E281D">
        <w:rPr>
          <w:b/>
          <w:bCs/>
        </w:rPr>
        <w:t xml:space="preserve"> </w:t>
      </w:r>
      <w:r w:rsidR="1AC99D27" w:rsidRPr="110C489E">
        <w:rPr>
          <w:b/>
          <w:bCs/>
        </w:rPr>
        <w:t xml:space="preserve">of possible impacts of the proposed </w:t>
      </w:r>
      <w:r w:rsidR="2843E7DB" w:rsidRPr="112ACB5B">
        <w:rPr>
          <w:b/>
          <w:bCs/>
        </w:rPr>
        <w:t>regulatory changes</w:t>
      </w:r>
      <w:r w:rsidR="1AC99D27" w:rsidRPr="29E7C121">
        <w:rPr>
          <w:b/>
          <w:bCs/>
        </w:rPr>
        <w:t xml:space="preserve"> to the Clinical Trials Regulation</w:t>
      </w:r>
    </w:p>
    <w:p w14:paraId="1A804B33" w14:textId="77777777" w:rsidR="00677F74" w:rsidRDefault="00677F74" w:rsidP="00677F74"/>
    <w:p w14:paraId="46D19C8C" w14:textId="2E7E9764" w:rsidR="00677F74" w:rsidRDefault="00677F74" w:rsidP="00677F74">
      <w:pPr>
        <w:jc w:val="center"/>
      </w:pPr>
      <w:r w:rsidRPr="002F1D8B">
        <w:rPr>
          <w:b/>
          <w:bCs/>
          <w:noProof/>
          <w:u w:val="single"/>
          <w:lang w:val="de-DE" w:eastAsia="de-DE"/>
        </w:rPr>
        <w:drawing>
          <wp:anchor distT="0" distB="0" distL="114300" distR="114300" simplePos="0" relativeHeight="251658240" behindDoc="0" locked="0" layoutInCell="1" allowOverlap="1" wp14:anchorId="6B3454E2" wp14:editId="79D32811">
            <wp:simplePos x="0" y="0"/>
            <wp:positionH relativeFrom="column">
              <wp:posOffset>1006929</wp:posOffset>
            </wp:positionH>
            <wp:positionV relativeFrom="paragraph">
              <wp:posOffset>-1724</wp:posOffset>
            </wp:positionV>
            <wp:extent cx="3932555" cy="591185"/>
            <wp:effectExtent l="0" t="0" r="0" b="0"/>
            <wp:wrapSquare wrapText="bothSides"/>
            <wp:docPr id="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3" cstate="print">
                      <a:extLst>
                        <a:ext uri="{28A0092B-C50C-407E-A947-70E740481C1C}">
                          <a14:useLocalDpi xmlns:a14="http://schemas.microsoft.com/office/drawing/2010/main" val="0"/>
                        </a:ext>
                      </a:extLst>
                    </a:blip>
                    <a:srcRect/>
                    <a:stretch>
                      <a:fillRect/>
                    </a:stretch>
                  </pic:blipFill>
                  <pic:spPr bwMode="auto">
                    <a:xfrm>
                      <a:off x="0" y="0"/>
                      <a:ext cx="3932555" cy="591185"/>
                    </a:xfrm>
                    <a:prstGeom prst="rect">
                      <a:avLst/>
                    </a:prstGeom>
                    <a:noFill/>
                  </pic:spPr>
                </pic:pic>
              </a:graphicData>
            </a:graphic>
          </wp:anchor>
        </w:drawing>
      </w:r>
    </w:p>
    <w:p w14:paraId="726F8976" w14:textId="77777777" w:rsidR="00677F74" w:rsidRDefault="00677F74" w:rsidP="00677F74">
      <w:pPr>
        <w:pStyle w:val="ListParagraph"/>
        <w:rPr>
          <w:b/>
          <w:bCs/>
        </w:rPr>
      </w:pPr>
    </w:p>
    <w:p w14:paraId="3BF97592" w14:textId="77777777" w:rsidR="00677F74" w:rsidRDefault="00677F74" w:rsidP="00677F74">
      <w:pPr>
        <w:pStyle w:val="ListParagraph"/>
        <w:rPr>
          <w:b/>
          <w:bCs/>
        </w:rPr>
      </w:pPr>
    </w:p>
    <w:p w14:paraId="6C2025B2" w14:textId="749960ED" w:rsidR="00677F74" w:rsidRDefault="00677F74" w:rsidP="00677F74">
      <w:pPr>
        <w:rPr>
          <w:b/>
        </w:rPr>
      </w:pPr>
      <w:r w:rsidRPr="002F1D8B">
        <w:rPr>
          <w:b/>
          <w:bCs/>
        </w:rPr>
        <w:t>Step 1 - Expected impact on the number of clinicals run in the EU</w:t>
      </w:r>
    </w:p>
    <w:p w14:paraId="3D4AB8BA" w14:textId="390A64FB" w:rsidR="48ED77AC" w:rsidRPr="00BD422A" w:rsidRDefault="48ED77AC" w:rsidP="004F48D9">
      <w:pPr>
        <w:spacing w:line="257" w:lineRule="auto"/>
        <w:rPr>
          <w:rFonts w:eastAsia="Times New Roman"/>
          <w:lang w:val="en-US"/>
        </w:rPr>
      </w:pPr>
      <w:r w:rsidRPr="00BD422A">
        <w:rPr>
          <w:rFonts w:eastAsia="Times New Roman"/>
          <w:lang w:val="en-US"/>
        </w:rPr>
        <w:t>Faster, more efficient and better coordinated procedures</w:t>
      </w:r>
      <w:r w:rsidR="00F26C40">
        <w:rPr>
          <w:rFonts w:eastAsia="Times New Roman"/>
          <w:lang w:val="en-US"/>
        </w:rPr>
        <w:t>,</w:t>
      </w:r>
      <w:r w:rsidRPr="00BD422A">
        <w:rPr>
          <w:rFonts w:eastAsia="Times New Roman"/>
          <w:lang w:val="en-US"/>
        </w:rPr>
        <w:t xml:space="preserve"> as well as the uptake of AI and digital tools</w:t>
      </w:r>
      <w:r w:rsidRPr="00BD422A">
        <w:rPr>
          <w:rFonts w:eastAsia="Times New Roman"/>
        </w:rPr>
        <w:t xml:space="preserve"> are expected </w:t>
      </w:r>
      <w:r w:rsidRPr="00BD422A">
        <w:rPr>
          <w:rFonts w:eastAsia="Times New Roman"/>
          <w:lang w:val="en-US"/>
        </w:rPr>
        <w:t xml:space="preserve">to increase the number of </w:t>
      </w:r>
      <w:r w:rsidR="00A92A04">
        <w:rPr>
          <w:rFonts w:eastAsia="Times New Roman"/>
          <w:lang w:val="en-US"/>
        </w:rPr>
        <w:t>clinical trial</w:t>
      </w:r>
      <w:r w:rsidR="00F9610C">
        <w:rPr>
          <w:rFonts w:eastAsia="Times New Roman"/>
          <w:lang w:val="en-US"/>
        </w:rPr>
        <w:t>s</w:t>
      </w:r>
      <w:r w:rsidRPr="00BD422A">
        <w:rPr>
          <w:rFonts w:eastAsia="Times New Roman"/>
          <w:lang w:val="en-US"/>
        </w:rPr>
        <w:t xml:space="preserve"> conducted in the EU/EEA</w:t>
      </w:r>
      <w:r w:rsidRPr="00BD422A">
        <w:rPr>
          <w:rFonts w:eastAsia="Times New Roman"/>
          <w:vertAlign w:val="superscript"/>
          <w:lang w:val="en-US"/>
        </w:rPr>
        <w:footnoteReference w:id="179"/>
      </w:r>
      <w:r w:rsidR="008E06E9" w:rsidRPr="008E06E9">
        <w:rPr>
          <w:rFonts w:eastAsia="Times New Roman"/>
          <w:vertAlign w:val="superscript"/>
          <w:lang w:val="en-US"/>
        </w:rPr>
        <w:t>,</w:t>
      </w:r>
      <w:r w:rsidRPr="00BD422A">
        <w:rPr>
          <w:rFonts w:eastAsia="Times New Roman"/>
          <w:vertAlign w:val="superscript"/>
          <w:lang w:val="en-US"/>
        </w:rPr>
        <w:footnoteReference w:id="180"/>
      </w:r>
      <w:r w:rsidRPr="00BD422A">
        <w:rPr>
          <w:rFonts w:eastAsia="Times New Roman"/>
          <w:lang w:val="en-US"/>
        </w:rPr>
        <w:t xml:space="preserve"> </w:t>
      </w:r>
      <w:r w:rsidRPr="00BD422A">
        <w:rPr>
          <w:rFonts w:eastAsia="Times New Roman"/>
        </w:rPr>
        <w:t>and encourage participation by a wider set of Member States. This can reduce current concentration in a few jurisdictions, level the playing field for SMEs and support a more integrated EU clinical research market.</w:t>
      </w:r>
      <w:r w:rsidRPr="00BD422A">
        <w:rPr>
          <w:rFonts w:eastAsia="Times New Roman"/>
          <w:lang w:val="en-US"/>
        </w:rPr>
        <w:t xml:space="preserve">  </w:t>
      </w:r>
    </w:p>
    <w:p w14:paraId="17CD3E0D" w14:textId="74264CA7" w:rsidR="00677F74" w:rsidRDefault="00677F74" w:rsidP="00677F74">
      <w:pPr>
        <w:rPr>
          <w:rFonts w:eastAsia="Times New Roman"/>
          <w:color w:val="D13438"/>
          <w:sz w:val="22"/>
          <w:szCs w:val="22"/>
          <w:u w:val="single"/>
          <w:lang w:val="en-US"/>
        </w:rPr>
      </w:pPr>
      <w:r w:rsidRPr="002F1D8B">
        <w:t xml:space="preserve">According to </w:t>
      </w:r>
      <w:r w:rsidR="11169E76">
        <w:t>one</w:t>
      </w:r>
      <w:r w:rsidRPr="002F1D8B">
        <w:t xml:space="preserve"> survey with sponsors</w:t>
      </w:r>
      <w:r w:rsidRPr="002F1D8B">
        <w:rPr>
          <w:rStyle w:val="FootnoteReference"/>
        </w:rPr>
        <w:footnoteReference w:id="181"/>
      </w:r>
      <w:r w:rsidRPr="002F1D8B">
        <w:t>, the anticipated increase of clinical trial authorisations for selected individual policy changes lies between 5</w:t>
      </w:r>
      <w:r w:rsidR="00405618">
        <w:t>%</w:t>
      </w:r>
      <w:r w:rsidRPr="002F1D8B">
        <w:t xml:space="preserve"> and </w:t>
      </w:r>
      <w:r>
        <w:t>2</w:t>
      </w:r>
      <w:r w:rsidR="5B4CDCBB">
        <w:t>8</w:t>
      </w:r>
      <w:r w:rsidR="00405618">
        <w:t>%</w:t>
      </w:r>
      <w:r w:rsidR="00F26C40">
        <w:t xml:space="preserve">, </w:t>
      </w:r>
      <w:r w:rsidRPr="002F1D8B">
        <w:t xml:space="preserve">and </w:t>
      </w:r>
      <w:r w:rsidR="00F26C40" w:rsidRPr="002F1D8B">
        <w:t>by 32</w:t>
      </w:r>
      <w:r w:rsidR="00405618">
        <w:t>%</w:t>
      </w:r>
      <w:r w:rsidRPr="002F1D8B">
        <w:t xml:space="preserve"> for a bundled sub-set of policy measures included in the proposed B</w:t>
      </w:r>
      <w:r w:rsidR="00FD285A">
        <w:t>iotech Act</w:t>
      </w:r>
      <w:r w:rsidRPr="002F1D8B">
        <w:rPr>
          <w:rStyle w:val="FootnoteReference"/>
        </w:rPr>
        <w:footnoteReference w:id="182"/>
      </w:r>
      <w:r w:rsidRPr="002F1D8B">
        <w:t xml:space="preserve">. </w:t>
      </w:r>
      <w:r w:rsidR="004A27A0">
        <w:t>A</w:t>
      </w:r>
      <w:r w:rsidR="004A27A0" w:rsidRPr="00DB5DDF">
        <w:t>nother study</w:t>
      </w:r>
      <w:r w:rsidR="009A596E" w:rsidRPr="00DB5DDF">
        <w:t>,</w:t>
      </w:r>
      <w:r w:rsidR="004A27A0" w:rsidRPr="00DB5DDF">
        <w:t xml:space="preserve"> based on</w:t>
      </w:r>
      <w:r w:rsidR="0E86FB35" w:rsidRPr="00DB5DDF">
        <w:t xml:space="preserve"> limited</w:t>
      </w:r>
      <w:r w:rsidR="004A27A0" w:rsidRPr="00DB5DDF">
        <w:t xml:space="preserve"> </w:t>
      </w:r>
      <w:r w:rsidR="74187227" w:rsidRPr="00DB5DDF">
        <w:t>empirical</w:t>
      </w:r>
      <w:r w:rsidR="004A27A0" w:rsidRPr="00DB5DDF">
        <w:t xml:space="preserve"> </w:t>
      </w:r>
      <w:r w:rsidR="007E0C37" w:rsidRPr="00DB5DDF">
        <w:t>evidence</w:t>
      </w:r>
      <w:r w:rsidR="009A596E" w:rsidRPr="00DB5DDF">
        <w:t>,</w:t>
      </w:r>
      <w:r w:rsidR="004F25C4" w:rsidRPr="00DB5DDF">
        <w:t xml:space="preserve"> </w:t>
      </w:r>
      <w:r w:rsidR="00395825" w:rsidRPr="00DB5DDF">
        <w:t xml:space="preserve">suggests </w:t>
      </w:r>
      <w:r w:rsidR="004F25C4" w:rsidRPr="00DB5DDF">
        <w:t>that</w:t>
      </w:r>
      <w:r w:rsidR="00F019B6" w:rsidRPr="00DB5DDF">
        <w:t xml:space="preserve"> the proposed revision of the CTR </w:t>
      </w:r>
      <w:r w:rsidR="00395825" w:rsidRPr="00DB5DDF">
        <w:t>could</w:t>
      </w:r>
      <w:r w:rsidR="00F019B6" w:rsidRPr="00DB5DDF">
        <w:t xml:space="preserve"> increase </w:t>
      </w:r>
      <w:r w:rsidR="00324203" w:rsidRPr="00DB5DDF">
        <w:t>the number of</w:t>
      </w:r>
      <w:r w:rsidR="00F019B6" w:rsidRPr="00DB5DDF">
        <w:t xml:space="preserve"> clinical trials </w:t>
      </w:r>
      <w:r w:rsidR="004A27A0" w:rsidRPr="00DB5DDF">
        <w:t>by</w:t>
      </w:r>
      <w:r w:rsidR="009F5078" w:rsidRPr="00DB5DDF">
        <w:t xml:space="preserve"> on average</w:t>
      </w:r>
      <w:r w:rsidR="004A27A0" w:rsidRPr="00DB5DDF">
        <w:t xml:space="preserve"> </w:t>
      </w:r>
      <w:r w:rsidR="00954DD5" w:rsidRPr="00DB5DDF">
        <w:t>of</w:t>
      </w:r>
      <w:r w:rsidR="004A27A0" w:rsidRPr="00DB5DDF">
        <w:t xml:space="preserve"> 1</w:t>
      </w:r>
      <w:r w:rsidR="00D0795F">
        <w:t>0</w:t>
      </w:r>
      <w:r w:rsidR="00405618">
        <w:t>%</w:t>
      </w:r>
      <w:r w:rsidR="004A27A0" w:rsidRPr="00DB5DDF">
        <w:rPr>
          <w:vertAlign w:val="superscript"/>
        </w:rPr>
        <w:footnoteReference w:id="183"/>
      </w:r>
      <w:r w:rsidR="004A27A0" w:rsidRPr="00DB5DDF">
        <w:t>.</w:t>
      </w:r>
      <w:r w:rsidRPr="002F1D8B">
        <w:t xml:space="preserve"> In addition, sponsors believe that the regulatory change will foster mult</w:t>
      </w:r>
      <w:r>
        <w:t>i</w:t>
      </w:r>
      <w:r w:rsidRPr="002F1D8B">
        <w:t xml:space="preserve">national trials in the EU </w:t>
      </w:r>
      <w:r w:rsidR="00F26C40">
        <w:t>with</w:t>
      </w:r>
      <w:r w:rsidR="00F26C40" w:rsidRPr="002F1D8B">
        <w:t xml:space="preserve"> </w:t>
      </w:r>
      <w:r w:rsidRPr="002F1D8B">
        <w:t>a broader geographic scope</w:t>
      </w:r>
      <w:r>
        <w:t xml:space="preserve"> (see Figure </w:t>
      </w:r>
      <w:r w:rsidR="005D364F">
        <w:t>7</w:t>
      </w:r>
      <w:r w:rsidR="009C6886">
        <w:t>).</w:t>
      </w:r>
    </w:p>
    <w:p w14:paraId="785228F7" w14:textId="29B6A633" w:rsidR="3089F55A" w:rsidRDefault="5E862C15">
      <w:pPr>
        <w:rPr>
          <w:lang w:val="en-US"/>
        </w:rPr>
      </w:pPr>
      <w:r w:rsidRPr="004F48D9">
        <w:rPr>
          <w:rFonts w:eastAsia="Times New Roman"/>
          <w:color w:val="000000" w:themeColor="text1"/>
          <w:lang w:val="en-US"/>
        </w:rPr>
        <w:t>To quantify the economic and public health impact</w:t>
      </w:r>
      <w:r w:rsidR="008B0857">
        <w:rPr>
          <w:rFonts w:eastAsia="Times New Roman"/>
          <w:color w:val="000000" w:themeColor="text1"/>
          <w:lang w:val="en-US"/>
        </w:rPr>
        <w:t>s</w:t>
      </w:r>
      <w:r w:rsidRPr="004F48D9">
        <w:rPr>
          <w:rFonts w:eastAsia="Times New Roman"/>
          <w:color w:val="000000" w:themeColor="text1"/>
          <w:lang w:val="en-US"/>
        </w:rPr>
        <w:t xml:space="preserve"> of the regulatory change, we assume that the number of clinical trials will increase by </w:t>
      </w:r>
      <w:bookmarkStart w:id="194" w:name="_Int_QFj6m11D"/>
      <w:r w:rsidRPr="00BD422A">
        <w:rPr>
          <w:rFonts w:eastAsia="Times New Roman"/>
          <w:lang w:val="en-US"/>
        </w:rPr>
        <w:t>1</w:t>
      </w:r>
      <w:r w:rsidR="0075401E">
        <w:rPr>
          <w:rFonts w:eastAsia="Times New Roman"/>
          <w:lang w:val="en-US"/>
        </w:rPr>
        <w:t>0</w:t>
      </w:r>
      <w:bookmarkEnd w:id="194"/>
      <w:r w:rsidR="00405618">
        <w:rPr>
          <w:rFonts w:eastAsia="Times New Roman"/>
          <w:lang w:val="en-US"/>
        </w:rPr>
        <w:t>%</w:t>
      </w:r>
      <w:r w:rsidRPr="00BD422A">
        <w:rPr>
          <w:rFonts w:eastAsia="Times New Roman"/>
          <w:lang w:val="en-US"/>
        </w:rPr>
        <w:t xml:space="preserve"> to 3</w:t>
      </w:r>
      <w:r w:rsidR="0075401E">
        <w:rPr>
          <w:rFonts w:eastAsia="Times New Roman"/>
          <w:lang w:val="en-US"/>
        </w:rPr>
        <w:t>0</w:t>
      </w:r>
      <w:r w:rsidR="00405618">
        <w:rPr>
          <w:rFonts w:eastAsia="Times New Roman"/>
          <w:lang w:val="en-US"/>
        </w:rPr>
        <w:t>%</w:t>
      </w:r>
      <w:r w:rsidRPr="00BD422A">
        <w:rPr>
          <w:rFonts w:eastAsia="Times New Roman"/>
          <w:lang w:val="en-US"/>
        </w:rPr>
        <w:t xml:space="preserve">. </w:t>
      </w:r>
      <w:r w:rsidR="00ED69BB" w:rsidRPr="009F5885">
        <w:rPr>
          <w:lang w:val="en-US"/>
        </w:rPr>
        <w:t>These estimates draw on two separate studies</w:t>
      </w:r>
      <w:r w:rsidRPr="69A8CCB8">
        <w:rPr>
          <w:rFonts w:eastAsia="Times New Roman"/>
          <w:vertAlign w:val="superscript"/>
          <w:lang w:val="en-US"/>
        </w:rPr>
        <w:footnoteReference w:id="184"/>
      </w:r>
      <w:r w:rsidR="30E760FD" w:rsidRPr="30E74DAE">
        <w:rPr>
          <w:rFonts w:eastAsia="Times New Roman"/>
          <w:lang w:val="en-US"/>
        </w:rPr>
        <w:t>.</w:t>
      </w:r>
      <w:r w:rsidR="0018465F">
        <w:rPr>
          <w:rFonts w:eastAsia="Times New Roman"/>
          <w:lang w:val="en-US"/>
        </w:rPr>
        <w:t xml:space="preserve"> </w:t>
      </w:r>
      <w:r w:rsidR="4C157DAE" w:rsidRPr="30E74DAE">
        <w:rPr>
          <w:rFonts w:eastAsia="Times New Roman"/>
          <w:lang w:val="en-US"/>
        </w:rPr>
        <w:t>The lower bound</w:t>
      </w:r>
      <w:r w:rsidR="009B1620">
        <w:rPr>
          <w:rFonts w:eastAsia="Times New Roman"/>
          <w:lang w:val="en-US"/>
        </w:rPr>
        <w:t xml:space="preserve"> </w:t>
      </w:r>
      <w:r w:rsidR="00E90B96">
        <w:rPr>
          <w:rFonts w:eastAsia="Times New Roman"/>
          <w:lang w:val="en-US"/>
        </w:rPr>
        <w:t>reflects</w:t>
      </w:r>
      <w:r w:rsidR="4C157DAE" w:rsidRPr="30E74DAE">
        <w:rPr>
          <w:rFonts w:eastAsia="Times New Roman"/>
          <w:lang w:val="en-US"/>
        </w:rPr>
        <w:t xml:space="preserve"> the average projected increase in </w:t>
      </w:r>
      <w:r w:rsidR="00C77CC7">
        <w:rPr>
          <w:rFonts w:eastAsia="Times New Roman"/>
          <w:lang w:val="en-US"/>
        </w:rPr>
        <w:t>clinical trial</w:t>
      </w:r>
      <w:r w:rsidR="005E3DBF">
        <w:rPr>
          <w:rFonts w:eastAsia="Times New Roman"/>
          <w:lang w:val="en-US"/>
        </w:rPr>
        <w:t>s</w:t>
      </w:r>
      <w:r w:rsidR="00E721D7">
        <w:rPr>
          <w:rFonts w:eastAsia="Times New Roman"/>
          <w:lang w:val="en-US"/>
        </w:rPr>
        <w:t xml:space="preserve"> </w:t>
      </w:r>
      <w:r w:rsidR="003B0CCB">
        <w:rPr>
          <w:rFonts w:eastAsia="Times New Roman"/>
          <w:lang w:val="en-US"/>
        </w:rPr>
        <w:t>of 1</w:t>
      </w:r>
      <w:r w:rsidR="009A4EAE">
        <w:rPr>
          <w:rFonts w:eastAsia="Times New Roman"/>
          <w:lang w:val="en-US"/>
        </w:rPr>
        <w:t>0</w:t>
      </w:r>
      <w:r w:rsidR="003B0CCB">
        <w:rPr>
          <w:rFonts w:eastAsia="Times New Roman"/>
          <w:lang w:val="en-US"/>
        </w:rPr>
        <w:t>%</w:t>
      </w:r>
      <w:r w:rsidR="23C92A53" w:rsidRPr="6148C756">
        <w:rPr>
          <w:rFonts w:eastAsia="Times New Roman"/>
        </w:rPr>
        <w:t>.</w:t>
      </w:r>
      <w:r w:rsidR="080A1ACC" w:rsidRPr="695A3ECA">
        <w:rPr>
          <w:rStyle w:val="FootnoteReference"/>
          <w:rFonts w:eastAsia="Times New Roman"/>
        </w:rPr>
        <w:t xml:space="preserve"> </w:t>
      </w:r>
      <w:r w:rsidR="00E41B4D" w:rsidRPr="44FE3217">
        <w:rPr>
          <w:rStyle w:val="FootnoteReference"/>
          <w:rFonts w:eastAsia="Times New Roman"/>
          <w:vertAlign w:val="baseline"/>
          <w:lang w:val="en-US"/>
        </w:rPr>
        <w:t>Th</w:t>
      </w:r>
      <w:r w:rsidR="003B0CCB">
        <w:rPr>
          <w:rFonts w:eastAsia="Times New Roman"/>
          <w:lang w:val="en-US"/>
        </w:rPr>
        <w:t>is</w:t>
      </w:r>
      <w:r w:rsidR="00E41B4D" w:rsidRPr="30E74DAE">
        <w:rPr>
          <w:rStyle w:val="FootnoteReference"/>
          <w:rFonts w:eastAsia="Times New Roman"/>
          <w:vertAlign w:val="baseline"/>
          <w:lang w:val="en-US"/>
        </w:rPr>
        <w:t xml:space="preserve"> estimate</w:t>
      </w:r>
      <w:r w:rsidR="306077B3" w:rsidRPr="30E74DAE">
        <w:rPr>
          <w:rStyle w:val="FootnoteReference"/>
          <w:rFonts w:eastAsia="Times New Roman"/>
          <w:vertAlign w:val="baseline"/>
          <w:lang w:val="en-US"/>
        </w:rPr>
        <w:t xml:space="preserve"> </w:t>
      </w:r>
      <w:r w:rsidR="4F034B17" w:rsidRPr="30E74DAE">
        <w:rPr>
          <w:rStyle w:val="FootnoteReference"/>
          <w:rFonts w:eastAsia="Times New Roman"/>
          <w:vertAlign w:val="baseline"/>
          <w:lang w:val="en-US"/>
        </w:rPr>
        <w:t>also</w:t>
      </w:r>
      <w:r w:rsidR="306077B3" w:rsidRPr="30E74DAE">
        <w:rPr>
          <w:rStyle w:val="FootnoteReference"/>
          <w:rFonts w:eastAsia="Times New Roman"/>
          <w:vertAlign w:val="baseline"/>
          <w:lang w:val="en-US"/>
        </w:rPr>
        <w:t xml:space="preserve"> aligns with </w:t>
      </w:r>
      <w:r w:rsidR="7ED23F21" w:rsidRPr="30E74DAE">
        <w:rPr>
          <w:rFonts w:eastAsia="Times New Roman"/>
          <w:lang w:val="en-US"/>
        </w:rPr>
        <w:t xml:space="preserve">the </w:t>
      </w:r>
      <w:r w:rsidRPr="00BD422A">
        <w:rPr>
          <w:rFonts w:eastAsia="Times New Roman"/>
          <w:lang w:val="en-US"/>
        </w:rPr>
        <w:t xml:space="preserve">ACT EU target of having additional 500 multinational clinical trials </w:t>
      </w:r>
      <w:r w:rsidR="162CDD54" w:rsidRPr="00BD422A">
        <w:rPr>
          <w:rFonts w:eastAsia="Times New Roman"/>
          <w:lang w:val="en-US"/>
        </w:rPr>
        <w:t>over</w:t>
      </w:r>
      <w:r w:rsidRPr="00BD422A">
        <w:rPr>
          <w:rFonts w:eastAsia="Times New Roman"/>
          <w:lang w:val="en-US"/>
        </w:rPr>
        <w:t xml:space="preserve"> the next </w:t>
      </w:r>
      <w:r w:rsidR="5A823443" w:rsidRPr="00BD422A">
        <w:rPr>
          <w:rFonts w:eastAsia="Times New Roman"/>
          <w:lang w:val="en-US"/>
        </w:rPr>
        <w:t>five</w:t>
      </w:r>
      <w:r w:rsidR="6713D66D" w:rsidRPr="5CDFDAA8">
        <w:rPr>
          <w:rFonts w:eastAsia="Times New Roman"/>
          <w:lang w:val="en-US"/>
        </w:rPr>
        <w:t xml:space="preserve"> </w:t>
      </w:r>
      <w:r w:rsidRPr="00BD422A">
        <w:rPr>
          <w:rFonts w:eastAsia="Times New Roman"/>
          <w:lang w:val="en-US"/>
        </w:rPr>
        <w:t>years</w:t>
      </w:r>
      <w:r w:rsidRPr="008B0857">
        <w:rPr>
          <w:rFonts w:eastAsia="Times New Roman"/>
          <w:vertAlign w:val="superscript"/>
          <w:lang w:val="en-US"/>
        </w:rPr>
        <w:footnoteReference w:id="185"/>
      </w:r>
      <w:r w:rsidR="5F1EBF79">
        <w:rPr>
          <w:rFonts w:eastAsia="Times New Roman"/>
          <w:lang w:val="en-US"/>
        </w:rPr>
        <w:t>.</w:t>
      </w:r>
      <w:r w:rsidR="007A7763">
        <w:rPr>
          <w:rFonts w:eastAsia="Times New Roman"/>
          <w:lang w:val="en-US"/>
        </w:rPr>
        <w:t xml:space="preserve"> </w:t>
      </w:r>
      <w:r w:rsidR="7DFB9CFC">
        <w:rPr>
          <w:rFonts w:eastAsia="Times New Roman"/>
          <w:lang w:val="en-US"/>
        </w:rPr>
        <w:t>Meanwhile,</w:t>
      </w:r>
      <w:r w:rsidR="007A7763">
        <w:rPr>
          <w:rFonts w:eastAsia="Times New Roman"/>
          <w:lang w:val="en-US"/>
        </w:rPr>
        <w:t xml:space="preserve"> </w:t>
      </w:r>
      <w:r w:rsidRPr="205B6518">
        <w:rPr>
          <w:rFonts w:eastAsia="Times New Roman"/>
          <w:lang w:val="en-US"/>
        </w:rPr>
        <w:t>the upper bound</w:t>
      </w:r>
      <w:r w:rsidRPr="00DB5DDF">
        <w:rPr>
          <w:rFonts w:eastAsia="Times New Roman"/>
        </w:rPr>
        <w:t xml:space="preserve"> </w:t>
      </w:r>
      <w:r w:rsidR="00C6269F">
        <w:rPr>
          <w:rFonts w:eastAsia="Times New Roman"/>
        </w:rPr>
        <w:t xml:space="preserve">is </w:t>
      </w:r>
      <w:r w:rsidR="76ADA1CB" w:rsidRPr="30E74DAE">
        <w:rPr>
          <w:rFonts w:eastAsia="Times New Roman"/>
          <w:color w:val="000000" w:themeColor="text1"/>
          <w:lang w:val="en-US"/>
        </w:rPr>
        <w:t>derived from</w:t>
      </w:r>
      <w:r w:rsidRPr="00DB5DDF">
        <w:rPr>
          <w:rFonts w:eastAsia="Times New Roman"/>
        </w:rPr>
        <w:t xml:space="preserve"> </w:t>
      </w:r>
      <w:r w:rsidR="28508AD1" w:rsidRPr="30E74DAE">
        <w:rPr>
          <w:rFonts w:eastAsia="Times New Roman"/>
        </w:rPr>
        <w:t xml:space="preserve">survey responses </w:t>
      </w:r>
      <w:r w:rsidR="48612D30" w:rsidRPr="30E74DAE">
        <w:rPr>
          <w:rFonts w:eastAsia="Times New Roman"/>
        </w:rPr>
        <w:t xml:space="preserve">collected </w:t>
      </w:r>
      <w:r w:rsidR="28508AD1" w:rsidRPr="30E74DAE">
        <w:rPr>
          <w:rFonts w:eastAsia="Times New Roman"/>
        </w:rPr>
        <w:t xml:space="preserve">from sponsors </w:t>
      </w:r>
      <w:r w:rsidR="718CA298" w:rsidRPr="30E74DAE">
        <w:rPr>
          <w:rFonts w:eastAsia="Times New Roman"/>
        </w:rPr>
        <w:t>as part</w:t>
      </w:r>
      <w:r w:rsidR="28508AD1" w:rsidRPr="30E74DAE">
        <w:rPr>
          <w:rFonts w:eastAsia="Times New Roman"/>
        </w:rPr>
        <w:t xml:space="preserve"> of the </w:t>
      </w:r>
      <w:r w:rsidR="1CF5180A" w:rsidRPr="30E74DAE">
        <w:rPr>
          <w:rFonts w:eastAsia="Times New Roman"/>
        </w:rPr>
        <w:t>second study</w:t>
      </w:r>
      <w:r w:rsidR="00631003">
        <w:rPr>
          <w:rStyle w:val="FootnoteReference"/>
          <w:rFonts w:eastAsia="Times New Roman"/>
        </w:rPr>
        <w:footnoteReference w:id="186"/>
      </w:r>
      <w:r w:rsidR="043F5B9E" w:rsidRPr="5CDFDAA8">
        <w:rPr>
          <w:rFonts w:eastAsia="Times New Roman"/>
        </w:rPr>
        <w:t>.</w:t>
      </w:r>
      <w:r w:rsidR="653AC55E" w:rsidRPr="30E74DAE">
        <w:rPr>
          <w:rFonts w:eastAsia="Times New Roman"/>
        </w:rPr>
        <w:t xml:space="preserve"> The range was selected to reflect the differing findings of the two studies, while accounting for the respective strengths and limitations of each.</w:t>
      </w:r>
      <w:r w:rsidR="00CC0EB3">
        <w:rPr>
          <w:rFonts w:eastAsia="Times New Roman"/>
        </w:rPr>
        <w:t xml:space="preserve"> </w:t>
      </w:r>
      <w:r w:rsidR="00CC0EB3" w:rsidRPr="009F5885">
        <w:rPr>
          <w:lang w:val="en-US"/>
        </w:rPr>
        <w:t xml:space="preserve">The wide disparity in these estimates highlights the challenges in assessing the reform’s impact on </w:t>
      </w:r>
      <w:r w:rsidR="00C77CC7">
        <w:rPr>
          <w:lang w:val="en-US"/>
        </w:rPr>
        <w:t>clinical trial</w:t>
      </w:r>
      <w:r w:rsidR="00CC0EB3" w:rsidRPr="009F5885">
        <w:rPr>
          <w:lang w:val="en-US"/>
        </w:rPr>
        <w:t xml:space="preserve"> activity, given data limitations and inherent uncertainties about future developments. </w:t>
      </w:r>
    </w:p>
    <w:p w14:paraId="15F086F3" w14:textId="6E241580" w:rsidR="00677F74" w:rsidRDefault="00677F74" w:rsidP="00677F74">
      <w:pPr>
        <w:rPr>
          <w:i/>
          <w:iCs/>
        </w:rPr>
      </w:pPr>
      <w:r w:rsidRPr="00A54539">
        <w:rPr>
          <w:b/>
          <w:bCs/>
        </w:rPr>
        <w:t xml:space="preserve">Figure </w:t>
      </w:r>
      <w:r w:rsidR="005D364F" w:rsidRPr="00A54539">
        <w:rPr>
          <w:b/>
          <w:bCs/>
        </w:rPr>
        <w:t>7</w:t>
      </w:r>
      <w:r w:rsidRPr="00A54539">
        <w:rPr>
          <w:b/>
          <w:bCs/>
        </w:rPr>
        <w:t xml:space="preserve">: </w:t>
      </w:r>
      <w:r w:rsidRPr="00DB5DDF">
        <w:rPr>
          <w:b/>
        </w:rPr>
        <w:t>Survey replies from sponsors to the following question:</w:t>
      </w:r>
      <w:r w:rsidRPr="002F1D8B">
        <w:t xml:space="preserve"> “</w:t>
      </w:r>
      <w:r w:rsidRPr="6DD0F4FE">
        <w:rPr>
          <w:i/>
          <w:iCs/>
        </w:rPr>
        <w:t>To what extent would each of the following policies expand the geographic scope of multinational clinical trials in the EU, by increasing the number of participating Member States in a clinical trial in the EU</w:t>
      </w:r>
      <w:r w:rsidRPr="6F476E98">
        <w:rPr>
          <w:i/>
          <w:iCs/>
        </w:rPr>
        <w:t>?</w:t>
      </w:r>
      <w:r w:rsidR="08C048DB" w:rsidRPr="6F476E98">
        <w:rPr>
          <w:i/>
          <w:iCs/>
        </w:rPr>
        <w:t>”</w:t>
      </w:r>
      <w:r w:rsidRPr="6DD0F4FE">
        <w:rPr>
          <w:rStyle w:val="FootnoteReference"/>
          <w:i/>
          <w:iCs/>
        </w:rPr>
        <w:footnoteReference w:id="187"/>
      </w:r>
    </w:p>
    <w:p w14:paraId="10C8323D" w14:textId="1856927F" w:rsidR="00677F74" w:rsidRDefault="00677F74" w:rsidP="00677F74">
      <w:pPr>
        <w:jc w:val="center"/>
        <w:rPr>
          <w:i/>
          <w:iCs/>
        </w:rPr>
      </w:pPr>
      <w:r>
        <w:rPr>
          <w:noProof/>
        </w:rPr>
        <w:drawing>
          <wp:inline distT="0" distB="0" distL="0" distR="0" wp14:anchorId="32DA0651" wp14:editId="34B51D72">
            <wp:extent cx="5248275" cy="3685007"/>
            <wp:effectExtent l="0" t="0" r="0" b="0"/>
            <wp:docPr id="223846784" name="Picture 2" descr="A graph with different colored square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3846784" name="Picture 2" descr="A graph with different colored squares&#10;&#10;AI-generated content may be incorrect."/>
                    <pic:cNvPicPr>
                      <a:picLocks noChangeAspect="1" noChangeArrowheads="1"/>
                    </pic:cNvPicPr>
                  </pic:nvPicPr>
                  <pic:blipFill>
                    <a:blip r:embed="rId24" cstate="print">
                      <a:extLst>
                        <a:ext uri="{28A0092B-C50C-407E-A947-70E740481C1C}">
                          <a14:useLocalDpi xmlns:a14="http://schemas.microsoft.com/office/drawing/2010/main"/>
                        </a:ext>
                      </a:extLst>
                    </a:blip>
                    <a:srcRect/>
                    <a:stretch>
                      <a:fillRect/>
                    </a:stretch>
                  </pic:blipFill>
                  <pic:spPr bwMode="auto">
                    <a:xfrm>
                      <a:off x="0" y="0"/>
                      <a:ext cx="5248275" cy="3685007"/>
                    </a:xfrm>
                    <a:prstGeom prst="rect">
                      <a:avLst/>
                    </a:prstGeom>
                    <a:noFill/>
                    <a:ln>
                      <a:noFill/>
                    </a:ln>
                  </pic:spPr>
                </pic:pic>
              </a:graphicData>
            </a:graphic>
          </wp:inline>
        </w:drawing>
      </w:r>
    </w:p>
    <w:p w14:paraId="6B3C1A6F" w14:textId="77777777" w:rsidR="00677F74" w:rsidRPr="002F1D8B" w:rsidRDefault="00677F74" w:rsidP="00677F74">
      <w:pPr>
        <w:rPr>
          <w:b/>
          <w:iCs/>
        </w:rPr>
      </w:pPr>
      <w:r w:rsidRPr="002F1D8B">
        <w:rPr>
          <w:b/>
          <w:iCs/>
        </w:rPr>
        <w:t>Step 2 – Economic and Public Health Impact</w:t>
      </w:r>
    </w:p>
    <w:p w14:paraId="7BCF1114" w14:textId="2D408537" w:rsidR="00677F74" w:rsidRPr="002C1567" w:rsidRDefault="00677F74" w:rsidP="00677F74">
      <w:r w:rsidRPr="6DD0F4FE">
        <w:t xml:space="preserve">The subsequent section assesses the expected impact of the increase in the number of authorised clinical trials on economic and public health </w:t>
      </w:r>
      <w:r>
        <w:t>outcomes</w:t>
      </w:r>
      <w:r w:rsidRPr="6DD0F4FE">
        <w:t xml:space="preserve">. Economic impacts are evaluated along the following dimensions: competitiveness, </w:t>
      </w:r>
      <w:r w:rsidR="00DB76E3">
        <w:t>g</w:t>
      </w:r>
      <w:r w:rsidR="00DB76E3" w:rsidRPr="6DD0F4FE">
        <w:t>ross</w:t>
      </w:r>
      <w:r w:rsidRPr="6DD0F4FE">
        <w:t>-</w:t>
      </w:r>
      <w:r w:rsidR="00DB76E3">
        <w:t>v</w:t>
      </w:r>
      <w:r w:rsidR="00DB76E3" w:rsidRPr="6DD0F4FE">
        <w:t xml:space="preserve">alue </w:t>
      </w:r>
      <w:r w:rsidR="00DB76E3">
        <w:t>a</w:t>
      </w:r>
      <w:r w:rsidR="00DB76E3" w:rsidRPr="6DD0F4FE">
        <w:t>dded</w:t>
      </w:r>
      <w:r w:rsidRPr="6DD0F4FE">
        <w:t xml:space="preserve"> (GVA), </w:t>
      </w:r>
      <w:r w:rsidR="173F5161">
        <w:t>work productivity,</w:t>
      </w:r>
      <w:r>
        <w:t xml:space="preserve"> </w:t>
      </w:r>
      <w:r w:rsidRPr="6DD0F4FE">
        <w:t>employment, R&amp;D spillovers</w:t>
      </w:r>
      <w:r w:rsidR="00E16C70">
        <w:t xml:space="preserve">, </w:t>
      </w:r>
      <w:r w:rsidRPr="6DD0F4FE">
        <w:t xml:space="preserve">a </w:t>
      </w:r>
      <w:r>
        <w:t>simplified</w:t>
      </w:r>
      <w:r w:rsidRPr="6DD0F4FE">
        <w:t xml:space="preserve"> cost-benefit analysis for sponsors</w:t>
      </w:r>
      <w:r w:rsidR="00E16C70">
        <w:t>,</w:t>
      </w:r>
      <w:r w:rsidRPr="6DD0F4FE">
        <w:t xml:space="preserve"> and </w:t>
      </w:r>
      <w:r w:rsidR="125A3B37">
        <w:t xml:space="preserve">relevant EU and national actors </w:t>
      </w:r>
      <w:r w:rsidRPr="6DD0F4FE">
        <w:t>involved. The public health impact is measured by the expected change in number of enrolled participants and the composition of the participant populations.</w:t>
      </w:r>
    </w:p>
    <w:p w14:paraId="51CF16BD" w14:textId="77777777" w:rsidR="00677F74" w:rsidRPr="002C1567" w:rsidRDefault="00677F74" w:rsidP="00677F74">
      <w:pPr>
        <w:rPr>
          <w:b/>
          <w:bCs/>
          <w:iCs/>
        </w:rPr>
      </w:pPr>
      <w:r w:rsidRPr="002C1567">
        <w:rPr>
          <w:b/>
          <w:bCs/>
          <w:iCs/>
        </w:rPr>
        <w:t>(a) Economic impacts</w:t>
      </w:r>
    </w:p>
    <w:p w14:paraId="10A82ED9" w14:textId="17590C83" w:rsidR="00677F74" w:rsidRDefault="00677F74" w:rsidP="00677F74">
      <w:r w:rsidRPr="002C1567">
        <w:t>Survey responses from sponsors and Member State representatives</w:t>
      </w:r>
      <w:r>
        <w:rPr>
          <w:rStyle w:val="FootnoteReference"/>
        </w:rPr>
        <w:footnoteReference w:id="188"/>
      </w:r>
      <w:r w:rsidRPr="002C1567">
        <w:t xml:space="preserve">, including national competent authorities, </w:t>
      </w:r>
      <w:r>
        <w:t>e</w:t>
      </w:r>
      <w:r w:rsidRPr="002C1567">
        <w:t>thic</w:t>
      </w:r>
      <w:r>
        <w:t>s</w:t>
      </w:r>
      <w:r w:rsidRPr="002C1567">
        <w:t xml:space="preserve"> </w:t>
      </w:r>
      <w:r>
        <w:t>c</w:t>
      </w:r>
      <w:r w:rsidRPr="002C1567">
        <w:t>ommittees and ministrie</w:t>
      </w:r>
      <w:r>
        <w:t>s, suggest that a subset of</w:t>
      </w:r>
      <w:r w:rsidRPr="002C1567">
        <w:t xml:space="preserve"> policy measures introduced in </w:t>
      </w:r>
      <w:r>
        <w:t>am</w:t>
      </w:r>
      <w:r w:rsidRPr="002C1567">
        <w:t xml:space="preserve">endments to the CTR are expected to strengthen the </w:t>
      </w:r>
      <w:r w:rsidR="00073476">
        <w:t>EU’s</w:t>
      </w:r>
      <w:r w:rsidRPr="002C1567">
        <w:t xml:space="preserve"> </w:t>
      </w:r>
      <w:r w:rsidRPr="501D242D">
        <w:rPr>
          <w:b/>
          <w:bCs/>
        </w:rPr>
        <w:t>competitiveness</w:t>
      </w:r>
      <w:r w:rsidRPr="002C1567">
        <w:t xml:space="preserve"> (see Figure </w:t>
      </w:r>
      <w:r w:rsidR="005D364F">
        <w:t>8</w:t>
      </w:r>
      <w:r w:rsidRPr="002C1567">
        <w:t xml:space="preserve">). </w:t>
      </w:r>
    </w:p>
    <w:p w14:paraId="1F19FAAC" w14:textId="369A762F" w:rsidR="00677F74" w:rsidRPr="00D52753" w:rsidRDefault="00677F74" w:rsidP="00677F74">
      <w:pPr>
        <w:rPr>
          <w:noProof/>
          <w:lang w:val="en-US" w:eastAsia="de-DE"/>
        </w:rPr>
      </w:pPr>
      <w:r w:rsidRPr="00A54539">
        <w:rPr>
          <w:b/>
        </w:rPr>
        <w:t xml:space="preserve">Figure </w:t>
      </w:r>
      <w:r w:rsidR="005D364F" w:rsidRPr="00A54539">
        <w:rPr>
          <w:b/>
        </w:rPr>
        <w:t>8</w:t>
      </w:r>
      <w:r w:rsidRPr="00DB5DDF">
        <w:rPr>
          <w:b/>
        </w:rPr>
        <w:t>: Survey replies to the following question</w:t>
      </w:r>
      <w:r w:rsidRPr="002C1567">
        <w:t xml:space="preserve"> “</w:t>
      </w:r>
      <w:r w:rsidRPr="002C1567">
        <w:rPr>
          <w:i/>
          <w:iCs/>
        </w:rPr>
        <w:t>To what extent would the policies increase/decrease the competitiveness of the EU compared to the baseline in terms of, e.g. R&amp;D expenditures in the pharmaceutical sector including revenue for healthcare providers, number of marketing authorisations and patents granted in the EU/EEA, Gross Value Added in the pharmaceutical sector</w:t>
      </w:r>
      <w:r w:rsidRPr="002C1567">
        <w:t>?</w:t>
      </w:r>
      <w:r w:rsidRPr="3E07A6AB">
        <w:rPr>
          <w:vertAlign w:val="superscript"/>
          <w:lang w:val="en-US" w:eastAsia="de-DE"/>
        </w:rPr>
        <w:footnoteReference w:id="189"/>
      </w:r>
    </w:p>
    <w:p w14:paraId="42B26908" w14:textId="38213841" w:rsidR="00677F74" w:rsidRPr="005A3972" w:rsidRDefault="00677F74" w:rsidP="00677F74">
      <w:pPr>
        <w:rPr>
          <w:b/>
          <w:lang w:val="de-DE"/>
        </w:rPr>
      </w:pPr>
      <w:r>
        <w:rPr>
          <w:noProof/>
        </w:rPr>
        <w:drawing>
          <wp:inline distT="0" distB="0" distL="0" distR="0" wp14:anchorId="5C191ABC" wp14:editId="23376F44">
            <wp:extent cx="4953000" cy="3125151"/>
            <wp:effectExtent l="0" t="0" r="0" b="0"/>
            <wp:docPr id="2720547" name="Picture 4" descr="A graph with different colored square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20547" name="Picture 4" descr="A graph with different colored squares&#10;&#10;AI-generated content may be incorrect."/>
                    <pic:cNvPicPr>
                      <a:picLocks noChangeAspect="1" noChangeArrowheads="1"/>
                    </pic:cNvPicPr>
                  </pic:nvPicPr>
                  <pic:blipFill>
                    <a:blip r:embed="rId25" cstate="print">
                      <a:extLst>
                        <a:ext uri="{28A0092B-C50C-407E-A947-70E740481C1C}">
                          <a14:useLocalDpi xmlns:a14="http://schemas.microsoft.com/office/drawing/2010/main"/>
                        </a:ext>
                      </a:extLst>
                    </a:blip>
                    <a:srcRect/>
                    <a:stretch>
                      <a:fillRect/>
                    </a:stretch>
                  </pic:blipFill>
                  <pic:spPr bwMode="auto">
                    <a:xfrm>
                      <a:off x="0" y="0"/>
                      <a:ext cx="4953000" cy="3125151"/>
                    </a:xfrm>
                    <a:prstGeom prst="rect">
                      <a:avLst/>
                    </a:prstGeom>
                    <a:noFill/>
                    <a:ln>
                      <a:noFill/>
                    </a:ln>
                  </pic:spPr>
                </pic:pic>
              </a:graphicData>
            </a:graphic>
          </wp:inline>
        </w:drawing>
      </w:r>
    </w:p>
    <w:p w14:paraId="126C7615" w14:textId="5F8B81B3" w:rsidR="00677F74" w:rsidRDefault="00677F74" w:rsidP="00677F74">
      <w:r w:rsidRPr="00AD73B5">
        <w:rPr>
          <w:noProof/>
        </w:rPr>
        <w:t xml:space="preserve">The </w:t>
      </w:r>
      <w:r w:rsidRPr="6DD0F4FE">
        <w:rPr>
          <w:b/>
          <w:bCs/>
          <w:noProof/>
        </w:rPr>
        <w:t xml:space="preserve">economic impact </w:t>
      </w:r>
      <w:r w:rsidRPr="00AD73B5">
        <w:rPr>
          <w:noProof/>
        </w:rPr>
        <w:t xml:space="preserve">for commercially-sponsored clinical trials is likely to differ from that of non-commercial/academic ones </w:t>
      </w:r>
      <w:r w:rsidRPr="00AD73B5">
        <w:t>due to systematic differences in their characteristics</w:t>
      </w:r>
      <w:r w:rsidRPr="00AD73B5">
        <w:rPr>
          <w:noProof/>
        </w:rPr>
        <w:t>. I</w:t>
      </w:r>
      <w:r w:rsidRPr="00AD73B5">
        <w:t>n particular, 71.5</w:t>
      </w:r>
      <w:r w:rsidR="00405618">
        <w:t>%</w:t>
      </w:r>
      <w:r w:rsidRPr="00AD73B5">
        <w:t xml:space="preserve"> of applications submitted by commercial sponsors involve multinational trials, whereas 85.6</w:t>
      </w:r>
      <w:r w:rsidR="00405618">
        <w:t>%</w:t>
      </w:r>
      <w:r w:rsidRPr="00AD73B5">
        <w:t xml:space="preserve"> of applications submitted by academic sponsors relate to mono</w:t>
      </w:r>
      <w:r w:rsidR="00611DDF">
        <w:t>-</w:t>
      </w:r>
      <w:r w:rsidRPr="00AD73B5">
        <w:t>national trials.</w:t>
      </w:r>
      <w:r w:rsidRPr="00AD73B5">
        <w:rPr>
          <w:rStyle w:val="FootnoteReference"/>
        </w:rPr>
        <w:footnoteReference w:id="190"/>
      </w:r>
      <w:r w:rsidRPr="00AD73B5">
        <w:t xml:space="preserve"> Academic sponsors are also more likely to conduct late-phase clinical trials, particularly post-marketing authorisation trials</w:t>
      </w:r>
      <w:r w:rsidRPr="00AD73B5">
        <w:rPr>
          <w:rStyle w:val="FootnoteReference"/>
        </w:rPr>
        <w:footnoteReference w:id="191"/>
      </w:r>
      <w:r>
        <w:t>,</w:t>
      </w:r>
      <w:r w:rsidRPr="00AD73B5">
        <w:t xml:space="preserve"> which may entail different cost structure</w:t>
      </w:r>
      <w:r>
        <w:t>s</w:t>
      </w:r>
      <w:r w:rsidRPr="00AD73B5">
        <w:rPr>
          <w:rStyle w:val="FootnoteReference"/>
        </w:rPr>
        <w:footnoteReference w:id="192"/>
      </w:r>
      <w:r w:rsidRPr="00AD73B5">
        <w:t xml:space="preserve">. These differences suggest that the economic impacts of commercial and non-commercial clinical trials should be assessed separately. </w:t>
      </w:r>
    </w:p>
    <w:p w14:paraId="65FAB7B4" w14:textId="5CCD689A" w:rsidR="00677F74" w:rsidRDefault="00677F74" w:rsidP="00677F74">
      <w:r w:rsidRPr="00AD73B5">
        <w:t xml:space="preserve">Between January 2022 and January 2025, </w:t>
      </w:r>
      <w:r>
        <w:t>commercial</w:t>
      </w:r>
      <w:r w:rsidRPr="00AD73B5">
        <w:t xml:space="preserve"> trials accounted for 53.1</w:t>
      </w:r>
      <w:r w:rsidR="00405618">
        <w:t>%</w:t>
      </w:r>
      <w:r w:rsidRPr="00AD73B5">
        <w:t xml:space="preserve"> of all clinical trials authorised in the EU.</w:t>
      </w:r>
      <w:r>
        <w:t xml:space="preserve"> Figure </w:t>
      </w:r>
      <w:r w:rsidR="005D364F">
        <w:t>9</w:t>
      </w:r>
      <w:r>
        <w:t xml:space="preserve"> illustrates the incremental benefit for an increase in clinical trials across three economic dimensions, </w:t>
      </w:r>
      <w:r w:rsidRPr="6DD0F4FE">
        <w:rPr>
          <w:i/>
          <w:iCs/>
        </w:rPr>
        <w:t>i.e.</w:t>
      </w:r>
      <w:r>
        <w:t xml:space="preserve"> </w:t>
      </w:r>
      <w:r w:rsidR="00611DDF">
        <w:rPr>
          <w:b/>
          <w:bCs/>
        </w:rPr>
        <w:t>GV</w:t>
      </w:r>
      <w:r w:rsidR="00EC4A45">
        <w:rPr>
          <w:b/>
          <w:bCs/>
        </w:rPr>
        <w:t>A</w:t>
      </w:r>
      <w:r w:rsidRPr="135FF428">
        <w:rPr>
          <w:b/>
          <w:bCs/>
        </w:rPr>
        <w:t>, R&amp;D spill-over and work productivity</w:t>
      </w:r>
      <w:r>
        <w:rPr>
          <w:rStyle w:val="FootnoteReference"/>
        </w:rPr>
        <w:footnoteReference w:id="193"/>
      </w:r>
      <w:r>
        <w:t xml:space="preserve"> assuming an </w:t>
      </w:r>
      <w:r w:rsidRPr="009B6434">
        <w:t xml:space="preserve">increase of </w:t>
      </w:r>
      <w:r>
        <w:t>1</w:t>
      </w:r>
      <w:r w:rsidR="008362A3">
        <w:t>0</w:t>
      </w:r>
      <w:r w:rsidR="00405618">
        <w:t>%</w:t>
      </w:r>
      <w:r w:rsidRPr="009B6434">
        <w:t xml:space="preserve"> or 3</w:t>
      </w:r>
      <w:r w:rsidR="008362A3">
        <w:t>0</w:t>
      </w:r>
      <w:r w:rsidRPr="009B6434">
        <w:t xml:space="preserve">% in commercial clinical trials as a result of the legislative changes proposed in the amendments to the CTR. A </w:t>
      </w:r>
      <w:r>
        <w:t>1</w:t>
      </w:r>
      <w:r w:rsidR="008362A3">
        <w:t>0</w:t>
      </w:r>
      <w:r w:rsidR="00405618">
        <w:t>%</w:t>
      </w:r>
      <w:r w:rsidRPr="009B6434">
        <w:t xml:space="preserve"> increase in clinical trials is estimated to generate approximately </w:t>
      </w:r>
      <w:r w:rsidR="006D0261">
        <w:rPr>
          <w:rStyle w:val="Strong"/>
        </w:rPr>
        <w:t xml:space="preserve">EUR </w:t>
      </w:r>
      <w:r w:rsidR="000C04AB">
        <w:rPr>
          <w:rStyle w:val="Strong"/>
        </w:rPr>
        <w:t>3.</w:t>
      </w:r>
      <w:r w:rsidR="008843AB">
        <w:rPr>
          <w:rStyle w:val="Strong"/>
        </w:rPr>
        <w:t>6</w:t>
      </w:r>
      <w:r w:rsidR="006D0261" w:rsidRPr="00BD422A">
        <w:rPr>
          <w:b/>
        </w:rPr>
        <w:t xml:space="preserve"> </w:t>
      </w:r>
      <w:r w:rsidRPr="69D2D762">
        <w:rPr>
          <w:b/>
          <w:bCs/>
        </w:rPr>
        <w:t>b</w:t>
      </w:r>
      <w:r w:rsidR="006D0261">
        <w:rPr>
          <w:b/>
          <w:bCs/>
        </w:rPr>
        <w:t>illio</w:t>
      </w:r>
      <w:r w:rsidRPr="69D2D762">
        <w:rPr>
          <w:b/>
          <w:bCs/>
        </w:rPr>
        <w:t>n</w:t>
      </w:r>
      <w:r w:rsidRPr="00010ACC">
        <w:rPr>
          <w:rStyle w:val="Strong"/>
        </w:rPr>
        <w:t xml:space="preserve"> </w:t>
      </w:r>
      <w:r w:rsidRPr="009B6434">
        <w:t xml:space="preserve">in economic gains and create </w:t>
      </w:r>
      <w:r w:rsidR="000C04AB">
        <w:t xml:space="preserve">roughly </w:t>
      </w:r>
      <w:r w:rsidR="43673896" w:rsidRPr="00BD422A">
        <w:rPr>
          <w:b/>
        </w:rPr>
        <w:t>1</w:t>
      </w:r>
      <w:r w:rsidR="000C04AB">
        <w:rPr>
          <w:b/>
        </w:rPr>
        <w:t>6</w:t>
      </w:r>
      <w:r w:rsidR="008843AB">
        <w:rPr>
          <w:b/>
        </w:rPr>
        <w:t>,</w:t>
      </w:r>
      <w:r w:rsidR="000C04AB">
        <w:rPr>
          <w:b/>
        </w:rPr>
        <w:t>500</w:t>
      </w:r>
      <w:r w:rsidRPr="135FF428">
        <w:rPr>
          <w:b/>
          <w:bCs/>
        </w:rPr>
        <w:t xml:space="preserve"> additional jobs</w:t>
      </w:r>
      <w:r w:rsidRPr="009B6434">
        <w:t xml:space="preserve"> across the EU, while a 3</w:t>
      </w:r>
      <w:r w:rsidR="000C04AB">
        <w:t>0</w:t>
      </w:r>
      <w:r w:rsidR="00405618">
        <w:t>%</w:t>
      </w:r>
      <w:r w:rsidRPr="009B6434">
        <w:t xml:space="preserve"> increase could result in approximately </w:t>
      </w:r>
      <w:r w:rsidR="140626C4" w:rsidRPr="7E49C426">
        <w:rPr>
          <w:b/>
        </w:rPr>
        <w:t>EUR</w:t>
      </w:r>
      <w:r w:rsidR="00DC72A9" w:rsidRPr="7E49C426">
        <w:rPr>
          <w:b/>
        </w:rPr>
        <w:t xml:space="preserve"> </w:t>
      </w:r>
      <w:r w:rsidR="008843AB">
        <w:rPr>
          <w:b/>
        </w:rPr>
        <w:t>10.7</w:t>
      </w:r>
      <w:r w:rsidR="00DC72A9">
        <w:rPr>
          <w:b/>
          <w:bCs/>
        </w:rPr>
        <w:t xml:space="preserve"> </w:t>
      </w:r>
      <w:r w:rsidRPr="135FF428">
        <w:rPr>
          <w:b/>
          <w:bCs/>
        </w:rPr>
        <w:t>b</w:t>
      </w:r>
      <w:r w:rsidR="00DC72A9">
        <w:rPr>
          <w:b/>
          <w:bCs/>
        </w:rPr>
        <w:t>illio</w:t>
      </w:r>
      <w:r w:rsidRPr="135FF428">
        <w:rPr>
          <w:b/>
          <w:bCs/>
        </w:rPr>
        <w:t xml:space="preserve">n </w:t>
      </w:r>
      <w:r w:rsidRPr="009B6434">
        <w:t>in economic gains and</w:t>
      </w:r>
      <w:r w:rsidRPr="135FF428">
        <w:rPr>
          <w:b/>
          <w:bCs/>
        </w:rPr>
        <w:t xml:space="preserve"> </w:t>
      </w:r>
      <w:r w:rsidR="00AC2D4D">
        <w:rPr>
          <w:b/>
          <w:bCs/>
        </w:rPr>
        <w:t>49,500</w:t>
      </w:r>
      <w:r w:rsidRPr="135FF428">
        <w:rPr>
          <w:b/>
          <w:bCs/>
        </w:rPr>
        <w:t xml:space="preserve"> additional jobs</w:t>
      </w:r>
      <w:r w:rsidRPr="009B6434">
        <w:rPr>
          <w:rStyle w:val="FootnoteReference"/>
        </w:rPr>
        <w:footnoteReference w:id="194"/>
      </w:r>
      <w:r w:rsidRPr="009B6434">
        <w:t>.</w:t>
      </w:r>
    </w:p>
    <w:p w14:paraId="5E665772" w14:textId="366AFF9C" w:rsidR="00677F74" w:rsidRDefault="00677F74" w:rsidP="00677F74">
      <w:pPr>
        <w:rPr>
          <w:noProof/>
        </w:rPr>
      </w:pPr>
      <w:r w:rsidRPr="00A54539">
        <w:rPr>
          <w:b/>
          <w:bCs/>
          <w:noProof/>
        </w:rPr>
        <w:t xml:space="preserve">Figure </w:t>
      </w:r>
      <w:r w:rsidR="005D364F" w:rsidRPr="00A54539">
        <w:rPr>
          <w:b/>
          <w:bCs/>
          <w:noProof/>
        </w:rPr>
        <w:t>9</w:t>
      </w:r>
      <w:r w:rsidR="007F6487">
        <w:rPr>
          <w:b/>
          <w:bCs/>
          <w:noProof/>
        </w:rPr>
        <w:t>.</w:t>
      </w:r>
      <w:r w:rsidRPr="00A54539">
        <w:rPr>
          <w:b/>
          <w:bCs/>
          <w:noProof/>
        </w:rPr>
        <w:t xml:space="preserve"> </w:t>
      </w:r>
      <w:r w:rsidRPr="00DB5DDF">
        <w:rPr>
          <w:b/>
          <w:bCs/>
        </w:rPr>
        <w:t>Economic impacts assuming a 1</w:t>
      </w:r>
      <w:r w:rsidR="00AC2D4D">
        <w:rPr>
          <w:b/>
          <w:bCs/>
        </w:rPr>
        <w:t>0</w:t>
      </w:r>
      <w:r w:rsidR="00405618">
        <w:rPr>
          <w:b/>
          <w:bCs/>
        </w:rPr>
        <w:t>%</w:t>
      </w:r>
      <w:r w:rsidRPr="00DB5DDF">
        <w:rPr>
          <w:b/>
          <w:bCs/>
        </w:rPr>
        <w:t xml:space="preserve"> and 3</w:t>
      </w:r>
      <w:r w:rsidR="00AC2D4D">
        <w:rPr>
          <w:b/>
          <w:bCs/>
        </w:rPr>
        <w:t>0</w:t>
      </w:r>
      <w:r w:rsidR="00405618">
        <w:rPr>
          <w:b/>
          <w:bCs/>
        </w:rPr>
        <w:t>%</w:t>
      </w:r>
      <w:r w:rsidRPr="00DB5DDF">
        <w:rPr>
          <w:b/>
          <w:bCs/>
        </w:rPr>
        <w:t xml:space="preserve"> increase in commercial clin</w:t>
      </w:r>
      <w:r w:rsidR="00E34BB1" w:rsidRPr="006AFD62">
        <w:rPr>
          <w:b/>
          <w:bCs/>
        </w:rPr>
        <w:t>i</w:t>
      </w:r>
      <w:r w:rsidRPr="00DB5DDF">
        <w:rPr>
          <w:b/>
          <w:bCs/>
        </w:rPr>
        <w:t>cal trials</w:t>
      </w:r>
      <w:r w:rsidR="00A54539">
        <w:rPr>
          <w:rStyle w:val="FootnoteReference"/>
          <w:b/>
          <w:bCs/>
          <w:noProof/>
        </w:rPr>
        <w:footnoteReference w:id="195"/>
      </w:r>
      <w:r w:rsidRPr="135FF428">
        <w:rPr>
          <w:b/>
          <w:bCs/>
          <w:noProof/>
        </w:rPr>
        <w:t xml:space="preserve"> </w:t>
      </w:r>
    </w:p>
    <w:p w14:paraId="6458EF2D" w14:textId="6C948A41" w:rsidR="00B94F25" w:rsidRPr="00B94F25" w:rsidRDefault="00B94F25" w:rsidP="00B94F25">
      <w:pPr>
        <w:rPr>
          <w:lang w:val="de-DE"/>
        </w:rPr>
      </w:pPr>
      <w:r w:rsidRPr="00F16B34">
        <w:rPr>
          <w:rFonts w:eastAsia="Times New Roman"/>
          <w:lang w:val="en-IE" w:eastAsia="de-DE"/>
        </w:rPr>
        <w:t xml:space="preserve"> </w:t>
      </w:r>
      <w:r w:rsidRPr="00B94F25">
        <w:rPr>
          <w:noProof/>
          <w:lang w:val="de-DE"/>
        </w:rPr>
        <w:drawing>
          <wp:inline distT="0" distB="0" distL="0" distR="0" wp14:anchorId="14999E41" wp14:editId="64206064">
            <wp:extent cx="4275760" cy="2997200"/>
            <wp:effectExtent l="0" t="0" r="0" b="0"/>
            <wp:docPr id="1250689454" name="Picture 2" descr="A graph of a bar char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50689454" name="Picture 2" descr="A graph of a bar chart&#10;&#10;AI-generated content may be incorrect."/>
                    <pic:cNvPicPr>
                      <a:picLocks noChangeAspect="1"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bwMode="auto">
                    <a:xfrm>
                      <a:off x="0" y="0"/>
                      <a:ext cx="4281052" cy="3000910"/>
                    </a:xfrm>
                    <a:prstGeom prst="rect">
                      <a:avLst/>
                    </a:prstGeom>
                    <a:noFill/>
                    <a:ln>
                      <a:noFill/>
                    </a:ln>
                  </pic:spPr>
                </pic:pic>
              </a:graphicData>
            </a:graphic>
          </wp:inline>
        </w:drawing>
      </w:r>
    </w:p>
    <w:p w14:paraId="7CC368BF" w14:textId="4F20826A" w:rsidR="00677F74" w:rsidRDefault="00677F74" w:rsidP="00677F74">
      <w:r w:rsidRPr="00831DB4">
        <w:rPr>
          <w:noProof/>
        </w:rPr>
        <w:t>The</w:t>
      </w:r>
      <w:r>
        <w:rPr>
          <w:noProof/>
        </w:rPr>
        <w:t xml:space="preserve"> </w:t>
      </w:r>
      <w:r w:rsidRPr="00831DB4">
        <w:rPr>
          <w:noProof/>
        </w:rPr>
        <w:t>value of non-commercial trials</w:t>
      </w:r>
      <w:r>
        <w:rPr>
          <w:noProof/>
        </w:rPr>
        <w:t xml:space="preserve"> on the economy</w:t>
      </w:r>
      <w:r w:rsidRPr="00831DB4">
        <w:rPr>
          <w:noProof/>
        </w:rPr>
        <w:t xml:space="preserve"> has been recently demonstrated for some regions</w:t>
      </w:r>
      <w:r w:rsidR="000132A0">
        <w:rPr>
          <w:noProof/>
        </w:rPr>
        <w:t xml:space="preserve"> and countries</w:t>
      </w:r>
      <w:r w:rsidRPr="00831DB4">
        <w:rPr>
          <w:noProof/>
        </w:rPr>
        <w:t>, such as the UK</w:t>
      </w:r>
      <w:r w:rsidRPr="00831DB4">
        <w:rPr>
          <w:rStyle w:val="FootnoteReference"/>
          <w:noProof/>
        </w:rPr>
        <w:footnoteReference w:id="196"/>
      </w:r>
      <w:r w:rsidR="00A42ECD">
        <w:rPr>
          <w:noProof/>
        </w:rPr>
        <w:t>.</w:t>
      </w:r>
      <w:r>
        <w:rPr>
          <w:noProof/>
        </w:rPr>
        <w:t xml:space="preserve"> D</w:t>
      </w:r>
      <w:r w:rsidRPr="00831DB4">
        <w:rPr>
          <w:noProof/>
        </w:rPr>
        <w:t xml:space="preserve">ue to a lack of sufficiently robust and comparable data for the EU, this analysis does not attempt to quantify the economic impacts of </w:t>
      </w:r>
      <w:r>
        <w:rPr>
          <w:noProof/>
        </w:rPr>
        <w:t xml:space="preserve">the proposed </w:t>
      </w:r>
      <w:r w:rsidRPr="00831DB4">
        <w:rPr>
          <w:noProof/>
        </w:rPr>
        <w:t xml:space="preserve">regulatory changes for non-commercial  trials. </w:t>
      </w:r>
      <w:r w:rsidRPr="00015FD5">
        <w:rPr>
          <w:noProof/>
        </w:rPr>
        <w:t>Therefore, the estimated economic impacts presented for commercial trials should be considered a lower bound estimate of the overall economic gains associated with the increase in the number of authorised cinical trials.</w:t>
      </w:r>
    </w:p>
    <w:p w14:paraId="78C353E1" w14:textId="0496C98A" w:rsidR="007A43F6" w:rsidRDefault="6891FE0C" w:rsidP="007A43F6">
      <w:r>
        <w:rPr>
          <w:noProof/>
        </w:rPr>
        <w:t>T</w:t>
      </w:r>
      <w:r w:rsidR="00677F74" w:rsidRPr="00594A24">
        <w:rPr>
          <w:noProof/>
        </w:rPr>
        <w:t>he</w:t>
      </w:r>
      <w:r w:rsidR="157F9891" w:rsidRPr="00594A24">
        <w:rPr>
          <w:noProof/>
        </w:rPr>
        <w:t xml:space="preserve"> proposed</w:t>
      </w:r>
      <w:r w:rsidR="00677F74" w:rsidRPr="00594A24">
        <w:rPr>
          <w:noProof/>
        </w:rPr>
        <w:t xml:space="preserve"> regulatory </w:t>
      </w:r>
      <w:r w:rsidR="00677F74" w:rsidRPr="2B03C024">
        <w:rPr>
          <w:noProof/>
        </w:rPr>
        <w:t>changes</w:t>
      </w:r>
      <w:r w:rsidR="00677F74" w:rsidRPr="00594A24">
        <w:rPr>
          <w:noProof/>
        </w:rPr>
        <w:t xml:space="preserve"> are expected</w:t>
      </w:r>
      <w:r w:rsidR="00677F74" w:rsidRPr="00594A24">
        <w:t xml:space="preserve"> to encourage more non-commercial trials</w:t>
      </w:r>
      <w:r w:rsidR="008957C1">
        <w:t xml:space="preserve">, particularly </w:t>
      </w:r>
      <w:r w:rsidR="008957C1" w:rsidRPr="00594A24">
        <w:t>minimal-</w:t>
      </w:r>
      <w:r w:rsidR="008957C1">
        <w:t>intervention</w:t>
      </w:r>
      <w:r w:rsidR="008957C1" w:rsidRPr="00594A24">
        <w:t xml:space="preserve"> and </w:t>
      </w:r>
      <w:r w:rsidR="008957C1">
        <w:t xml:space="preserve">low-intervention trials, </w:t>
      </w:r>
      <w:r w:rsidR="00677F74" w:rsidRPr="00594A24">
        <w:t xml:space="preserve">by simplifying authorisation requirements </w:t>
      </w:r>
      <w:r w:rsidR="004034FD">
        <w:t xml:space="preserve">and </w:t>
      </w:r>
      <w:r w:rsidR="008957C1">
        <w:t>streamlining the</w:t>
      </w:r>
      <w:r w:rsidR="004034FD">
        <w:t xml:space="preserve"> conduct</w:t>
      </w:r>
      <w:r w:rsidR="00677F74" w:rsidRPr="00594A24">
        <w:t xml:space="preserve"> </w:t>
      </w:r>
      <w:r w:rsidR="004034FD">
        <w:t>of</w:t>
      </w:r>
      <w:r w:rsidR="00677F74">
        <w:t xml:space="preserve"> trials typically conducted by academic sponsors</w:t>
      </w:r>
      <w:r w:rsidR="00677F74">
        <w:rPr>
          <w:rStyle w:val="FootnoteReference"/>
        </w:rPr>
        <w:footnoteReference w:id="197"/>
      </w:r>
      <w:r w:rsidR="00677F74">
        <w:t>.</w:t>
      </w:r>
      <w:r w:rsidR="00677F74" w:rsidRPr="00594A24">
        <w:t xml:space="preserve"> </w:t>
      </w:r>
      <w:r w:rsidR="00677F74">
        <w:t>Survey replies support the assumption that the</w:t>
      </w:r>
      <w:r w:rsidR="00D619E3">
        <w:t>se</w:t>
      </w:r>
      <w:r w:rsidR="00677F74">
        <w:t xml:space="preserve"> amendments </w:t>
      </w:r>
      <w:r w:rsidR="00C11593">
        <w:t xml:space="preserve">would </w:t>
      </w:r>
      <w:r w:rsidR="00677F74">
        <w:t xml:space="preserve">reduce </w:t>
      </w:r>
      <w:r w:rsidR="00677F74" w:rsidRPr="00594A24">
        <w:t>adm</w:t>
      </w:r>
      <w:r w:rsidR="00677F74" w:rsidRPr="00AA0736">
        <w:t>inistrative barriers and make academic research easier, including increased availability of</w:t>
      </w:r>
      <w:r w:rsidR="00677F74">
        <w:t xml:space="preserve"> data </w:t>
      </w:r>
      <w:r w:rsidR="00677F74" w:rsidRPr="6DD0F4FE">
        <w:t>from</w:t>
      </w:r>
      <w:r w:rsidR="00677F74" w:rsidRPr="00AA0736">
        <w:t xml:space="preserve"> comparative trial</w:t>
      </w:r>
      <w:r w:rsidR="00677F74">
        <w:t xml:space="preserve"> </w:t>
      </w:r>
      <w:r w:rsidR="00677F74">
        <w:rPr>
          <w:rStyle w:val="FootnoteReference"/>
        </w:rPr>
        <w:footnoteReference w:id="198"/>
      </w:r>
      <w:r w:rsidR="00677F74">
        <w:t xml:space="preserve"> or the Health Technology Assessment (HTA</w:t>
      </w:r>
      <w:r w:rsidR="00677F74" w:rsidRPr="2B03C024">
        <w:t>)</w:t>
      </w:r>
      <w:r w:rsidR="00677F74" w:rsidRPr="6DD0F4FE">
        <w:rPr>
          <w:rStyle w:val="FootnoteReference"/>
        </w:rPr>
        <w:t xml:space="preserve"> </w:t>
      </w:r>
      <w:r w:rsidR="00677F74">
        <w:t>p</w:t>
      </w:r>
      <w:r w:rsidR="00677F74" w:rsidRPr="6DD0F4FE">
        <w:t>rocedure</w:t>
      </w:r>
      <w:r w:rsidR="00677F74" w:rsidRPr="00E27733">
        <w:t>s.</w:t>
      </w:r>
      <w:r w:rsidR="00677F74" w:rsidRPr="6DD0F4FE">
        <w:t xml:space="preserve"> </w:t>
      </w:r>
      <w:r w:rsidR="003E67D8" w:rsidRPr="0047798E">
        <w:rPr>
          <w:lang w:val="en-US"/>
        </w:rPr>
        <w:t>The primary advantages extend beyond the authorisation stage, encompassing risk-proportionate safety reporting, more targeted monitoring, and flexible models for the supply and distribution of investigational medicinal products.</w:t>
      </w:r>
    </w:p>
    <w:p w14:paraId="2CDF2681" w14:textId="6F4F2541" w:rsidR="00311477" w:rsidRDefault="00677F74" w:rsidP="007A43F6">
      <w:pPr>
        <w:rPr>
          <w:rFonts w:eastAsia="Times New Roman"/>
          <w:color w:val="000000" w:themeColor="text1"/>
        </w:rPr>
      </w:pPr>
      <w:r w:rsidRPr="6DD0F4FE">
        <w:rPr>
          <w:rFonts w:eastAsia="Times New Roman"/>
          <w:color w:val="000000" w:themeColor="text1"/>
        </w:rPr>
        <w:t>To assess the efficiency of the amendments proposed to the Clinical Trial Regulation</w:t>
      </w:r>
      <w:r w:rsidR="00D45DE6">
        <w:rPr>
          <w:rFonts w:eastAsia="Times New Roman"/>
          <w:color w:val="000000" w:themeColor="text1"/>
        </w:rPr>
        <w:t>,</w:t>
      </w:r>
      <w:r w:rsidRPr="6DD0F4FE">
        <w:rPr>
          <w:rFonts w:eastAsia="Times New Roman"/>
          <w:color w:val="000000" w:themeColor="text1"/>
        </w:rPr>
        <w:t xml:space="preserve"> a </w:t>
      </w:r>
      <w:r w:rsidRPr="6DD0F4FE">
        <w:rPr>
          <w:rFonts w:eastAsia="Times New Roman"/>
          <w:b/>
          <w:bCs/>
          <w:color w:val="000000" w:themeColor="text1"/>
        </w:rPr>
        <w:t>simplified cost-benefit analysis</w:t>
      </w:r>
      <w:r w:rsidRPr="6DD0F4FE">
        <w:rPr>
          <w:rFonts w:eastAsia="Times New Roman"/>
          <w:color w:val="000000" w:themeColor="text1"/>
        </w:rPr>
        <w:t xml:space="preserve"> has been carried out as part of </w:t>
      </w:r>
      <w:r w:rsidR="00F10CA2">
        <w:rPr>
          <w:rFonts w:eastAsia="Times New Roman"/>
          <w:color w:val="000000" w:themeColor="text1"/>
        </w:rPr>
        <w:t>two</w:t>
      </w:r>
      <w:r w:rsidRPr="6DD0F4FE">
        <w:rPr>
          <w:rFonts w:eastAsia="Times New Roman"/>
          <w:color w:val="000000" w:themeColor="text1"/>
        </w:rPr>
        <w:t xml:space="preserve"> supporting stud</w:t>
      </w:r>
      <w:r w:rsidR="00F10CA2">
        <w:rPr>
          <w:rFonts w:eastAsia="Times New Roman"/>
          <w:color w:val="000000" w:themeColor="text1"/>
        </w:rPr>
        <w:t>ies</w:t>
      </w:r>
      <w:r w:rsidRPr="6DD0F4FE">
        <w:rPr>
          <w:rFonts w:eastAsia="Times New Roman"/>
          <w:color w:val="000000" w:themeColor="text1"/>
        </w:rPr>
        <w:t>. Th</w:t>
      </w:r>
      <w:r w:rsidR="00311477">
        <w:rPr>
          <w:rFonts w:eastAsia="Times New Roman"/>
          <w:color w:val="000000" w:themeColor="text1"/>
        </w:rPr>
        <w:t>e</w:t>
      </w:r>
      <w:r w:rsidRPr="6DD0F4FE">
        <w:rPr>
          <w:rFonts w:eastAsia="Times New Roman"/>
          <w:color w:val="000000" w:themeColor="text1"/>
        </w:rPr>
        <w:t>s</w:t>
      </w:r>
      <w:r w:rsidR="00311477">
        <w:rPr>
          <w:rFonts w:eastAsia="Times New Roman"/>
          <w:color w:val="000000" w:themeColor="text1"/>
        </w:rPr>
        <w:t>e</w:t>
      </w:r>
      <w:r w:rsidRPr="6DD0F4FE">
        <w:rPr>
          <w:rFonts w:eastAsia="Times New Roman"/>
          <w:color w:val="000000" w:themeColor="text1"/>
        </w:rPr>
        <w:t xml:space="preserve"> analys</w:t>
      </w:r>
      <w:r w:rsidR="00311477">
        <w:rPr>
          <w:rFonts w:eastAsia="Times New Roman"/>
          <w:color w:val="000000" w:themeColor="text1"/>
        </w:rPr>
        <w:t>e</w:t>
      </w:r>
      <w:r w:rsidRPr="6DD0F4FE">
        <w:rPr>
          <w:rFonts w:eastAsia="Times New Roman"/>
          <w:color w:val="000000" w:themeColor="text1"/>
        </w:rPr>
        <w:t xml:space="preserve">s provide a broad indication of </w:t>
      </w:r>
      <w:r w:rsidR="00311477">
        <w:rPr>
          <w:rFonts w:eastAsia="Times New Roman"/>
          <w:color w:val="000000" w:themeColor="text1"/>
        </w:rPr>
        <w:t xml:space="preserve">the range </w:t>
      </w:r>
      <w:r w:rsidR="00D461CC">
        <w:rPr>
          <w:rFonts w:eastAsia="Times New Roman"/>
          <w:color w:val="000000" w:themeColor="text1"/>
        </w:rPr>
        <w:t>of</w:t>
      </w:r>
      <w:r w:rsidRPr="6DD0F4FE" w:rsidDel="00311477">
        <w:rPr>
          <w:rFonts w:eastAsia="Times New Roman"/>
          <w:color w:val="000000" w:themeColor="text1"/>
        </w:rPr>
        <w:t xml:space="preserve"> </w:t>
      </w:r>
      <w:r w:rsidRPr="6DD0F4FE">
        <w:rPr>
          <w:rFonts w:eastAsia="Times New Roman"/>
          <w:color w:val="000000" w:themeColor="text1"/>
        </w:rPr>
        <w:t>expected cost savings</w:t>
      </w:r>
      <w:r w:rsidR="00D461CC">
        <w:rPr>
          <w:rFonts w:eastAsia="Times New Roman"/>
          <w:color w:val="000000" w:themeColor="text1"/>
        </w:rPr>
        <w:t xml:space="preserve"> based on different methodologies</w:t>
      </w:r>
      <w:r w:rsidRPr="6DD0F4FE">
        <w:rPr>
          <w:rFonts w:eastAsia="Times New Roman"/>
          <w:color w:val="000000" w:themeColor="text1"/>
        </w:rPr>
        <w:t xml:space="preserve">. </w:t>
      </w:r>
    </w:p>
    <w:p w14:paraId="777B6453" w14:textId="2263A164" w:rsidR="00677F74" w:rsidRDefault="00235362" w:rsidP="00677F74">
      <w:pPr>
        <w:rPr>
          <w:rFonts w:eastAsia="Times New Roman"/>
          <w:color w:val="000000" w:themeColor="text1"/>
        </w:rPr>
      </w:pPr>
      <w:r>
        <w:rPr>
          <w:rFonts w:eastAsia="Times New Roman"/>
          <w:color w:val="000000" w:themeColor="text1"/>
        </w:rPr>
        <w:t>O</w:t>
      </w:r>
      <w:r w:rsidR="00D461CC">
        <w:rPr>
          <w:rFonts w:eastAsia="Times New Roman"/>
          <w:color w:val="000000" w:themeColor="text1"/>
        </w:rPr>
        <w:t xml:space="preserve">ne </w:t>
      </w:r>
      <w:r w:rsidR="000D5741">
        <w:rPr>
          <w:rFonts w:eastAsia="Times New Roman"/>
          <w:color w:val="000000" w:themeColor="text1"/>
        </w:rPr>
        <w:t>study</w:t>
      </w:r>
      <w:r w:rsidR="00677F74" w:rsidRPr="6DD0F4FE">
        <w:rPr>
          <w:rFonts w:eastAsia="Times New Roman"/>
          <w:color w:val="000000" w:themeColor="text1"/>
        </w:rPr>
        <w:t xml:space="preserve"> </w:t>
      </w:r>
      <w:r>
        <w:rPr>
          <w:rFonts w:eastAsia="Times New Roman"/>
          <w:color w:val="000000" w:themeColor="text1"/>
        </w:rPr>
        <w:t>evaluates the impact</w:t>
      </w:r>
      <w:r w:rsidR="00A14C16">
        <w:rPr>
          <w:rFonts w:eastAsia="Times New Roman"/>
          <w:color w:val="000000" w:themeColor="text1"/>
        </w:rPr>
        <w:t>s</w:t>
      </w:r>
      <w:r w:rsidR="00677F74" w:rsidRPr="6DD0F4FE">
        <w:rPr>
          <w:rFonts w:eastAsia="Times New Roman"/>
          <w:color w:val="000000" w:themeColor="text1"/>
        </w:rPr>
        <w:t xml:space="preserve"> </w:t>
      </w:r>
      <w:r w:rsidR="00A17E94">
        <w:rPr>
          <w:rFonts w:eastAsia="Times New Roman"/>
          <w:color w:val="000000" w:themeColor="text1"/>
        </w:rPr>
        <w:t>using</w:t>
      </w:r>
      <w:r w:rsidR="00677F74" w:rsidRPr="6DD0F4FE">
        <w:rPr>
          <w:rFonts w:eastAsia="Times New Roman"/>
          <w:color w:val="000000" w:themeColor="text1"/>
        </w:rPr>
        <w:t xml:space="preserve"> estimates </w:t>
      </w:r>
      <w:r w:rsidR="00A17E94">
        <w:rPr>
          <w:rFonts w:eastAsia="Times New Roman"/>
          <w:color w:val="000000" w:themeColor="text1"/>
        </w:rPr>
        <w:t>from</w:t>
      </w:r>
      <w:r w:rsidR="00677F74" w:rsidRPr="6DD0F4FE">
        <w:rPr>
          <w:rFonts w:eastAsia="Times New Roman"/>
          <w:color w:val="000000" w:themeColor="text1"/>
        </w:rPr>
        <w:t xml:space="preserve"> sponsors and public authorities</w:t>
      </w:r>
      <w:r w:rsidR="00A17E94">
        <w:rPr>
          <w:rFonts w:eastAsia="Times New Roman"/>
          <w:color w:val="000000" w:themeColor="text1"/>
        </w:rPr>
        <w:t>, collected through targeted surveys, on</w:t>
      </w:r>
      <w:r w:rsidR="00677F74" w:rsidRPr="6DD0F4FE">
        <w:rPr>
          <w:rFonts w:eastAsia="Times New Roman"/>
          <w:color w:val="000000" w:themeColor="text1"/>
        </w:rPr>
        <w:t xml:space="preserve"> expected changes in costs and the number of </w:t>
      </w:r>
      <w:r w:rsidR="002202A9">
        <w:rPr>
          <w:rFonts w:eastAsia="Times New Roman"/>
          <w:color w:val="000000" w:themeColor="text1"/>
        </w:rPr>
        <w:t>clinical trial</w:t>
      </w:r>
      <w:r w:rsidR="00A14C16">
        <w:rPr>
          <w:rFonts w:eastAsia="Times New Roman"/>
          <w:color w:val="000000" w:themeColor="text1"/>
        </w:rPr>
        <w:t>s</w:t>
      </w:r>
      <w:r w:rsidR="006A0A65">
        <w:rPr>
          <w:rStyle w:val="FootnoteReference"/>
          <w:rFonts w:eastAsia="Times New Roman"/>
          <w:color w:val="000000" w:themeColor="text1"/>
        </w:rPr>
        <w:footnoteReference w:id="199"/>
      </w:r>
      <w:r w:rsidR="00677F74" w:rsidRPr="6DD0F4FE">
        <w:rPr>
          <w:rFonts w:eastAsia="Times New Roman"/>
          <w:color w:val="000000" w:themeColor="text1"/>
        </w:rPr>
        <w:t xml:space="preserve">. Based on these estimates annual cost savings </w:t>
      </w:r>
      <w:r w:rsidR="000D5741">
        <w:rPr>
          <w:rFonts w:eastAsia="Times New Roman"/>
          <w:color w:val="000000" w:themeColor="text1"/>
        </w:rPr>
        <w:t>for setting up and the conduct of trials</w:t>
      </w:r>
      <w:r w:rsidR="00677F74" w:rsidRPr="6DD0F4FE">
        <w:rPr>
          <w:rFonts w:eastAsia="Times New Roman"/>
          <w:color w:val="000000" w:themeColor="text1"/>
        </w:rPr>
        <w:t xml:space="preserve"> </w:t>
      </w:r>
      <w:r w:rsidR="00D45DE6">
        <w:rPr>
          <w:rFonts w:eastAsia="Times New Roman"/>
          <w:color w:val="000000" w:themeColor="text1"/>
        </w:rPr>
        <w:t>a</w:t>
      </w:r>
      <w:r w:rsidR="005B52D7">
        <w:rPr>
          <w:rFonts w:eastAsia="Times New Roman"/>
          <w:color w:val="000000" w:themeColor="text1"/>
        </w:rPr>
        <w:t>re</w:t>
      </w:r>
      <w:r w:rsidR="00D45DE6" w:rsidRPr="11A982B7">
        <w:rPr>
          <w:rFonts w:eastAsia="Times New Roman"/>
          <w:color w:val="000000" w:themeColor="text1"/>
        </w:rPr>
        <w:t xml:space="preserve"> </w:t>
      </w:r>
      <w:r w:rsidR="00677F74" w:rsidRPr="6DD0F4FE">
        <w:rPr>
          <w:rFonts w:eastAsia="Times New Roman"/>
          <w:color w:val="000000" w:themeColor="text1"/>
        </w:rPr>
        <w:t xml:space="preserve">approximately </w:t>
      </w:r>
      <w:r w:rsidR="00677F74">
        <w:rPr>
          <w:rFonts w:eastAsia="Times New Roman"/>
          <w:color w:val="000000" w:themeColor="text1"/>
        </w:rPr>
        <w:t xml:space="preserve">EUR </w:t>
      </w:r>
      <w:r w:rsidR="00677F74" w:rsidRPr="004F48D9">
        <w:rPr>
          <w:rFonts w:eastAsia="Times New Roman"/>
          <w:color w:val="000000" w:themeColor="text1"/>
        </w:rPr>
        <w:t>1.</w:t>
      </w:r>
      <w:r w:rsidR="4B348967" w:rsidRPr="491AF7A8">
        <w:rPr>
          <w:rFonts w:eastAsia="Times New Roman"/>
          <w:color w:val="000000" w:themeColor="text1"/>
        </w:rPr>
        <w:t>2</w:t>
      </w:r>
      <w:r w:rsidR="7679FD27" w:rsidRPr="491AF7A8">
        <w:rPr>
          <w:rFonts w:eastAsia="Times New Roman"/>
          <w:color w:val="000000" w:themeColor="text1"/>
        </w:rPr>
        <w:t>4</w:t>
      </w:r>
      <w:r w:rsidR="004B5736">
        <w:rPr>
          <w:rFonts w:eastAsia="Times New Roman"/>
          <w:color w:val="000000" w:themeColor="text1"/>
        </w:rPr>
        <w:t xml:space="preserve"> </w:t>
      </w:r>
      <w:r w:rsidR="00677F74" w:rsidRPr="004F48D9">
        <w:rPr>
          <w:rFonts w:eastAsia="Times New Roman"/>
          <w:color w:val="000000" w:themeColor="text1"/>
        </w:rPr>
        <w:t>b</w:t>
      </w:r>
      <w:r w:rsidR="004B5736">
        <w:rPr>
          <w:rFonts w:eastAsia="Times New Roman"/>
          <w:color w:val="000000" w:themeColor="text1"/>
        </w:rPr>
        <w:t>illio</w:t>
      </w:r>
      <w:r w:rsidR="00677F74" w:rsidRPr="004F48D9">
        <w:rPr>
          <w:rFonts w:eastAsia="Times New Roman"/>
          <w:color w:val="000000" w:themeColor="text1"/>
        </w:rPr>
        <w:t>n</w:t>
      </w:r>
      <w:r w:rsidR="00677F74" w:rsidRPr="6DD0F4FE">
        <w:rPr>
          <w:rFonts w:eastAsia="Times New Roman"/>
          <w:color w:val="000000" w:themeColor="text1"/>
        </w:rPr>
        <w:t xml:space="preserve"> for a</w:t>
      </w:r>
      <w:r w:rsidR="00677F74">
        <w:rPr>
          <w:rFonts w:eastAsia="Times New Roman"/>
          <w:color w:val="000000" w:themeColor="text1"/>
        </w:rPr>
        <w:t xml:space="preserve"> subset</w:t>
      </w:r>
      <w:r w:rsidR="00677F74" w:rsidRPr="6DD0F4FE">
        <w:rPr>
          <w:rFonts w:eastAsia="Times New Roman"/>
          <w:color w:val="000000" w:themeColor="text1"/>
        </w:rPr>
        <w:t xml:space="preserve"> of policy </w:t>
      </w:r>
      <w:r w:rsidR="00677F74">
        <w:rPr>
          <w:rFonts w:eastAsia="Times New Roman"/>
          <w:color w:val="000000" w:themeColor="text1"/>
        </w:rPr>
        <w:t xml:space="preserve">measures </w:t>
      </w:r>
      <w:r w:rsidR="00677F74" w:rsidRPr="6DD0F4FE">
        <w:rPr>
          <w:rFonts w:eastAsia="Times New Roman"/>
          <w:color w:val="000000" w:themeColor="text1"/>
        </w:rPr>
        <w:t xml:space="preserve">included in the Commission proposal. However, it </w:t>
      </w:r>
      <w:r w:rsidR="00D45DE6">
        <w:rPr>
          <w:rFonts w:eastAsia="Times New Roman"/>
          <w:color w:val="000000" w:themeColor="text1"/>
        </w:rPr>
        <w:t>should be</w:t>
      </w:r>
      <w:r w:rsidR="00677F74" w:rsidRPr="11A982B7">
        <w:rPr>
          <w:rFonts w:eastAsia="Times New Roman"/>
          <w:color w:val="000000" w:themeColor="text1"/>
        </w:rPr>
        <w:t xml:space="preserve"> note</w:t>
      </w:r>
      <w:r w:rsidR="00D45DE6">
        <w:rPr>
          <w:rFonts w:eastAsia="Times New Roman"/>
          <w:color w:val="000000" w:themeColor="text1"/>
        </w:rPr>
        <w:t>d</w:t>
      </w:r>
      <w:r w:rsidR="00677F74" w:rsidRPr="6DD0F4FE">
        <w:rPr>
          <w:rFonts w:eastAsia="Times New Roman"/>
          <w:color w:val="000000" w:themeColor="text1"/>
        </w:rPr>
        <w:t xml:space="preserve"> that response rates for some survey questions have been low (N&lt;10), which may limit the representativeness of conclusions on cost patterns. The policy measures assessed are largely aligned with, but not identical to, those in the Commission’s proposal</w:t>
      </w:r>
      <w:r w:rsidR="00677F74">
        <w:rPr>
          <w:rFonts w:eastAsia="Times New Roman"/>
          <w:color w:val="000000" w:themeColor="text1"/>
        </w:rPr>
        <w:t>.</w:t>
      </w:r>
      <w:r w:rsidR="00677F74" w:rsidRPr="6DD0F4FE">
        <w:rPr>
          <w:rFonts w:eastAsia="Times New Roman"/>
          <w:color w:val="000000" w:themeColor="text1"/>
        </w:rPr>
        <w:t xml:space="preserve"> </w:t>
      </w:r>
      <w:r w:rsidR="00677F74">
        <w:rPr>
          <w:rFonts w:eastAsia="Times New Roman"/>
          <w:color w:val="000000" w:themeColor="text1"/>
        </w:rPr>
        <w:t>Additionally, not</w:t>
      </w:r>
      <w:r w:rsidR="00677F74" w:rsidRPr="6DD0F4FE">
        <w:rPr>
          <w:rFonts w:eastAsia="Times New Roman"/>
          <w:color w:val="000000" w:themeColor="text1"/>
        </w:rPr>
        <w:t xml:space="preserve"> all</w:t>
      </w:r>
      <w:r w:rsidR="00677F74" w:rsidRPr="11A982B7">
        <w:rPr>
          <w:rFonts w:eastAsia="Times New Roman"/>
          <w:color w:val="000000" w:themeColor="text1"/>
        </w:rPr>
        <w:t xml:space="preserve"> </w:t>
      </w:r>
      <w:r w:rsidR="00D45DE6">
        <w:rPr>
          <w:rFonts w:eastAsia="Times New Roman"/>
          <w:color w:val="000000" w:themeColor="text1"/>
        </w:rPr>
        <w:t>the</w:t>
      </w:r>
      <w:r w:rsidR="00677F74" w:rsidRPr="6DD0F4FE">
        <w:rPr>
          <w:rFonts w:eastAsia="Times New Roman"/>
          <w:color w:val="000000" w:themeColor="text1"/>
        </w:rPr>
        <w:t xml:space="preserve"> proposed changes</w:t>
      </w:r>
      <w:r w:rsidR="00677F74">
        <w:rPr>
          <w:rFonts w:eastAsia="Times New Roman"/>
          <w:color w:val="000000" w:themeColor="text1"/>
        </w:rPr>
        <w:t xml:space="preserve"> are </w:t>
      </w:r>
      <w:r w:rsidR="00C31892">
        <w:rPr>
          <w:rFonts w:eastAsia="Times New Roman"/>
          <w:color w:val="000000" w:themeColor="text1"/>
        </w:rPr>
        <w:t>captured therein</w:t>
      </w:r>
      <w:r w:rsidR="00677F74">
        <w:rPr>
          <w:rFonts w:eastAsia="Times New Roman"/>
          <w:color w:val="000000" w:themeColor="text1"/>
        </w:rPr>
        <w:t xml:space="preserve">, </w:t>
      </w:r>
      <w:r w:rsidR="00D85215">
        <w:rPr>
          <w:rFonts w:eastAsia="Times New Roman"/>
          <w:color w:val="000000" w:themeColor="text1"/>
        </w:rPr>
        <w:t>and those</w:t>
      </w:r>
      <w:r w:rsidR="00677F74">
        <w:rPr>
          <w:rFonts w:eastAsia="Times New Roman"/>
          <w:color w:val="000000" w:themeColor="text1"/>
        </w:rPr>
        <w:t xml:space="preserve"> are expected to have a positive effect on clinical trials in Europe</w:t>
      </w:r>
      <w:r w:rsidR="00677F74" w:rsidRPr="6DD0F4FE">
        <w:rPr>
          <w:rFonts w:eastAsia="Times New Roman"/>
          <w:color w:val="000000" w:themeColor="text1"/>
        </w:rPr>
        <w:t>. Important policy changes</w:t>
      </w:r>
      <w:r w:rsidR="007D608A">
        <w:rPr>
          <w:rFonts w:eastAsia="Times New Roman"/>
          <w:color w:val="000000" w:themeColor="text1"/>
        </w:rPr>
        <w:t>,</w:t>
      </w:r>
      <w:r w:rsidR="00677F74" w:rsidRPr="6DD0F4FE">
        <w:rPr>
          <w:rFonts w:eastAsia="Times New Roman"/>
          <w:color w:val="000000" w:themeColor="text1"/>
        </w:rPr>
        <w:t xml:space="preserve"> such as the introduction of a single assessment procedure for combined studies, the integration of artificial intelligence, and new structures for governance and enforcement measures</w:t>
      </w:r>
      <w:r w:rsidR="007D608A">
        <w:rPr>
          <w:rFonts w:eastAsia="Times New Roman"/>
          <w:color w:val="000000" w:themeColor="text1"/>
        </w:rPr>
        <w:t>,</w:t>
      </w:r>
      <w:r w:rsidR="00677F74" w:rsidRPr="6DD0F4FE">
        <w:rPr>
          <w:rFonts w:eastAsia="Times New Roman"/>
          <w:color w:val="000000" w:themeColor="text1"/>
        </w:rPr>
        <w:t xml:space="preserve"> are not part of the assessment as the survey was designed prior to the finalisation of the </w:t>
      </w:r>
      <w:r w:rsidR="4E927015" w:rsidRPr="798B0AD6">
        <w:rPr>
          <w:rFonts w:eastAsia="Times New Roman"/>
          <w:color w:val="000000" w:themeColor="text1"/>
        </w:rPr>
        <w:t>proposed</w:t>
      </w:r>
      <w:r w:rsidR="00677F74" w:rsidRPr="2AA4D63A">
        <w:rPr>
          <w:rFonts w:eastAsia="Times New Roman"/>
          <w:color w:val="000000" w:themeColor="text1"/>
        </w:rPr>
        <w:t xml:space="preserve"> </w:t>
      </w:r>
      <w:r w:rsidR="00677F74" w:rsidRPr="6DD0F4FE">
        <w:rPr>
          <w:rFonts w:eastAsia="Times New Roman"/>
          <w:color w:val="000000" w:themeColor="text1"/>
        </w:rPr>
        <w:t>amendments. Therefore, the calculations can be used as suggestive evidence rather than precise estimates</w:t>
      </w:r>
      <w:r w:rsidR="00677F74">
        <w:rPr>
          <w:rFonts w:eastAsia="Times New Roman"/>
          <w:color w:val="000000" w:themeColor="text1"/>
        </w:rPr>
        <w:t xml:space="preserve"> of the cost savings</w:t>
      </w:r>
      <w:r w:rsidR="00677F74" w:rsidRPr="6DD0F4FE">
        <w:rPr>
          <w:rFonts w:eastAsia="Times New Roman"/>
          <w:color w:val="000000" w:themeColor="text1"/>
        </w:rPr>
        <w:t>.</w:t>
      </w:r>
    </w:p>
    <w:p w14:paraId="589E6650" w14:textId="0374A633" w:rsidR="008F26EB" w:rsidRDefault="008F26EB" w:rsidP="00677F74">
      <w:pPr>
        <w:rPr>
          <w:rFonts w:eastAsia="Times New Roman"/>
          <w:lang w:val="en-US"/>
        </w:rPr>
      </w:pPr>
      <w:r w:rsidRPr="00DB5DDF">
        <w:rPr>
          <w:rFonts w:eastAsia="Times New Roman"/>
          <w:lang w:val="en-US"/>
        </w:rPr>
        <w:t>The assessment of a second study</w:t>
      </w:r>
      <w:r>
        <w:rPr>
          <w:rStyle w:val="FootnoteReference"/>
          <w:rFonts w:eastAsia="Times New Roman"/>
          <w:lang w:val="en-US"/>
        </w:rPr>
        <w:footnoteReference w:id="200"/>
      </w:r>
      <w:r w:rsidR="00DB5DDF">
        <w:rPr>
          <w:rFonts w:eastAsia="Times New Roman"/>
          <w:lang w:val="en-US"/>
        </w:rPr>
        <w:t xml:space="preserve"> </w:t>
      </w:r>
      <w:r w:rsidRPr="00DB5DDF">
        <w:rPr>
          <w:rFonts w:eastAsia="Times New Roman"/>
          <w:lang w:val="en-US"/>
        </w:rPr>
        <w:t xml:space="preserve">considers the total set of </w:t>
      </w:r>
      <w:r w:rsidR="62FBAE2C" w:rsidRPr="00DB5DDF">
        <w:rPr>
          <w:rFonts w:eastAsia="Times New Roman"/>
          <w:lang w:val="en-US"/>
        </w:rPr>
        <w:t>measures</w:t>
      </w:r>
      <w:r w:rsidRPr="00DB5DDF">
        <w:rPr>
          <w:rFonts w:eastAsia="Times New Roman"/>
          <w:lang w:val="en-US"/>
        </w:rPr>
        <w:t xml:space="preserve"> included in the Commission proposal</w:t>
      </w:r>
      <w:r w:rsidR="00465805">
        <w:rPr>
          <w:rFonts w:eastAsia="Times New Roman"/>
          <w:lang w:val="en-US"/>
        </w:rPr>
        <w:t>. It</w:t>
      </w:r>
      <w:r w:rsidRPr="00DB5DDF">
        <w:rPr>
          <w:rFonts w:eastAsia="Times New Roman"/>
          <w:lang w:val="en-US"/>
        </w:rPr>
        <w:t xml:space="preserve"> estimates direct annual cost-savings for sponsors of</w:t>
      </w:r>
      <w:r w:rsidR="00DB5DDF">
        <w:rPr>
          <w:rFonts w:eastAsia="Times New Roman"/>
          <w:lang w:val="en-US"/>
        </w:rPr>
        <w:t xml:space="preserve"> </w:t>
      </w:r>
      <w:r w:rsidRPr="00DB5DDF">
        <w:rPr>
          <w:rFonts w:eastAsia="Times New Roman"/>
          <w:lang w:val="en-US"/>
        </w:rPr>
        <w:t>approximately</w:t>
      </w:r>
      <w:r w:rsidR="00791C25">
        <w:rPr>
          <w:rFonts w:eastAsia="Times New Roman"/>
          <w:lang w:val="en-US"/>
        </w:rPr>
        <w:t xml:space="preserve"> EUR</w:t>
      </w:r>
      <w:r w:rsidRPr="00DB5DDF">
        <w:rPr>
          <w:rFonts w:eastAsia="Times New Roman"/>
          <w:lang w:val="en-US"/>
        </w:rPr>
        <w:t> </w:t>
      </w:r>
      <w:r w:rsidR="00E66EA7">
        <w:rPr>
          <w:rFonts w:eastAsia="Times New Roman"/>
          <w:lang w:val="en-US"/>
        </w:rPr>
        <w:t>1.5</w:t>
      </w:r>
      <w:r w:rsidR="00CB21E1">
        <w:rPr>
          <w:rFonts w:eastAsia="Times New Roman"/>
          <w:lang w:val="en-US"/>
        </w:rPr>
        <w:t xml:space="preserve"> </w:t>
      </w:r>
      <w:r w:rsidR="00E66EA7">
        <w:rPr>
          <w:rFonts w:eastAsia="Times New Roman"/>
          <w:lang w:val="en-US"/>
        </w:rPr>
        <w:t>b</w:t>
      </w:r>
      <w:r w:rsidR="00CB21E1">
        <w:rPr>
          <w:rFonts w:eastAsia="Times New Roman"/>
          <w:lang w:val="en-US"/>
        </w:rPr>
        <w:t>illio</w:t>
      </w:r>
      <w:r w:rsidR="00E66EA7">
        <w:rPr>
          <w:rFonts w:eastAsia="Times New Roman"/>
          <w:lang w:val="en-US"/>
        </w:rPr>
        <w:t xml:space="preserve">n to </w:t>
      </w:r>
      <w:r w:rsidR="00791C25">
        <w:rPr>
          <w:rFonts w:eastAsia="Times New Roman"/>
          <w:lang w:val="en-US"/>
        </w:rPr>
        <w:t>EUR</w:t>
      </w:r>
      <w:r w:rsidR="00E66EA7">
        <w:rPr>
          <w:rFonts w:eastAsia="Times New Roman"/>
          <w:lang w:val="en-US"/>
        </w:rPr>
        <w:t xml:space="preserve"> </w:t>
      </w:r>
      <w:r w:rsidR="003F0D43">
        <w:rPr>
          <w:rFonts w:eastAsia="Times New Roman"/>
          <w:lang w:val="en-US"/>
        </w:rPr>
        <w:t>3.1</w:t>
      </w:r>
      <w:r w:rsidR="00CB21E1">
        <w:rPr>
          <w:rFonts w:eastAsia="Times New Roman"/>
          <w:lang w:val="en-US"/>
        </w:rPr>
        <w:t xml:space="preserve"> </w:t>
      </w:r>
      <w:r w:rsidR="003F0D43">
        <w:rPr>
          <w:rFonts w:eastAsia="Times New Roman"/>
          <w:lang w:val="en-US"/>
        </w:rPr>
        <w:t>b</w:t>
      </w:r>
      <w:r w:rsidR="00CB21E1">
        <w:rPr>
          <w:rFonts w:eastAsia="Times New Roman"/>
          <w:lang w:val="en-US"/>
        </w:rPr>
        <w:t>illio</w:t>
      </w:r>
      <w:r w:rsidR="003F0D43">
        <w:rPr>
          <w:rFonts w:eastAsia="Times New Roman"/>
          <w:lang w:val="en-US"/>
        </w:rPr>
        <w:t>n</w:t>
      </w:r>
      <w:r w:rsidR="006C0803">
        <w:rPr>
          <w:rFonts w:eastAsia="Times New Roman"/>
          <w:lang w:val="en-US"/>
        </w:rPr>
        <w:t xml:space="preserve"> </w:t>
      </w:r>
      <w:r w:rsidR="002232B9">
        <w:rPr>
          <w:rFonts w:eastAsia="Times New Roman"/>
          <w:lang w:val="en-US"/>
        </w:rPr>
        <w:t>through more effective administration and faster authorisation procedures and ind</w:t>
      </w:r>
      <w:r w:rsidR="002A074F">
        <w:rPr>
          <w:rFonts w:eastAsia="Times New Roman"/>
          <w:lang w:val="en-US"/>
        </w:rPr>
        <w:t xml:space="preserve">irect </w:t>
      </w:r>
      <w:r w:rsidR="00465805">
        <w:rPr>
          <w:rFonts w:eastAsia="Times New Roman"/>
          <w:lang w:val="en-US"/>
        </w:rPr>
        <w:t xml:space="preserve">annual </w:t>
      </w:r>
      <w:r w:rsidR="002A074F">
        <w:rPr>
          <w:rFonts w:eastAsia="Times New Roman"/>
          <w:lang w:val="en-US"/>
        </w:rPr>
        <w:t xml:space="preserve">savings of </w:t>
      </w:r>
      <w:r w:rsidR="00D65809">
        <w:rPr>
          <w:rFonts w:eastAsia="Times New Roman"/>
          <w:lang w:val="en-US"/>
        </w:rPr>
        <w:t xml:space="preserve">equal amounts </w:t>
      </w:r>
      <w:r w:rsidR="00F10718">
        <w:rPr>
          <w:rFonts w:eastAsia="Times New Roman"/>
          <w:lang w:val="en-US"/>
        </w:rPr>
        <w:t xml:space="preserve">through </w:t>
      </w:r>
      <w:r w:rsidR="00465805">
        <w:rPr>
          <w:rFonts w:eastAsia="Times New Roman"/>
          <w:lang w:val="en-US"/>
        </w:rPr>
        <w:t xml:space="preserve">an </w:t>
      </w:r>
      <w:r w:rsidR="00F10718">
        <w:rPr>
          <w:rFonts w:eastAsia="Times New Roman"/>
          <w:lang w:val="en-US"/>
        </w:rPr>
        <w:t>accelerated conduct</w:t>
      </w:r>
      <w:r w:rsidR="006C0803">
        <w:rPr>
          <w:rFonts w:eastAsia="Times New Roman"/>
          <w:lang w:val="en-US"/>
        </w:rPr>
        <w:t xml:space="preserve"> of clinical trials</w:t>
      </w:r>
      <w:r w:rsidR="00F10718">
        <w:rPr>
          <w:rFonts w:eastAsia="Times New Roman"/>
          <w:lang w:val="en-US"/>
        </w:rPr>
        <w:t>.</w:t>
      </w:r>
      <w:r w:rsidRPr="00DB5DDF">
        <w:rPr>
          <w:rFonts w:eastAsia="Times New Roman"/>
          <w:lang w:val="en-US"/>
        </w:rPr>
        <w:t xml:space="preserve"> The calculations are based on the assumptions that the amendments reduce the total costs of a clinical trial by</w:t>
      </w:r>
      <w:r w:rsidR="00DB5DDF">
        <w:rPr>
          <w:rFonts w:eastAsia="Times New Roman"/>
          <w:lang w:val="en-US"/>
        </w:rPr>
        <w:t xml:space="preserve"> </w:t>
      </w:r>
      <w:r w:rsidR="00C34832" w:rsidRPr="006AFD62">
        <w:rPr>
          <w:rFonts w:eastAsia="Times New Roman"/>
          <w:lang w:val="en-US"/>
        </w:rPr>
        <w:t>5</w:t>
      </w:r>
      <w:r w:rsidR="00405618">
        <w:rPr>
          <w:rFonts w:eastAsia="Times New Roman"/>
          <w:lang w:val="en-US"/>
        </w:rPr>
        <w:t>%</w:t>
      </w:r>
      <w:r w:rsidRPr="00DB5DDF">
        <w:rPr>
          <w:rFonts w:eastAsia="Times New Roman"/>
          <w:lang w:val="en-US"/>
        </w:rPr>
        <w:t xml:space="preserve"> due to more effective</w:t>
      </w:r>
      <w:r w:rsidR="00DB5DDF">
        <w:rPr>
          <w:rFonts w:eastAsia="Times New Roman"/>
          <w:lang w:val="en-US"/>
        </w:rPr>
        <w:t xml:space="preserve"> </w:t>
      </w:r>
      <w:r w:rsidRPr="00DB5DDF">
        <w:rPr>
          <w:rFonts w:eastAsia="Times New Roman"/>
          <w:lang w:val="en-US"/>
        </w:rPr>
        <w:t>administration,</w:t>
      </w:r>
      <w:r w:rsidR="00DB5DDF">
        <w:rPr>
          <w:rFonts w:eastAsia="Times New Roman"/>
          <w:lang w:val="en-US"/>
        </w:rPr>
        <w:t xml:space="preserve"> </w:t>
      </w:r>
      <w:r w:rsidRPr="00DB5DDF">
        <w:rPr>
          <w:rFonts w:eastAsia="Times New Roman"/>
          <w:lang w:val="en-US"/>
        </w:rPr>
        <w:t>a clinical trial runs on average</w:t>
      </w:r>
      <w:r w:rsidR="00DB5DDF">
        <w:rPr>
          <w:rFonts w:eastAsia="Times New Roman"/>
          <w:lang w:val="en-US"/>
        </w:rPr>
        <w:t xml:space="preserve"> </w:t>
      </w:r>
      <w:r w:rsidR="0010366F">
        <w:rPr>
          <w:rFonts w:eastAsia="Times New Roman"/>
          <w:lang w:val="en-US"/>
        </w:rPr>
        <w:t>2 to 2.</w:t>
      </w:r>
      <w:r w:rsidR="0010366F" w:rsidRPr="006AFD62">
        <w:rPr>
          <w:rFonts w:eastAsia="Times New Roman"/>
          <w:lang w:val="en-US"/>
        </w:rPr>
        <w:t>5</w:t>
      </w:r>
      <w:r w:rsidR="00DB5DDF">
        <w:rPr>
          <w:rFonts w:eastAsia="Times New Roman"/>
          <w:lang w:val="en-US"/>
        </w:rPr>
        <w:t xml:space="preserve"> </w:t>
      </w:r>
      <w:r w:rsidRPr="00DB5DDF">
        <w:rPr>
          <w:rFonts w:eastAsia="Times New Roman"/>
          <w:lang w:val="en-US"/>
        </w:rPr>
        <w:t>years, the</w:t>
      </w:r>
      <w:r>
        <w:rPr>
          <w:rFonts w:eastAsia="Times New Roman"/>
          <w:lang w:val="en-US"/>
        </w:rPr>
        <w:t xml:space="preserve"> </w:t>
      </w:r>
      <w:r w:rsidR="00766DD8">
        <w:rPr>
          <w:rFonts w:eastAsia="Times New Roman"/>
          <w:lang w:val="en-US"/>
        </w:rPr>
        <w:t>average</w:t>
      </w:r>
      <w:r w:rsidRPr="00DB5DDF">
        <w:rPr>
          <w:rFonts w:eastAsia="Times New Roman"/>
          <w:lang w:val="en-US"/>
        </w:rPr>
        <w:t xml:space="preserve"> costs of a clinical trial amount</w:t>
      </w:r>
      <w:r w:rsidR="00DB5DDF">
        <w:rPr>
          <w:rFonts w:eastAsia="Times New Roman"/>
          <w:lang w:val="en-US"/>
        </w:rPr>
        <w:t xml:space="preserve"> </w:t>
      </w:r>
      <w:r w:rsidR="005A5364">
        <w:rPr>
          <w:rFonts w:eastAsia="Times New Roman"/>
          <w:lang w:val="en-US"/>
        </w:rPr>
        <w:t>EUR 30</w:t>
      </w:r>
      <w:r w:rsidR="00CB21E1">
        <w:rPr>
          <w:rFonts w:eastAsia="Times New Roman"/>
          <w:lang w:val="en-US"/>
        </w:rPr>
        <w:t>-50</w:t>
      </w:r>
      <w:r w:rsidR="005A5364">
        <w:rPr>
          <w:rFonts w:eastAsia="Times New Roman"/>
          <w:lang w:val="en-US"/>
        </w:rPr>
        <w:t xml:space="preserve"> </w:t>
      </w:r>
      <w:r w:rsidR="005A5364" w:rsidRPr="006AFD62">
        <w:rPr>
          <w:rFonts w:eastAsia="Times New Roman"/>
          <w:lang w:val="en-US"/>
        </w:rPr>
        <w:t>million</w:t>
      </w:r>
      <w:r w:rsidR="00F10718">
        <w:rPr>
          <w:rFonts w:eastAsia="Times New Roman"/>
          <w:lang w:val="en-US"/>
        </w:rPr>
        <w:t xml:space="preserve"> and the number of clinical trials remain</w:t>
      </w:r>
      <w:r w:rsidR="00465805">
        <w:rPr>
          <w:rFonts w:eastAsia="Times New Roman"/>
          <w:lang w:val="en-US"/>
        </w:rPr>
        <w:t>s unchanged.</w:t>
      </w:r>
      <w:r w:rsidR="003109CD">
        <w:rPr>
          <w:rFonts w:eastAsia="Times New Roman"/>
          <w:lang w:val="en-US"/>
        </w:rPr>
        <w:t xml:space="preserve"> It is to </w:t>
      </w:r>
      <w:r w:rsidR="00901B50">
        <w:rPr>
          <w:rFonts w:eastAsia="Times New Roman"/>
          <w:lang w:val="en-US"/>
        </w:rPr>
        <w:t xml:space="preserve">be </w:t>
      </w:r>
      <w:r w:rsidR="003109CD">
        <w:rPr>
          <w:rFonts w:eastAsia="Times New Roman"/>
          <w:lang w:val="en-US"/>
        </w:rPr>
        <w:t>note</w:t>
      </w:r>
      <w:r w:rsidR="00901B50">
        <w:rPr>
          <w:rFonts w:eastAsia="Times New Roman"/>
          <w:lang w:val="en-US"/>
        </w:rPr>
        <w:t>d</w:t>
      </w:r>
      <w:r w:rsidR="003109CD">
        <w:rPr>
          <w:rFonts w:eastAsia="Times New Roman"/>
          <w:lang w:val="en-US"/>
        </w:rPr>
        <w:t xml:space="preserve"> that</w:t>
      </w:r>
      <w:r w:rsidR="73CB2461">
        <w:rPr>
          <w:rFonts w:eastAsia="Times New Roman"/>
          <w:lang w:val="en-US"/>
        </w:rPr>
        <w:t xml:space="preserve"> </w:t>
      </w:r>
      <w:r w:rsidR="00901B50">
        <w:rPr>
          <w:rFonts w:eastAsia="Times New Roman"/>
          <w:lang w:val="en-US"/>
        </w:rPr>
        <w:t xml:space="preserve">the </w:t>
      </w:r>
      <w:r w:rsidR="73CB2461">
        <w:rPr>
          <w:rFonts w:eastAsia="Times New Roman"/>
          <w:lang w:val="en-US"/>
        </w:rPr>
        <w:t>limited</w:t>
      </w:r>
      <w:r w:rsidR="00DA6535">
        <w:rPr>
          <w:rFonts w:eastAsia="Times New Roman"/>
          <w:lang w:val="en-US"/>
        </w:rPr>
        <w:t xml:space="preserve"> data availability on the average costs of a clinical trial may substantially impact the estimated cost reductions due to the </w:t>
      </w:r>
      <w:r w:rsidR="47BD06FE">
        <w:rPr>
          <w:rFonts w:eastAsia="Times New Roman"/>
          <w:lang w:val="en-US"/>
        </w:rPr>
        <w:t>proposed</w:t>
      </w:r>
      <w:r w:rsidR="00DA6535">
        <w:rPr>
          <w:rFonts w:eastAsia="Times New Roman"/>
          <w:lang w:val="en-US"/>
        </w:rPr>
        <w:t xml:space="preserve"> regulatory change</w:t>
      </w:r>
      <w:r w:rsidR="00901B50">
        <w:rPr>
          <w:rFonts w:eastAsia="Times New Roman"/>
          <w:lang w:val="en-US"/>
        </w:rPr>
        <w:t>s</w:t>
      </w:r>
      <w:r w:rsidR="00DA6535" w:rsidRPr="006AFD62">
        <w:rPr>
          <w:rFonts w:eastAsia="Times New Roman"/>
          <w:lang w:val="en-US"/>
        </w:rPr>
        <w:t>.</w:t>
      </w:r>
    </w:p>
    <w:p w14:paraId="2C15A54F" w14:textId="77777777" w:rsidR="00911B0A" w:rsidRPr="008F26EB" w:rsidRDefault="00911B0A" w:rsidP="00677F74">
      <w:pPr>
        <w:rPr>
          <w:rFonts w:eastAsia="Times New Roman"/>
        </w:rPr>
      </w:pPr>
    </w:p>
    <w:p w14:paraId="53C4BB10" w14:textId="77777777" w:rsidR="00677F74" w:rsidRDefault="00677F74" w:rsidP="00677F74">
      <w:pPr>
        <w:ind w:left="360"/>
        <w:rPr>
          <w:rFonts w:eastAsia="Times New Roman"/>
          <w:b/>
          <w:bCs/>
        </w:rPr>
      </w:pPr>
      <w:r w:rsidRPr="135FF428">
        <w:rPr>
          <w:rFonts w:eastAsia="Times New Roman"/>
          <w:b/>
          <w:bCs/>
        </w:rPr>
        <w:t xml:space="preserve"> (b) Expected Impact on Public Health</w:t>
      </w:r>
    </w:p>
    <w:p w14:paraId="3D4938D8" w14:textId="6FB80D03" w:rsidR="00677F74" w:rsidRPr="00F06A85" w:rsidRDefault="00677F74" w:rsidP="00677F74">
      <w:r w:rsidRPr="6DD0F4FE">
        <w:t>Clinical trials provide</w:t>
      </w:r>
      <w:r w:rsidRPr="00035E40">
        <w:t xml:space="preserve"> early access to innovative treatments for European patients</w:t>
      </w:r>
      <w:r w:rsidR="0032285F">
        <w:t>,</w:t>
      </w:r>
      <w:r w:rsidRPr="00035E40">
        <w:t xml:space="preserve"> up to </w:t>
      </w:r>
      <w:r w:rsidR="07C52C1F" w:rsidRPr="00035E40">
        <w:t>five</w:t>
      </w:r>
      <w:r w:rsidRPr="00035E40">
        <w:t xml:space="preserve"> to </w:t>
      </w:r>
      <w:r w:rsidR="4107C434" w:rsidRPr="00035E40">
        <w:t>ten</w:t>
      </w:r>
      <w:r w:rsidRPr="00035E40">
        <w:t xml:space="preserve"> years before the commercial launch. In the case of rare diseases, clinical trials often present the only available treatment option for patients</w:t>
      </w:r>
      <w:r>
        <w:rPr>
          <w:rStyle w:val="FootnoteReference"/>
        </w:rPr>
        <w:footnoteReference w:id="201"/>
      </w:r>
      <w:r w:rsidRPr="00035E40">
        <w:t xml:space="preserve">. </w:t>
      </w:r>
      <w:r>
        <w:t xml:space="preserve">In this context, </w:t>
      </w:r>
      <w:r w:rsidR="00EA4B85">
        <w:t>a crucial indicator is</w:t>
      </w:r>
      <w:r>
        <w:t xml:space="preserve"> not only the number of clinical trials conducted but also the number of participants enrolled in those trials</w:t>
      </w:r>
      <w:r w:rsidR="00EA4B85">
        <w:t>.</w:t>
      </w:r>
      <w:r>
        <w:t xml:space="preserve"> </w:t>
      </w:r>
    </w:p>
    <w:p w14:paraId="3D167CC1" w14:textId="4C86A855" w:rsidR="00677F74" w:rsidRPr="004F48D9" w:rsidRDefault="00677F74" w:rsidP="00677F74">
      <w:pPr>
        <w:rPr>
          <w:rFonts w:eastAsia="Times New Roman"/>
        </w:rPr>
      </w:pPr>
      <w:r w:rsidRPr="004F48D9">
        <w:rPr>
          <w:rFonts w:eastAsia="Times New Roman"/>
        </w:rPr>
        <w:t xml:space="preserve">Between 2023 and 2025, the estimated average annual number of </w:t>
      </w:r>
      <w:r w:rsidR="00960A85">
        <w:rPr>
          <w:rFonts w:eastAsia="Times New Roman"/>
        </w:rPr>
        <w:t xml:space="preserve">newly enrolled </w:t>
      </w:r>
      <w:r w:rsidRPr="004F48D9">
        <w:rPr>
          <w:rFonts w:eastAsia="Times New Roman"/>
        </w:rPr>
        <w:t>participants</w:t>
      </w:r>
      <w:r w:rsidR="00E25CD9">
        <w:rPr>
          <w:rFonts w:eastAsia="Times New Roman"/>
        </w:rPr>
        <w:t xml:space="preserve"> wa</w:t>
      </w:r>
      <w:r w:rsidRPr="004F48D9">
        <w:rPr>
          <w:rFonts w:eastAsia="Times New Roman"/>
        </w:rPr>
        <w:t>s 163,643 for commercial trials and 341,632 for non-commercial trials</w:t>
      </w:r>
      <w:r w:rsidRPr="008931A5">
        <w:rPr>
          <w:rStyle w:val="FootnoteReference"/>
        </w:rPr>
        <w:footnoteReference w:id="202"/>
      </w:r>
      <w:r w:rsidR="009030F1">
        <w:rPr>
          <w:rFonts w:eastAsia="Times New Roman"/>
        </w:rPr>
        <w:t>.</w:t>
      </w:r>
      <w:r w:rsidRPr="004F48D9">
        <w:rPr>
          <w:rFonts w:eastAsia="Times New Roman"/>
        </w:rPr>
        <w:t xml:space="preserve">  </w:t>
      </w:r>
      <w:r w:rsidR="00E65149">
        <w:rPr>
          <w:rFonts w:eastAsia="Times New Roman"/>
        </w:rPr>
        <w:t>A</w:t>
      </w:r>
      <w:r w:rsidRPr="004F48D9">
        <w:rPr>
          <w:rFonts w:eastAsia="Times New Roman"/>
        </w:rPr>
        <w:t>ssuming a 1</w:t>
      </w:r>
      <w:r w:rsidR="00D268B7">
        <w:rPr>
          <w:rFonts w:eastAsia="Times New Roman"/>
        </w:rPr>
        <w:t>0</w:t>
      </w:r>
      <w:r w:rsidR="00405618">
        <w:rPr>
          <w:rFonts w:eastAsia="Times New Roman"/>
        </w:rPr>
        <w:t>%</w:t>
      </w:r>
      <w:r w:rsidRPr="004F48D9">
        <w:rPr>
          <w:rFonts w:eastAsia="Times New Roman"/>
        </w:rPr>
        <w:t xml:space="preserve"> </w:t>
      </w:r>
      <w:r w:rsidR="00E65149">
        <w:rPr>
          <w:rFonts w:eastAsia="Times New Roman"/>
        </w:rPr>
        <w:t>to</w:t>
      </w:r>
      <w:r w:rsidRPr="004F48D9">
        <w:rPr>
          <w:rFonts w:eastAsia="Times New Roman"/>
        </w:rPr>
        <w:t xml:space="preserve"> 3</w:t>
      </w:r>
      <w:r w:rsidR="00D268B7">
        <w:rPr>
          <w:rFonts w:eastAsia="Times New Roman"/>
        </w:rPr>
        <w:t>0</w:t>
      </w:r>
      <w:r w:rsidR="00405618">
        <w:rPr>
          <w:rFonts w:eastAsia="Times New Roman"/>
        </w:rPr>
        <w:t>%</w:t>
      </w:r>
      <w:r w:rsidRPr="004F48D9">
        <w:rPr>
          <w:rFonts w:eastAsia="Times New Roman"/>
        </w:rPr>
        <w:t xml:space="preserve"> increase in the number of authorised clinical trials, with the </w:t>
      </w:r>
      <w:r w:rsidR="00D00485">
        <w:rPr>
          <w:rFonts w:eastAsia="Times New Roman"/>
        </w:rPr>
        <w:t xml:space="preserve">median </w:t>
      </w:r>
      <w:r w:rsidRPr="004F48D9">
        <w:rPr>
          <w:rFonts w:eastAsia="Times New Roman"/>
        </w:rPr>
        <w:t>number of participants per trial remaining constant, this would result in an addition</w:t>
      </w:r>
      <w:r w:rsidRPr="7E0A535E">
        <w:rPr>
          <w:rFonts w:eastAsia="Times New Roman"/>
        </w:rPr>
        <w:t xml:space="preserve">al </w:t>
      </w:r>
      <w:r w:rsidR="00230119" w:rsidRPr="00230119">
        <w:rPr>
          <w:rFonts w:eastAsia="Times New Roman"/>
          <w:lang w:val="en-US"/>
        </w:rPr>
        <w:t>7</w:t>
      </w:r>
      <w:r w:rsidR="00230119">
        <w:rPr>
          <w:rFonts w:eastAsia="Times New Roman"/>
          <w:lang w:val="en-US"/>
        </w:rPr>
        <w:t>,</w:t>
      </w:r>
      <w:r w:rsidR="00230119" w:rsidRPr="00230119">
        <w:rPr>
          <w:rFonts w:eastAsia="Times New Roman"/>
          <w:lang w:val="en-US"/>
        </w:rPr>
        <w:t>847</w:t>
      </w:r>
      <w:r w:rsidR="005428BA">
        <w:rPr>
          <w:rStyle w:val="FootnoteReference"/>
          <w:rFonts w:eastAsia="Times New Roman"/>
        </w:rPr>
        <w:footnoteReference w:id="203"/>
      </w:r>
      <w:r w:rsidRPr="7E0A535E">
        <w:rPr>
          <w:rFonts w:eastAsia="Times New Roman"/>
        </w:rPr>
        <w:t xml:space="preserve"> </w:t>
      </w:r>
      <w:r w:rsidRPr="7E0A535E">
        <w:rPr>
          <w:rFonts w:eastAsia="Times New Roman"/>
          <w:lang w:val="en-US"/>
        </w:rPr>
        <w:t xml:space="preserve">to </w:t>
      </w:r>
      <w:r w:rsidR="00721486" w:rsidRPr="00721486">
        <w:rPr>
          <w:rFonts w:eastAsia="Times New Roman"/>
          <w:lang w:val="en-US"/>
        </w:rPr>
        <w:t>23</w:t>
      </w:r>
      <w:r w:rsidR="00721486">
        <w:rPr>
          <w:rFonts w:eastAsia="Times New Roman"/>
          <w:lang w:val="en-US"/>
        </w:rPr>
        <w:t>,</w:t>
      </w:r>
      <w:r w:rsidR="00721486" w:rsidRPr="00721486">
        <w:rPr>
          <w:rFonts w:eastAsia="Times New Roman"/>
          <w:lang w:val="en-US"/>
        </w:rPr>
        <w:t>540</w:t>
      </w:r>
      <w:r w:rsidR="00721486">
        <w:rPr>
          <w:rFonts w:eastAsia="Times New Roman"/>
          <w:lang w:val="en-US"/>
        </w:rPr>
        <w:t xml:space="preserve"> </w:t>
      </w:r>
      <w:r w:rsidR="004178A2">
        <w:rPr>
          <w:rFonts w:eastAsia="Times New Roman"/>
          <w:lang w:val="en-US"/>
        </w:rPr>
        <w:t xml:space="preserve">newly enrolled </w:t>
      </w:r>
      <w:r w:rsidRPr="004F48D9">
        <w:rPr>
          <w:rFonts w:eastAsia="Times New Roman"/>
        </w:rPr>
        <w:t>participants included in commercial trials and</w:t>
      </w:r>
      <w:r w:rsidRPr="004F48D9" w:rsidDel="00E15C1F">
        <w:rPr>
          <w:rFonts w:eastAsia="Times New Roman"/>
        </w:rPr>
        <w:t xml:space="preserve"> </w:t>
      </w:r>
      <w:r w:rsidR="004944D7" w:rsidRPr="004944D7">
        <w:rPr>
          <w:rFonts w:eastAsia="Times New Roman"/>
          <w:lang w:val="en-US"/>
        </w:rPr>
        <w:t>10</w:t>
      </w:r>
      <w:r w:rsidR="004944D7">
        <w:rPr>
          <w:rFonts w:eastAsia="Times New Roman"/>
          <w:lang w:val="en-US"/>
        </w:rPr>
        <w:t>,</w:t>
      </w:r>
      <w:r w:rsidR="004944D7" w:rsidRPr="004944D7">
        <w:rPr>
          <w:rFonts w:eastAsia="Times New Roman"/>
          <w:lang w:val="en-US"/>
        </w:rPr>
        <w:t>381</w:t>
      </w:r>
      <w:r w:rsidR="004944D7">
        <w:rPr>
          <w:rFonts w:eastAsia="Times New Roman"/>
          <w:lang w:val="en-US"/>
        </w:rPr>
        <w:t xml:space="preserve"> </w:t>
      </w:r>
      <w:r w:rsidRPr="004F48D9">
        <w:rPr>
          <w:rFonts w:eastAsia="Times New Roman"/>
        </w:rPr>
        <w:t>to</w:t>
      </w:r>
      <w:r w:rsidR="00796360">
        <w:rPr>
          <w:rFonts w:eastAsia="Times New Roman"/>
        </w:rPr>
        <w:t xml:space="preserve"> </w:t>
      </w:r>
      <w:r w:rsidR="00796360" w:rsidRPr="00796360">
        <w:rPr>
          <w:rFonts w:eastAsia="Times New Roman"/>
          <w:lang w:val="en-US"/>
        </w:rPr>
        <w:t>31,145</w:t>
      </w:r>
      <w:r w:rsidRPr="004F48D9">
        <w:rPr>
          <w:rFonts w:eastAsia="Times New Roman"/>
        </w:rPr>
        <w:t xml:space="preserve"> in non-commercial trials per year.</w:t>
      </w:r>
    </w:p>
    <w:p w14:paraId="22BCBA21" w14:textId="40B7ADDE" w:rsidR="00677F74" w:rsidRPr="00A61B13" w:rsidRDefault="00677F74" w:rsidP="00677F74">
      <w:r w:rsidRPr="00A61B13">
        <w:t xml:space="preserve">The increase in the number of participants is expected to contribute to improved patient health outcomes and quality of life, while </w:t>
      </w:r>
      <w:r w:rsidR="30D67751">
        <w:t>at the same time</w:t>
      </w:r>
      <w:r>
        <w:t xml:space="preserve"> </w:t>
      </w:r>
      <w:r w:rsidRPr="00A61B13">
        <w:t xml:space="preserve">generating more robust evidence to inform Europe’s treatment guidelines and HTA decisions, and potentially facilitating faster market authorisation of the </w:t>
      </w:r>
      <w:r w:rsidR="376A92C3">
        <w:t>medic</w:t>
      </w:r>
      <w:r w:rsidR="00A22676">
        <w:t>a</w:t>
      </w:r>
      <w:r w:rsidR="121122EB">
        <w:t>l products</w:t>
      </w:r>
      <w:r w:rsidRPr="00A61B13">
        <w:t xml:space="preserve"> under investigation</w:t>
      </w:r>
      <w:r>
        <w:t>.</w:t>
      </w:r>
    </w:p>
    <w:p w14:paraId="3D3D3870" w14:textId="2DCF232E" w:rsidR="00677F74" w:rsidRPr="00145263" w:rsidRDefault="00677F74" w:rsidP="00677F74">
      <w:r w:rsidRPr="6DD0F4FE">
        <w:t xml:space="preserve">In addition to increasing access to innovative and improved treatment options through clinical trials, the new provisions </w:t>
      </w:r>
      <w:r w:rsidR="00E82EFD">
        <w:t>should</w:t>
      </w:r>
      <w:r w:rsidR="00E82EFD" w:rsidRPr="6DD0F4FE">
        <w:t xml:space="preserve"> </w:t>
      </w:r>
      <w:r w:rsidRPr="6DD0F4FE">
        <w:t xml:space="preserve">also support efforts to reduce health inequalities. For example, pregnant and breastfeeding women </w:t>
      </w:r>
      <w:r w:rsidR="00C11593">
        <w:t xml:space="preserve">would </w:t>
      </w:r>
      <w:r w:rsidRPr="6DD0F4FE">
        <w:t>no longer be automatically excluded from trial participation, as is the case under the current regulatory framework</w:t>
      </w:r>
      <w:r w:rsidR="00AB707E">
        <w:t>.</w:t>
      </w:r>
      <w:r w:rsidR="3DB2A114">
        <w:t xml:space="preserve"> </w:t>
      </w:r>
      <w:r w:rsidR="51D7949A" w:rsidRPr="4719124D">
        <w:rPr>
          <w:rFonts w:eastAsia="Times New Roman"/>
        </w:rPr>
        <w:t>Instead,</w:t>
      </w:r>
      <w:r w:rsidR="5F22F569">
        <w:t xml:space="preserve"> their participation </w:t>
      </w:r>
      <w:r w:rsidR="526F319F">
        <w:t xml:space="preserve">would be </w:t>
      </w:r>
      <w:r w:rsidR="5F22F569">
        <w:t xml:space="preserve">evaluated </w:t>
      </w:r>
      <w:r w:rsidR="51D7949A" w:rsidRPr="4719124D">
        <w:rPr>
          <w:rFonts w:eastAsia="Times New Roman"/>
        </w:rPr>
        <w:t>based on</w:t>
      </w:r>
      <w:r w:rsidR="5F22F569">
        <w:t xml:space="preserve"> the associated risk</w:t>
      </w:r>
      <w:r w:rsidR="5BA522F8">
        <w:t>s and benefits</w:t>
      </w:r>
      <w:r w:rsidR="314D92FF">
        <w:t>.</w:t>
      </w:r>
      <w:r w:rsidRPr="6DD0F4FE">
        <w:t xml:space="preserve"> Furthermore, the inclusion of vulnerable populations, such as minors and pregnant or breastfeeding women, is encouraged, provided that the potential benefits of participation are carefully weighed against the associated risks.</w:t>
      </w:r>
    </w:p>
    <w:p w14:paraId="5D72EDDC" w14:textId="201CCDFC" w:rsidR="52F443F4" w:rsidRDefault="00677F74" w:rsidP="004F48D9">
      <w:r w:rsidRPr="6DD0F4FE">
        <w:t xml:space="preserve">Finally, the anticipated increase in clinical trial activity is expected to foster science, innovation, and skill development. </w:t>
      </w:r>
      <w:r w:rsidR="51C5037C" w:rsidRPr="302A5241">
        <w:rPr>
          <w:rFonts w:eastAsia="Times New Roman"/>
        </w:rPr>
        <w:t xml:space="preserve">Conducting clinical trials generates knowledge, products, and technologies that stimulate further innovation, drive economic activity, and contribute to the development of a more highly skilled workforce across the </w:t>
      </w:r>
      <w:r w:rsidR="00E82EFD">
        <w:rPr>
          <w:rFonts w:eastAsia="Times New Roman"/>
        </w:rPr>
        <w:t>sector</w:t>
      </w:r>
      <w:r w:rsidR="51C5037C" w:rsidRPr="302A5241">
        <w:rPr>
          <w:rFonts w:eastAsia="Times New Roman"/>
        </w:rPr>
        <w:t>. These spillover benefits from R&amp;D extend beyond the returns captured by private investors, creating broader societal gains.</w:t>
      </w:r>
      <w:r w:rsidR="51C5037C" w:rsidRPr="7DACDE2E">
        <w:rPr>
          <w:rFonts w:eastAsia="Times New Roman"/>
        </w:rPr>
        <w:t xml:space="preserve"> </w:t>
      </w:r>
      <w:r>
        <w:t>The associated economic impact</w:t>
      </w:r>
      <w:r w:rsidR="1044CF2C">
        <w:t xml:space="preserve"> of th</w:t>
      </w:r>
      <w:r w:rsidR="2977B1BB">
        <w:t>ese</w:t>
      </w:r>
      <w:r w:rsidR="1044CF2C">
        <w:t xml:space="preserve"> spillover</w:t>
      </w:r>
      <w:r>
        <w:t xml:space="preserve"> </w:t>
      </w:r>
      <w:r w:rsidR="4DC012F8">
        <w:t>effects</w:t>
      </w:r>
      <w:r>
        <w:t xml:space="preserve"> </w:t>
      </w:r>
      <w:r w:rsidR="6171E026">
        <w:t>for commer</w:t>
      </w:r>
      <w:r>
        <w:t>cial</w:t>
      </w:r>
      <w:r w:rsidRPr="6DD0F4FE">
        <w:t xml:space="preserve"> trials </w:t>
      </w:r>
      <w:r w:rsidR="25938DD4">
        <w:t>is</w:t>
      </w:r>
      <w:r w:rsidRPr="6DD0F4FE">
        <w:t xml:space="preserve"> quantified and presented</w:t>
      </w:r>
      <w:r>
        <w:t xml:space="preserve"> by the value of the R&amp;D spillover</w:t>
      </w:r>
      <w:r w:rsidRPr="6DD0F4FE">
        <w:t xml:space="preserve"> in Figure </w:t>
      </w:r>
      <w:r w:rsidR="005D364F">
        <w:t>9</w:t>
      </w:r>
      <w:r w:rsidRPr="6DD0F4FE">
        <w:t xml:space="preserve">. </w:t>
      </w:r>
    </w:p>
    <w:p w14:paraId="615C5F49" w14:textId="77777777" w:rsidR="00A924C5" w:rsidRDefault="00A924C5" w:rsidP="004F48D9"/>
    <w:p w14:paraId="6B579457" w14:textId="77777777" w:rsidR="00A924C5" w:rsidRPr="0047798E" w:rsidRDefault="00A924C5" w:rsidP="004F48D9">
      <w:pPr>
        <w:rPr>
          <w:rFonts w:eastAsia="Times New Roman"/>
          <w:highlight w:val="yellow"/>
          <w:lang w:val="en-IE"/>
        </w:rPr>
      </w:pPr>
    </w:p>
    <w:p w14:paraId="4C1CE06F" w14:textId="4981FFAE" w:rsidR="7887F64E" w:rsidRPr="0047798E" w:rsidRDefault="7887F64E" w:rsidP="004113BA">
      <w:pPr>
        <w:rPr>
          <w:b/>
        </w:rPr>
      </w:pPr>
      <w:r w:rsidRPr="0047798E">
        <w:rPr>
          <w:b/>
        </w:rPr>
        <w:t xml:space="preserve">Table </w:t>
      </w:r>
      <w:r w:rsidR="007A43F6" w:rsidRPr="00AB0B73">
        <w:rPr>
          <w:b/>
          <w:bCs/>
        </w:rPr>
        <w:t>4</w:t>
      </w:r>
      <w:r w:rsidRPr="0047798E">
        <w:rPr>
          <w:b/>
          <w:bCs/>
        </w:rPr>
        <w:t>.</w:t>
      </w:r>
      <w:r w:rsidRPr="0047798E">
        <w:rPr>
          <w:b/>
        </w:rPr>
        <w:t xml:space="preserve"> Summary assessment of the effects due to the policy measure </w:t>
      </w:r>
    </w:p>
    <w:tbl>
      <w:tblPr>
        <w:tblStyle w:val="TableGrid"/>
        <w:tblW w:w="0" w:type="auto"/>
        <w:tblLook w:val="04A0" w:firstRow="1" w:lastRow="0" w:firstColumn="1" w:lastColumn="0" w:noHBand="0" w:noVBand="1"/>
      </w:tblPr>
      <w:tblGrid>
        <w:gridCol w:w="1808"/>
        <w:gridCol w:w="984"/>
        <w:gridCol w:w="1110"/>
        <w:gridCol w:w="948"/>
        <w:gridCol w:w="990"/>
        <w:gridCol w:w="965"/>
        <w:gridCol w:w="897"/>
        <w:gridCol w:w="906"/>
      </w:tblGrid>
      <w:tr w:rsidR="16F66797" w:rsidRPr="003731AC" w14:paraId="5D1CF3F8" w14:textId="77777777" w:rsidTr="004113BA">
        <w:trPr>
          <w:trHeight w:val="300"/>
        </w:trPr>
        <w:tc>
          <w:tcPr>
            <w:tcW w:w="1890" w:type="dxa"/>
          </w:tcPr>
          <w:p w14:paraId="4A580DD1" w14:textId="1B3A8B8F" w:rsidR="16F66797" w:rsidRPr="0047798E" w:rsidRDefault="004113BA" w:rsidP="0047798E">
            <w:pPr>
              <w:spacing w:after="0" w:line="270" w:lineRule="atLeast"/>
              <w:rPr>
                <w:b/>
                <w:caps/>
                <w:sz w:val="20"/>
                <w:szCs w:val="20"/>
              </w:rPr>
            </w:pPr>
            <w:r>
              <w:rPr>
                <w:b/>
                <w:bCs/>
                <w:sz w:val="20"/>
                <w:szCs w:val="20"/>
              </w:rPr>
              <w:t>Policy measures</w:t>
            </w:r>
          </w:p>
        </w:tc>
        <w:tc>
          <w:tcPr>
            <w:tcW w:w="1035" w:type="dxa"/>
          </w:tcPr>
          <w:p w14:paraId="00DF8F9E" w14:textId="09332851" w:rsidR="16F66797" w:rsidRPr="0047798E" w:rsidRDefault="16F66797" w:rsidP="0047798E">
            <w:pPr>
              <w:spacing w:after="0" w:line="270" w:lineRule="atLeast"/>
              <w:rPr>
                <w:b/>
                <w:caps/>
                <w:sz w:val="20"/>
                <w:szCs w:val="20"/>
              </w:rPr>
            </w:pPr>
            <w:r w:rsidRPr="0047798E">
              <w:rPr>
                <w:b/>
                <w:caps/>
                <w:sz w:val="20"/>
                <w:szCs w:val="20"/>
              </w:rPr>
              <w:t>COB</w:t>
            </w:r>
          </w:p>
        </w:tc>
        <w:tc>
          <w:tcPr>
            <w:tcW w:w="1140" w:type="dxa"/>
          </w:tcPr>
          <w:p w14:paraId="29B70210" w14:textId="02014FA4" w:rsidR="16F66797" w:rsidRPr="0047798E" w:rsidRDefault="16F66797" w:rsidP="0047798E">
            <w:pPr>
              <w:spacing w:after="0" w:line="270" w:lineRule="atLeast"/>
              <w:rPr>
                <w:b/>
                <w:caps/>
                <w:sz w:val="20"/>
                <w:szCs w:val="20"/>
              </w:rPr>
            </w:pPr>
            <w:r w:rsidRPr="0047798E">
              <w:rPr>
                <w:b/>
                <w:caps/>
                <w:sz w:val="20"/>
                <w:szCs w:val="20"/>
              </w:rPr>
              <w:t>Admin</w:t>
            </w:r>
          </w:p>
        </w:tc>
        <w:tc>
          <w:tcPr>
            <w:tcW w:w="1005" w:type="dxa"/>
          </w:tcPr>
          <w:p w14:paraId="0444571A" w14:textId="63D952E8" w:rsidR="16F66797" w:rsidRPr="0047798E" w:rsidRDefault="16F66797" w:rsidP="0047798E">
            <w:pPr>
              <w:spacing w:after="0" w:line="270" w:lineRule="atLeast"/>
              <w:rPr>
                <w:b/>
                <w:caps/>
                <w:sz w:val="20"/>
                <w:szCs w:val="20"/>
              </w:rPr>
            </w:pPr>
            <w:r w:rsidRPr="0047798E">
              <w:rPr>
                <w:b/>
                <w:caps/>
                <w:sz w:val="20"/>
                <w:szCs w:val="20"/>
              </w:rPr>
              <w:t>CTI</w:t>
            </w:r>
          </w:p>
        </w:tc>
        <w:tc>
          <w:tcPr>
            <w:tcW w:w="1035" w:type="dxa"/>
          </w:tcPr>
          <w:p w14:paraId="42C43273" w14:textId="7F20DB5C" w:rsidR="16F66797" w:rsidRPr="0047798E" w:rsidRDefault="16F66797" w:rsidP="0047798E">
            <w:pPr>
              <w:spacing w:after="0" w:line="270" w:lineRule="atLeast"/>
              <w:rPr>
                <w:b/>
                <w:caps/>
                <w:sz w:val="20"/>
                <w:szCs w:val="20"/>
              </w:rPr>
            </w:pPr>
            <w:r w:rsidRPr="0047798E">
              <w:rPr>
                <w:b/>
                <w:caps/>
                <w:sz w:val="20"/>
                <w:szCs w:val="20"/>
              </w:rPr>
              <w:t>Int Mar</w:t>
            </w:r>
          </w:p>
        </w:tc>
        <w:tc>
          <w:tcPr>
            <w:tcW w:w="1020" w:type="dxa"/>
          </w:tcPr>
          <w:p w14:paraId="66C51792" w14:textId="5A786F60" w:rsidR="16F66797" w:rsidRPr="0047798E" w:rsidRDefault="16F66797" w:rsidP="0047798E">
            <w:pPr>
              <w:spacing w:after="0" w:line="270" w:lineRule="atLeast"/>
              <w:rPr>
                <w:b/>
                <w:caps/>
                <w:sz w:val="20"/>
                <w:szCs w:val="20"/>
              </w:rPr>
            </w:pPr>
            <w:r w:rsidRPr="0047798E">
              <w:rPr>
                <w:b/>
                <w:caps/>
                <w:sz w:val="20"/>
                <w:szCs w:val="20"/>
              </w:rPr>
              <w:t>I</w:t>
            </w:r>
            <w:r w:rsidRPr="0047798E">
              <w:rPr>
                <w:b/>
                <w:caps/>
                <w:sz w:val="20"/>
                <w:szCs w:val="20"/>
                <w:lang w:val="en-US"/>
              </w:rPr>
              <w:t>&amp;R</w:t>
            </w:r>
          </w:p>
        </w:tc>
        <w:tc>
          <w:tcPr>
            <w:tcW w:w="960" w:type="dxa"/>
          </w:tcPr>
          <w:p w14:paraId="63B46B65" w14:textId="0890C15E" w:rsidR="16F66797" w:rsidRPr="0047798E" w:rsidRDefault="16F66797" w:rsidP="0047798E">
            <w:pPr>
              <w:spacing w:after="0" w:line="270" w:lineRule="atLeast"/>
              <w:rPr>
                <w:b/>
                <w:caps/>
                <w:sz w:val="20"/>
                <w:szCs w:val="20"/>
              </w:rPr>
            </w:pPr>
            <w:r w:rsidRPr="0047798E">
              <w:rPr>
                <w:b/>
                <w:caps/>
                <w:sz w:val="20"/>
                <w:szCs w:val="20"/>
              </w:rPr>
              <w:t>PA</w:t>
            </w:r>
          </w:p>
        </w:tc>
        <w:tc>
          <w:tcPr>
            <w:tcW w:w="945" w:type="dxa"/>
          </w:tcPr>
          <w:p w14:paraId="2071C2B6" w14:textId="613866D4" w:rsidR="16F66797" w:rsidRPr="0047798E" w:rsidRDefault="16F66797" w:rsidP="0047798E">
            <w:pPr>
              <w:spacing w:after="0" w:line="270" w:lineRule="atLeast"/>
              <w:rPr>
                <w:b/>
                <w:caps/>
                <w:sz w:val="20"/>
                <w:szCs w:val="20"/>
              </w:rPr>
            </w:pPr>
            <w:r w:rsidRPr="0047798E">
              <w:rPr>
                <w:b/>
                <w:caps/>
                <w:sz w:val="20"/>
                <w:szCs w:val="20"/>
              </w:rPr>
              <w:t>H&amp;S</w:t>
            </w:r>
          </w:p>
        </w:tc>
      </w:tr>
      <w:tr w:rsidR="16F66797" w:rsidRPr="003731AC" w14:paraId="5410021A" w14:textId="77777777" w:rsidTr="004113BA">
        <w:trPr>
          <w:trHeight w:val="300"/>
        </w:trPr>
        <w:tc>
          <w:tcPr>
            <w:tcW w:w="1890" w:type="dxa"/>
          </w:tcPr>
          <w:p w14:paraId="34BF7183" w14:textId="30089C28" w:rsidR="16F66797" w:rsidRPr="0047798E" w:rsidRDefault="16F66797" w:rsidP="0047798E">
            <w:pPr>
              <w:spacing w:after="0" w:line="270" w:lineRule="atLeast"/>
              <w:rPr>
                <w:rFonts w:eastAsia="Palatino Linotype"/>
                <w:b/>
                <w:sz w:val="20"/>
                <w:szCs w:val="20"/>
              </w:rPr>
            </w:pPr>
            <w:r w:rsidRPr="0047798E">
              <w:rPr>
                <w:rFonts w:eastAsia="Palatino Linotype"/>
                <w:sz w:val="20"/>
                <w:szCs w:val="20"/>
              </w:rPr>
              <w:t>Accelerated and streamlined clinical trial authorisation procedures</w:t>
            </w:r>
          </w:p>
        </w:tc>
        <w:tc>
          <w:tcPr>
            <w:tcW w:w="1035" w:type="dxa"/>
          </w:tcPr>
          <w:p w14:paraId="579EF239" w14:textId="276BE136" w:rsidR="16F66797" w:rsidRPr="00FD07FF" w:rsidRDefault="16F66797" w:rsidP="0047798E">
            <w:pPr>
              <w:spacing w:after="0" w:line="270" w:lineRule="atLeast"/>
              <w:rPr>
                <w:sz w:val="20"/>
                <w:szCs w:val="20"/>
              </w:rPr>
            </w:pPr>
            <w:r w:rsidRPr="00CD4A81">
              <w:rPr>
                <w:sz w:val="20"/>
                <w:szCs w:val="20"/>
              </w:rPr>
              <w:t>++</w:t>
            </w:r>
          </w:p>
        </w:tc>
        <w:tc>
          <w:tcPr>
            <w:tcW w:w="1140" w:type="dxa"/>
          </w:tcPr>
          <w:p w14:paraId="3869A16E" w14:textId="0B071A76" w:rsidR="16F66797" w:rsidRPr="00FD07FF" w:rsidRDefault="16F66797" w:rsidP="0047798E">
            <w:pPr>
              <w:spacing w:after="0" w:line="270" w:lineRule="atLeast"/>
              <w:rPr>
                <w:sz w:val="20"/>
                <w:szCs w:val="20"/>
              </w:rPr>
            </w:pPr>
            <w:r w:rsidRPr="00CD4A81">
              <w:rPr>
                <w:sz w:val="20"/>
                <w:szCs w:val="20"/>
              </w:rPr>
              <w:t>++</w:t>
            </w:r>
          </w:p>
        </w:tc>
        <w:tc>
          <w:tcPr>
            <w:tcW w:w="1005" w:type="dxa"/>
          </w:tcPr>
          <w:p w14:paraId="286215B7" w14:textId="78F5AD1C" w:rsidR="16F66797" w:rsidRPr="00FD07FF" w:rsidRDefault="16F66797" w:rsidP="0047798E">
            <w:pPr>
              <w:spacing w:after="0" w:line="270" w:lineRule="atLeast"/>
              <w:rPr>
                <w:sz w:val="20"/>
                <w:szCs w:val="20"/>
              </w:rPr>
            </w:pPr>
            <w:r w:rsidRPr="00CD4A81">
              <w:rPr>
                <w:sz w:val="20"/>
                <w:szCs w:val="20"/>
              </w:rPr>
              <w:t>++</w:t>
            </w:r>
          </w:p>
        </w:tc>
        <w:tc>
          <w:tcPr>
            <w:tcW w:w="1035" w:type="dxa"/>
          </w:tcPr>
          <w:p w14:paraId="2A65DA21" w14:textId="5EA5E2F3" w:rsidR="16F66797" w:rsidRPr="00FD07FF" w:rsidRDefault="16F66797" w:rsidP="0047798E">
            <w:pPr>
              <w:spacing w:after="0" w:line="270" w:lineRule="atLeast"/>
              <w:rPr>
                <w:sz w:val="20"/>
                <w:szCs w:val="20"/>
              </w:rPr>
            </w:pPr>
            <w:r w:rsidRPr="00CD4A81">
              <w:rPr>
                <w:sz w:val="20"/>
                <w:szCs w:val="20"/>
              </w:rPr>
              <w:t>+</w:t>
            </w:r>
          </w:p>
        </w:tc>
        <w:tc>
          <w:tcPr>
            <w:tcW w:w="1020" w:type="dxa"/>
          </w:tcPr>
          <w:p w14:paraId="578CCFC9" w14:textId="7BD0FB49" w:rsidR="16F66797" w:rsidRPr="00FD07FF" w:rsidRDefault="16F66797" w:rsidP="0047798E">
            <w:pPr>
              <w:spacing w:after="0" w:line="270" w:lineRule="atLeast"/>
              <w:rPr>
                <w:sz w:val="20"/>
                <w:szCs w:val="20"/>
              </w:rPr>
            </w:pPr>
            <w:r w:rsidRPr="00CD4A81">
              <w:rPr>
                <w:sz w:val="20"/>
                <w:szCs w:val="20"/>
              </w:rPr>
              <w:t>0/+</w:t>
            </w:r>
          </w:p>
        </w:tc>
        <w:tc>
          <w:tcPr>
            <w:tcW w:w="960" w:type="dxa"/>
          </w:tcPr>
          <w:p w14:paraId="004E65F8" w14:textId="5E0DA140" w:rsidR="16F66797" w:rsidRPr="00FD07FF" w:rsidRDefault="16F66797" w:rsidP="0047798E">
            <w:pPr>
              <w:spacing w:after="0" w:line="270" w:lineRule="atLeast"/>
              <w:rPr>
                <w:sz w:val="20"/>
                <w:szCs w:val="20"/>
              </w:rPr>
            </w:pPr>
            <w:r w:rsidRPr="00CD4A81">
              <w:rPr>
                <w:sz w:val="20"/>
                <w:szCs w:val="20"/>
              </w:rPr>
              <w:t>0/+</w:t>
            </w:r>
          </w:p>
        </w:tc>
        <w:tc>
          <w:tcPr>
            <w:tcW w:w="945" w:type="dxa"/>
          </w:tcPr>
          <w:p w14:paraId="284BD203" w14:textId="27F055C5" w:rsidR="16F66797" w:rsidRPr="00FD07FF" w:rsidRDefault="16F66797" w:rsidP="0047798E">
            <w:pPr>
              <w:spacing w:after="0" w:line="270" w:lineRule="atLeast"/>
              <w:rPr>
                <w:sz w:val="20"/>
                <w:szCs w:val="20"/>
              </w:rPr>
            </w:pPr>
            <w:r w:rsidRPr="00CD4A81">
              <w:rPr>
                <w:sz w:val="20"/>
                <w:szCs w:val="20"/>
              </w:rPr>
              <w:t>+</w:t>
            </w:r>
          </w:p>
        </w:tc>
      </w:tr>
      <w:tr w:rsidR="16F66797" w:rsidRPr="003731AC" w14:paraId="7F8A7CAE" w14:textId="77777777" w:rsidTr="004113BA">
        <w:trPr>
          <w:trHeight w:val="300"/>
        </w:trPr>
        <w:tc>
          <w:tcPr>
            <w:tcW w:w="1890" w:type="dxa"/>
          </w:tcPr>
          <w:p w14:paraId="4FAAD477" w14:textId="555B6EA4" w:rsidR="16F66797" w:rsidRPr="0047798E" w:rsidRDefault="16F66797" w:rsidP="0047798E">
            <w:pPr>
              <w:spacing w:after="0" w:line="270" w:lineRule="atLeast"/>
              <w:rPr>
                <w:rFonts w:eastAsia="Palatino Linotype"/>
                <w:b/>
                <w:sz w:val="20"/>
                <w:szCs w:val="20"/>
              </w:rPr>
            </w:pPr>
            <w:r w:rsidRPr="0047798E">
              <w:rPr>
                <w:rFonts w:eastAsia="Palatino Linotype"/>
                <w:sz w:val="20"/>
                <w:szCs w:val="20"/>
              </w:rPr>
              <w:t>Clinical trial regulatory sandboxes</w:t>
            </w:r>
          </w:p>
        </w:tc>
        <w:tc>
          <w:tcPr>
            <w:tcW w:w="1035" w:type="dxa"/>
          </w:tcPr>
          <w:p w14:paraId="5D234617" w14:textId="231C6619" w:rsidR="16F66797" w:rsidRPr="00FD07FF" w:rsidRDefault="16F66797" w:rsidP="0047798E">
            <w:pPr>
              <w:spacing w:after="0" w:line="270" w:lineRule="atLeast"/>
              <w:rPr>
                <w:sz w:val="20"/>
                <w:szCs w:val="20"/>
              </w:rPr>
            </w:pPr>
            <w:r w:rsidRPr="00CD4A81">
              <w:rPr>
                <w:sz w:val="20"/>
                <w:szCs w:val="20"/>
              </w:rPr>
              <w:t>0/+</w:t>
            </w:r>
          </w:p>
        </w:tc>
        <w:tc>
          <w:tcPr>
            <w:tcW w:w="1140" w:type="dxa"/>
          </w:tcPr>
          <w:p w14:paraId="71AAFB7D" w14:textId="2E2DBC73" w:rsidR="16F66797" w:rsidRPr="00FD07FF" w:rsidRDefault="16F66797" w:rsidP="0047798E">
            <w:pPr>
              <w:spacing w:after="0" w:line="270" w:lineRule="atLeast"/>
              <w:rPr>
                <w:sz w:val="20"/>
                <w:szCs w:val="20"/>
              </w:rPr>
            </w:pPr>
            <w:r w:rsidRPr="00CD4A81">
              <w:rPr>
                <w:sz w:val="20"/>
                <w:szCs w:val="20"/>
              </w:rPr>
              <w:t>+</w:t>
            </w:r>
          </w:p>
        </w:tc>
        <w:tc>
          <w:tcPr>
            <w:tcW w:w="1005" w:type="dxa"/>
          </w:tcPr>
          <w:p w14:paraId="546ED98F" w14:textId="6FDD55BB" w:rsidR="16F66797" w:rsidRPr="00FD07FF" w:rsidRDefault="16F66797" w:rsidP="0047798E">
            <w:pPr>
              <w:spacing w:after="0" w:line="270" w:lineRule="atLeast"/>
              <w:rPr>
                <w:sz w:val="20"/>
                <w:szCs w:val="20"/>
              </w:rPr>
            </w:pPr>
            <w:r w:rsidRPr="00CD4A81">
              <w:rPr>
                <w:sz w:val="20"/>
                <w:szCs w:val="20"/>
              </w:rPr>
              <w:t>+</w:t>
            </w:r>
          </w:p>
        </w:tc>
        <w:tc>
          <w:tcPr>
            <w:tcW w:w="1035" w:type="dxa"/>
          </w:tcPr>
          <w:p w14:paraId="26D25284" w14:textId="724B1D39" w:rsidR="16F66797" w:rsidRPr="00FD07FF" w:rsidRDefault="16F66797" w:rsidP="0047798E">
            <w:pPr>
              <w:spacing w:after="0" w:line="270" w:lineRule="atLeast"/>
              <w:rPr>
                <w:sz w:val="20"/>
                <w:szCs w:val="20"/>
              </w:rPr>
            </w:pPr>
            <w:r w:rsidRPr="00CD4A81">
              <w:rPr>
                <w:sz w:val="20"/>
                <w:szCs w:val="20"/>
              </w:rPr>
              <w:t>+</w:t>
            </w:r>
          </w:p>
        </w:tc>
        <w:tc>
          <w:tcPr>
            <w:tcW w:w="1020" w:type="dxa"/>
          </w:tcPr>
          <w:p w14:paraId="4725276F" w14:textId="7DDE0311" w:rsidR="16F66797" w:rsidRPr="00FD07FF" w:rsidRDefault="16F66797" w:rsidP="0047798E">
            <w:pPr>
              <w:spacing w:after="0" w:line="270" w:lineRule="atLeast"/>
              <w:rPr>
                <w:sz w:val="20"/>
                <w:szCs w:val="20"/>
              </w:rPr>
            </w:pPr>
            <w:r w:rsidRPr="00CD4A81">
              <w:rPr>
                <w:sz w:val="20"/>
                <w:szCs w:val="20"/>
              </w:rPr>
              <w:t>++</w:t>
            </w:r>
          </w:p>
        </w:tc>
        <w:tc>
          <w:tcPr>
            <w:tcW w:w="960" w:type="dxa"/>
          </w:tcPr>
          <w:p w14:paraId="471DDBB2" w14:textId="7A104446" w:rsidR="16F66797" w:rsidRPr="00FD07FF" w:rsidRDefault="16F66797" w:rsidP="0047798E">
            <w:pPr>
              <w:spacing w:after="0" w:line="270" w:lineRule="atLeast"/>
              <w:rPr>
                <w:sz w:val="20"/>
                <w:szCs w:val="20"/>
              </w:rPr>
            </w:pPr>
            <w:r w:rsidRPr="00CD4A81">
              <w:rPr>
                <w:sz w:val="20"/>
                <w:szCs w:val="20"/>
              </w:rPr>
              <w:t>++</w:t>
            </w:r>
          </w:p>
        </w:tc>
        <w:tc>
          <w:tcPr>
            <w:tcW w:w="945" w:type="dxa"/>
          </w:tcPr>
          <w:p w14:paraId="2105488B" w14:textId="52A419DA" w:rsidR="16F66797" w:rsidRPr="00FD07FF" w:rsidRDefault="16F66797" w:rsidP="0047798E">
            <w:pPr>
              <w:spacing w:after="0" w:line="270" w:lineRule="atLeast"/>
              <w:rPr>
                <w:sz w:val="20"/>
                <w:szCs w:val="20"/>
              </w:rPr>
            </w:pPr>
            <w:r w:rsidRPr="00CD4A81">
              <w:rPr>
                <w:sz w:val="20"/>
                <w:szCs w:val="20"/>
              </w:rPr>
              <w:t>0/+</w:t>
            </w:r>
          </w:p>
        </w:tc>
      </w:tr>
      <w:tr w:rsidR="16F66797" w:rsidRPr="003731AC" w14:paraId="5741E8AB" w14:textId="77777777" w:rsidTr="004113BA">
        <w:trPr>
          <w:trHeight w:val="300"/>
        </w:trPr>
        <w:tc>
          <w:tcPr>
            <w:tcW w:w="1890" w:type="dxa"/>
          </w:tcPr>
          <w:p w14:paraId="2D21906D" w14:textId="2FB067B0" w:rsidR="16F66797" w:rsidRPr="0047798E" w:rsidRDefault="16F66797" w:rsidP="0047798E">
            <w:pPr>
              <w:spacing w:after="0" w:line="270" w:lineRule="atLeast"/>
              <w:rPr>
                <w:rFonts w:eastAsia="Palatino Linotype"/>
                <w:b/>
                <w:sz w:val="20"/>
                <w:szCs w:val="20"/>
              </w:rPr>
            </w:pPr>
            <w:r w:rsidRPr="0047798E">
              <w:rPr>
                <w:rFonts w:eastAsia="Palatino Linotype"/>
                <w:sz w:val="20"/>
                <w:szCs w:val="20"/>
              </w:rPr>
              <w:t>Digital innovation and harmonised data governance for clinical trials</w:t>
            </w:r>
          </w:p>
        </w:tc>
        <w:tc>
          <w:tcPr>
            <w:tcW w:w="1035" w:type="dxa"/>
          </w:tcPr>
          <w:p w14:paraId="2FE5EC7B" w14:textId="10AE66D2" w:rsidR="16F66797" w:rsidRPr="00FD07FF" w:rsidRDefault="16F66797" w:rsidP="0047798E">
            <w:pPr>
              <w:spacing w:after="0" w:line="270" w:lineRule="atLeast"/>
              <w:rPr>
                <w:sz w:val="20"/>
                <w:szCs w:val="20"/>
              </w:rPr>
            </w:pPr>
            <w:r w:rsidRPr="00CD4A81">
              <w:rPr>
                <w:sz w:val="20"/>
                <w:szCs w:val="20"/>
              </w:rPr>
              <w:t>+</w:t>
            </w:r>
          </w:p>
        </w:tc>
        <w:tc>
          <w:tcPr>
            <w:tcW w:w="1140" w:type="dxa"/>
          </w:tcPr>
          <w:p w14:paraId="7ED63B26" w14:textId="23349535" w:rsidR="16F66797" w:rsidRPr="00FD07FF" w:rsidRDefault="16F66797" w:rsidP="0047798E">
            <w:pPr>
              <w:spacing w:after="0" w:line="270" w:lineRule="atLeast"/>
              <w:rPr>
                <w:sz w:val="20"/>
                <w:szCs w:val="20"/>
              </w:rPr>
            </w:pPr>
            <w:r w:rsidRPr="00CD4A81">
              <w:rPr>
                <w:sz w:val="20"/>
                <w:szCs w:val="20"/>
              </w:rPr>
              <w:t>++</w:t>
            </w:r>
          </w:p>
        </w:tc>
        <w:tc>
          <w:tcPr>
            <w:tcW w:w="1005" w:type="dxa"/>
          </w:tcPr>
          <w:p w14:paraId="227E63CD" w14:textId="4668197B" w:rsidR="16F66797" w:rsidRPr="00FD07FF" w:rsidRDefault="16F66797" w:rsidP="0047798E">
            <w:pPr>
              <w:spacing w:after="0" w:line="270" w:lineRule="atLeast"/>
              <w:rPr>
                <w:sz w:val="20"/>
                <w:szCs w:val="20"/>
              </w:rPr>
            </w:pPr>
            <w:r w:rsidRPr="00CD4A81">
              <w:rPr>
                <w:sz w:val="20"/>
                <w:szCs w:val="20"/>
              </w:rPr>
              <w:t>++</w:t>
            </w:r>
          </w:p>
        </w:tc>
        <w:tc>
          <w:tcPr>
            <w:tcW w:w="1035" w:type="dxa"/>
          </w:tcPr>
          <w:p w14:paraId="080E2173" w14:textId="0DCC9B17" w:rsidR="16F66797" w:rsidRPr="00FD07FF" w:rsidRDefault="16F66797" w:rsidP="0047798E">
            <w:pPr>
              <w:spacing w:after="0" w:line="270" w:lineRule="atLeast"/>
              <w:rPr>
                <w:sz w:val="20"/>
                <w:szCs w:val="20"/>
              </w:rPr>
            </w:pPr>
            <w:r w:rsidRPr="00CD4A81">
              <w:rPr>
                <w:sz w:val="20"/>
                <w:szCs w:val="20"/>
              </w:rPr>
              <w:t>++</w:t>
            </w:r>
          </w:p>
        </w:tc>
        <w:tc>
          <w:tcPr>
            <w:tcW w:w="1020" w:type="dxa"/>
          </w:tcPr>
          <w:p w14:paraId="3086219F" w14:textId="7EE1F158" w:rsidR="16F66797" w:rsidRPr="00FD07FF" w:rsidRDefault="16F66797" w:rsidP="0047798E">
            <w:pPr>
              <w:spacing w:after="0" w:line="270" w:lineRule="atLeast"/>
              <w:rPr>
                <w:sz w:val="20"/>
                <w:szCs w:val="20"/>
              </w:rPr>
            </w:pPr>
            <w:r w:rsidRPr="00CD4A81">
              <w:rPr>
                <w:sz w:val="20"/>
                <w:szCs w:val="20"/>
              </w:rPr>
              <w:t>+</w:t>
            </w:r>
          </w:p>
        </w:tc>
        <w:tc>
          <w:tcPr>
            <w:tcW w:w="960" w:type="dxa"/>
          </w:tcPr>
          <w:p w14:paraId="092CCCEA" w14:textId="087540B8" w:rsidR="16F66797" w:rsidRPr="00FD07FF" w:rsidRDefault="16F66797" w:rsidP="0047798E">
            <w:pPr>
              <w:spacing w:after="0" w:line="270" w:lineRule="atLeast"/>
              <w:rPr>
                <w:sz w:val="20"/>
                <w:szCs w:val="20"/>
              </w:rPr>
            </w:pPr>
            <w:r w:rsidRPr="00CD4A81">
              <w:rPr>
                <w:sz w:val="20"/>
                <w:szCs w:val="20"/>
              </w:rPr>
              <w:t>+</w:t>
            </w:r>
          </w:p>
        </w:tc>
        <w:tc>
          <w:tcPr>
            <w:tcW w:w="945" w:type="dxa"/>
          </w:tcPr>
          <w:p w14:paraId="4F7EAEFE" w14:textId="48A34EE0" w:rsidR="16F66797" w:rsidRPr="00FD07FF" w:rsidRDefault="16F66797" w:rsidP="0047798E">
            <w:pPr>
              <w:spacing w:after="0" w:line="270" w:lineRule="atLeast"/>
              <w:rPr>
                <w:sz w:val="20"/>
                <w:szCs w:val="20"/>
              </w:rPr>
            </w:pPr>
            <w:r w:rsidRPr="00CD4A81">
              <w:rPr>
                <w:sz w:val="20"/>
                <w:szCs w:val="20"/>
              </w:rPr>
              <w:t>+</w:t>
            </w:r>
          </w:p>
        </w:tc>
      </w:tr>
      <w:tr w:rsidR="16F66797" w:rsidRPr="003731AC" w14:paraId="29FF9E67" w14:textId="77777777" w:rsidTr="004113BA">
        <w:trPr>
          <w:trHeight w:val="300"/>
        </w:trPr>
        <w:tc>
          <w:tcPr>
            <w:tcW w:w="1890" w:type="dxa"/>
          </w:tcPr>
          <w:p w14:paraId="5F89B156" w14:textId="09891D15" w:rsidR="16F66797" w:rsidRPr="0047798E" w:rsidRDefault="16F66797" w:rsidP="0047798E">
            <w:pPr>
              <w:spacing w:after="0" w:line="270" w:lineRule="atLeast"/>
              <w:rPr>
                <w:rFonts w:eastAsia="Palatino Linotype"/>
                <w:b/>
                <w:sz w:val="20"/>
                <w:szCs w:val="20"/>
              </w:rPr>
            </w:pPr>
            <w:r w:rsidRPr="0047798E">
              <w:rPr>
                <w:rFonts w:eastAsia="Palatino Linotype"/>
                <w:sz w:val="20"/>
                <w:szCs w:val="20"/>
              </w:rPr>
              <w:t>Combined Studies</w:t>
            </w:r>
          </w:p>
        </w:tc>
        <w:tc>
          <w:tcPr>
            <w:tcW w:w="1035" w:type="dxa"/>
          </w:tcPr>
          <w:p w14:paraId="35124B2D" w14:textId="63237274" w:rsidR="16F66797" w:rsidRPr="00FD07FF" w:rsidRDefault="16F66797" w:rsidP="0047798E">
            <w:pPr>
              <w:spacing w:after="0" w:line="270" w:lineRule="atLeast"/>
              <w:rPr>
                <w:sz w:val="20"/>
                <w:szCs w:val="20"/>
              </w:rPr>
            </w:pPr>
            <w:r w:rsidRPr="00CD4A81">
              <w:rPr>
                <w:sz w:val="20"/>
                <w:szCs w:val="20"/>
              </w:rPr>
              <w:t>+</w:t>
            </w:r>
          </w:p>
        </w:tc>
        <w:tc>
          <w:tcPr>
            <w:tcW w:w="1140" w:type="dxa"/>
          </w:tcPr>
          <w:p w14:paraId="42F29133" w14:textId="4F985738" w:rsidR="16F66797" w:rsidRPr="00FD07FF" w:rsidRDefault="16F66797" w:rsidP="0047798E">
            <w:pPr>
              <w:spacing w:after="0" w:line="270" w:lineRule="atLeast"/>
              <w:rPr>
                <w:sz w:val="20"/>
                <w:szCs w:val="20"/>
              </w:rPr>
            </w:pPr>
            <w:r w:rsidRPr="00CD4A81">
              <w:rPr>
                <w:sz w:val="20"/>
                <w:szCs w:val="20"/>
              </w:rPr>
              <w:t>+</w:t>
            </w:r>
          </w:p>
        </w:tc>
        <w:tc>
          <w:tcPr>
            <w:tcW w:w="1005" w:type="dxa"/>
          </w:tcPr>
          <w:p w14:paraId="066E7F3F" w14:textId="3B7443DF" w:rsidR="16F66797" w:rsidRPr="00FD07FF" w:rsidRDefault="16F66797" w:rsidP="0047798E">
            <w:pPr>
              <w:spacing w:after="0" w:line="270" w:lineRule="atLeast"/>
              <w:rPr>
                <w:sz w:val="20"/>
                <w:szCs w:val="20"/>
              </w:rPr>
            </w:pPr>
            <w:r w:rsidRPr="00CD4A81">
              <w:rPr>
                <w:sz w:val="20"/>
                <w:szCs w:val="20"/>
              </w:rPr>
              <w:t>+</w:t>
            </w:r>
          </w:p>
        </w:tc>
        <w:tc>
          <w:tcPr>
            <w:tcW w:w="1035" w:type="dxa"/>
          </w:tcPr>
          <w:p w14:paraId="196511F6" w14:textId="6D33DAD3" w:rsidR="16F66797" w:rsidRPr="00FD07FF" w:rsidRDefault="16F66797" w:rsidP="0047798E">
            <w:pPr>
              <w:spacing w:after="0" w:line="270" w:lineRule="atLeast"/>
              <w:rPr>
                <w:sz w:val="20"/>
                <w:szCs w:val="20"/>
              </w:rPr>
            </w:pPr>
            <w:r w:rsidRPr="00CD4A81">
              <w:rPr>
                <w:sz w:val="20"/>
                <w:szCs w:val="20"/>
              </w:rPr>
              <w:t>++</w:t>
            </w:r>
          </w:p>
        </w:tc>
        <w:tc>
          <w:tcPr>
            <w:tcW w:w="1020" w:type="dxa"/>
          </w:tcPr>
          <w:p w14:paraId="7066F458" w14:textId="151D4195" w:rsidR="16F66797" w:rsidRPr="00FD07FF" w:rsidRDefault="16F66797" w:rsidP="0047798E">
            <w:pPr>
              <w:spacing w:after="0" w:line="270" w:lineRule="atLeast"/>
              <w:rPr>
                <w:sz w:val="20"/>
                <w:szCs w:val="20"/>
              </w:rPr>
            </w:pPr>
            <w:r w:rsidRPr="00CD4A81">
              <w:rPr>
                <w:sz w:val="20"/>
                <w:szCs w:val="20"/>
              </w:rPr>
              <w:t>++</w:t>
            </w:r>
          </w:p>
        </w:tc>
        <w:tc>
          <w:tcPr>
            <w:tcW w:w="960" w:type="dxa"/>
          </w:tcPr>
          <w:p w14:paraId="7EC727AA" w14:textId="59509BFE" w:rsidR="16F66797" w:rsidRPr="00FD07FF" w:rsidRDefault="16F66797" w:rsidP="0047798E">
            <w:pPr>
              <w:spacing w:after="0" w:line="270" w:lineRule="atLeast"/>
              <w:rPr>
                <w:sz w:val="20"/>
                <w:szCs w:val="20"/>
              </w:rPr>
            </w:pPr>
            <w:r w:rsidRPr="00CD4A81">
              <w:rPr>
                <w:sz w:val="20"/>
                <w:szCs w:val="20"/>
              </w:rPr>
              <w:t>++</w:t>
            </w:r>
          </w:p>
        </w:tc>
        <w:tc>
          <w:tcPr>
            <w:tcW w:w="945" w:type="dxa"/>
          </w:tcPr>
          <w:p w14:paraId="60DC2EF5" w14:textId="1E626009" w:rsidR="16F66797" w:rsidRPr="00FD07FF" w:rsidRDefault="16F66797" w:rsidP="0047798E">
            <w:pPr>
              <w:spacing w:after="0" w:line="270" w:lineRule="atLeast"/>
              <w:rPr>
                <w:sz w:val="20"/>
                <w:szCs w:val="20"/>
              </w:rPr>
            </w:pPr>
            <w:r w:rsidRPr="00CD4A81">
              <w:rPr>
                <w:sz w:val="20"/>
                <w:szCs w:val="20"/>
              </w:rPr>
              <w:t>0/+</w:t>
            </w:r>
          </w:p>
        </w:tc>
      </w:tr>
      <w:tr w:rsidR="16F66797" w:rsidRPr="003731AC" w14:paraId="773CC457" w14:textId="77777777" w:rsidTr="004113BA">
        <w:trPr>
          <w:trHeight w:val="300"/>
        </w:trPr>
        <w:tc>
          <w:tcPr>
            <w:tcW w:w="1890" w:type="dxa"/>
          </w:tcPr>
          <w:p w14:paraId="7B8A8772" w14:textId="6C2D55AA" w:rsidR="16F66797" w:rsidRPr="0047798E" w:rsidRDefault="16F66797" w:rsidP="0047798E">
            <w:pPr>
              <w:spacing w:after="0" w:line="270" w:lineRule="atLeast"/>
              <w:rPr>
                <w:rFonts w:eastAsia="Palatino Linotype"/>
                <w:b/>
                <w:sz w:val="20"/>
                <w:szCs w:val="20"/>
              </w:rPr>
            </w:pPr>
            <w:r w:rsidRPr="0047798E">
              <w:rPr>
                <w:rFonts w:eastAsia="Palatino Linotype"/>
                <w:sz w:val="20"/>
                <w:szCs w:val="20"/>
              </w:rPr>
              <w:t>Governance and enforcement</w:t>
            </w:r>
          </w:p>
        </w:tc>
        <w:tc>
          <w:tcPr>
            <w:tcW w:w="1035" w:type="dxa"/>
          </w:tcPr>
          <w:p w14:paraId="6D29AFC2" w14:textId="235A286A" w:rsidR="16F66797" w:rsidRPr="00FD07FF" w:rsidRDefault="16F66797" w:rsidP="0047798E">
            <w:pPr>
              <w:spacing w:after="0" w:line="270" w:lineRule="atLeast"/>
              <w:rPr>
                <w:sz w:val="20"/>
                <w:szCs w:val="20"/>
              </w:rPr>
            </w:pPr>
            <w:r w:rsidRPr="00CD4A81">
              <w:rPr>
                <w:sz w:val="20"/>
                <w:szCs w:val="20"/>
              </w:rPr>
              <w:t>+</w:t>
            </w:r>
          </w:p>
        </w:tc>
        <w:tc>
          <w:tcPr>
            <w:tcW w:w="1140" w:type="dxa"/>
          </w:tcPr>
          <w:p w14:paraId="2DC0EDB8" w14:textId="70AF2F3C" w:rsidR="16F66797" w:rsidRPr="00FD07FF" w:rsidRDefault="16F66797" w:rsidP="0047798E">
            <w:pPr>
              <w:spacing w:after="0" w:line="270" w:lineRule="atLeast"/>
              <w:rPr>
                <w:sz w:val="20"/>
                <w:szCs w:val="20"/>
              </w:rPr>
            </w:pPr>
            <w:r w:rsidRPr="00CD4A81">
              <w:rPr>
                <w:sz w:val="20"/>
                <w:szCs w:val="20"/>
              </w:rPr>
              <w:t>+</w:t>
            </w:r>
          </w:p>
        </w:tc>
        <w:tc>
          <w:tcPr>
            <w:tcW w:w="1005" w:type="dxa"/>
          </w:tcPr>
          <w:p w14:paraId="39F0B7B3" w14:textId="62C72400" w:rsidR="16F66797" w:rsidRPr="00FD07FF" w:rsidRDefault="16F66797" w:rsidP="0047798E">
            <w:pPr>
              <w:spacing w:after="0" w:line="270" w:lineRule="atLeast"/>
              <w:rPr>
                <w:sz w:val="20"/>
                <w:szCs w:val="20"/>
              </w:rPr>
            </w:pPr>
            <w:r w:rsidRPr="00CD4A81">
              <w:rPr>
                <w:sz w:val="20"/>
                <w:szCs w:val="20"/>
              </w:rPr>
              <w:t>+</w:t>
            </w:r>
          </w:p>
        </w:tc>
        <w:tc>
          <w:tcPr>
            <w:tcW w:w="1035" w:type="dxa"/>
          </w:tcPr>
          <w:p w14:paraId="6BBF5149" w14:textId="396C813B" w:rsidR="16F66797" w:rsidRPr="00FD07FF" w:rsidRDefault="16F66797" w:rsidP="0047798E">
            <w:pPr>
              <w:spacing w:after="0" w:line="270" w:lineRule="atLeast"/>
              <w:rPr>
                <w:sz w:val="20"/>
                <w:szCs w:val="20"/>
              </w:rPr>
            </w:pPr>
            <w:r w:rsidRPr="00CD4A81">
              <w:rPr>
                <w:sz w:val="20"/>
                <w:szCs w:val="20"/>
              </w:rPr>
              <w:t>++</w:t>
            </w:r>
          </w:p>
        </w:tc>
        <w:tc>
          <w:tcPr>
            <w:tcW w:w="1020" w:type="dxa"/>
          </w:tcPr>
          <w:p w14:paraId="6E0B6986" w14:textId="198D8782" w:rsidR="16F66797" w:rsidRPr="00FD07FF" w:rsidRDefault="16F66797" w:rsidP="0047798E">
            <w:pPr>
              <w:spacing w:after="0" w:line="270" w:lineRule="atLeast"/>
              <w:rPr>
                <w:sz w:val="20"/>
                <w:szCs w:val="20"/>
              </w:rPr>
            </w:pPr>
            <w:r w:rsidRPr="00CD4A81">
              <w:rPr>
                <w:sz w:val="20"/>
                <w:szCs w:val="20"/>
              </w:rPr>
              <w:t>0/+</w:t>
            </w:r>
          </w:p>
        </w:tc>
        <w:tc>
          <w:tcPr>
            <w:tcW w:w="960" w:type="dxa"/>
          </w:tcPr>
          <w:p w14:paraId="788C50D6" w14:textId="73949447" w:rsidR="16F66797" w:rsidRPr="00FD07FF" w:rsidRDefault="16F66797" w:rsidP="0047798E">
            <w:pPr>
              <w:spacing w:after="0" w:line="270" w:lineRule="atLeast"/>
              <w:rPr>
                <w:sz w:val="20"/>
                <w:szCs w:val="20"/>
              </w:rPr>
            </w:pPr>
            <w:r w:rsidRPr="00CD4A81">
              <w:rPr>
                <w:sz w:val="20"/>
                <w:szCs w:val="20"/>
              </w:rPr>
              <w:t>+</w:t>
            </w:r>
          </w:p>
        </w:tc>
        <w:tc>
          <w:tcPr>
            <w:tcW w:w="945" w:type="dxa"/>
          </w:tcPr>
          <w:p w14:paraId="44FAEBEA" w14:textId="63D43F57" w:rsidR="16F66797" w:rsidRPr="00FD07FF" w:rsidRDefault="16F66797" w:rsidP="0047798E">
            <w:pPr>
              <w:spacing w:after="0" w:line="270" w:lineRule="atLeast"/>
              <w:rPr>
                <w:sz w:val="20"/>
                <w:szCs w:val="20"/>
              </w:rPr>
            </w:pPr>
            <w:r w:rsidRPr="00CD4A81">
              <w:rPr>
                <w:sz w:val="20"/>
                <w:szCs w:val="20"/>
              </w:rPr>
              <w:t>++</w:t>
            </w:r>
          </w:p>
        </w:tc>
      </w:tr>
    </w:tbl>
    <w:p w14:paraId="32ADA56E" w14:textId="1B3DAB96" w:rsidR="5046ADD9" w:rsidRDefault="5046ADD9"/>
    <w:p w14:paraId="6880F2FC" w14:textId="275065B4" w:rsidR="000F3479" w:rsidRPr="00DD0CE5" w:rsidRDefault="000F3479" w:rsidP="00574D27">
      <w:pPr>
        <w:pStyle w:val="Heading3"/>
      </w:pPr>
      <w:bookmarkStart w:id="195" w:name="_Toc224747223"/>
      <w:bookmarkStart w:id="196" w:name="_Toc224749693"/>
      <w:bookmarkStart w:id="197" w:name="_Toc225974571"/>
      <w:bookmarkStart w:id="198" w:name="_Toc225975244"/>
      <w:bookmarkStart w:id="199" w:name="_Toc225975301"/>
      <w:r w:rsidRPr="00DD0CE5">
        <w:t xml:space="preserve">Intervention n°5: </w:t>
      </w:r>
      <w:r w:rsidR="00226260">
        <w:t>T</w:t>
      </w:r>
      <w:r w:rsidRPr="00DD0CE5">
        <w:t>argeted regulatory reform of Veterinary Medicinal Products</w:t>
      </w:r>
      <w:r w:rsidR="65A3E591" w:rsidRPr="00DD0CE5">
        <w:t xml:space="preserve"> (VMPs)</w:t>
      </w:r>
      <w:r w:rsidRPr="00DD0CE5">
        <w:rPr>
          <w:vertAlign w:val="superscript"/>
        </w:rPr>
        <w:footnoteReference w:id="204"/>
      </w:r>
      <w:bookmarkEnd w:id="195"/>
      <w:bookmarkEnd w:id="196"/>
      <w:bookmarkEnd w:id="197"/>
      <w:bookmarkEnd w:id="198"/>
      <w:bookmarkEnd w:id="199"/>
    </w:p>
    <w:p w14:paraId="35F69F84" w14:textId="14E7FE84" w:rsidR="000F3479" w:rsidRPr="00DD0CE5" w:rsidRDefault="000F3479" w:rsidP="000F3479">
      <w:pPr>
        <w:pBdr>
          <w:top w:val="nil"/>
          <w:left w:val="nil"/>
          <w:bottom w:val="nil"/>
          <w:right w:val="nil"/>
          <w:between w:val="nil"/>
        </w:pBdr>
        <w:rPr>
          <w:rFonts w:eastAsia="Times New Roman"/>
          <w:noProof/>
          <w:color w:val="000000" w:themeColor="text1"/>
        </w:rPr>
      </w:pPr>
      <w:r w:rsidRPr="00DD0CE5">
        <w:rPr>
          <w:rFonts w:eastAsia="Times New Roman"/>
          <w:noProof/>
          <w:color w:val="000000" w:themeColor="text1"/>
        </w:rPr>
        <w:t xml:space="preserve">First, the regulatory framework for </w:t>
      </w:r>
      <w:r w:rsidR="6CFB8400" w:rsidRPr="229A1B95">
        <w:rPr>
          <w:rFonts w:eastAsia="Times New Roman"/>
          <w:b/>
          <w:bCs/>
          <w:noProof/>
          <w:color w:val="000000" w:themeColor="text1"/>
        </w:rPr>
        <w:t>VMP</w:t>
      </w:r>
      <w:r w:rsidRPr="229A1B95">
        <w:rPr>
          <w:rFonts w:eastAsia="Times New Roman"/>
          <w:b/>
          <w:bCs/>
          <w:noProof/>
          <w:color w:val="000000" w:themeColor="text1"/>
        </w:rPr>
        <w:t>s</w:t>
      </w:r>
      <w:r w:rsidRPr="00DD0CE5">
        <w:rPr>
          <w:rFonts w:eastAsia="Times New Roman"/>
          <w:b/>
          <w:bCs/>
          <w:noProof/>
          <w:color w:val="000000" w:themeColor="text1"/>
        </w:rPr>
        <w:t xml:space="preserve"> containing or consisting of </w:t>
      </w:r>
      <w:r w:rsidRPr="00884334">
        <w:rPr>
          <w:rFonts w:eastAsia="Times New Roman"/>
          <w:b/>
          <w:color w:val="000000" w:themeColor="text1"/>
        </w:rPr>
        <w:t>GMOs</w:t>
      </w:r>
      <w:r w:rsidRPr="00DD0CE5">
        <w:rPr>
          <w:rFonts w:eastAsia="Times New Roman"/>
          <w:noProof/>
          <w:color w:val="000000" w:themeColor="text1"/>
        </w:rPr>
        <w:t xml:space="preserve"> </w:t>
      </w:r>
      <w:r w:rsidRPr="0047798E">
        <w:rPr>
          <w:rFonts w:eastAsia="Times New Roman"/>
          <w:b/>
          <w:bCs/>
          <w:noProof/>
          <w:color w:val="000000" w:themeColor="text1"/>
        </w:rPr>
        <w:t>is streamlined</w:t>
      </w:r>
      <w:r w:rsidRPr="00DD0CE5">
        <w:rPr>
          <w:rFonts w:eastAsia="Times New Roman"/>
          <w:noProof/>
          <w:color w:val="000000" w:themeColor="text1"/>
        </w:rPr>
        <w:t xml:space="preserve"> by exempting from </w:t>
      </w:r>
      <w:r w:rsidR="00856FEE">
        <w:rPr>
          <w:rFonts w:eastAsia="Times New Roman"/>
          <w:noProof/>
          <w:color w:val="000000" w:themeColor="text1"/>
        </w:rPr>
        <w:t xml:space="preserve">EU </w:t>
      </w:r>
      <w:r w:rsidRPr="00DD0CE5">
        <w:rPr>
          <w:rFonts w:eastAsia="Times New Roman"/>
          <w:noProof/>
          <w:color w:val="000000" w:themeColor="text1"/>
        </w:rPr>
        <w:t>GMO legislation VMPs containing or consisting of GMOs authorised or manufactured in accordance with VMP Regulation, which are to be assessed solely under the VMP Regulation.</w:t>
      </w:r>
      <w:r w:rsidR="00653CD2">
        <w:rPr>
          <w:rFonts w:eastAsia="Times New Roman"/>
          <w:noProof/>
          <w:color w:val="000000" w:themeColor="text1"/>
        </w:rPr>
        <w:t xml:space="preserve"> </w:t>
      </w:r>
      <w:r w:rsidR="005C2F8B">
        <w:rPr>
          <w:rFonts w:eastAsia="Times New Roman"/>
          <w:noProof/>
          <w:color w:val="000000" w:themeColor="text1"/>
        </w:rPr>
        <w:t xml:space="preserve">Additionally, </w:t>
      </w:r>
      <w:r w:rsidR="009D25F1">
        <w:rPr>
          <w:rFonts w:eastAsia="Times New Roman"/>
          <w:noProof/>
          <w:color w:val="000000" w:themeColor="text1"/>
        </w:rPr>
        <w:t>it is clarified that</w:t>
      </w:r>
      <w:r w:rsidR="00501705">
        <w:rPr>
          <w:rFonts w:eastAsia="Times New Roman"/>
          <w:noProof/>
          <w:color w:val="000000" w:themeColor="text1"/>
        </w:rPr>
        <w:t xml:space="preserve"> animals treated with </w:t>
      </w:r>
      <w:r w:rsidR="10075704" w:rsidRPr="229A1B95">
        <w:rPr>
          <w:rFonts w:eastAsia="Times New Roman"/>
          <w:noProof/>
          <w:color w:val="000000" w:themeColor="text1"/>
        </w:rPr>
        <w:t>VMPs</w:t>
      </w:r>
      <w:r w:rsidR="00741215">
        <w:rPr>
          <w:rFonts w:eastAsia="Times New Roman"/>
          <w:noProof/>
          <w:color w:val="000000" w:themeColor="text1"/>
        </w:rPr>
        <w:t xml:space="preserve"> do not become, for this sole reason </w:t>
      </w:r>
      <w:r w:rsidR="009D25F1">
        <w:rPr>
          <w:rFonts w:eastAsia="Times New Roman"/>
          <w:noProof/>
          <w:color w:val="000000" w:themeColor="text1"/>
        </w:rPr>
        <w:t>subject to the GMO legislation.</w:t>
      </w:r>
    </w:p>
    <w:p w14:paraId="515248FE" w14:textId="19C471E0" w:rsidR="000F3479" w:rsidRPr="00DD0CE5" w:rsidRDefault="000F3479" w:rsidP="004F48D9">
      <w:pPr>
        <w:pBdr>
          <w:top w:val="nil"/>
          <w:left w:val="nil"/>
          <w:bottom w:val="nil"/>
          <w:right w:val="nil"/>
          <w:between w:val="nil"/>
        </w:pBdr>
        <w:spacing w:after="0"/>
        <w:rPr>
          <w:rFonts w:eastAsia="Times New Roman"/>
          <w:noProof/>
          <w:color w:val="000000" w:themeColor="text1"/>
        </w:rPr>
      </w:pPr>
      <w:r w:rsidRPr="00DD0CE5">
        <w:rPr>
          <w:rFonts w:eastAsia="Times New Roman"/>
          <w:noProof/>
          <w:color w:val="000000" w:themeColor="text1"/>
        </w:rPr>
        <w:t xml:space="preserve">Second, the </w:t>
      </w:r>
      <w:r w:rsidRPr="00DD0CE5">
        <w:rPr>
          <w:rFonts w:eastAsia="Times New Roman"/>
          <w:b/>
          <w:bCs/>
          <w:noProof/>
          <w:color w:val="000000" w:themeColor="text1"/>
        </w:rPr>
        <w:t>handling of variations no</w:t>
      </w:r>
      <w:r w:rsidR="00AD2B06">
        <w:rPr>
          <w:rFonts w:eastAsia="Times New Roman"/>
          <w:b/>
          <w:bCs/>
          <w:noProof/>
          <w:color w:val="000000" w:themeColor="text1"/>
        </w:rPr>
        <w:t>t</w:t>
      </w:r>
      <w:r w:rsidRPr="00DD0CE5">
        <w:rPr>
          <w:rFonts w:eastAsia="Times New Roman"/>
          <w:b/>
          <w:bCs/>
          <w:noProof/>
          <w:color w:val="000000" w:themeColor="text1"/>
        </w:rPr>
        <w:t xml:space="preserve"> requiring assessment is simplified</w:t>
      </w:r>
      <w:r w:rsidR="00F71FE6">
        <w:rPr>
          <w:rFonts w:eastAsia="Times New Roman"/>
          <w:b/>
          <w:bCs/>
          <w:noProof/>
          <w:color w:val="000000" w:themeColor="text1"/>
        </w:rPr>
        <w:t>:</w:t>
      </w:r>
      <w:r w:rsidRPr="00DD0CE5">
        <w:rPr>
          <w:rFonts w:eastAsia="Times New Roman"/>
          <w:noProof/>
          <w:color w:val="000000" w:themeColor="text1"/>
        </w:rPr>
        <w:t xml:space="preserve"> </w:t>
      </w:r>
    </w:p>
    <w:p w14:paraId="5CC72165" w14:textId="77777777" w:rsidR="000F3479" w:rsidRPr="00DD0CE5" w:rsidRDefault="000F3479" w:rsidP="00430713">
      <w:pPr>
        <w:pStyle w:val="ListParagraph"/>
        <w:numPr>
          <w:ilvl w:val="0"/>
          <w:numId w:val="5"/>
        </w:numPr>
        <w:pBdr>
          <w:top w:val="nil"/>
          <w:left w:val="nil"/>
          <w:bottom w:val="nil"/>
          <w:right w:val="nil"/>
          <w:between w:val="nil"/>
        </w:pBdr>
        <w:rPr>
          <w:rFonts w:eastAsia="Times New Roman"/>
          <w:noProof/>
          <w:color w:val="000000" w:themeColor="text1"/>
        </w:rPr>
      </w:pPr>
      <w:r w:rsidRPr="00DD0CE5">
        <w:rPr>
          <w:rFonts w:eastAsia="Times New Roman"/>
          <w:noProof/>
          <w:color w:val="000000" w:themeColor="text1"/>
        </w:rPr>
        <w:t>For variations not requiring assessment with no impact on the product information, submissions can be consolidated on a yearly basis.</w:t>
      </w:r>
    </w:p>
    <w:p w14:paraId="5E5919D3" w14:textId="77777777" w:rsidR="000F3479" w:rsidRPr="00DD0CE5" w:rsidRDefault="000F3479" w:rsidP="00430713">
      <w:pPr>
        <w:pStyle w:val="ListParagraph"/>
        <w:numPr>
          <w:ilvl w:val="0"/>
          <w:numId w:val="5"/>
        </w:numPr>
        <w:pBdr>
          <w:top w:val="nil"/>
          <w:left w:val="nil"/>
          <w:bottom w:val="nil"/>
          <w:right w:val="nil"/>
          <w:between w:val="nil"/>
        </w:pBdr>
        <w:rPr>
          <w:rFonts w:eastAsia="Times New Roman"/>
          <w:noProof/>
          <w:color w:val="000000" w:themeColor="text1"/>
        </w:rPr>
      </w:pPr>
      <w:r w:rsidRPr="00DD0CE5">
        <w:rPr>
          <w:rFonts w:eastAsia="Times New Roman"/>
          <w:noProof/>
          <w:color w:val="000000" w:themeColor="text1"/>
        </w:rPr>
        <w:t>For all variations not requiring assessment, confirmation by the competent authorities is no longer required.</w:t>
      </w:r>
    </w:p>
    <w:p w14:paraId="1B409057" w14:textId="4BBBADF6" w:rsidR="000F3479" w:rsidRPr="00DD0CE5" w:rsidRDefault="000F3479" w:rsidP="008C1C0A">
      <w:pPr>
        <w:pBdr>
          <w:top w:val="nil"/>
          <w:left w:val="nil"/>
          <w:bottom w:val="nil"/>
          <w:right w:val="nil"/>
          <w:between w:val="nil"/>
        </w:pBdr>
        <w:spacing w:after="0"/>
        <w:rPr>
          <w:rFonts w:eastAsia="Times New Roman"/>
          <w:noProof/>
          <w:color w:val="000000" w:themeColor="text1"/>
        </w:rPr>
      </w:pPr>
      <w:r w:rsidRPr="00DD0CE5">
        <w:rPr>
          <w:rFonts w:eastAsia="Times New Roman"/>
          <w:noProof/>
          <w:color w:val="000000" w:themeColor="text1"/>
        </w:rPr>
        <w:t xml:space="preserve">Third, the </w:t>
      </w:r>
      <w:r w:rsidR="4344F139" w:rsidRPr="16C1B0C4">
        <w:rPr>
          <w:rFonts w:eastAsia="Times New Roman"/>
          <w:b/>
          <w:bCs/>
          <w:noProof/>
          <w:color w:val="000000" w:themeColor="text1"/>
        </w:rPr>
        <w:t>SPC</w:t>
      </w:r>
      <w:r w:rsidRPr="00DD0CE5">
        <w:rPr>
          <w:rFonts w:eastAsia="Times New Roman"/>
          <w:noProof/>
          <w:color w:val="000000" w:themeColor="text1"/>
        </w:rPr>
        <w:t xml:space="preserve"> for biotechnology </w:t>
      </w:r>
      <w:r w:rsidR="1CD79528" w:rsidRPr="2D1CCD9A">
        <w:rPr>
          <w:rFonts w:eastAsia="Times New Roman"/>
          <w:noProof/>
          <w:color w:val="000000" w:themeColor="text1"/>
        </w:rPr>
        <w:t>VMP</w:t>
      </w:r>
      <w:r w:rsidRPr="2D1CCD9A">
        <w:rPr>
          <w:rFonts w:eastAsia="Times New Roman"/>
          <w:noProof/>
          <w:color w:val="000000" w:themeColor="text1"/>
        </w:rPr>
        <w:t>s</w:t>
      </w:r>
      <w:r w:rsidRPr="00DD0CE5">
        <w:rPr>
          <w:rFonts w:eastAsia="Times New Roman"/>
          <w:noProof/>
          <w:color w:val="000000" w:themeColor="text1"/>
        </w:rPr>
        <w:t xml:space="preserve"> treating zoonoses is extended under certain conditions</w:t>
      </w:r>
      <w:r w:rsidR="008C1C0A">
        <w:rPr>
          <w:rFonts w:eastAsia="Times New Roman"/>
          <w:noProof/>
          <w:color w:val="000000" w:themeColor="text1"/>
        </w:rPr>
        <w:t>:</w:t>
      </w:r>
    </w:p>
    <w:p w14:paraId="7B11C4CC" w14:textId="77777777" w:rsidR="00D37DE7" w:rsidRPr="001240E6" w:rsidRDefault="00B92F35" w:rsidP="00430713">
      <w:pPr>
        <w:pStyle w:val="ListParagraph"/>
        <w:numPr>
          <w:ilvl w:val="0"/>
          <w:numId w:val="5"/>
        </w:numPr>
        <w:pBdr>
          <w:top w:val="nil"/>
          <w:left w:val="nil"/>
          <w:bottom w:val="nil"/>
          <w:right w:val="nil"/>
          <w:between w:val="nil"/>
        </w:pBdr>
        <w:rPr>
          <w:rFonts w:eastAsia="Times New Roman"/>
          <w:noProof/>
          <w:color w:val="000000" w:themeColor="text1"/>
        </w:rPr>
      </w:pPr>
      <w:r w:rsidRPr="00B92F35">
        <w:rPr>
          <w:szCs w:val="20"/>
        </w:rPr>
        <w:t xml:space="preserve">the product must be developed by means of a biotechnology process as defined in Article 42(2)(a) of Regulation 2019/6;  </w:t>
      </w:r>
    </w:p>
    <w:p w14:paraId="00B9E975" w14:textId="77777777" w:rsidR="00D37DE7" w:rsidRPr="001240E6" w:rsidRDefault="00B92F35" w:rsidP="00430713">
      <w:pPr>
        <w:pStyle w:val="ListParagraph"/>
        <w:numPr>
          <w:ilvl w:val="0"/>
          <w:numId w:val="5"/>
        </w:numPr>
        <w:pBdr>
          <w:top w:val="nil"/>
          <w:left w:val="nil"/>
          <w:bottom w:val="nil"/>
          <w:right w:val="nil"/>
          <w:between w:val="nil"/>
        </w:pBdr>
        <w:rPr>
          <w:rFonts w:eastAsia="Times New Roman"/>
          <w:noProof/>
          <w:color w:val="000000" w:themeColor="text1"/>
        </w:rPr>
      </w:pPr>
      <w:r w:rsidRPr="00B92F35">
        <w:rPr>
          <w:szCs w:val="20"/>
        </w:rPr>
        <w:t xml:space="preserve">it must be intended to diagnose, treat, or prevent zoonotic diseases; </w:t>
      </w:r>
    </w:p>
    <w:p w14:paraId="06052BD6" w14:textId="25988C74" w:rsidR="00D37DE7" w:rsidRPr="001240E6" w:rsidRDefault="00B92F35" w:rsidP="00430713">
      <w:pPr>
        <w:pStyle w:val="ListParagraph"/>
        <w:numPr>
          <w:ilvl w:val="0"/>
          <w:numId w:val="5"/>
        </w:numPr>
        <w:pBdr>
          <w:top w:val="nil"/>
          <w:left w:val="nil"/>
          <w:bottom w:val="nil"/>
          <w:right w:val="nil"/>
          <w:between w:val="nil"/>
        </w:pBdr>
        <w:rPr>
          <w:rFonts w:eastAsia="Times New Roman"/>
          <w:noProof/>
          <w:color w:val="000000" w:themeColor="text1"/>
        </w:rPr>
      </w:pPr>
      <w:r w:rsidRPr="00B92F35">
        <w:rPr>
          <w:szCs w:val="20"/>
        </w:rPr>
        <w:t xml:space="preserve">it must contain a new active substance distinctly different from any authorised medicinal product in the </w:t>
      </w:r>
      <w:r w:rsidR="00AB0B73">
        <w:rPr>
          <w:szCs w:val="20"/>
        </w:rPr>
        <w:t>EU</w:t>
      </w:r>
      <w:r w:rsidRPr="00B92F35">
        <w:rPr>
          <w:szCs w:val="20"/>
        </w:rPr>
        <w:t xml:space="preserve">; </w:t>
      </w:r>
    </w:p>
    <w:p w14:paraId="05AD0D34" w14:textId="77777777" w:rsidR="00D37DE7" w:rsidRPr="00AB0B73" w:rsidRDefault="00B92F35" w:rsidP="00430713">
      <w:pPr>
        <w:pStyle w:val="ListParagraph"/>
        <w:numPr>
          <w:ilvl w:val="0"/>
          <w:numId w:val="5"/>
        </w:numPr>
        <w:pBdr>
          <w:top w:val="nil"/>
          <w:left w:val="nil"/>
          <w:bottom w:val="nil"/>
          <w:right w:val="nil"/>
          <w:between w:val="nil"/>
        </w:pBdr>
        <w:rPr>
          <w:rFonts w:eastAsia="Times New Roman"/>
          <w:noProof/>
          <w:color w:val="000000" w:themeColor="text1"/>
        </w:rPr>
      </w:pPr>
      <w:r w:rsidRPr="00B92F35">
        <w:rPr>
          <w:szCs w:val="20"/>
        </w:rPr>
        <w:t xml:space="preserve">it must have a mechanism of action distinctly different from existing products for the same zoonotic disease, with at least equivalent safety and efficacy; </w:t>
      </w:r>
    </w:p>
    <w:p w14:paraId="10249354" w14:textId="16EEF5CA" w:rsidR="00B92F35" w:rsidRPr="00B92F35" w:rsidRDefault="00B92F35" w:rsidP="00430713">
      <w:pPr>
        <w:pStyle w:val="ListParagraph"/>
        <w:numPr>
          <w:ilvl w:val="0"/>
          <w:numId w:val="5"/>
        </w:numPr>
        <w:pBdr>
          <w:top w:val="nil"/>
          <w:left w:val="nil"/>
          <w:bottom w:val="nil"/>
          <w:right w:val="nil"/>
          <w:between w:val="nil"/>
        </w:pBdr>
        <w:rPr>
          <w:rFonts w:eastAsia="Times New Roman"/>
          <w:noProof/>
          <w:color w:val="000000" w:themeColor="text1"/>
        </w:rPr>
      </w:pPr>
      <w:r w:rsidRPr="00B92F35">
        <w:rPr>
          <w:szCs w:val="20"/>
        </w:rPr>
        <w:t xml:space="preserve">and at least one manufacturing step (excluding packaging, quality testing, and certification) must be performed in the </w:t>
      </w:r>
      <w:r w:rsidR="00AB0B73">
        <w:rPr>
          <w:szCs w:val="20"/>
        </w:rPr>
        <w:t>EU</w:t>
      </w:r>
      <w:r w:rsidR="00D37DE7">
        <w:rPr>
          <w:szCs w:val="20"/>
        </w:rPr>
        <w:t>.</w:t>
      </w:r>
    </w:p>
    <w:p w14:paraId="16EE2789" w14:textId="431D4425" w:rsidR="000F3479" w:rsidRPr="00DD0CE5" w:rsidRDefault="000F3479" w:rsidP="000F3479">
      <w:pPr>
        <w:pBdr>
          <w:top w:val="nil"/>
          <w:left w:val="nil"/>
          <w:bottom w:val="nil"/>
          <w:right w:val="nil"/>
          <w:between w:val="nil"/>
        </w:pBdr>
        <w:rPr>
          <w:rFonts w:eastAsia="Times New Roman"/>
          <w:noProof/>
          <w:color w:val="000000" w:themeColor="text1"/>
        </w:rPr>
      </w:pPr>
      <w:r w:rsidRPr="00DD0CE5">
        <w:rPr>
          <w:rFonts w:eastAsia="Times New Roman"/>
          <w:noProof/>
          <w:color w:val="000000" w:themeColor="text1"/>
        </w:rPr>
        <w:t xml:space="preserve">Fourth, the </w:t>
      </w:r>
      <w:r w:rsidR="00890444">
        <w:rPr>
          <w:rFonts w:eastAsia="Times New Roman"/>
          <w:noProof/>
          <w:color w:val="000000" w:themeColor="text1"/>
        </w:rPr>
        <w:t xml:space="preserve">Regulation </w:t>
      </w:r>
      <w:r w:rsidRPr="00DD0CE5">
        <w:rPr>
          <w:rFonts w:eastAsia="Times New Roman"/>
          <w:noProof/>
          <w:color w:val="000000" w:themeColor="text1"/>
        </w:rPr>
        <w:t xml:space="preserve">proposal establishes a </w:t>
      </w:r>
      <w:r w:rsidRPr="00DD0CE5">
        <w:rPr>
          <w:rFonts w:eastAsia="Times New Roman"/>
          <w:b/>
          <w:bCs/>
          <w:noProof/>
          <w:color w:val="000000" w:themeColor="text1"/>
        </w:rPr>
        <w:t>regulatory sandbox framework</w:t>
      </w:r>
      <w:r w:rsidRPr="00DD0CE5">
        <w:rPr>
          <w:rFonts w:eastAsia="Times New Roman"/>
          <w:noProof/>
          <w:color w:val="000000" w:themeColor="text1"/>
        </w:rPr>
        <w:t xml:space="preserve"> for innovative technologies, methods or products related to animal health.</w:t>
      </w:r>
    </w:p>
    <w:p w14:paraId="19452CB9" w14:textId="48625201" w:rsidR="00D82915" w:rsidRPr="00D82915" w:rsidRDefault="00D82915" w:rsidP="000F3479">
      <w:pPr>
        <w:pBdr>
          <w:top w:val="nil"/>
          <w:left w:val="nil"/>
          <w:bottom w:val="nil"/>
          <w:right w:val="nil"/>
          <w:between w:val="nil"/>
        </w:pBdr>
        <w:rPr>
          <w:rFonts w:eastAsia="Times New Roman"/>
          <w:color w:val="000000" w:themeColor="text1"/>
          <w:u w:val="single"/>
          <w:lang w:val="en-IE"/>
        </w:rPr>
      </w:pPr>
      <w:r w:rsidRPr="00E57EAA">
        <w:rPr>
          <w:rFonts w:eastAsia="Times New Roman"/>
          <w:noProof/>
          <w:color w:val="000000" w:themeColor="text1"/>
          <w:u w:val="single"/>
          <w:lang w:val="en-IE"/>
        </w:rPr>
        <w:t xml:space="preserve">Expected impacts: </w:t>
      </w:r>
    </w:p>
    <w:p w14:paraId="78FAD43F" w14:textId="33BE44FC" w:rsidR="000E39EC" w:rsidRPr="007D4DA1" w:rsidRDefault="0063703E" w:rsidP="001E03A3">
      <w:pPr>
        <w:spacing w:after="270" w:line="270" w:lineRule="atLeast"/>
        <w:ind w:right="284"/>
      </w:pPr>
      <w:r>
        <w:t xml:space="preserve">The measure related to the </w:t>
      </w:r>
      <w:r w:rsidRPr="40D03AF4">
        <w:rPr>
          <w:b/>
        </w:rPr>
        <w:t xml:space="preserve">VMPs </w:t>
      </w:r>
      <w:r w:rsidR="007D4DA1" w:rsidRPr="40D03AF4">
        <w:rPr>
          <w:b/>
        </w:rPr>
        <w:t>containing or consisting of GMOs</w:t>
      </w:r>
      <w:r w:rsidR="007D4DA1">
        <w:t xml:space="preserve"> </w:t>
      </w:r>
      <w:r w:rsidR="000E39EC">
        <w:t xml:space="preserve">delivers procedural simplification (1-3 month </w:t>
      </w:r>
      <w:r w:rsidR="00AB0B73">
        <w:t>CT</w:t>
      </w:r>
      <w:r w:rsidR="00154821">
        <w:t xml:space="preserve"> application </w:t>
      </w:r>
      <w:r w:rsidR="000E39EC">
        <w:t>saving; cumulative EUR 5-14.5</w:t>
      </w:r>
      <w:r w:rsidR="4F5F0427">
        <w:t xml:space="preserve"> </w:t>
      </w:r>
      <w:r w:rsidR="644DEB77">
        <w:t>million</w:t>
      </w:r>
      <w:r w:rsidR="000E39EC">
        <w:t xml:space="preserve"> in CTA admin</w:t>
      </w:r>
      <w:r w:rsidR="00154821">
        <w:t>ist</w:t>
      </w:r>
      <w:r w:rsidR="00724ED5">
        <w:t>r</w:t>
      </w:r>
      <w:r w:rsidR="00154821">
        <w:t>ative</w:t>
      </w:r>
      <w:r w:rsidR="000E39EC">
        <w:t xml:space="preserve"> savings; EUR 560</w:t>
      </w:r>
      <w:r w:rsidR="00BD481B">
        <w:t>,000</w:t>
      </w:r>
      <w:r w:rsidR="000E39EC">
        <w:t xml:space="preserve"> in </w:t>
      </w:r>
      <w:r w:rsidR="00154821">
        <w:t>marketing authorisation</w:t>
      </w:r>
      <w:r w:rsidR="000E39EC">
        <w:t xml:space="preserve"> dossier savings over </w:t>
      </w:r>
      <w:r w:rsidR="00154821">
        <w:t xml:space="preserve">the period </w:t>
      </w:r>
      <w:r w:rsidR="000E39EC">
        <w:t>2026-2040) and cross-M</w:t>
      </w:r>
      <w:r w:rsidR="00154821">
        <w:t>ember States</w:t>
      </w:r>
      <w:r w:rsidR="000E39EC">
        <w:t xml:space="preserve"> harmonisation, with a high-value, zero-cost legal clarification on GMO status of treated animals eliminating a latent risk. </w:t>
      </w:r>
      <w:r w:rsidR="00D4200E">
        <w:t>While s</w:t>
      </w:r>
      <w:r w:rsidR="000E39EC">
        <w:t xml:space="preserve">tandard </w:t>
      </w:r>
      <w:r w:rsidR="00BE5963">
        <w:t>marketing authorisation</w:t>
      </w:r>
      <w:r w:rsidR="000E39EC">
        <w:t xml:space="preserve"> timelines are unaffected</w:t>
      </w:r>
      <w:r w:rsidR="00D4200E">
        <w:t>,</w:t>
      </w:r>
      <w:r w:rsidR="000E39EC">
        <w:t xml:space="preserve"> the benefit materialises under accelerated/emergency pathways (est</w:t>
      </w:r>
      <w:r w:rsidR="003731AC">
        <w:t>imated at</w:t>
      </w:r>
      <w:r w:rsidR="000E39EC">
        <w:t xml:space="preserve"> 30-60 days for 1-3 products/year). While no measurable increase </w:t>
      </w:r>
      <w:r w:rsidR="006C36C7">
        <w:t>of</w:t>
      </w:r>
      <w:r w:rsidR="004F4C00">
        <w:t xml:space="preserve"> marketed products</w:t>
      </w:r>
      <w:r w:rsidR="000E39EC">
        <w:t xml:space="preserve"> is expected, the measure contributes to preventing the progressive offshoring of the innovation process to other jurisdictions where </w:t>
      </w:r>
      <w:r w:rsidR="000E39EC" w:rsidRPr="00A30B58">
        <w:t>next generation veterinary biotechnology</w:t>
      </w:r>
      <w:r w:rsidR="000E39EC">
        <w:t xml:space="preserve"> would be developed and trialled.</w:t>
      </w:r>
    </w:p>
    <w:p w14:paraId="09A74F7E" w14:textId="45B1C7C6" w:rsidR="00103547" w:rsidRPr="00A30B58" w:rsidRDefault="007D4DA1" w:rsidP="00103547">
      <w:r w:rsidRPr="2C8978D3">
        <w:rPr>
          <w:b/>
        </w:rPr>
        <w:t xml:space="preserve">The </w:t>
      </w:r>
      <w:r w:rsidR="00B73BD3">
        <w:rPr>
          <w:b/>
        </w:rPr>
        <w:t>proposed</w:t>
      </w:r>
      <w:r w:rsidRPr="2C8978D3">
        <w:rPr>
          <w:b/>
        </w:rPr>
        <w:t xml:space="preserve"> SPC</w:t>
      </w:r>
      <w:r w:rsidR="781F1D39" w:rsidRPr="2C8978D3">
        <w:rPr>
          <w:b/>
          <w:bCs/>
        </w:rPr>
        <w:t xml:space="preserve"> </w:t>
      </w:r>
      <w:r w:rsidR="2233698B" w:rsidRPr="491AF7A8">
        <w:rPr>
          <w:b/>
          <w:bCs/>
        </w:rPr>
        <w:t>extension</w:t>
      </w:r>
      <w:r w:rsidR="781F1D39" w:rsidRPr="2C8978D3">
        <w:rPr>
          <w:b/>
          <w:bCs/>
        </w:rPr>
        <w:t xml:space="preserve"> </w:t>
      </w:r>
      <w:r w:rsidR="781F1D39" w:rsidRPr="230C16A4">
        <w:rPr>
          <w:b/>
          <w:bCs/>
        </w:rPr>
        <w:t>for VMPs</w:t>
      </w:r>
      <w:r w:rsidRPr="2C8978D3">
        <w:rPr>
          <w:b/>
        </w:rPr>
        <w:t xml:space="preserve"> </w:t>
      </w:r>
      <w:r w:rsidR="000E39EC">
        <w:t xml:space="preserve">is a low to medium impact signalling instrument. </w:t>
      </w:r>
      <w:r w:rsidR="003C2BFB">
        <w:t>No</w:t>
      </w:r>
      <w:r w:rsidR="000E39EC">
        <w:t xml:space="preserve"> near-term commercial benefit </w:t>
      </w:r>
      <w:r w:rsidR="00EC773F">
        <w:t xml:space="preserve">is expected </w:t>
      </w:r>
      <w:r w:rsidR="000E39EC">
        <w:t xml:space="preserve">due to the virtual non-existence of veterinary biosimilar competition and the fact that existing data protection periods already outlast patent/SPC terms. </w:t>
      </w:r>
      <w:r w:rsidR="00103547" w:rsidRPr="00A30B58">
        <w:t>Therefore, the impact of this measure is not appropriately captured through quantification of direct commercial or cost effects, because the primary function of the SPC extension is not to deliver measurable near-term revenue protection but to serve three signalling and future-proofing purposes:</w:t>
      </w:r>
    </w:p>
    <w:p w14:paraId="72A143D3" w14:textId="77777777" w:rsidR="00103547" w:rsidRPr="00A30B58" w:rsidRDefault="00103547" w:rsidP="00430713">
      <w:pPr>
        <w:pStyle w:val="ListParagraph"/>
        <w:numPr>
          <w:ilvl w:val="0"/>
          <w:numId w:val="15"/>
        </w:numPr>
        <w:spacing w:after="270" w:line="270" w:lineRule="atLeast"/>
        <w:ind w:right="284"/>
      </w:pPr>
      <w:r w:rsidRPr="00A30B58">
        <w:rPr>
          <w:b/>
          <w:bCs/>
        </w:rPr>
        <w:t>Policy signalling:</w:t>
      </w:r>
      <w:r w:rsidRPr="00A30B58">
        <w:t xml:space="preserve"> The measure communicates EU institutional commitment to veterinary biotechnology innovation addressing zoonotic diseases, potentially influencing long-term R&amp;D allocation decisions at the margin.</w:t>
      </w:r>
    </w:p>
    <w:p w14:paraId="2BEA7AC7" w14:textId="475CF6CB" w:rsidR="00103547" w:rsidRDefault="00103547" w:rsidP="00430713">
      <w:pPr>
        <w:pStyle w:val="ListParagraph"/>
        <w:numPr>
          <w:ilvl w:val="0"/>
          <w:numId w:val="15"/>
        </w:numPr>
        <w:spacing w:after="270" w:line="270" w:lineRule="atLeast"/>
        <w:ind w:right="284"/>
      </w:pPr>
      <w:r w:rsidRPr="00A30B58">
        <w:rPr>
          <w:b/>
          <w:bCs/>
        </w:rPr>
        <w:t>Future-proofing:</w:t>
      </w:r>
      <w:r w:rsidR="00BE65F7">
        <w:t xml:space="preserve"> </w:t>
      </w:r>
      <w:r w:rsidRPr="00A30B58">
        <w:t>Should veterinary biosimilar competition eventually materialise at scale (plausibly from the mid-2030s onward), the mechanism would already be in place, avoiding the need for reactive legislative intervention.</w:t>
      </w:r>
    </w:p>
    <w:p w14:paraId="4178CBDB" w14:textId="77777777" w:rsidR="00103547" w:rsidRDefault="00103547" w:rsidP="00430713">
      <w:pPr>
        <w:pStyle w:val="ListParagraph"/>
        <w:numPr>
          <w:ilvl w:val="0"/>
          <w:numId w:val="15"/>
        </w:numPr>
        <w:spacing w:after="270" w:line="270" w:lineRule="atLeast"/>
        <w:ind w:right="284"/>
      </w:pPr>
      <w:r w:rsidRPr="00103547">
        <w:rPr>
          <w:b/>
          <w:bCs/>
        </w:rPr>
        <w:t>EU manufacturing incentive:</w:t>
      </w:r>
      <w:r w:rsidRPr="00A30B58">
        <w:t xml:space="preserve"> The requirement that at least one manufacturing step be performed in the Union introduces an explicit industrial policy lever.</w:t>
      </w:r>
    </w:p>
    <w:p w14:paraId="1BCE436C" w14:textId="0337FE3E" w:rsidR="000E39EC" w:rsidRPr="006373C1" w:rsidRDefault="00D800F9" w:rsidP="00AA135D">
      <w:pPr>
        <w:spacing w:after="270" w:line="270" w:lineRule="atLeast"/>
        <w:ind w:right="284"/>
      </w:pPr>
      <w:r w:rsidRPr="00103547">
        <w:rPr>
          <w:rFonts w:eastAsia="Google Sans Text"/>
        </w:rPr>
        <w:t xml:space="preserve">There is no centralised EU database publicly listing how many VMPs have obtained SPCs, and national patent office data are not often broken down by human vs. veterinary use. </w:t>
      </w:r>
      <w:r w:rsidR="00557C75" w:rsidRPr="00967293">
        <w:rPr>
          <w:rFonts w:eastAsia="Google Sans Text"/>
        </w:rPr>
        <w:t xml:space="preserve">However, based on data </w:t>
      </w:r>
      <w:r w:rsidR="005D48C3" w:rsidRPr="00967293">
        <w:rPr>
          <w:rFonts w:eastAsia="Google Sans Text"/>
        </w:rPr>
        <w:t>provided</w:t>
      </w:r>
      <w:r w:rsidR="00557C75" w:rsidRPr="00982E06">
        <w:rPr>
          <w:rFonts w:eastAsia="Google Sans Text"/>
        </w:rPr>
        <w:t xml:space="preserve"> by</w:t>
      </w:r>
      <w:r w:rsidR="005D48C3" w:rsidRPr="00982E06">
        <w:rPr>
          <w:rFonts w:eastAsia="Google Sans Text"/>
        </w:rPr>
        <w:t xml:space="preserve"> the</w:t>
      </w:r>
      <w:r w:rsidR="00557C75" w:rsidRPr="00982E06">
        <w:rPr>
          <w:rFonts w:eastAsia="Google Sans Text"/>
        </w:rPr>
        <w:t xml:space="preserve"> EMA, out of </w:t>
      </w:r>
      <w:r w:rsidR="00EA7BD4" w:rsidRPr="00982E06">
        <w:rPr>
          <w:rFonts w:eastAsia="Google Sans Text"/>
        </w:rPr>
        <w:t xml:space="preserve">the </w:t>
      </w:r>
      <w:r w:rsidR="00557C75" w:rsidRPr="00982E06">
        <w:rPr>
          <w:rFonts w:eastAsia="Google Sans Text"/>
        </w:rPr>
        <w:t>28 biotech</w:t>
      </w:r>
      <w:r w:rsidR="005D48C3" w:rsidRPr="00982E06">
        <w:rPr>
          <w:rFonts w:eastAsia="Google Sans Text"/>
        </w:rPr>
        <w:t>nology</w:t>
      </w:r>
      <w:r w:rsidR="00557C75" w:rsidRPr="00982E06">
        <w:rPr>
          <w:rFonts w:eastAsia="Google Sans Text"/>
        </w:rPr>
        <w:t xml:space="preserve"> VMPs </w:t>
      </w:r>
      <w:r w:rsidR="006976F9">
        <w:rPr>
          <w:rFonts w:eastAsia="Google Sans Text"/>
        </w:rPr>
        <w:t>for</w:t>
      </w:r>
      <w:r w:rsidR="00557C75" w:rsidRPr="00982E06">
        <w:rPr>
          <w:rFonts w:eastAsia="Google Sans Text"/>
        </w:rPr>
        <w:t xml:space="preserve"> zoonotic diseases approved between 2010 and 2025, only 8 fulfilled all eligibility criteria</w:t>
      </w:r>
      <w:r w:rsidR="003837F4" w:rsidRPr="00982E06">
        <w:rPr>
          <w:rFonts w:eastAsia="Google Sans Text"/>
        </w:rPr>
        <w:t xml:space="preserve"> for the SPC extension</w:t>
      </w:r>
      <w:r w:rsidR="00557C75" w:rsidRPr="00982E06">
        <w:rPr>
          <w:rFonts w:eastAsia="Google Sans Text"/>
        </w:rPr>
        <w:t>. On average, this is 1 product for each 2 years</w:t>
      </w:r>
      <w:r w:rsidR="000E39EC">
        <w:t xml:space="preserve">. </w:t>
      </w:r>
      <w:r w:rsidR="008F3A9A">
        <w:t>A</w:t>
      </w:r>
      <w:r w:rsidR="00FF536E" w:rsidRPr="002A38D2">
        <w:t xml:space="preserve"> forward-looking estimate </w:t>
      </w:r>
      <w:r w:rsidR="008F3A9A">
        <w:t xml:space="preserve">would </w:t>
      </w:r>
      <w:r w:rsidR="00463081">
        <w:t>foresee</w:t>
      </w:r>
      <w:r w:rsidR="00FF536E" w:rsidRPr="002A38D2">
        <w:t xml:space="preserve"> </w:t>
      </w:r>
      <w:r w:rsidR="00FF536E" w:rsidRPr="004C45C5">
        <w:rPr>
          <w:b/>
          <w:bCs/>
        </w:rPr>
        <w:t>an average of 3 eligible products per year</w:t>
      </w:r>
      <w:r w:rsidR="00FF536E" w:rsidRPr="00AB5640">
        <w:rPr>
          <w:b/>
          <w:bCs/>
        </w:rPr>
        <w:t xml:space="preserve"> over 2026-2040</w:t>
      </w:r>
      <w:r w:rsidR="00640256">
        <w:t>,</w:t>
      </w:r>
      <w:r w:rsidR="00FF536E">
        <w:t xml:space="preserve"> based on</w:t>
      </w:r>
      <w:r w:rsidR="00FF536E" w:rsidRPr="002A38D2">
        <w:t xml:space="preserve"> the retrospective eligibility analysis (8 out of 28 over 16 years ≈ 2/year) and adjust</w:t>
      </w:r>
      <w:r w:rsidR="00FF536E">
        <w:t>ed</w:t>
      </w:r>
      <w:r w:rsidR="00FF536E" w:rsidRPr="002A38D2">
        <w:t xml:space="preserve"> upward modestly to reflect the growing share of biotech vaccines in the pipeline</w:t>
      </w:r>
      <w:r w:rsidR="000E39EC">
        <w:t>.</w:t>
      </w:r>
      <w:r w:rsidR="00E2151D">
        <w:t xml:space="preserve"> </w:t>
      </w:r>
      <w:r w:rsidR="00E2151D" w:rsidRPr="00E2151D">
        <w:t>The targeted SPC extension is designed to be cost-neutral for the EMA. Given the narrow scope of the measure, the EMA is expected to handle a very low volume of applications</w:t>
      </w:r>
      <w:r w:rsidR="00F36C9D">
        <w:t>.</w:t>
      </w:r>
    </w:p>
    <w:p w14:paraId="52FD42A0" w14:textId="63F3ADA5" w:rsidR="000E39EC" w:rsidRPr="006373C1" w:rsidRDefault="006373C1" w:rsidP="001E03A3">
      <w:pPr>
        <w:spacing w:after="270" w:line="270" w:lineRule="atLeast"/>
        <w:ind w:right="284"/>
      </w:pPr>
      <w:r w:rsidRPr="7FB049C7">
        <w:rPr>
          <w:b/>
        </w:rPr>
        <w:t>The possibility of using a regulatory sandbox</w:t>
      </w:r>
      <w:r w:rsidR="00193EFC" w:rsidRPr="7FB049C7">
        <w:rPr>
          <w:b/>
        </w:rPr>
        <w:t xml:space="preserve"> for animal health innovation</w:t>
      </w:r>
      <w:r w:rsidR="000E39EC">
        <w:t xml:space="preserve"> </w:t>
      </w:r>
      <w:r w:rsidR="009742D7" w:rsidRPr="000A43BB">
        <w:t xml:space="preserve">provides a structured framework </w:t>
      </w:r>
      <w:r w:rsidR="7F5865A7">
        <w:t xml:space="preserve">to facilitate the development and </w:t>
      </w:r>
      <w:r w:rsidR="3799BECE">
        <w:t>marketing</w:t>
      </w:r>
      <w:r w:rsidR="7F5865A7">
        <w:t xml:space="preserve"> or use of products, methods or technologies that are not regulated</w:t>
      </w:r>
      <w:r w:rsidR="009C3E7F">
        <w:t xml:space="preserve"> under </w:t>
      </w:r>
      <w:r w:rsidR="00DA0AD4">
        <w:t>EU legislation</w:t>
      </w:r>
      <w:r w:rsidR="00F50F41">
        <w:t>.</w:t>
      </w:r>
      <w:r w:rsidR="009742D7" w:rsidRPr="000A43BB">
        <w:t xml:space="preserve"> </w:t>
      </w:r>
      <w:r w:rsidR="000E39EC">
        <w:t>Expected utilisation is modest (</w:t>
      </w:r>
      <w:r w:rsidR="000E39EC" w:rsidRPr="7FB049C7">
        <w:rPr>
          <w:rFonts w:ascii="Cambria Math" w:hAnsi="Cambria Math" w:cs="Cambria Math"/>
        </w:rPr>
        <w:t>∼</w:t>
      </w:r>
      <w:r w:rsidR="000E39EC">
        <w:t xml:space="preserve">1 sandbox per </w:t>
      </w:r>
      <w:r w:rsidR="003F065A">
        <w:t>five</w:t>
      </w:r>
      <w:r w:rsidR="000E39EC">
        <w:t xml:space="preserve"> years; 2-3 established over 2026-2040). </w:t>
      </w:r>
      <w:r w:rsidR="00CE079A">
        <w:t>Its p</w:t>
      </w:r>
      <w:r w:rsidR="000E39EC">
        <w:t xml:space="preserve">rimary value is qualitative: pathway creation, evidence generation for </w:t>
      </w:r>
      <w:r w:rsidR="00B22204">
        <w:t xml:space="preserve">adaptive </w:t>
      </w:r>
      <w:r w:rsidR="000E39EC">
        <w:t xml:space="preserve">regulation, and investment signalling. </w:t>
      </w:r>
      <w:r w:rsidR="003F065A">
        <w:t>The proposed measure c</w:t>
      </w:r>
      <w:r w:rsidR="000E39EC">
        <w:t>reates new EMA/Commission responsibilities (application assessment, implementing acts, reporting).</w:t>
      </w:r>
    </w:p>
    <w:p w14:paraId="641431C8" w14:textId="36FB3ED1" w:rsidR="00446A2D" w:rsidRPr="00193EFC" w:rsidRDefault="002E03D1" w:rsidP="001E03A3">
      <w:pPr>
        <w:spacing w:after="270" w:line="270" w:lineRule="atLeast"/>
        <w:ind w:right="284"/>
      </w:pPr>
      <w:r>
        <w:t>Finally</w:t>
      </w:r>
      <w:r w:rsidRPr="3138666B">
        <w:rPr>
          <w:b/>
        </w:rPr>
        <w:t>, the r</w:t>
      </w:r>
      <w:r w:rsidRPr="001E03A3">
        <w:rPr>
          <w:b/>
        </w:rPr>
        <w:t xml:space="preserve">eduction of burden for the handling of </w:t>
      </w:r>
      <w:r w:rsidR="007336ED" w:rsidRPr="007336ED">
        <w:rPr>
          <w:b/>
        </w:rPr>
        <w:t xml:space="preserve">variations not requiring assessment </w:t>
      </w:r>
      <w:r w:rsidR="000E39EC">
        <w:t>delivers the most quantifiable and immediately realised benefits</w:t>
      </w:r>
      <w:r w:rsidR="005826E7">
        <w:t xml:space="preserve"> with a c</w:t>
      </w:r>
      <w:r w:rsidR="000E39EC">
        <w:t>entral estimate</w:t>
      </w:r>
      <w:r w:rsidR="00F128FF">
        <w:t xml:space="preserve"> of</w:t>
      </w:r>
      <w:r w:rsidR="000E39EC">
        <w:t xml:space="preserve"> EUR 22.5</w:t>
      </w:r>
      <w:r w:rsidR="2E485221">
        <w:t xml:space="preserve"> </w:t>
      </w:r>
      <w:r w:rsidR="7CF05E86">
        <w:t>million</w:t>
      </w:r>
      <w:r w:rsidR="000E39EC">
        <w:t xml:space="preserve"> present-value cumulative staff cost savings (2025-2040)</w:t>
      </w:r>
      <w:r w:rsidR="00534A7C">
        <w:t xml:space="preserve"> and</w:t>
      </w:r>
      <w:r w:rsidR="000E39EC">
        <w:t xml:space="preserve"> 45-55</w:t>
      </w:r>
      <w:r w:rsidR="00405618">
        <w:t>%</w:t>
      </w:r>
      <w:r w:rsidR="000E39EC">
        <w:t xml:space="preserve"> reduction in submission events</w:t>
      </w:r>
      <w:r w:rsidR="000F66D7">
        <w:t>. T</w:t>
      </w:r>
      <w:r w:rsidR="00534A7C">
        <w:t xml:space="preserve">his will result in </w:t>
      </w:r>
      <w:r w:rsidR="000E39EC">
        <w:t>approximately EUR 2.5</w:t>
      </w:r>
      <w:r w:rsidR="7EB2BE75">
        <w:t xml:space="preserve"> </w:t>
      </w:r>
      <w:r w:rsidR="308D718D">
        <w:t>million</w:t>
      </w:r>
      <w:r w:rsidR="000E39EC">
        <w:t>/year in fee savings</w:t>
      </w:r>
      <w:r w:rsidR="00534A7C">
        <w:t xml:space="preserve"> for applicants</w:t>
      </w:r>
      <w:r w:rsidR="000E39EC">
        <w:t xml:space="preserve">. </w:t>
      </w:r>
      <w:r w:rsidR="0018539A">
        <w:t>The r</w:t>
      </w:r>
      <w:r w:rsidR="000E39EC">
        <w:t xml:space="preserve">emoval of the confirmatory step reduces </w:t>
      </w:r>
      <w:r w:rsidR="0018539A">
        <w:t>the national competent authorities</w:t>
      </w:r>
      <w:r w:rsidR="000E39EC">
        <w:t xml:space="preserve"> workload. </w:t>
      </w:r>
      <w:r w:rsidR="00143F9C">
        <w:t>It creates a o</w:t>
      </w:r>
      <w:r w:rsidR="000E39EC">
        <w:t xml:space="preserve">ne-off IT cost </w:t>
      </w:r>
      <w:r w:rsidR="00143F9C">
        <w:t xml:space="preserve">for EMA </w:t>
      </w:r>
      <w:r w:rsidR="000E39EC">
        <w:t xml:space="preserve">of </w:t>
      </w:r>
      <w:r w:rsidR="00CB21E1">
        <w:t xml:space="preserve">EUR </w:t>
      </w:r>
      <w:r w:rsidR="000E39EC">
        <w:t>150</w:t>
      </w:r>
      <w:r w:rsidR="000F66D7">
        <w:t>,000</w:t>
      </w:r>
      <w:r w:rsidR="000E39EC">
        <w:t>-300</w:t>
      </w:r>
      <w:r w:rsidR="000F66D7">
        <w:t>,000</w:t>
      </w:r>
      <w:r w:rsidR="0E7E7636">
        <w:t>.</w:t>
      </w:r>
      <w:r w:rsidR="000E39EC">
        <w:t xml:space="preserve"> </w:t>
      </w:r>
      <w:r w:rsidR="00735D46">
        <w:t xml:space="preserve">The measure </w:t>
      </w:r>
      <w:r w:rsidR="000F66D7">
        <w:t xml:space="preserve">is a purely </w:t>
      </w:r>
      <w:r w:rsidR="00C41F6A">
        <w:t>administrative reform and</w:t>
      </w:r>
      <w:r w:rsidR="000F66D7">
        <w:t xml:space="preserve"> </w:t>
      </w:r>
      <w:r w:rsidR="00735D46">
        <w:t>has n</w:t>
      </w:r>
      <w:r w:rsidR="000E39EC">
        <w:t xml:space="preserve">o impact on safety or efficacy. </w:t>
      </w:r>
      <w:r w:rsidR="00735D46">
        <w:t>Th</w:t>
      </w:r>
      <w:r w:rsidR="00C41F6A">
        <w:t>e proposed</w:t>
      </w:r>
      <w:r w:rsidR="00735D46">
        <w:t xml:space="preserve"> measure has received positive</w:t>
      </w:r>
      <w:r w:rsidR="00C96D87">
        <w:t xml:space="preserve"> </w:t>
      </w:r>
      <w:r w:rsidR="00735D46">
        <w:t>feedback from industry</w:t>
      </w:r>
      <w:r w:rsidR="000E39EC">
        <w:t>.</w:t>
      </w:r>
    </w:p>
    <w:p w14:paraId="39B51770" w14:textId="1E3668AD" w:rsidR="0025340A" w:rsidRPr="00AB0B73" w:rsidRDefault="0025340A" w:rsidP="00AB0B73">
      <w:pPr>
        <w:rPr>
          <w:b/>
          <w:bCs/>
          <w:caps/>
        </w:rPr>
      </w:pPr>
      <w:r w:rsidRPr="00AB0B73">
        <w:rPr>
          <w:b/>
          <w:bCs/>
        </w:rPr>
        <w:t xml:space="preserve">Table </w:t>
      </w:r>
      <w:r w:rsidR="007A43F6">
        <w:rPr>
          <w:b/>
          <w:bCs/>
        </w:rPr>
        <w:t>5</w:t>
      </w:r>
      <w:r w:rsidRPr="00AB0B73">
        <w:rPr>
          <w:b/>
          <w:bCs/>
        </w:rPr>
        <w:t xml:space="preserve">. Summary assessment of the effects due to the </w:t>
      </w:r>
      <w:r w:rsidR="00446A2D" w:rsidRPr="00AB0B73">
        <w:rPr>
          <w:b/>
          <w:bCs/>
        </w:rPr>
        <w:t>intervention n°5</w:t>
      </w:r>
    </w:p>
    <w:tbl>
      <w:tblPr>
        <w:tblStyle w:val="TableGrid"/>
        <w:tblW w:w="8560" w:type="dxa"/>
        <w:tblLook w:val="04A0" w:firstRow="1" w:lastRow="0" w:firstColumn="1" w:lastColumn="0" w:noHBand="0" w:noVBand="1"/>
      </w:tblPr>
      <w:tblGrid>
        <w:gridCol w:w="2041"/>
        <w:gridCol w:w="907"/>
        <w:gridCol w:w="907"/>
        <w:gridCol w:w="907"/>
        <w:gridCol w:w="1077"/>
        <w:gridCol w:w="907"/>
        <w:gridCol w:w="907"/>
        <w:gridCol w:w="907"/>
      </w:tblGrid>
      <w:tr w:rsidR="00D06F83" w:rsidRPr="00A01D62" w14:paraId="24CE13A5" w14:textId="77777777" w:rsidTr="00AB0B73">
        <w:trPr>
          <w:trHeight w:val="300"/>
        </w:trPr>
        <w:tc>
          <w:tcPr>
            <w:tcW w:w="2041" w:type="dxa"/>
          </w:tcPr>
          <w:p w14:paraId="1A1994C3" w14:textId="77777777" w:rsidR="003757AF" w:rsidRPr="00AC7876" w:rsidRDefault="003757AF" w:rsidP="0030137D">
            <w:pPr>
              <w:spacing w:before="60" w:after="270"/>
              <w:rPr>
                <w:b/>
                <w:caps/>
                <w:sz w:val="20"/>
                <w:szCs w:val="20"/>
              </w:rPr>
            </w:pPr>
            <w:r w:rsidRPr="00DC6CE3">
              <w:rPr>
                <w:b/>
                <w:sz w:val="20"/>
                <w:szCs w:val="20"/>
              </w:rPr>
              <w:t>Policy measure</w:t>
            </w:r>
          </w:p>
        </w:tc>
        <w:tc>
          <w:tcPr>
            <w:tcW w:w="907" w:type="dxa"/>
          </w:tcPr>
          <w:p w14:paraId="626CCD16" w14:textId="77777777" w:rsidR="003757AF" w:rsidRPr="00AC7876" w:rsidRDefault="003757AF" w:rsidP="0030137D">
            <w:pPr>
              <w:spacing w:before="60" w:after="270"/>
              <w:rPr>
                <w:b/>
                <w:caps/>
                <w:sz w:val="20"/>
                <w:szCs w:val="20"/>
              </w:rPr>
            </w:pPr>
            <w:r w:rsidRPr="00AC7876">
              <w:rPr>
                <w:b/>
                <w:caps/>
                <w:sz w:val="20"/>
                <w:szCs w:val="20"/>
              </w:rPr>
              <w:t>COB</w:t>
            </w:r>
          </w:p>
        </w:tc>
        <w:tc>
          <w:tcPr>
            <w:tcW w:w="907" w:type="dxa"/>
          </w:tcPr>
          <w:p w14:paraId="0304B371" w14:textId="77777777" w:rsidR="003757AF" w:rsidRPr="00AC7876" w:rsidRDefault="003757AF" w:rsidP="0030137D">
            <w:pPr>
              <w:spacing w:before="60" w:after="270"/>
              <w:rPr>
                <w:b/>
                <w:caps/>
                <w:sz w:val="20"/>
                <w:szCs w:val="20"/>
              </w:rPr>
            </w:pPr>
            <w:r w:rsidRPr="00DC6CE3">
              <w:rPr>
                <w:b/>
                <w:sz w:val="20"/>
                <w:szCs w:val="20"/>
              </w:rPr>
              <w:t>Admin</w:t>
            </w:r>
          </w:p>
        </w:tc>
        <w:tc>
          <w:tcPr>
            <w:tcW w:w="907" w:type="dxa"/>
          </w:tcPr>
          <w:p w14:paraId="66649F7C" w14:textId="77777777" w:rsidR="003757AF" w:rsidRPr="00AC7876" w:rsidRDefault="003757AF" w:rsidP="0030137D">
            <w:pPr>
              <w:spacing w:before="60" w:after="270"/>
              <w:rPr>
                <w:b/>
                <w:caps/>
                <w:sz w:val="20"/>
                <w:szCs w:val="20"/>
              </w:rPr>
            </w:pPr>
            <w:r w:rsidRPr="00AC7876">
              <w:rPr>
                <w:b/>
                <w:caps/>
                <w:sz w:val="20"/>
                <w:szCs w:val="20"/>
              </w:rPr>
              <w:t>CTI</w:t>
            </w:r>
          </w:p>
        </w:tc>
        <w:tc>
          <w:tcPr>
            <w:tcW w:w="1077" w:type="dxa"/>
          </w:tcPr>
          <w:p w14:paraId="3D47430C" w14:textId="77777777" w:rsidR="003757AF" w:rsidRPr="00AC7876" w:rsidRDefault="003757AF" w:rsidP="0030137D">
            <w:pPr>
              <w:spacing w:before="60" w:after="270"/>
              <w:rPr>
                <w:b/>
                <w:caps/>
                <w:sz w:val="20"/>
                <w:szCs w:val="20"/>
              </w:rPr>
            </w:pPr>
            <w:r w:rsidRPr="00DC6CE3">
              <w:rPr>
                <w:b/>
                <w:sz w:val="20"/>
                <w:szCs w:val="20"/>
              </w:rPr>
              <w:t>Int mar</w:t>
            </w:r>
          </w:p>
        </w:tc>
        <w:tc>
          <w:tcPr>
            <w:tcW w:w="907" w:type="dxa"/>
          </w:tcPr>
          <w:p w14:paraId="71E3FC85" w14:textId="77777777" w:rsidR="003757AF" w:rsidRPr="00AC7876" w:rsidRDefault="003757AF" w:rsidP="0030137D">
            <w:pPr>
              <w:spacing w:before="60" w:after="270"/>
              <w:rPr>
                <w:b/>
                <w:caps/>
                <w:sz w:val="20"/>
                <w:szCs w:val="20"/>
              </w:rPr>
            </w:pPr>
            <w:r w:rsidRPr="00AC7876">
              <w:rPr>
                <w:b/>
                <w:caps/>
                <w:sz w:val="20"/>
                <w:szCs w:val="20"/>
              </w:rPr>
              <w:t>I&amp;R</w:t>
            </w:r>
          </w:p>
        </w:tc>
        <w:tc>
          <w:tcPr>
            <w:tcW w:w="907" w:type="dxa"/>
          </w:tcPr>
          <w:p w14:paraId="525B805D" w14:textId="77777777" w:rsidR="003757AF" w:rsidRPr="00AC7876" w:rsidRDefault="003757AF" w:rsidP="0030137D">
            <w:pPr>
              <w:spacing w:before="60" w:after="270"/>
              <w:rPr>
                <w:b/>
                <w:caps/>
                <w:sz w:val="20"/>
                <w:szCs w:val="20"/>
              </w:rPr>
            </w:pPr>
            <w:r w:rsidRPr="00AC7876">
              <w:rPr>
                <w:b/>
                <w:caps/>
                <w:sz w:val="20"/>
                <w:szCs w:val="20"/>
              </w:rPr>
              <w:t>PA</w:t>
            </w:r>
          </w:p>
        </w:tc>
        <w:tc>
          <w:tcPr>
            <w:tcW w:w="907" w:type="dxa"/>
          </w:tcPr>
          <w:p w14:paraId="1B5847FA" w14:textId="77777777" w:rsidR="003757AF" w:rsidRPr="00AC7876" w:rsidRDefault="003757AF" w:rsidP="0030137D">
            <w:pPr>
              <w:spacing w:before="60" w:after="270"/>
              <w:rPr>
                <w:b/>
                <w:caps/>
                <w:sz w:val="20"/>
                <w:szCs w:val="20"/>
              </w:rPr>
            </w:pPr>
            <w:r w:rsidRPr="00AC7876">
              <w:rPr>
                <w:b/>
                <w:caps/>
                <w:sz w:val="20"/>
                <w:szCs w:val="20"/>
              </w:rPr>
              <w:t>H&amp;S</w:t>
            </w:r>
          </w:p>
        </w:tc>
      </w:tr>
      <w:tr w:rsidR="00D06F83" w:rsidRPr="00A01D62" w14:paraId="1D9F079B" w14:textId="77777777" w:rsidTr="00AB0B73">
        <w:trPr>
          <w:trHeight w:val="300"/>
        </w:trPr>
        <w:tc>
          <w:tcPr>
            <w:tcW w:w="2041" w:type="dxa"/>
          </w:tcPr>
          <w:p w14:paraId="10D461E8" w14:textId="0E519732" w:rsidR="003757AF" w:rsidRPr="00AB0B73" w:rsidRDefault="003757AF" w:rsidP="00AB0B73">
            <w:pPr>
              <w:spacing w:before="60" w:after="270"/>
              <w:jc w:val="left"/>
              <w:rPr>
                <w:b/>
                <w:sz w:val="20"/>
                <w:szCs w:val="20"/>
              </w:rPr>
            </w:pPr>
            <w:r>
              <w:rPr>
                <w:b/>
                <w:sz w:val="20"/>
                <w:szCs w:val="20"/>
              </w:rPr>
              <w:t>1. GMO exemption</w:t>
            </w:r>
          </w:p>
        </w:tc>
        <w:tc>
          <w:tcPr>
            <w:tcW w:w="907" w:type="dxa"/>
          </w:tcPr>
          <w:p w14:paraId="3EBCC744" w14:textId="4DFF3E06" w:rsidR="003757AF" w:rsidRPr="00AC7876" w:rsidRDefault="003757AF" w:rsidP="0030137D">
            <w:pPr>
              <w:spacing w:before="60" w:after="270"/>
              <w:rPr>
                <w:sz w:val="20"/>
                <w:szCs w:val="20"/>
              </w:rPr>
            </w:pPr>
            <w:r w:rsidRPr="00AC7876">
              <w:rPr>
                <w:sz w:val="20"/>
                <w:szCs w:val="20"/>
              </w:rPr>
              <w:t>+</w:t>
            </w:r>
          </w:p>
        </w:tc>
        <w:tc>
          <w:tcPr>
            <w:tcW w:w="907" w:type="dxa"/>
          </w:tcPr>
          <w:p w14:paraId="6B354834" w14:textId="77777777" w:rsidR="003757AF" w:rsidRPr="00AC7876" w:rsidRDefault="003757AF" w:rsidP="0030137D">
            <w:pPr>
              <w:spacing w:before="60" w:after="270"/>
              <w:rPr>
                <w:sz w:val="20"/>
                <w:szCs w:val="20"/>
              </w:rPr>
            </w:pPr>
            <w:r w:rsidRPr="00AC7876">
              <w:rPr>
                <w:sz w:val="20"/>
                <w:szCs w:val="20"/>
              </w:rPr>
              <w:t>+</w:t>
            </w:r>
          </w:p>
        </w:tc>
        <w:tc>
          <w:tcPr>
            <w:tcW w:w="907" w:type="dxa"/>
          </w:tcPr>
          <w:p w14:paraId="761FDE2F" w14:textId="3C940356" w:rsidR="003757AF" w:rsidRPr="00AC7876" w:rsidRDefault="003757AF" w:rsidP="0030137D">
            <w:pPr>
              <w:spacing w:before="60" w:after="270"/>
              <w:rPr>
                <w:sz w:val="20"/>
                <w:szCs w:val="20"/>
              </w:rPr>
            </w:pPr>
            <w:r>
              <w:rPr>
                <w:sz w:val="20"/>
                <w:szCs w:val="20"/>
              </w:rPr>
              <w:t>+</w:t>
            </w:r>
          </w:p>
        </w:tc>
        <w:tc>
          <w:tcPr>
            <w:tcW w:w="1077" w:type="dxa"/>
          </w:tcPr>
          <w:p w14:paraId="3F9BB579" w14:textId="02CF68F1" w:rsidR="003757AF" w:rsidRPr="00AC7876" w:rsidRDefault="003757AF" w:rsidP="0030137D">
            <w:pPr>
              <w:spacing w:before="60" w:after="270"/>
              <w:rPr>
                <w:sz w:val="20"/>
                <w:szCs w:val="20"/>
              </w:rPr>
            </w:pPr>
            <w:r>
              <w:rPr>
                <w:sz w:val="20"/>
                <w:szCs w:val="20"/>
              </w:rPr>
              <w:t>+</w:t>
            </w:r>
          </w:p>
        </w:tc>
        <w:tc>
          <w:tcPr>
            <w:tcW w:w="907" w:type="dxa"/>
          </w:tcPr>
          <w:p w14:paraId="538DBB4C" w14:textId="0E881190" w:rsidR="003757AF" w:rsidRPr="00AC7876" w:rsidRDefault="003757AF" w:rsidP="0030137D">
            <w:pPr>
              <w:spacing w:before="60" w:after="270"/>
              <w:rPr>
                <w:sz w:val="20"/>
                <w:szCs w:val="20"/>
              </w:rPr>
            </w:pPr>
            <w:r>
              <w:rPr>
                <w:sz w:val="20"/>
                <w:szCs w:val="20"/>
              </w:rPr>
              <w:t>+</w:t>
            </w:r>
          </w:p>
        </w:tc>
        <w:tc>
          <w:tcPr>
            <w:tcW w:w="907" w:type="dxa"/>
          </w:tcPr>
          <w:p w14:paraId="7F57325D" w14:textId="440CAA35" w:rsidR="003757AF" w:rsidRPr="00AB0B73" w:rsidRDefault="003757AF" w:rsidP="0030137D">
            <w:pPr>
              <w:spacing w:before="60" w:after="270"/>
              <w:rPr>
                <w:b/>
                <w:bCs/>
                <w:sz w:val="20"/>
                <w:szCs w:val="20"/>
              </w:rPr>
            </w:pPr>
            <w:r w:rsidRPr="00AB0B73">
              <w:rPr>
                <w:b/>
                <w:bCs/>
                <w:sz w:val="20"/>
                <w:szCs w:val="20"/>
              </w:rPr>
              <w:t>0</w:t>
            </w:r>
          </w:p>
        </w:tc>
        <w:tc>
          <w:tcPr>
            <w:tcW w:w="907" w:type="dxa"/>
          </w:tcPr>
          <w:p w14:paraId="4F341F3B" w14:textId="0EEF0C2D" w:rsidR="003757AF" w:rsidRPr="00AC7876" w:rsidRDefault="003757AF" w:rsidP="0030137D">
            <w:pPr>
              <w:spacing w:before="60" w:after="270"/>
              <w:rPr>
                <w:sz w:val="20"/>
                <w:szCs w:val="20"/>
              </w:rPr>
            </w:pPr>
            <w:r>
              <w:rPr>
                <w:sz w:val="20"/>
                <w:szCs w:val="20"/>
              </w:rPr>
              <w:t>+</w:t>
            </w:r>
          </w:p>
        </w:tc>
      </w:tr>
      <w:tr w:rsidR="007B3AEA" w:rsidRPr="00A01D62" w14:paraId="4730AFCF" w14:textId="77777777" w:rsidTr="00D06F83">
        <w:trPr>
          <w:trHeight w:val="300"/>
        </w:trPr>
        <w:tc>
          <w:tcPr>
            <w:tcW w:w="2041" w:type="dxa"/>
          </w:tcPr>
          <w:p w14:paraId="2A92C824" w14:textId="7D1611DD" w:rsidR="007B3AEA" w:rsidRDefault="007B3AEA" w:rsidP="007B3AEA">
            <w:pPr>
              <w:spacing w:before="60" w:after="270"/>
              <w:jc w:val="left"/>
              <w:rPr>
                <w:b/>
                <w:sz w:val="20"/>
                <w:szCs w:val="20"/>
              </w:rPr>
            </w:pPr>
            <w:r>
              <w:rPr>
                <w:b/>
                <w:sz w:val="20"/>
                <w:szCs w:val="20"/>
              </w:rPr>
              <w:t xml:space="preserve">2. </w:t>
            </w:r>
            <w:r w:rsidR="00946615">
              <w:rPr>
                <w:b/>
                <w:sz w:val="20"/>
                <w:szCs w:val="20"/>
              </w:rPr>
              <w:t>Variations</w:t>
            </w:r>
            <w:r w:rsidRPr="0093708C">
              <w:rPr>
                <w:b/>
                <w:sz w:val="20"/>
                <w:szCs w:val="20"/>
              </w:rPr>
              <w:t xml:space="preserve"> </w:t>
            </w:r>
            <w:r w:rsidR="00946615">
              <w:rPr>
                <w:b/>
                <w:sz w:val="20"/>
                <w:szCs w:val="20"/>
              </w:rPr>
              <w:t>re</w:t>
            </w:r>
            <w:r w:rsidR="0005626F">
              <w:rPr>
                <w:b/>
                <w:sz w:val="20"/>
                <w:szCs w:val="20"/>
              </w:rPr>
              <w:t>vision</w:t>
            </w:r>
          </w:p>
        </w:tc>
        <w:tc>
          <w:tcPr>
            <w:tcW w:w="907" w:type="dxa"/>
          </w:tcPr>
          <w:p w14:paraId="5C14E69E" w14:textId="7ABF5312" w:rsidR="007B3AEA" w:rsidRPr="00AC7876" w:rsidRDefault="007B3AEA" w:rsidP="007B3AEA">
            <w:pPr>
              <w:spacing w:before="60" w:after="270"/>
              <w:rPr>
                <w:sz w:val="20"/>
                <w:szCs w:val="20"/>
              </w:rPr>
            </w:pPr>
            <w:r>
              <w:rPr>
                <w:sz w:val="20"/>
                <w:szCs w:val="20"/>
              </w:rPr>
              <w:t>+</w:t>
            </w:r>
          </w:p>
        </w:tc>
        <w:tc>
          <w:tcPr>
            <w:tcW w:w="907" w:type="dxa"/>
          </w:tcPr>
          <w:p w14:paraId="28E01790" w14:textId="18E2C2AB" w:rsidR="007B3AEA" w:rsidRPr="00AC7876" w:rsidRDefault="007B3AEA" w:rsidP="007B3AEA">
            <w:pPr>
              <w:spacing w:before="60" w:after="270"/>
              <w:rPr>
                <w:sz w:val="20"/>
                <w:szCs w:val="20"/>
              </w:rPr>
            </w:pPr>
            <w:r>
              <w:rPr>
                <w:sz w:val="20"/>
                <w:szCs w:val="20"/>
              </w:rPr>
              <w:t>++</w:t>
            </w:r>
          </w:p>
        </w:tc>
        <w:tc>
          <w:tcPr>
            <w:tcW w:w="907" w:type="dxa"/>
          </w:tcPr>
          <w:p w14:paraId="37F4B2D3" w14:textId="4E52C79A" w:rsidR="007B3AEA" w:rsidRDefault="007B3AEA" w:rsidP="007B3AEA">
            <w:pPr>
              <w:spacing w:before="60" w:after="270"/>
              <w:rPr>
                <w:sz w:val="20"/>
                <w:szCs w:val="20"/>
              </w:rPr>
            </w:pPr>
            <w:r w:rsidRPr="0093708C">
              <w:rPr>
                <w:b/>
                <w:bCs/>
                <w:sz w:val="20"/>
                <w:szCs w:val="20"/>
              </w:rPr>
              <w:t>0</w:t>
            </w:r>
          </w:p>
        </w:tc>
        <w:tc>
          <w:tcPr>
            <w:tcW w:w="1077" w:type="dxa"/>
          </w:tcPr>
          <w:p w14:paraId="417D1561" w14:textId="58C04299" w:rsidR="007B3AEA" w:rsidRDefault="007B3AEA" w:rsidP="007B3AEA">
            <w:pPr>
              <w:spacing w:before="60" w:after="270"/>
              <w:rPr>
                <w:sz w:val="20"/>
                <w:szCs w:val="20"/>
              </w:rPr>
            </w:pPr>
            <w:r w:rsidRPr="0093708C">
              <w:rPr>
                <w:b/>
                <w:bCs/>
                <w:sz w:val="20"/>
                <w:szCs w:val="20"/>
              </w:rPr>
              <w:t>0</w:t>
            </w:r>
            <w:r>
              <w:rPr>
                <w:sz w:val="20"/>
                <w:szCs w:val="20"/>
              </w:rPr>
              <w:t>/+</w:t>
            </w:r>
          </w:p>
        </w:tc>
        <w:tc>
          <w:tcPr>
            <w:tcW w:w="907" w:type="dxa"/>
          </w:tcPr>
          <w:p w14:paraId="76AA0413" w14:textId="62C7D7BF" w:rsidR="007B3AEA" w:rsidRDefault="007B3AEA" w:rsidP="007B3AEA">
            <w:pPr>
              <w:spacing w:before="60" w:after="270"/>
              <w:rPr>
                <w:sz w:val="20"/>
                <w:szCs w:val="20"/>
              </w:rPr>
            </w:pPr>
            <w:r w:rsidRPr="0093708C">
              <w:rPr>
                <w:b/>
                <w:bCs/>
                <w:sz w:val="20"/>
                <w:szCs w:val="20"/>
              </w:rPr>
              <w:t>0</w:t>
            </w:r>
          </w:p>
        </w:tc>
        <w:tc>
          <w:tcPr>
            <w:tcW w:w="907" w:type="dxa"/>
          </w:tcPr>
          <w:p w14:paraId="736B44EF" w14:textId="27ACB75E" w:rsidR="007B3AEA" w:rsidRPr="007B3AEA" w:rsidRDefault="007B3AEA" w:rsidP="007B3AEA">
            <w:pPr>
              <w:spacing w:before="60" w:after="270"/>
              <w:rPr>
                <w:b/>
                <w:bCs/>
                <w:sz w:val="20"/>
                <w:szCs w:val="20"/>
              </w:rPr>
            </w:pPr>
            <w:r>
              <w:rPr>
                <w:sz w:val="20"/>
                <w:szCs w:val="20"/>
              </w:rPr>
              <w:t>+</w:t>
            </w:r>
          </w:p>
        </w:tc>
        <w:tc>
          <w:tcPr>
            <w:tcW w:w="907" w:type="dxa"/>
          </w:tcPr>
          <w:p w14:paraId="754084B9" w14:textId="28036A17" w:rsidR="007B3AEA" w:rsidRDefault="007B3AEA" w:rsidP="007B3AEA">
            <w:pPr>
              <w:spacing w:before="60" w:after="270"/>
              <w:rPr>
                <w:sz w:val="20"/>
                <w:szCs w:val="20"/>
              </w:rPr>
            </w:pPr>
            <w:r w:rsidRPr="0093708C">
              <w:rPr>
                <w:b/>
                <w:bCs/>
                <w:sz w:val="20"/>
                <w:szCs w:val="20"/>
              </w:rPr>
              <w:t>0</w:t>
            </w:r>
          </w:p>
        </w:tc>
      </w:tr>
      <w:tr w:rsidR="007B3AEA" w:rsidRPr="00A01D62" w14:paraId="7D79AA22" w14:textId="77777777" w:rsidTr="00AB0B73">
        <w:trPr>
          <w:trHeight w:val="300"/>
        </w:trPr>
        <w:tc>
          <w:tcPr>
            <w:tcW w:w="2041" w:type="dxa"/>
          </w:tcPr>
          <w:p w14:paraId="6ED1B45D" w14:textId="1C7D74D2" w:rsidR="007B3AEA" w:rsidRDefault="007B3AEA" w:rsidP="00AB0B73">
            <w:pPr>
              <w:spacing w:before="60" w:after="270"/>
              <w:jc w:val="left"/>
              <w:rPr>
                <w:b/>
                <w:sz w:val="20"/>
                <w:szCs w:val="20"/>
              </w:rPr>
            </w:pPr>
            <w:r>
              <w:rPr>
                <w:b/>
                <w:sz w:val="20"/>
                <w:szCs w:val="20"/>
              </w:rPr>
              <w:t>3. SPC extension</w:t>
            </w:r>
          </w:p>
        </w:tc>
        <w:tc>
          <w:tcPr>
            <w:tcW w:w="907" w:type="dxa"/>
          </w:tcPr>
          <w:p w14:paraId="7E014260" w14:textId="7AD1EB52" w:rsidR="007B3AEA" w:rsidRPr="00AC7876" w:rsidRDefault="007B3AEA" w:rsidP="007B3AEA">
            <w:pPr>
              <w:spacing w:before="60" w:after="270"/>
              <w:rPr>
                <w:sz w:val="20"/>
                <w:szCs w:val="20"/>
              </w:rPr>
            </w:pPr>
            <w:r w:rsidRPr="00AB0B73">
              <w:rPr>
                <w:b/>
                <w:bCs/>
                <w:sz w:val="20"/>
                <w:szCs w:val="20"/>
              </w:rPr>
              <w:t>0</w:t>
            </w:r>
            <w:r>
              <w:rPr>
                <w:sz w:val="20"/>
                <w:szCs w:val="20"/>
              </w:rPr>
              <w:t>/+</w:t>
            </w:r>
          </w:p>
        </w:tc>
        <w:tc>
          <w:tcPr>
            <w:tcW w:w="907" w:type="dxa"/>
          </w:tcPr>
          <w:p w14:paraId="115C60FA" w14:textId="5D738B24" w:rsidR="007B3AEA" w:rsidRPr="00AB0B73" w:rsidRDefault="007B3AEA" w:rsidP="007B3AEA">
            <w:pPr>
              <w:spacing w:before="60" w:after="270"/>
              <w:rPr>
                <w:b/>
                <w:bCs/>
                <w:sz w:val="20"/>
                <w:szCs w:val="20"/>
              </w:rPr>
            </w:pPr>
            <w:r w:rsidRPr="00AB0B73">
              <w:rPr>
                <w:b/>
                <w:bCs/>
                <w:sz w:val="20"/>
                <w:szCs w:val="20"/>
              </w:rPr>
              <w:t>0</w:t>
            </w:r>
          </w:p>
        </w:tc>
        <w:tc>
          <w:tcPr>
            <w:tcW w:w="907" w:type="dxa"/>
          </w:tcPr>
          <w:p w14:paraId="2001134A" w14:textId="00A35B82" w:rsidR="007B3AEA" w:rsidRPr="00AC7876" w:rsidRDefault="007B3AEA" w:rsidP="007B3AEA">
            <w:pPr>
              <w:spacing w:before="60" w:after="270"/>
              <w:rPr>
                <w:sz w:val="20"/>
                <w:szCs w:val="20"/>
              </w:rPr>
            </w:pPr>
            <w:r w:rsidRPr="00AB0B73">
              <w:rPr>
                <w:b/>
                <w:bCs/>
                <w:sz w:val="20"/>
                <w:szCs w:val="20"/>
              </w:rPr>
              <w:t>0</w:t>
            </w:r>
            <w:r>
              <w:rPr>
                <w:sz w:val="20"/>
                <w:szCs w:val="20"/>
              </w:rPr>
              <w:t>/+</w:t>
            </w:r>
          </w:p>
        </w:tc>
        <w:tc>
          <w:tcPr>
            <w:tcW w:w="1077" w:type="dxa"/>
          </w:tcPr>
          <w:p w14:paraId="644DC7C3" w14:textId="17934E92" w:rsidR="007B3AEA" w:rsidRPr="00AB0B73" w:rsidRDefault="007B3AEA" w:rsidP="007B3AEA">
            <w:pPr>
              <w:spacing w:before="60" w:after="270"/>
              <w:rPr>
                <w:b/>
                <w:bCs/>
                <w:sz w:val="20"/>
                <w:szCs w:val="20"/>
              </w:rPr>
            </w:pPr>
            <w:r w:rsidRPr="00AB0B73">
              <w:rPr>
                <w:b/>
                <w:bCs/>
                <w:sz w:val="20"/>
                <w:szCs w:val="20"/>
              </w:rPr>
              <w:t>0</w:t>
            </w:r>
          </w:p>
        </w:tc>
        <w:tc>
          <w:tcPr>
            <w:tcW w:w="907" w:type="dxa"/>
          </w:tcPr>
          <w:p w14:paraId="16F5616E" w14:textId="25338F4E" w:rsidR="007B3AEA" w:rsidRPr="00AC7876" w:rsidRDefault="007B3AEA" w:rsidP="007B3AEA">
            <w:pPr>
              <w:spacing w:before="60" w:after="270"/>
              <w:rPr>
                <w:sz w:val="20"/>
                <w:szCs w:val="20"/>
              </w:rPr>
            </w:pPr>
            <w:r w:rsidRPr="00AB0B73">
              <w:rPr>
                <w:b/>
                <w:bCs/>
                <w:sz w:val="20"/>
                <w:szCs w:val="20"/>
              </w:rPr>
              <w:t>0</w:t>
            </w:r>
            <w:r>
              <w:rPr>
                <w:sz w:val="20"/>
                <w:szCs w:val="20"/>
              </w:rPr>
              <w:t>/+</w:t>
            </w:r>
          </w:p>
        </w:tc>
        <w:tc>
          <w:tcPr>
            <w:tcW w:w="907" w:type="dxa"/>
          </w:tcPr>
          <w:p w14:paraId="5EA7676A" w14:textId="35B7866D" w:rsidR="007B3AEA" w:rsidRPr="00AB0B73" w:rsidRDefault="007B3AEA" w:rsidP="007B3AEA">
            <w:pPr>
              <w:spacing w:before="60" w:after="270"/>
              <w:rPr>
                <w:b/>
                <w:bCs/>
                <w:sz w:val="20"/>
                <w:szCs w:val="20"/>
              </w:rPr>
            </w:pPr>
            <w:r w:rsidRPr="00AB0B73">
              <w:rPr>
                <w:b/>
                <w:bCs/>
                <w:sz w:val="20"/>
                <w:szCs w:val="20"/>
              </w:rPr>
              <w:t>0</w:t>
            </w:r>
          </w:p>
        </w:tc>
        <w:tc>
          <w:tcPr>
            <w:tcW w:w="907" w:type="dxa"/>
          </w:tcPr>
          <w:p w14:paraId="57373F06" w14:textId="4C8ABA92" w:rsidR="007B3AEA" w:rsidRPr="00AB0B73" w:rsidRDefault="007B3AEA" w:rsidP="007B3AEA">
            <w:pPr>
              <w:spacing w:before="60" w:after="270"/>
              <w:rPr>
                <w:b/>
                <w:bCs/>
                <w:sz w:val="20"/>
                <w:szCs w:val="20"/>
              </w:rPr>
            </w:pPr>
            <w:r w:rsidRPr="00AB0B73">
              <w:rPr>
                <w:b/>
                <w:bCs/>
                <w:sz w:val="20"/>
                <w:szCs w:val="20"/>
              </w:rPr>
              <w:t>0</w:t>
            </w:r>
          </w:p>
        </w:tc>
      </w:tr>
      <w:tr w:rsidR="007B3AEA" w:rsidRPr="00A01D62" w14:paraId="45B4C0C4" w14:textId="77777777" w:rsidTr="00AB0B73">
        <w:trPr>
          <w:trHeight w:val="300"/>
        </w:trPr>
        <w:tc>
          <w:tcPr>
            <w:tcW w:w="2041" w:type="dxa"/>
          </w:tcPr>
          <w:p w14:paraId="1AF419F8" w14:textId="646745F9" w:rsidR="007B3AEA" w:rsidRPr="00AB0B73" w:rsidRDefault="007B3AEA" w:rsidP="00AB0B73">
            <w:pPr>
              <w:spacing w:before="60" w:after="270"/>
              <w:jc w:val="left"/>
              <w:rPr>
                <w:b/>
                <w:sz w:val="20"/>
                <w:szCs w:val="20"/>
              </w:rPr>
            </w:pPr>
            <w:r>
              <w:rPr>
                <w:b/>
                <w:sz w:val="20"/>
                <w:szCs w:val="20"/>
              </w:rPr>
              <w:t xml:space="preserve">4. </w:t>
            </w:r>
            <w:r w:rsidRPr="00AB0B73">
              <w:rPr>
                <w:b/>
                <w:sz w:val="20"/>
                <w:szCs w:val="20"/>
              </w:rPr>
              <w:t>Regulatory sandbox</w:t>
            </w:r>
          </w:p>
        </w:tc>
        <w:tc>
          <w:tcPr>
            <w:tcW w:w="907" w:type="dxa"/>
          </w:tcPr>
          <w:p w14:paraId="2194F232" w14:textId="0C11486C" w:rsidR="007B3AEA" w:rsidRPr="00AC7876" w:rsidRDefault="007B3AEA" w:rsidP="007B3AEA">
            <w:pPr>
              <w:spacing w:before="60" w:after="270"/>
              <w:rPr>
                <w:sz w:val="20"/>
                <w:szCs w:val="20"/>
              </w:rPr>
            </w:pPr>
            <w:r w:rsidRPr="00AB0B73">
              <w:rPr>
                <w:b/>
                <w:bCs/>
                <w:sz w:val="20"/>
                <w:szCs w:val="20"/>
              </w:rPr>
              <w:t>0</w:t>
            </w:r>
            <w:r>
              <w:rPr>
                <w:sz w:val="20"/>
                <w:szCs w:val="20"/>
              </w:rPr>
              <w:t>/+</w:t>
            </w:r>
          </w:p>
        </w:tc>
        <w:tc>
          <w:tcPr>
            <w:tcW w:w="907" w:type="dxa"/>
          </w:tcPr>
          <w:p w14:paraId="6A1C3D5B" w14:textId="0A8DE530" w:rsidR="007B3AEA" w:rsidRPr="00AC7876" w:rsidRDefault="007B3AEA" w:rsidP="007B3AEA">
            <w:pPr>
              <w:spacing w:before="60" w:after="270"/>
              <w:rPr>
                <w:sz w:val="20"/>
                <w:szCs w:val="20"/>
              </w:rPr>
            </w:pPr>
            <w:r>
              <w:rPr>
                <w:sz w:val="20"/>
                <w:szCs w:val="20"/>
              </w:rPr>
              <w:t>0</w:t>
            </w:r>
          </w:p>
        </w:tc>
        <w:tc>
          <w:tcPr>
            <w:tcW w:w="907" w:type="dxa"/>
          </w:tcPr>
          <w:p w14:paraId="586ABA0D" w14:textId="0D58F257" w:rsidR="007B3AEA" w:rsidRPr="00AC7876" w:rsidRDefault="007B3AEA" w:rsidP="007B3AEA">
            <w:pPr>
              <w:spacing w:before="60" w:after="270"/>
              <w:rPr>
                <w:sz w:val="20"/>
                <w:szCs w:val="20"/>
              </w:rPr>
            </w:pPr>
            <w:r w:rsidRPr="00AB0B73">
              <w:rPr>
                <w:b/>
                <w:bCs/>
                <w:sz w:val="20"/>
                <w:szCs w:val="20"/>
              </w:rPr>
              <w:t>0</w:t>
            </w:r>
            <w:r>
              <w:rPr>
                <w:sz w:val="20"/>
                <w:szCs w:val="20"/>
              </w:rPr>
              <w:t>/+</w:t>
            </w:r>
          </w:p>
        </w:tc>
        <w:tc>
          <w:tcPr>
            <w:tcW w:w="1077" w:type="dxa"/>
          </w:tcPr>
          <w:p w14:paraId="11707771" w14:textId="3D5C0EF5" w:rsidR="007B3AEA" w:rsidRPr="00AB0B73" w:rsidRDefault="007B3AEA" w:rsidP="007B3AEA">
            <w:pPr>
              <w:spacing w:before="60" w:after="270"/>
              <w:rPr>
                <w:b/>
                <w:bCs/>
                <w:sz w:val="20"/>
                <w:szCs w:val="20"/>
              </w:rPr>
            </w:pPr>
            <w:r w:rsidRPr="00AB0B73">
              <w:rPr>
                <w:b/>
                <w:bCs/>
                <w:sz w:val="20"/>
                <w:szCs w:val="20"/>
              </w:rPr>
              <w:t>0</w:t>
            </w:r>
          </w:p>
        </w:tc>
        <w:tc>
          <w:tcPr>
            <w:tcW w:w="907" w:type="dxa"/>
          </w:tcPr>
          <w:p w14:paraId="22A2E10D" w14:textId="6CC4CA87" w:rsidR="007B3AEA" w:rsidRPr="00AC7876" w:rsidRDefault="007B3AEA" w:rsidP="007B3AEA">
            <w:pPr>
              <w:spacing w:before="60" w:after="270"/>
              <w:rPr>
                <w:sz w:val="20"/>
                <w:szCs w:val="20"/>
              </w:rPr>
            </w:pPr>
            <w:r>
              <w:rPr>
                <w:sz w:val="20"/>
                <w:szCs w:val="20"/>
              </w:rPr>
              <w:t>+</w:t>
            </w:r>
          </w:p>
        </w:tc>
        <w:tc>
          <w:tcPr>
            <w:tcW w:w="907" w:type="dxa"/>
          </w:tcPr>
          <w:p w14:paraId="5DA06FA3" w14:textId="1925724E" w:rsidR="007B3AEA" w:rsidRPr="00AC7876" w:rsidRDefault="007B3AEA" w:rsidP="007B3AEA">
            <w:pPr>
              <w:spacing w:before="60" w:after="270"/>
              <w:rPr>
                <w:sz w:val="20"/>
                <w:szCs w:val="20"/>
              </w:rPr>
            </w:pPr>
            <w:r>
              <w:rPr>
                <w:sz w:val="20"/>
                <w:szCs w:val="20"/>
              </w:rPr>
              <w:t>-</w:t>
            </w:r>
          </w:p>
        </w:tc>
        <w:tc>
          <w:tcPr>
            <w:tcW w:w="907" w:type="dxa"/>
          </w:tcPr>
          <w:p w14:paraId="6EE797BB" w14:textId="5CB0DAFB" w:rsidR="007B3AEA" w:rsidRPr="00AC7876" w:rsidRDefault="007B3AEA" w:rsidP="007B3AEA">
            <w:pPr>
              <w:spacing w:before="60" w:after="270"/>
              <w:rPr>
                <w:sz w:val="20"/>
                <w:szCs w:val="20"/>
              </w:rPr>
            </w:pPr>
            <w:r w:rsidRPr="00AB0B73">
              <w:rPr>
                <w:b/>
                <w:bCs/>
                <w:sz w:val="20"/>
                <w:szCs w:val="20"/>
              </w:rPr>
              <w:t>0</w:t>
            </w:r>
            <w:r>
              <w:rPr>
                <w:sz w:val="20"/>
                <w:szCs w:val="20"/>
              </w:rPr>
              <w:t>/+</w:t>
            </w:r>
          </w:p>
        </w:tc>
      </w:tr>
    </w:tbl>
    <w:p w14:paraId="763756B7" w14:textId="77777777" w:rsidR="000937D2" w:rsidRPr="00DD0CE5" w:rsidRDefault="000937D2" w:rsidP="000F3479">
      <w:pPr>
        <w:pBdr>
          <w:top w:val="nil"/>
          <w:left w:val="nil"/>
          <w:bottom w:val="nil"/>
          <w:right w:val="nil"/>
          <w:between w:val="nil"/>
        </w:pBdr>
        <w:rPr>
          <w:rFonts w:eastAsia="Times New Roman"/>
          <w:noProof/>
          <w:color w:val="000000" w:themeColor="text1"/>
        </w:rPr>
      </w:pPr>
    </w:p>
    <w:p w14:paraId="496F62A6" w14:textId="38261363" w:rsidR="000F3479" w:rsidRPr="00B66473" w:rsidRDefault="000F3479" w:rsidP="00574D27">
      <w:pPr>
        <w:pStyle w:val="Heading3"/>
        <w:rPr>
          <w:szCs w:val="24"/>
        </w:rPr>
      </w:pPr>
      <w:bookmarkStart w:id="200" w:name="_Toc224747224"/>
      <w:bookmarkStart w:id="201" w:name="_Toc224749694"/>
      <w:bookmarkStart w:id="202" w:name="_Toc225974572"/>
      <w:bookmarkStart w:id="203" w:name="_Toc225975245"/>
      <w:bookmarkStart w:id="204" w:name="_Toc225975302"/>
      <w:r w:rsidRPr="7E3D644D">
        <w:t xml:space="preserve">Intervention n°6: </w:t>
      </w:r>
      <w:r w:rsidR="004240FB" w:rsidRPr="7E3D644D">
        <w:t>T</w:t>
      </w:r>
      <w:r w:rsidRPr="7E3D644D">
        <w:t>argeted regulatory reform of the substances of human origin (SoHO) framework</w:t>
      </w:r>
      <w:r w:rsidRPr="7E3D644D">
        <w:rPr>
          <w:vertAlign w:val="superscript"/>
        </w:rPr>
        <w:footnoteReference w:id="205"/>
      </w:r>
      <w:bookmarkEnd w:id="200"/>
      <w:bookmarkEnd w:id="201"/>
      <w:bookmarkEnd w:id="202"/>
      <w:bookmarkEnd w:id="203"/>
      <w:bookmarkEnd w:id="204"/>
    </w:p>
    <w:p w14:paraId="512856C4" w14:textId="77777777" w:rsidR="000F3479" w:rsidRPr="00B66473" w:rsidRDefault="000F3479" w:rsidP="000B14A8">
      <w:pPr>
        <w:rPr>
          <w:noProof/>
        </w:rPr>
      </w:pPr>
      <w:r w:rsidRPr="00B66473">
        <w:rPr>
          <w:noProof/>
        </w:rPr>
        <w:t>First, the</w:t>
      </w:r>
      <w:r w:rsidRPr="00B66473">
        <w:rPr>
          <w:b/>
          <w:bCs/>
          <w:noProof/>
        </w:rPr>
        <w:t xml:space="preserve"> SoHO regulatory status consultation procedures</w:t>
      </w:r>
      <w:r w:rsidRPr="00B66473">
        <w:rPr>
          <w:noProof/>
        </w:rPr>
        <w:t xml:space="preserve"> is streamlined by empowering the Commission to adopt implementing acts establishing </w:t>
      </w:r>
      <w:r w:rsidRPr="00B66473">
        <w:rPr>
          <w:b/>
          <w:bCs/>
          <w:noProof/>
        </w:rPr>
        <w:t>binding time limits</w:t>
      </w:r>
      <w:r w:rsidRPr="00B66473">
        <w:rPr>
          <w:noProof/>
        </w:rPr>
        <w:t xml:space="preserve"> for regulatory status consultation processes within the SoHO framework. </w:t>
      </w:r>
    </w:p>
    <w:p w14:paraId="49A3493C" w14:textId="2CA8AFC8" w:rsidR="000F3479" w:rsidRPr="00B66473" w:rsidRDefault="000F3479" w:rsidP="000B14A8">
      <w:pPr>
        <w:rPr>
          <w:noProof/>
        </w:rPr>
      </w:pPr>
      <w:r w:rsidRPr="00B66473">
        <w:rPr>
          <w:noProof/>
        </w:rPr>
        <w:t xml:space="preserve">Second, the </w:t>
      </w:r>
      <w:r w:rsidR="00634068">
        <w:rPr>
          <w:noProof/>
        </w:rPr>
        <w:t xml:space="preserve">Regulation </w:t>
      </w:r>
      <w:r w:rsidRPr="00B66473">
        <w:rPr>
          <w:noProof/>
        </w:rPr>
        <w:t xml:space="preserve">proposal establishes a </w:t>
      </w:r>
      <w:r w:rsidRPr="00B66473">
        <w:rPr>
          <w:b/>
          <w:bCs/>
          <w:noProof/>
        </w:rPr>
        <w:t>regulatory sandbox framework for SoHO,</w:t>
      </w:r>
      <w:r w:rsidRPr="00B66473">
        <w:rPr>
          <w:noProof/>
        </w:rPr>
        <w:t xml:space="preserve"> enabling Member States to create time-limited controlled environments for developing and testing innovative SoHO products, services, processes, or substances that cannot yet fully comply with standard regulatory requirements. </w:t>
      </w:r>
    </w:p>
    <w:p w14:paraId="5AFF2BDB" w14:textId="285A6AF3" w:rsidR="19E0C0D7" w:rsidRPr="001A247D" w:rsidRDefault="19E0C0D7" w:rsidP="00AB0B73">
      <w:pPr>
        <w:rPr>
          <w:rFonts w:eastAsia="Palatino Linotype"/>
        </w:rPr>
      </w:pPr>
      <w:r w:rsidRPr="488421B7">
        <w:rPr>
          <w:rFonts w:eastAsia="Palatino Linotype"/>
        </w:rPr>
        <w:t xml:space="preserve">The new </w:t>
      </w:r>
      <w:r w:rsidR="00FA23EF" w:rsidRPr="488421B7">
        <w:rPr>
          <w:rFonts w:eastAsia="Palatino Linotype"/>
        </w:rPr>
        <w:t>regulatory sandbox framework</w:t>
      </w:r>
      <w:r w:rsidRPr="488421B7">
        <w:rPr>
          <w:rFonts w:eastAsia="Palatino Linotype"/>
        </w:rPr>
        <w:t xml:space="preserve"> allows a M</w:t>
      </w:r>
      <w:r w:rsidR="00C93384" w:rsidRPr="488421B7">
        <w:rPr>
          <w:rFonts w:eastAsia="Palatino Linotype"/>
        </w:rPr>
        <w:t xml:space="preserve">ember </w:t>
      </w:r>
      <w:r w:rsidRPr="488421B7">
        <w:rPr>
          <w:rFonts w:eastAsia="Palatino Linotype"/>
        </w:rPr>
        <w:t>S</w:t>
      </w:r>
      <w:r w:rsidR="00C93384" w:rsidRPr="488421B7">
        <w:rPr>
          <w:rFonts w:eastAsia="Palatino Linotype"/>
        </w:rPr>
        <w:t>tate</w:t>
      </w:r>
      <w:r w:rsidRPr="488421B7">
        <w:rPr>
          <w:rFonts w:eastAsia="Palatino Linotype"/>
        </w:rPr>
        <w:t xml:space="preserve"> (or several jointly) to set up a regulatory sandbox upon a substantiated request from a SoHO entity, providing a time-limited controlled environment to facilitate the development and testing of innovative SoHO products, services, processes or substances under the supervision of one or more competent authorities. Two eligibility conditions </w:t>
      </w:r>
      <w:r w:rsidR="00634068">
        <w:rPr>
          <w:rFonts w:eastAsia="Palatino Linotype"/>
        </w:rPr>
        <w:t xml:space="preserve">should </w:t>
      </w:r>
      <w:r w:rsidRPr="488421B7">
        <w:rPr>
          <w:rFonts w:eastAsia="Palatino Linotype"/>
        </w:rPr>
        <w:t xml:space="preserve">be met: (a) the innovation is expected to contribute distinctively to SoHO safety, quality, including effectiveness, or to significantly improve patient access to treatment; and (b) applying the SoHO Regulation’s requirements would impede or significantly delay development due to scientific or regulatory challenges inherent to the innovation. </w:t>
      </w:r>
    </w:p>
    <w:p w14:paraId="0A424FDF" w14:textId="7F2BDD8F" w:rsidR="19E0C0D7" w:rsidRPr="001A247D" w:rsidRDefault="19E0C0D7" w:rsidP="00AB0B73">
      <w:pPr>
        <w:rPr>
          <w:rFonts w:eastAsia="Palatino Linotype"/>
        </w:rPr>
      </w:pPr>
      <w:r w:rsidRPr="488421B7">
        <w:rPr>
          <w:rFonts w:eastAsia="Palatino Linotype"/>
        </w:rPr>
        <w:t xml:space="preserve">The </w:t>
      </w:r>
      <w:r w:rsidR="0005626F">
        <w:rPr>
          <w:rFonts w:eastAsia="Palatino Linotype"/>
        </w:rPr>
        <w:t>regulatory</w:t>
      </w:r>
      <w:r w:rsidRPr="488421B7">
        <w:rPr>
          <w:rFonts w:eastAsia="Palatino Linotype"/>
        </w:rPr>
        <w:t xml:space="preserve"> sandbox </w:t>
      </w:r>
      <w:r w:rsidRPr="488421B7" w:rsidDel="00AA135D">
        <w:rPr>
          <w:rFonts w:eastAsia="Palatino Linotype"/>
        </w:rPr>
        <w:t>is</w:t>
      </w:r>
      <w:r w:rsidRPr="488421B7">
        <w:rPr>
          <w:rFonts w:eastAsia="Palatino Linotype"/>
        </w:rPr>
        <w:t xml:space="preserve"> an evidence-generating mechanism</w:t>
      </w:r>
      <w:r w:rsidRPr="488421B7" w:rsidDel="00D14D76">
        <w:rPr>
          <w:rFonts w:eastAsia="Palatino Linotype"/>
        </w:rPr>
        <w:t>: it</w:t>
      </w:r>
      <w:r w:rsidRPr="488421B7">
        <w:rPr>
          <w:rFonts w:eastAsia="Palatino Linotype"/>
        </w:rPr>
        <w:t xml:space="preserve"> should enable assessment in a real-world environment under strict regulatory supervision, producing the data needed to demonstrate safety and quality, including effectiveness, in view of subsequent distribution decisions. Derogations from the SoHO Regulation may be included, but only if clearly described, strictly necessary, and justified in a sandbox plan. Derogations may take the form of adapted, enhanced, waived or deferred requirements. Sandboxes cannot derogate from the SoHO Regulation’s standards on voluntary and unpaid donation. </w:t>
      </w:r>
    </w:p>
    <w:p w14:paraId="2CFED34A" w14:textId="7F0803A3" w:rsidR="19E0C0D7" w:rsidRPr="001A247D" w:rsidRDefault="19E0C0D7" w:rsidP="00AB0B73">
      <w:pPr>
        <w:rPr>
          <w:rFonts w:eastAsia="Palatino Linotype"/>
        </w:rPr>
      </w:pPr>
      <w:r w:rsidRPr="488421B7">
        <w:rPr>
          <w:rFonts w:eastAsia="Palatino Linotype"/>
        </w:rPr>
        <w:t>Operationally, activities must follow a sandbox plan developed by the SoHO competent authorities, informed by data and consultations with the innovation’s developers, and specifying participants and roles; which SoHO requirements cannot be complied with and the resulting derogations and adaptations; risk-mitigation measures; the sandbox duration; and the monitoring framework. The competent authorities must consult the S</w:t>
      </w:r>
      <w:r w:rsidR="00685AE4" w:rsidRPr="488421B7">
        <w:rPr>
          <w:rFonts w:eastAsia="Palatino Linotype"/>
        </w:rPr>
        <w:t xml:space="preserve">oHo </w:t>
      </w:r>
      <w:r w:rsidRPr="488421B7">
        <w:rPr>
          <w:rFonts w:eastAsia="Palatino Linotype"/>
        </w:rPr>
        <w:t>C</w:t>
      </w:r>
      <w:r w:rsidR="00685AE4" w:rsidRPr="488421B7">
        <w:rPr>
          <w:rFonts w:eastAsia="Palatino Linotype"/>
        </w:rPr>
        <w:t xml:space="preserve">oordination </w:t>
      </w:r>
      <w:r w:rsidRPr="488421B7">
        <w:rPr>
          <w:rFonts w:eastAsia="Palatino Linotype"/>
        </w:rPr>
        <w:t>B</w:t>
      </w:r>
      <w:r w:rsidR="00685AE4" w:rsidRPr="488421B7">
        <w:rPr>
          <w:rFonts w:eastAsia="Palatino Linotype"/>
        </w:rPr>
        <w:t>oard (</w:t>
      </w:r>
      <w:r w:rsidRPr="488421B7">
        <w:rPr>
          <w:rFonts w:eastAsia="Palatino Linotype"/>
        </w:rPr>
        <w:t>SCB</w:t>
      </w:r>
      <w:r w:rsidR="00685AE4" w:rsidRPr="488421B7">
        <w:rPr>
          <w:rFonts w:eastAsia="Palatino Linotype"/>
        </w:rPr>
        <w:t>)</w:t>
      </w:r>
      <w:r w:rsidRPr="488421B7">
        <w:rPr>
          <w:rFonts w:eastAsia="Palatino Linotype"/>
        </w:rPr>
        <w:t xml:space="preserve"> where appropriate, and the SCB is tasked with supporting and fostering a common approach. The SCB may also collaborate with the Foresight Panel for Emerging Health Innovation established by the Biotech Act, linking sandbox practice to upstream horizon-scanning and cross-framework learning.</w:t>
      </w:r>
    </w:p>
    <w:p w14:paraId="46FC76FA" w14:textId="2C1281D8" w:rsidR="19E0C0D7" w:rsidRPr="001A247D" w:rsidRDefault="19E0C0D7" w:rsidP="00AB0B73">
      <w:pPr>
        <w:rPr>
          <w:rFonts w:eastAsia="Palatino Linotype"/>
        </w:rPr>
      </w:pPr>
      <w:r w:rsidRPr="4CB0CE33">
        <w:rPr>
          <w:rFonts w:eastAsia="Palatino Linotype"/>
        </w:rPr>
        <w:t xml:space="preserve">The </w:t>
      </w:r>
      <w:r w:rsidR="000E5BD3">
        <w:rPr>
          <w:rFonts w:eastAsia="Palatino Linotype"/>
        </w:rPr>
        <w:t xml:space="preserve">proposed amendments </w:t>
      </w:r>
      <w:r w:rsidRPr="4CB0CE33">
        <w:rPr>
          <w:rFonts w:eastAsia="Palatino Linotype"/>
        </w:rPr>
        <w:t xml:space="preserve">create a structured route for SoHO innovations, which cannot yet be developed in full compliance with the SoHO Regulation, or if compliance would impede or significantly delay development due to inherent scientific or regulatory challenges. The </w:t>
      </w:r>
      <w:r w:rsidR="00417F13">
        <w:rPr>
          <w:rFonts w:eastAsia="Palatino Linotype"/>
        </w:rPr>
        <w:t xml:space="preserve">proposed amendments </w:t>
      </w:r>
      <w:r w:rsidRPr="4CB0CE33">
        <w:rPr>
          <w:rFonts w:eastAsia="Palatino Linotype"/>
        </w:rPr>
        <w:t>also formalise cross-authority</w:t>
      </w:r>
      <w:r w:rsidR="3FBEF681" w:rsidRPr="4CB0CE33">
        <w:rPr>
          <w:rFonts w:eastAsia="Palatino Linotype"/>
        </w:rPr>
        <w:t xml:space="preserve"> collaboration and information exchange</w:t>
      </w:r>
      <w:r w:rsidRPr="4CB0CE33">
        <w:rPr>
          <w:rFonts w:eastAsia="Palatino Linotype"/>
        </w:rPr>
        <w:t xml:space="preserve">, </w:t>
      </w:r>
      <w:r w:rsidR="7C568536" w:rsidRPr="4CB0CE33">
        <w:rPr>
          <w:rFonts w:eastAsia="Palatino Linotype"/>
        </w:rPr>
        <w:t xml:space="preserve">which </w:t>
      </w:r>
      <w:r w:rsidRPr="4CB0CE33">
        <w:rPr>
          <w:rFonts w:eastAsia="Palatino Linotype"/>
        </w:rPr>
        <w:t>improv</w:t>
      </w:r>
      <w:r w:rsidR="2F123F0F" w:rsidRPr="4CB0CE33">
        <w:rPr>
          <w:rFonts w:eastAsia="Palatino Linotype"/>
        </w:rPr>
        <w:t>e</w:t>
      </w:r>
      <w:r w:rsidRPr="4CB0CE33">
        <w:rPr>
          <w:rFonts w:eastAsia="Palatino Linotype"/>
        </w:rPr>
        <w:t xml:space="preserve"> transparency and comparability across M</w:t>
      </w:r>
      <w:r w:rsidR="00685AE4" w:rsidRPr="4CB0CE33">
        <w:rPr>
          <w:rFonts w:eastAsia="Palatino Linotype"/>
        </w:rPr>
        <w:t xml:space="preserve">ember </w:t>
      </w:r>
      <w:r w:rsidRPr="4CB0CE33">
        <w:rPr>
          <w:rFonts w:eastAsia="Palatino Linotype"/>
        </w:rPr>
        <w:t>S</w:t>
      </w:r>
      <w:r w:rsidR="00685AE4" w:rsidRPr="4CB0CE33">
        <w:rPr>
          <w:rFonts w:eastAsia="Palatino Linotype"/>
        </w:rPr>
        <w:t>tates</w:t>
      </w:r>
      <w:r w:rsidRPr="4CB0CE33">
        <w:rPr>
          <w:rFonts w:eastAsia="Palatino Linotype"/>
        </w:rPr>
        <w:t xml:space="preserve"> while retaining core safeguards. </w:t>
      </w:r>
    </w:p>
    <w:p w14:paraId="53D3C8EE" w14:textId="6A2759B3" w:rsidR="19E0C0D7" w:rsidRPr="00B970D3" w:rsidRDefault="19E0C0D7" w:rsidP="00AB0B73">
      <w:pPr>
        <w:rPr>
          <w:rFonts w:eastAsia="Palatino Linotype"/>
        </w:rPr>
      </w:pPr>
      <w:r w:rsidRPr="488421B7">
        <w:rPr>
          <w:rFonts w:eastAsia="Palatino Linotype"/>
        </w:rPr>
        <w:t>A SoHO preparation resulting from an innovation developed as part of a regulatory sandbox may be distributed for human application only where authorised in accordance with Article 38(1) of Regulation (EU) 2024/1938. The purpose of the</w:t>
      </w:r>
      <w:r w:rsidR="00191722">
        <w:rPr>
          <w:rFonts w:eastAsia="Palatino Linotype"/>
        </w:rPr>
        <w:t xml:space="preserve"> regulatory</w:t>
      </w:r>
      <w:r w:rsidRPr="488421B7">
        <w:rPr>
          <w:rFonts w:eastAsia="Palatino Linotype"/>
        </w:rPr>
        <w:t xml:space="preserve"> sandbox is therefore to make authorisation feasible by enabling supervised testing and evidence generation in novel or complex cases where applying the current regulation’s requirements would impede or significantly delay development. These are, for example, new technologies for which there are currently no fitting technical safety and quality requirements by the Expert Bodies (EDQM, ECDC); new technologies that are only partially covered by SoHO rule</w:t>
      </w:r>
      <w:r w:rsidR="00A50BA9" w:rsidRPr="488421B7">
        <w:rPr>
          <w:rFonts w:eastAsia="Palatino Linotype"/>
        </w:rPr>
        <w:t>s.</w:t>
      </w:r>
      <w:r w:rsidRPr="488421B7">
        <w:rPr>
          <w:rFonts w:eastAsia="Palatino Linotype"/>
        </w:rPr>
        <w:t xml:space="preserve"> </w:t>
      </w:r>
    </w:p>
    <w:p w14:paraId="11C93A3D" w14:textId="3405AD3B" w:rsidR="19E0C0D7" w:rsidRPr="007B727F" w:rsidRDefault="19E0C0D7" w:rsidP="00AB0B73">
      <w:pPr>
        <w:rPr>
          <w:rFonts w:eastAsia="Palatino Linotype"/>
        </w:rPr>
      </w:pPr>
      <w:r w:rsidRPr="488421B7">
        <w:rPr>
          <w:rFonts w:eastAsia="Palatino Linotype"/>
        </w:rPr>
        <w:t>Sandbox-eligible cases</w:t>
      </w:r>
      <w:r w:rsidR="00F875EA" w:rsidRPr="488421B7">
        <w:rPr>
          <w:rFonts w:eastAsia="Palatino Linotype"/>
        </w:rPr>
        <w:t xml:space="preserve"> would</w:t>
      </w:r>
      <w:r w:rsidRPr="488421B7">
        <w:rPr>
          <w:rFonts w:eastAsia="Palatino Linotype"/>
        </w:rPr>
        <w:t xml:space="preserve"> be </w:t>
      </w:r>
      <w:r w:rsidR="00F875EA" w:rsidRPr="488421B7">
        <w:rPr>
          <w:rFonts w:eastAsia="Palatino Linotype"/>
        </w:rPr>
        <w:t>a</w:t>
      </w:r>
      <w:r w:rsidRPr="488421B7">
        <w:rPr>
          <w:rFonts w:eastAsia="Palatino Linotype"/>
        </w:rPr>
        <w:t xml:space="preserve"> minority of cases which could not be authorised under the S</w:t>
      </w:r>
      <w:r w:rsidR="00B970D3" w:rsidRPr="488421B7">
        <w:rPr>
          <w:rFonts w:eastAsia="Palatino Linotype"/>
        </w:rPr>
        <w:t xml:space="preserve">oHo </w:t>
      </w:r>
      <w:r w:rsidRPr="488421B7">
        <w:rPr>
          <w:rFonts w:eastAsia="Palatino Linotype"/>
        </w:rPr>
        <w:t>P</w:t>
      </w:r>
      <w:r w:rsidR="00B970D3" w:rsidRPr="488421B7">
        <w:rPr>
          <w:rFonts w:eastAsia="Palatino Linotype"/>
        </w:rPr>
        <w:t xml:space="preserve">reparation </w:t>
      </w:r>
      <w:r w:rsidRPr="488421B7">
        <w:rPr>
          <w:rFonts w:eastAsia="Palatino Linotype"/>
        </w:rPr>
        <w:t>A</w:t>
      </w:r>
      <w:r w:rsidR="00B970D3" w:rsidRPr="488421B7">
        <w:rPr>
          <w:rFonts w:eastAsia="Palatino Linotype"/>
        </w:rPr>
        <w:t>uthorisations (</w:t>
      </w:r>
      <w:r w:rsidRPr="488421B7">
        <w:rPr>
          <w:rFonts w:eastAsia="Palatino Linotype"/>
        </w:rPr>
        <w:t>SPA</w:t>
      </w:r>
      <w:r w:rsidR="00B970D3" w:rsidRPr="488421B7">
        <w:rPr>
          <w:rFonts w:eastAsia="Palatino Linotype"/>
        </w:rPr>
        <w:t>)</w:t>
      </w:r>
      <w:r w:rsidRPr="488421B7">
        <w:rPr>
          <w:rFonts w:eastAsia="Palatino Linotype"/>
        </w:rPr>
        <w:t xml:space="preserve"> model established in the 2024 SoHO </w:t>
      </w:r>
      <w:r w:rsidR="00AE4B7C">
        <w:rPr>
          <w:rFonts w:eastAsia="Palatino Linotype"/>
        </w:rPr>
        <w:t>R</w:t>
      </w:r>
      <w:r w:rsidR="00CF47EF" w:rsidRPr="488421B7">
        <w:rPr>
          <w:rFonts w:eastAsia="Palatino Linotype"/>
        </w:rPr>
        <w:t>egulation</w:t>
      </w:r>
      <w:r w:rsidR="00001AFB">
        <w:rPr>
          <w:rFonts w:eastAsia="Palatino Linotype"/>
        </w:rPr>
        <w:t>,</w:t>
      </w:r>
      <w:r w:rsidR="00CF47EF" w:rsidRPr="488421B7">
        <w:rPr>
          <w:rFonts w:eastAsia="Palatino Linotype"/>
        </w:rPr>
        <w:t xml:space="preserve"> but</w:t>
      </w:r>
      <w:r w:rsidRPr="488421B7">
        <w:rPr>
          <w:rFonts w:eastAsia="Palatino Linotype"/>
        </w:rPr>
        <w:t xml:space="preserve"> would bring in high extra value. Expert interview</w:t>
      </w:r>
      <w:r w:rsidR="006E115C">
        <w:rPr>
          <w:rFonts w:eastAsia="Palatino Linotype"/>
        </w:rPr>
        <w:t>s</w:t>
      </w:r>
      <w:r w:rsidRPr="488421B7">
        <w:rPr>
          <w:rFonts w:eastAsia="Palatino Linotype"/>
        </w:rPr>
        <w:t xml:space="preserve"> suggested that SoHO products eligible for the sandbox route likely represent 5–10</w:t>
      </w:r>
      <w:r w:rsidR="00405618">
        <w:rPr>
          <w:rFonts w:eastAsia="Palatino Linotype"/>
        </w:rPr>
        <w:t>%</w:t>
      </w:r>
      <w:r w:rsidRPr="488421B7">
        <w:rPr>
          <w:rFonts w:eastAsia="Palatino Linotype"/>
        </w:rPr>
        <w:t xml:space="preserve"> of overall SoHO activities, i.e. </w:t>
      </w:r>
      <w:r w:rsidRPr="488421B7">
        <w:rPr>
          <w:rFonts w:eastAsia="Palatino Linotype"/>
          <w:b/>
        </w:rPr>
        <w:t>90-250 eligible cases p</w:t>
      </w:r>
      <w:r w:rsidR="00CE5C36" w:rsidRPr="488421B7">
        <w:rPr>
          <w:rFonts w:eastAsia="Palatino Linotype"/>
          <w:b/>
        </w:rPr>
        <w:t xml:space="preserve">er </w:t>
      </w:r>
      <w:r w:rsidR="24B45553" w:rsidRPr="488421B7">
        <w:rPr>
          <w:rFonts w:eastAsia="Palatino Linotype"/>
          <w:b/>
        </w:rPr>
        <w:t>year</w:t>
      </w:r>
      <w:r w:rsidR="00535C6C" w:rsidRPr="488421B7">
        <w:rPr>
          <w:rStyle w:val="FootnoteReference"/>
          <w:rFonts w:eastAsia="Palatino Linotype"/>
          <w:b/>
          <w:bCs/>
        </w:rPr>
        <w:footnoteReference w:id="206"/>
      </w:r>
      <w:r w:rsidRPr="488421B7">
        <w:rPr>
          <w:rFonts w:eastAsia="Palatino Linotype"/>
        </w:rPr>
        <w:t xml:space="preserve">. Sandbox use cases demonstrate </w:t>
      </w:r>
      <w:r w:rsidRPr="488421B7">
        <w:rPr>
          <w:rFonts w:eastAsia="Palatino Linotype"/>
          <w:b/>
        </w:rPr>
        <w:t>acceptance rate of between 7-16</w:t>
      </w:r>
      <w:r w:rsidR="00405618">
        <w:rPr>
          <w:rFonts w:eastAsia="Palatino Linotype"/>
          <w:b/>
        </w:rPr>
        <w:t>%</w:t>
      </w:r>
      <w:r w:rsidRPr="488421B7">
        <w:rPr>
          <w:rFonts w:eastAsia="Palatino Linotype"/>
        </w:rPr>
        <w:t xml:space="preserve"> of sandbox applications, demonstrating great interest from developers in the sandbox instrument but limited capacity of the regulators to establish sandboxes</w:t>
      </w:r>
      <w:r w:rsidR="00FC46A2" w:rsidRPr="488421B7">
        <w:rPr>
          <w:rStyle w:val="FootnoteReference"/>
          <w:rFonts w:eastAsia="Palatino Linotype"/>
        </w:rPr>
        <w:footnoteReference w:id="207"/>
      </w:r>
      <w:r w:rsidRPr="488421B7">
        <w:rPr>
          <w:rFonts w:eastAsia="Palatino Linotype"/>
        </w:rPr>
        <w:t>.</w:t>
      </w:r>
      <w:r w:rsidR="00FC46A2" w:rsidRPr="488421B7" w:rsidDel="00FC46A2">
        <w:rPr>
          <w:rFonts w:eastAsia="Palatino Linotype"/>
          <w:vertAlign w:val="superscript"/>
        </w:rPr>
        <w:t xml:space="preserve"> </w:t>
      </w:r>
      <w:r w:rsidRPr="488421B7">
        <w:rPr>
          <w:rFonts w:eastAsia="Palatino Linotype"/>
        </w:rPr>
        <w:t xml:space="preserve">Considering the high resource requirements of </w:t>
      </w:r>
      <w:r w:rsidR="00FB2691">
        <w:rPr>
          <w:rFonts w:eastAsia="Palatino Linotype"/>
        </w:rPr>
        <w:t xml:space="preserve">a </w:t>
      </w:r>
      <w:r w:rsidRPr="488421B7">
        <w:rPr>
          <w:rFonts w:eastAsia="Palatino Linotype"/>
        </w:rPr>
        <w:t xml:space="preserve">regulatory sandbox, we can further assume that only a share of eligible cases will be pursued. If all eligible cases apply for the sandbox tool, between </w:t>
      </w:r>
      <w:r w:rsidRPr="488421B7">
        <w:rPr>
          <w:rFonts w:eastAsia="Palatino Linotype"/>
          <w:b/>
        </w:rPr>
        <w:t xml:space="preserve">6 and 40 </w:t>
      </w:r>
      <w:r w:rsidR="002D2B84">
        <w:rPr>
          <w:rFonts w:eastAsia="Palatino Linotype"/>
          <w:b/>
        </w:rPr>
        <w:t xml:space="preserve">regulatory </w:t>
      </w:r>
      <w:r w:rsidRPr="488421B7">
        <w:rPr>
          <w:rFonts w:eastAsia="Palatino Linotype"/>
          <w:b/>
        </w:rPr>
        <w:t>sandboxes can be established p</w:t>
      </w:r>
      <w:r w:rsidR="002D2B84">
        <w:rPr>
          <w:rFonts w:eastAsia="Palatino Linotype"/>
          <w:b/>
        </w:rPr>
        <w:t>ear year</w:t>
      </w:r>
      <w:r w:rsidRPr="488421B7">
        <w:rPr>
          <w:rFonts w:eastAsia="Palatino Linotype"/>
        </w:rPr>
        <w:t xml:space="preserve">. </w:t>
      </w:r>
    </w:p>
    <w:p w14:paraId="7625D6F9" w14:textId="597C6F61" w:rsidR="00B170C0" w:rsidRPr="00AB0B73" w:rsidRDefault="00B170C0" w:rsidP="00487024">
      <w:pPr>
        <w:rPr>
          <w:noProof/>
          <w:color w:val="000000" w:themeColor="text1"/>
          <w:u w:val="single"/>
          <w:lang w:val="en-IE"/>
        </w:rPr>
      </w:pPr>
      <w:r w:rsidRPr="00AB0B73">
        <w:rPr>
          <w:noProof/>
          <w:u w:val="single"/>
          <w:lang w:val="en-IE"/>
        </w:rPr>
        <w:t>Expected impacts:</w:t>
      </w:r>
    </w:p>
    <w:p w14:paraId="0272B47A" w14:textId="2C9D81F8" w:rsidR="19E0C0D7" w:rsidRPr="00C93384" w:rsidRDefault="19E0C0D7" w:rsidP="00487024">
      <w:pPr>
        <w:rPr>
          <w:rFonts w:eastAsia="Palatino Linotype"/>
        </w:rPr>
      </w:pPr>
      <w:r w:rsidRPr="488421B7">
        <w:rPr>
          <w:rFonts w:eastAsia="Palatino Linotype"/>
        </w:rPr>
        <w:t>Since th</w:t>
      </w:r>
      <w:r w:rsidR="00E6030D">
        <w:rPr>
          <w:rFonts w:eastAsia="Palatino Linotype"/>
        </w:rPr>
        <w:t>e regulatory</w:t>
      </w:r>
      <w:r w:rsidRPr="488421B7">
        <w:rPr>
          <w:rFonts w:eastAsia="Palatino Linotype"/>
        </w:rPr>
        <w:t xml:space="preserve"> sandbox</w:t>
      </w:r>
      <w:r w:rsidR="00D4206B">
        <w:rPr>
          <w:rFonts w:eastAsia="Palatino Linotype"/>
        </w:rPr>
        <w:t>es are</w:t>
      </w:r>
      <w:r w:rsidRPr="488421B7">
        <w:rPr>
          <w:rFonts w:eastAsia="Palatino Linotype"/>
        </w:rPr>
        <w:t xml:space="preserve"> a first-of-its-kind instrument, the initial take-up could be slow</w:t>
      </w:r>
      <w:r w:rsidR="00D171AA" w:rsidRPr="488421B7">
        <w:rPr>
          <w:rFonts w:eastAsia="Palatino Linotype"/>
        </w:rPr>
        <w:t>, a</w:t>
      </w:r>
      <w:r w:rsidRPr="488421B7">
        <w:rPr>
          <w:rFonts w:eastAsia="Palatino Linotype"/>
        </w:rPr>
        <w:t xml:space="preserve">lso as, in the first years, most innovations are expected to be well regulated under the new model for SPA in the 2024 SoHO regulation. </w:t>
      </w:r>
    </w:p>
    <w:p w14:paraId="745AD8CB" w14:textId="73933216" w:rsidR="19E0C0D7" w:rsidRPr="00C93384" w:rsidRDefault="19E0C0D7" w:rsidP="00487024">
      <w:pPr>
        <w:rPr>
          <w:rFonts w:eastAsia="Palatino Linotype"/>
        </w:rPr>
      </w:pPr>
      <w:r w:rsidRPr="488421B7">
        <w:rPr>
          <w:rFonts w:eastAsia="Corbel"/>
          <w:b/>
          <w:bCs/>
        </w:rPr>
        <w:t>Conduct of business</w:t>
      </w:r>
      <w:r w:rsidR="6A7D9B3E" w:rsidRPr="488421B7">
        <w:rPr>
          <w:rFonts w:eastAsia="Corbel"/>
          <w:b/>
          <w:bCs/>
        </w:rPr>
        <w:t xml:space="preserve">: </w:t>
      </w:r>
      <w:r w:rsidRPr="488421B7">
        <w:rPr>
          <w:rFonts w:eastAsia="Palatino Linotype"/>
        </w:rPr>
        <w:t xml:space="preserve">Regulatory sandboxes offer a pathway for addressing complex cases that would </w:t>
      </w:r>
      <w:r w:rsidRPr="488421B7">
        <w:rPr>
          <w:rFonts w:eastAsiaTheme="minorEastAsia"/>
        </w:rPr>
        <w:t xml:space="preserve">otherwise not be pursued. We estimate a slowly growing interest in the regulatory sandbox from SoHO entities, leading to regulatory sandbox requests, particularly in strong innovation nations and for SoHO innovations where no safety and quality requirements are prepared by the </w:t>
      </w:r>
      <w:r w:rsidR="00D4206B">
        <w:rPr>
          <w:rFonts w:eastAsiaTheme="minorEastAsia"/>
        </w:rPr>
        <w:t>e</w:t>
      </w:r>
      <w:r w:rsidRPr="488421B7">
        <w:rPr>
          <w:rFonts w:eastAsiaTheme="minorEastAsia"/>
        </w:rPr>
        <w:t xml:space="preserve">xpert </w:t>
      </w:r>
      <w:r w:rsidR="00D4206B">
        <w:rPr>
          <w:rFonts w:eastAsiaTheme="minorEastAsia"/>
        </w:rPr>
        <w:t>b</w:t>
      </w:r>
      <w:r w:rsidRPr="488421B7">
        <w:rPr>
          <w:rFonts w:eastAsiaTheme="minorEastAsia"/>
        </w:rPr>
        <w:t xml:space="preserve">odies. </w:t>
      </w:r>
    </w:p>
    <w:p w14:paraId="15667A34" w14:textId="419DD839" w:rsidR="19E0C0D7" w:rsidRPr="00C93384" w:rsidRDefault="19E0C0D7" w:rsidP="00487024">
      <w:r w:rsidRPr="00C93384">
        <w:rPr>
          <w:b/>
        </w:rPr>
        <w:t>Administrative costs on businesses, including SMEs</w:t>
      </w:r>
      <w:r w:rsidR="322D712D" w:rsidRPr="00C93384">
        <w:t xml:space="preserve">: </w:t>
      </w:r>
      <w:r w:rsidR="00E23400">
        <w:t>Regulatory</w:t>
      </w:r>
      <w:r w:rsidR="322D712D" w:rsidRPr="00C93384">
        <w:t xml:space="preserve"> </w:t>
      </w:r>
      <w:r w:rsidRPr="00C93384">
        <w:t xml:space="preserve">sandbox is expected to have similar costs </w:t>
      </w:r>
      <w:r w:rsidR="00A94D9F" w:rsidRPr="00C93384">
        <w:t>to</w:t>
      </w:r>
      <w:r w:rsidRPr="00C93384">
        <w:t xml:space="preserve"> high-risk authorisations (between </w:t>
      </w:r>
      <w:r w:rsidR="00B970D3">
        <w:t xml:space="preserve">EUR </w:t>
      </w:r>
      <w:r w:rsidRPr="00C93384">
        <w:t xml:space="preserve">1,200 and </w:t>
      </w:r>
      <w:r w:rsidR="00B970D3">
        <w:t xml:space="preserve">EUR </w:t>
      </w:r>
      <w:r w:rsidRPr="00C93384">
        <w:t>6,000 per patient) due to the need to involve a certain number of data subjects and a thorough assessment process</w:t>
      </w:r>
      <w:r w:rsidR="00613BD6">
        <w:rPr>
          <w:rStyle w:val="FootnoteReference"/>
          <w:rFonts w:eastAsia="Palatino Linotype"/>
          <w:color w:val="353332"/>
        </w:rPr>
        <w:footnoteReference w:id="208"/>
      </w:r>
      <w:r w:rsidRPr="00C93384">
        <w:t xml:space="preserve">. Therefore, while there would not be any extra cost for high-risk cases, if low- or medium-risk cases are pursued using the sandbox route, the direct cost of each case will increase. We assume that half of the cases directed to the sandbox route will be high risk cases and half of the cases will be medium risk cases. Under the low estimate, the additional cost of regulatory sandbox route for SoHO entities will be </w:t>
      </w:r>
      <w:r w:rsidR="00B970D3">
        <w:t xml:space="preserve">EUR </w:t>
      </w:r>
      <w:r w:rsidRPr="00C93384">
        <w:t xml:space="preserve">718,500 (under the assumption </w:t>
      </w:r>
      <w:r w:rsidR="00C61A1C">
        <w:t>that</w:t>
      </w:r>
      <w:r w:rsidRPr="00C93384">
        <w:t xml:space="preserve"> </w:t>
      </w:r>
      <w:r w:rsidR="00C61A1C">
        <w:t>six</w:t>
      </w:r>
      <w:r w:rsidRPr="00C93384">
        <w:t xml:space="preserve"> sandboxes </w:t>
      </w:r>
      <w:r w:rsidR="00AB0103">
        <w:t>are established</w:t>
      </w:r>
      <w:r w:rsidRPr="00C93384">
        <w:t xml:space="preserve"> p</w:t>
      </w:r>
      <w:r w:rsidR="00AC51B9">
        <w:t>er year</w:t>
      </w:r>
      <w:r w:rsidRPr="00C93384">
        <w:t xml:space="preserve">) and </w:t>
      </w:r>
      <w:r w:rsidR="00B970D3">
        <w:t xml:space="preserve">EUR </w:t>
      </w:r>
      <w:r w:rsidRPr="00C93384">
        <w:t xml:space="preserve">4,790,000 (under the assumption </w:t>
      </w:r>
      <w:r w:rsidR="00C61A1C">
        <w:t xml:space="preserve">that </w:t>
      </w:r>
      <w:r w:rsidRPr="00C93384">
        <w:t xml:space="preserve">40 sandboxed </w:t>
      </w:r>
      <w:r w:rsidR="00C61A1C">
        <w:t xml:space="preserve">are established </w:t>
      </w:r>
      <w:r w:rsidRPr="00C93384">
        <w:t>p</w:t>
      </w:r>
      <w:r w:rsidR="00AC51B9">
        <w:t>er year</w:t>
      </w:r>
      <w:r w:rsidRPr="00C93384">
        <w:t xml:space="preserve">). </w:t>
      </w:r>
    </w:p>
    <w:p w14:paraId="7955A8F8" w14:textId="0AB11976" w:rsidR="19E0C0D7" w:rsidRPr="00C93384" w:rsidRDefault="19E0C0D7" w:rsidP="000B14A8">
      <w:r w:rsidRPr="00C93384">
        <w:t xml:space="preserve">As a positive secondary effect this would allow SoHO entities to engage with authorities early in an environment that tolerates iterative learning, prototyping, and co-development of evidence strategies, thereby lowering the volume of redundant work and iterative back-and-forth that currently inflates administrative burdens. </w:t>
      </w:r>
    </w:p>
    <w:p w14:paraId="43AFF2F1" w14:textId="6CE4A768" w:rsidR="40F0FF80" w:rsidRPr="00C93384" w:rsidRDefault="40F0FF80" w:rsidP="00487024">
      <w:r w:rsidRPr="00C93384">
        <w:rPr>
          <w:b/>
        </w:rPr>
        <w:t xml:space="preserve">Competitiveness, trade and investment flows: </w:t>
      </w:r>
      <w:r w:rsidR="19E0C0D7" w:rsidRPr="00C93384">
        <w:t xml:space="preserve">By providing a flexible, but coordinated and proportionate pathway for novel SoHO activities, </w:t>
      </w:r>
      <w:r w:rsidR="00AC51B9">
        <w:t>regulatory</w:t>
      </w:r>
      <w:r w:rsidR="19E0C0D7" w:rsidRPr="00C93384">
        <w:t xml:space="preserve"> sandbox</w:t>
      </w:r>
      <w:r w:rsidR="00AC51B9">
        <w:t>es</w:t>
      </w:r>
      <w:r w:rsidR="19E0C0D7" w:rsidRPr="00C93384">
        <w:t xml:space="preserve"> will reduce uncertainty and transaction costs for innovations. This could improve EU attractiveness for certain R&amp;I projects. Particularly strong competitiveness effects can be expected in the forerunner countries with strong innovation potential. Such effects will come from two sources. First, projects that are authorised thanks to sandbox evidence, which would not be pursued otherwise. </w:t>
      </w:r>
    </w:p>
    <w:p w14:paraId="3F640CC3" w14:textId="2276809F" w:rsidR="19E0C0D7" w:rsidRPr="00C93384" w:rsidRDefault="19E0C0D7" w:rsidP="00487024">
      <w:r w:rsidRPr="00C93384">
        <w:t xml:space="preserve">Second, under the assumption that sandbox route allows for a responsible approach with limited or more flexible types of appropriate evidence, and for less authorisations to be obtained, innovative SoHO activities will become more attractive for SoHO entities. </w:t>
      </w:r>
    </w:p>
    <w:p w14:paraId="1A919B7F" w14:textId="1665E4AF" w:rsidR="19E0C0D7" w:rsidRPr="00C93384" w:rsidRDefault="19E0C0D7" w:rsidP="00487024">
      <w:r w:rsidRPr="00C93384">
        <w:rPr>
          <w:b/>
        </w:rPr>
        <w:t>Functioning of the internal market and competition</w:t>
      </w:r>
      <w:r w:rsidR="72D8E142" w:rsidRPr="00C93384">
        <w:rPr>
          <w:b/>
        </w:rPr>
        <w:t xml:space="preserve">: </w:t>
      </w:r>
      <w:r w:rsidRPr="00C93384">
        <w:t xml:space="preserve">The </w:t>
      </w:r>
      <w:r w:rsidR="00C61A1C">
        <w:t xml:space="preserve">regulatory </w:t>
      </w:r>
      <w:r w:rsidRPr="00C93384">
        <w:t>sandbox</w:t>
      </w:r>
      <w:r w:rsidR="00C61A1C">
        <w:t>es</w:t>
      </w:r>
      <w:r w:rsidRPr="00C93384">
        <w:t xml:space="preserve"> might have an indirect effect if </w:t>
      </w:r>
      <w:r w:rsidR="001B410A">
        <w:t>the</w:t>
      </w:r>
      <w:r w:rsidR="001B410A" w:rsidRPr="00C93384">
        <w:t xml:space="preserve"> </w:t>
      </w:r>
      <w:r w:rsidRPr="00C93384">
        <w:t xml:space="preserve">outcomes </w:t>
      </w:r>
      <w:r w:rsidR="001B410A">
        <w:t>obtained</w:t>
      </w:r>
      <w:r w:rsidR="001B410A" w:rsidRPr="00C93384">
        <w:t xml:space="preserve"> </w:t>
      </w:r>
      <w:r w:rsidRPr="00C93384">
        <w:t>in one M</w:t>
      </w:r>
      <w:r w:rsidR="00C93384">
        <w:t xml:space="preserve">ember </w:t>
      </w:r>
      <w:r w:rsidRPr="00C93384">
        <w:t>S</w:t>
      </w:r>
      <w:r w:rsidR="00C93384">
        <w:t>tate</w:t>
      </w:r>
      <w:r w:rsidRPr="00C93384">
        <w:t xml:space="preserve"> are reused in other M</w:t>
      </w:r>
      <w:r w:rsidR="00C93384">
        <w:t xml:space="preserve">ember </w:t>
      </w:r>
      <w:r w:rsidRPr="00C93384">
        <w:t>S</w:t>
      </w:r>
      <w:r w:rsidR="00C93384">
        <w:t>tates</w:t>
      </w:r>
      <w:r w:rsidRPr="00C93384">
        <w:t xml:space="preserve"> when assessing similar innovations. This can in particular be expected given the central role of the SoHO Coordination Board in supporting and monitoring sandboxes, including joint sandboxes undertaken by two or more Member States. </w:t>
      </w:r>
      <w:r w:rsidR="00C93384">
        <w:t>T</w:t>
      </w:r>
      <w:r w:rsidRPr="00C93384">
        <w:t xml:space="preserve">he overall approach of open access innovation in the largely public SoHO sector will </w:t>
      </w:r>
      <w:r w:rsidR="00C93384">
        <w:t xml:space="preserve">also </w:t>
      </w:r>
      <w:r w:rsidRPr="00C93384">
        <w:t xml:space="preserve">contribute to a fast and harmonized roll-out of novel technologies. </w:t>
      </w:r>
    </w:p>
    <w:p w14:paraId="3E5DF1DB" w14:textId="31DF8B2A" w:rsidR="19E0C0D7" w:rsidRPr="00C93384" w:rsidRDefault="19E0C0D7" w:rsidP="00487024">
      <w:r w:rsidRPr="00C93384">
        <w:rPr>
          <w:b/>
        </w:rPr>
        <w:t>Innovation and research</w:t>
      </w:r>
      <w:r w:rsidR="29DC3F10" w:rsidRPr="00C93384">
        <w:rPr>
          <w:b/>
        </w:rPr>
        <w:t>:</w:t>
      </w:r>
      <w:r w:rsidR="29DC3F10" w:rsidRPr="00C93384">
        <w:t xml:space="preserve"> </w:t>
      </w:r>
      <w:r w:rsidRPr="00C93384">
        <w:t xml:space="preserve">The </w:t>
      </w:r>
      <w:r w:rsidR="00B012BE">
        <w:t>regulatory</w:t>
      </w:r>
      <w:r w:rsidRPr="00C93384">
        <w:t xml:space="preserve"> sand</w:t>
      </w:r>
      <w:r w:rsidR="50141B2F" w:rsidRPr="00C93384">
        <w:t>b</w:t>
      </w:r>
      <w:r w:rsidRPr="00C93384">
        <w:t>ox</w:t>
      </w:r>
      <w:r w:rsidR="00B012BE">
        <w:t>es</w:t>
      </w:r>
      <w:r w:rsidRPr="00C93384">
        <w:t xml:space="preserve"> provide a pathway to authorisation and a signal to the R&amp;I stakeholders. As the immediate response to the sandbox measure, we can therefore expect to see an increase in the actor activity in this segment. These changes in risk and incentives and the reduction of the administrative burden could attract more public entities into innovation and stimulate innovation activity </w:t>
      </w:r>
      <w:r w:rsidR="00714E40">
        <w:t xml:space="preserve">in </w:t>
      </w:r>
      <w:r w:rsidRPr="00C93384">
        <w:t>novel, borderline cases and cases requiring cross-framework coordination.</w:t>
      </w:r>
    </w:p>
    <w:p w14:paraId="54A121F8" w14:textId="70ACFAC6" w:rsidR="19E0C0D7" w:rsidRPr="00C93384" w:rsidRDefault="19E0C0D7" w:rsidP="004F7565">
      <w:r w:rsidRPr="00C93384">
        <w:t>Innovation in SoHO is continuous, often incremental and largely driven by activity in public organisations, with knowledge diffusion through publications and professional societies rather than patents</w:t>
      </w:r>
      <w:r w:rsidR="003D334C" w:rsidRPr="003D334C">
        <w:rPr>
          <w:rStyle w:val="FootnoteReference"/>
          <w:rFonts w:eastAsia="Palatino Linotype"/>
          <w:color w:val="1F1F1F"/>
        </w:rPr>
        <w:footnoteReference w:id="209"/>
      </w:r>
      <w:r w:rsidRPr="003D334C">
        <w:t xml:space="preserve">. </w:t>
      </w:r>
      <w:r w:rsidRPr="00C93384">
        <w:t>In leading M</w:t>
      </w:r>
      <w:r w:rsidR="00AC51B9">
        <w:t xml:space="preserve">ember </w:t>
      </w:r>
      <w:r w:rsidRPr="00C93384">
        <w:t>S</w:t>
      </w:r>
      <w:r w:rsidR="00AC51B9">
        <w:t>tates</w:t>
      </w:r>
      <w:r w:rsidRPr="00C93384">
        <w:t>, major public hospitals treat research as a regular part of their activity a</w:t>
      </w:r>
      <w:r w:rsidR="00FF2AC4">
        <w:t xml:space="preserve">nd </w:t>
      </w:r>
      <w:r w:rsidRPr="00C93384">
        <w:t>are linked to universities and research institutes. This creates a favourable ecosystem for SoHO innovati</w:t>
      </w:r>
      <w:r w:rsidR="00B970D3">
        <w:t>o</w:t>
      </w:r>
      <w:r w:rsidRPr="00C93384">
        <w:t>n, which is nevertheless dependent on the availability of public and private research grants. However, high administrative costs deter these actors from innovative and novel SoHO activities.</w:t>
      </w:r>
    </w:p>
    <w:p w14:paraId="5E6D3E65" w14:textId="6B116C04" w:rsidR="19E0C0D7" w:rsidRPr="00C93384" w:rsidRDefault="19E0C0D7" w:rsidP="004F7565">
      <w:r w:rsidRPr="00C93384">
        <w:t xml:space="preserve">Controlled testing environments created through the </w:t>
      </w:r>
      <w:r w:rsidR="000D5D6E">
        <w:t xml:space="preserve">regulatory </w:t>
      </w:r>
      <w:r w:rsidRPr="00C93384">
        <w:t>sandbox</w:t>
      </w:r>
      <w:r w:rsidR="000D5D6E">
        <w:t>es</w:t>
      </w:r>
      <w:r w:rsidRPr="00C93384">
        <w:t xml:space="preserve"> </w:t>
      </w:r>
      <w:r w:rsidR="00C3052F">
        <w:t xml:space="preserve">would </w:t>
      </w:r>
      <w:r w:rsidRPr="00C93384">
        <w:t>enable experimentation under protection from disqualification due to a mismatch with the current framework. By allowing for adapted standards of regulatory evidence generation, regulatory sandbox pathway can enable innovative research that might otherwise be abandoned for fear of regulatory rejection. Therefore, th</w:t>
      </w:r>
      <w:r w:rsidR="006F45C8">
        <w:t xml:space="preserve">ese proposed amendments </w:t>
      </w:r>
      <w:r w:rsidRPr="00C93384">
        <w:t xml:space="preserve">support the ‘throughput’ phase of the innovation process. Innovation </w:t>
      </w:r>
      <w:r w:rsidR="00C93384">
        <w:t>and</w:t>
      </w:r>
      <w:r w:rsidRPr="00C93384">
        <w:t xml:space="preserve"> research impacts at M</w:t>
      </w:r>
      <w:r w:rsidR="00C93384">
        <w:t xml:space="preserve">ember </w:t>
      </w:r>
      <w:r w:rsidRPr="00C93384">
        <w:t>S</w:t>
      </w:r>
      <w:r w:rsidR="00C93384">
        <w:t>tate</w:t>
      </w:r>
      <w:r w:rsidRPr="00C93384">
        <w:t xml:space="preserve"> level are expected to be positive mainly via risk reduction, faster evidence generation, increase in academic research, and regulator capability-building, but uneven across M</w:t>
      </w:r>
      <w:r w:rsidR="00C93384">
        <w:t>ember States</w:t>
      </w:r>
      <w:r w:rsidRPr="00C93384">
        <w:t xml:space="preserve"> depending on capacity and ecosystem maturity. </w:t>
      </w:r>
    </w:p>
    <w:p w14:paraId="1FFF7FE9" w14:textId="14E8520A" w:rsidR="19E0C0D7" w:rsidRPr="00C93384" w:rsidRDefault="19E0C0D7" w:rsidP="004F7565">
      <w:r w:rsidRPr="00C93384">
        <w:t>Regulatory sandbox</w:t>
      </w:r>
      <w:r w:rsidR="000D5D6E">
        <w:t>es</w:t>
      </w:r>
      <w:r w:rsidRPr="00C93384">
        <w:t xml:space="preserve"> could be expected to shorten the path from innovation to safe clinical use, especially where the baseline suffers from uncertain borderlines and divergent evidence thresholds. In </w:t>
      </w:r>
      <w:r w:rsidR="006F501B">
        <w:t>the financial technology area</w:t>
      </w:r>
      <w:r w:rsidRPr="00C93384">
        <w:t xml:space="preserve">, firms that went through the </w:t>
      </w:r>
      <w:r w:rsidR="000D5D6E">
        <w:t xml:space="preserve">regulatory </w:t>
      </w:r>
      <w:r w:rsidRPr="00C93384">
        <w:t>sandbox</w:t>
      </w:r>
      <w:r w:rsidR="000D5D6E">
        <w:t>es</w:t>
      </w:r>
      <w:r w:rsidRPr="00C93384">
        <w:t xml:space="preserve"> had, on average, a 40</w:t>
      </w:r>
      <w:r w:rsidR="00405618">
        <w:t>%</w:t>
      </w:r>
      <w:r w:rsidRPr="00C93384">
        <w:t xml:space="preserve"> shorter time from engagement with the regulator to market authorisation than similar firms using the standard process. In SoHO, therefore, gains can also be expected. However, no baseline data is available for quantification as these gains would be realised in the cases that otherwise would not be pursued due to difficulty gathering evidence for authorisation. </w:t>
      </w:r>
    </w:p>
    <w:p w14:paraId="51162CB9" w14:textId="1941513A" w:rsidR="19E0C0D7" w:rsidRPr="00C93384" w:rsidRDefault="19E0C0D7" w:rsidP="004F7565">
      <w:r w:rsidRPr="00C93384">
        <w:rPr>
          <w:b/>
        </w:rPr>
        <w:t>Public authorities</w:t>
      </w:r>
      <w:r w:rsidR="4CA614E8" w:rsidRPr="00C93384">
        <w:rPr>
          <w:b/>
        </w:rPr>
        <w:t>:</w:t>
      </w:r>
      <w:r w:rsidR="4CA614E8" w:rsidRPr="00C93384">
        <w:t xml:space="preserve"> </w:t>
      </w:r>
      <w:r w:rsidRPr="00C93384">
        <w:t xml:space="preserve">The addition of the sandbox instrument is expected to expand the mandate and increase the workload of public authorities in the short and medium term for the benefit of significant cost reduction in the longer term due to achieved system efficiency. </w:t>
      </w:r>
    </w:p>
    <w:p w14:paraId="0B0884C4" w14:textId="26BB387C" w:rsidR="19E0C0D7" w:rsidRPr="00C93384" w:rsidRDefault="19E0C0D7" w:rsidP="004F7565">
      <w:r w:rsidRPr="00C93384">
        <w:t xml:space="preserve">To quantify the operational costs of </w:t>
      </w:r>
      <w:r w:rsidR="0023480C">
        <w:t xml:space="preserve">the regulatory </w:t>
      </w:r>
      <w:r w:rsidRPr="00C93384">
        <w:t>sandbox</w:t>
      </w:r>
      <w:r w:rsidR="0023480C">
        <w:t>es</w:t>
      </w:r>
      <w:r w:rsidRPr="00C93384">
        <w:t xml:space="preserve"> on public authorities, person-day cost of the sandbox should be compared with person-day cost of the SPA model, taking into account both the costs of learning by doing and the </w:t>
      </w:r>
      <w:r w:rsidRPr="00514904">
        <w:t>cost reduct</w:t>
      </w:r>
      <w:r w:rsidR="006F5122">
        <w:t>i</w:t>
      </w:r>
      <w:r w:rsidRPr="00514904">
        <w:t>on</w:t>
      </w:r>
      <w:r w:rsidRPr="00C93384">
        <w:t xml:space="preserve"> expected in the medium term due to cross-M</w:t>
      </w:r>
      <w:r w:rsidR="00983ABF">
        <w:t xml:space="preserve">ember </w:t>
      </w:r>
      <w:r w:rsidRPr="00C93384">
        <w:t>S</w:t>
      </w:r>
      <w:r w:rsidR="00983ABF">
        <w:t>tate</w:t>
      </w:r>
      <w:r w:rsidRPr="00C93384">
        <w:t xml:space="preserve"> learning leading to improved efficiency of operations when novel SoHO activities are concerned. Furthermore, OECD guidance indicates that investments are needed for regulators in terms of time, expertise, and organisational capacity when instituting a sandbox instrument.</w:t>
      </w:r>
    </w:p>
    <w:p w14:paraId="27DAD19B" w14:textId="2B27ED45" w:rsidR="19E0C0D7" w:rsidRPr="00C93384" w:rsidRDefault="19E0C0D7" w:rsidP="004F7565">
      <w:r w:rsidRPr="00C93384">
        <w:t xml:space="preserve">These costs </w:t>
      </w:r>
      <w:r w:rsidR="006F45C8">
        <w:t>would</w:t>
      </w:r>
      <w:r w:rsidRPr="00C93384">
        <w:t xml:space="preserve"> be borne primarily by </w:t>
      </w:r>
      <w:r w:rsidR="00C55DA5">
        <w:t xml:space="preserve">national competent authorities </w:t>
      </w:r>
      <w:r w:rsidRPr="00C93384">
        <w:t xml:space="preserve">but also by the Commission due to (i) the role in supporting the </w:t>
      </w:r>
      <w:r w:rsidR="000230A9">
        <w:t xml:space="preserve">regulatory </w:t>
      </w:r>
      <w:r w:rsidRPr="00C93384">
        <w:t>sandbox activities and hosting the EU SoHO Platform, and (ii) the engagement of the SCB as a key operational and consensus-building mechanism. Experts interviewed for this study assessed the role of the EU-level guidance as high for organisation of SoHO activities on the M</w:t>
      </w:r>
      <w:r w:rsidR="00743800">
        <w:t xml:space="preserve">ember </w:t>
      </w:r>
      <w:r w:rsidRPr="00C93384">
        <w:t>S</w:t>
      </w:r>
      <w:r w:rsidR="00743800">
        <w:t>tate</w:t>
      </w:r>
      <w:r w:rsidRPr="00C93384">
        <w:t xml:space="preserve"> level</w:t>
      </w:r>
      <w:r w:rsidR="00D374D3" w:rsidRPr="00D374D3">
        <w:rPr>
          <w:rStyle w:val="FootnoteReference"/>
          <w:rFonts w:eastAsia="Palatino Linotype"/>
          <w:color w:val="353332"/>
        </w:rPr>
        <w:footnoteReference w:id="210"/>
      </w:r>
      <w:r w:rsidRPr="00D374D3">
        <w:t xml:space="preserve">. </w:t>
      </w:r>
      <w:r w:rsidRPr="00C93384">
        <w:t>Commission-defined principles and formal mandates are essential to stimulate cross-body collaboration among relevant public authorities within M</w:t>
      </w:r>
      <w:r w:rsidR="000230A9">
        <w:t xml:space="preserve">ember </w:t>
      </w:r>
      <w:r w:rsidRPr="00C93384">
        <w:t>S</w:t>
      </w:r>
      <w:r w:rsidR="000230A9">
        <w:t>tates</w:t>
      </w:r>
      <w:r w:rsidRPr="00C93384">
        <w:t xml:space="preserve"> and to harmonise common national procedures for multi-framework cases.</w:t>
      </w:r>
    </w:p>
    <w:p w14:paraId="33A36CF5" w14:textId="23741217" w:rsidR="19E0C0D7" w:rsidRPr="00C93384" w:rsidRDefault="19E0C0D7" w:rsidP="00CD6D61">
      <w:r w:rsidRPr="00C93384">
        <w:t>We calculate the cost of regulatory sandbox for public authorities as follows: 1) assessing request (no change per risk category)</w:t>
      </w:r>
      <w:r w:rsidR="00C55DA5">
        <w:t>,</w:t>
      </w:r>
      <w:r w:rsidRPr="00C93384">
        <w:t xml:space="preserve"> 2) workload of regulatory sandbox (50 person-days) </w:t>
      </w:r>
      <w:r w:rsidR="007A42EF">
        <w:t>and</w:t>
      </w:r>
      <w:r w:rsidRPr="00C93384">
        <w:t xml:space="preserve"> 3) assessment of clinical evidence (reduced by 40</w:t>
      </w:r>
      <w:r w:rsidR="00405618">
        <w:t>%</w:t>
      </w:r>
      <w:r w:rsidRPr="00C93384">
        <w:t>). This bring</w:t>
      </w:r>
      <w:r w:rsidR="00573DC7">
        <w:t>s</w:t>
      </w:r>
      <w:r w:rsidRPr="00C93384">
        <w:t xml:space="preserve"> the workload on a medium-risk case to 75-94 person-days per case (</w:t>
      </w:r>
      <w:r w:rsidR="00C93384">
        <w:t xml:space="preserve">EUR </w:t>
      </w:r>
      <w:r w:rsidRPr="00C93384">
        <w:t>22,575</w:t>
      </w:r>
      <w:r w:rsidR="00C93384">
        <w:t xml:space="preserve"> </w:t>
      </w:r>
      <w:r w:rsidRPr="00C93384">
        <w:t>–</w:t>
      </w:r>
      <w:r w:rsidR="00C93384">
        <w:t xml:space="preserve"> EUR </w:t>
      </w:r>
      <w:r w:rsidRPr="00C93384">
        <w:t>28,294); and on the high-risk case to 98-149 person-days per case (</w:t>
      </w:r>
      <w:r w:rsidR="00C93384">
        <w:t xml:space="preserve">EUR </w:t>
      </w:r>
      <w:r w:rsidRPr="00C93384">
        <w:t>29,498</w:t>
      </w:r>
      <w:r w:rsidR="00C93384">
        <w:t xml:space="preserve"> </w:t>
      </w:r>
      <w:r w:rsidRPr="00C93384">
        <w:t>–</w:t>
      </w:r>
      <w:r w:rsidR="00C93384">
        <w:t xml:space="preserve"> EUR</w:t>
      </w:r>
      <w:r w:rsidR="000E20AA">
        <w:t xml:space="preserve"> </w:t>
      </w:r>
      <w:r w:rsidRPr="00C93384">
        <w:t xml:space="preserve">44,849). </w:t>
      </w:r>
    </w:p>
    <w:p w14:paraId="1DDE90DD" w14:textId="67EA8825" w:rsidR="19E0C0D7" w:rsidRPr="007A42EF" w:rsidRDefault="19E0C0D7" w:rsidP="00CD6D61">
      <w:r w:rsidRPr="00514904">
        <w:rPr>
          <w:b/>
          <w:bCs/>
        </w:rPr>
        <w:t>Public health and safety</w:t>
      </w:r>
      <w:r w:rsidR="131FA968" w:rsidRPr="00514904">
        <w:t xml:space="preserve">: </w:t>
      </w:r>
      <w:r w:rsidRPr="007A42EF">
        <w:t>The sandbox instrument grants earlier access to ther</w:t>
      </w:r>
      <w:r w:rsidR="00A01D62">
        <w:t>a</w:t>
      </w:r>
      <w:r w:rsidRPr="007A42EF">
        <w:t>pies for patients involved in the clinical evidence collection, before the activity is approved. As illustrated above, regulatory sandbox has similar evidence requirements as a h</w:t>
      </w:r>
      <w:r w:rsidR="00A01D62">
        <w:t>i</w:t>
      </w:r>
      <w:r w:rsidRPr="007A42EF">
        <w:t xml:space="preserve">gh-risk authorisation </w:t>
      </w:r>
      <w:r w:rsidR="00A01D62">
        <w:t>process</w:t>
      </w:r>
      <w:r w:rsidRPr="007A42EF">
        <w:t xml:space="preserve">. In total, regulatory sandboxes are expected to involve 450-3,000 patients p/a. The impact of such access could be significant in the case when sandboxes provide evidence generation for SoHO activities that would otherwise not be feasible to authorise, for example, in the cases of rare diseases or niche treatments. Follow-up monitoring and assessment should </w:t>
      </w:r>
      <w:r w:rsidR="00513928" w:rsidRPr="007A42EF">
        <w:t>consider</w:t>
      </w:r>
      <w:r w:rsidRPr="007A42EF">
        <w:t xml:space="preserve"> whether these patients would have been served at all if the sandbox route did not exist, since authorisations for sandbox-eligible cases would be very difficult to obtain ordinarily. A key condition of sandbox eligibility is a significant expected public benefit, which further implies that sandboxes will address the needs that would otherwise not be met. </w:t>
      </w:r>
    </w:p>
    <w:p w14:paraId="4E325E00" w14:textId="21D3AB08" w:rsidR="19E0C0D7" w:rsidRPr="00514904" w:rsidRDefault="19E0C0D7" w:rsidP="004F7565">
      <w:pPr>
        <w:rPr>
          <w:rFonts w:eastAsia="Palatino Linotype"/>
          <w:color w:val="353332"/>
        </w:rPr>
      </w:pPr>
      <w:r w:rsidRPr="00514904">
        <w:rPr>
          <w:rFonts w:eastAsia="Palatino Linotype"/>
          <w:color w:val="353332"/>
        </w:rPr>
        <w:t>Longer-term effects are expected to arise due to institutionalisation of cross-M</w:t>
      </w:r>
      <w:r w:rsidR="00E12BC3">
        <w:rPr>
          <w:rFonts w:eastAsia="Palatino Linotype"/>
          <w:color w:val="353332"/>
        </w:rPr>
        <w:t xml:space="preserve">ember </w:t>
      </w:r>
      <w:r w:rsidRPr="00514904">
        <w:rPr>
          <w:rFonts w:eastAsia="Palatino Linotype"/>
          <w:color w:val="353332"/>
        </w:rPr>
        <w:t>S</w:t>
      </w:r>
      <w:r w:rsidR="00E12BC3">
        <w:rPr>
          <w:rFonts w:eastAsia="Palatino Linotype"/>
          <w:color w:val="353332"/>
        </w:rPr>
        <w:t>tate</w:t>
      </w:r>
      <w:r w:rsidRPr="00514904">
        <w:rPr>
          <w:rFonts w:eastAsia="Palatino Linotype"/>
          <w:color w:val="353332"/>
        </w:rPr>
        <w:t xml:space="preserve"> learning and publication of sandbox reports on the EU SoHO Platform.  </w:t>
      </w:r>
      <w:r w:rsidR="006A02FE">
        <w:rPr>
          <w:rFonts w:eastAsia="Palatino Linotype"/>
          <w:color w:val="353332"/>
        </w:rPr>
        <w:t>T</w:t>
      </w:r>
      <w:r w:rsidRPr="00514904">
        <w:rPr>
          <w:rFonts w:eastAsia="Palatino Linotype"/>
          <w:color w:val="353332"/>
        </w:rPr>
        <w:t xml:space="preserve">he </w:t>
      </w:r>
      <w:r w:rsidR="004915EE">
        <w:rPr>
          <w:rFonts w:eastAsia="Palatino Linotype"/>
          <w:color w:val="353332"/>
        </w:rPr>
        <w:t>proposal</w:t>
      </w:r>
      <w:r w:rsidRPr="00514904">
        <w:rPr>
          <w:rFonts w:eastAsia="Palatino Linotype"/>
          <w:color w:val="353332"/>
        </w:rPr>
        <w:t xml:space="preserve"> constrains derogations to </w:t>
      </w:r>
      <w:r w:rsidR="004915EE">
        <w:rPr>
          <w:rFonts w:eastAsia="Palatino Linotype"/>
          <w:color w:val="353332"/>
        </w:rPr>
        <w:t xml:space="preserve">standard SoHO procedures </w:t>
      </w:r>
      <w:r w:rsidR="00987979">
        <w:rPr>
          <w:rFonts w:eastAsia="Palatino Linotype"/>
          <w:color w:val="353332"/>
        </w:rPr>
        <w:t xml:space="preserve">to </w:t>
      </w:r>
      <w:r w:rsidRPr="00514904">
        <w:rPr>
          <w:rFonts w:eastAsia="Palatino Linotype"/>
          <w:color w:val="353332"/>
        </w:rPr>
        <w:t xml:space="preserve">what is strictly necessary and requires explicit risk mitigation and monitoring and </w:t>
      </w:r>
      <w:r w:rsidR="004915EE">
        <w:rPr>
          <w:rFonts w:eastAsia="Palatino Linotype"/>
          <w:color w:val="353332"/>
        </w:rPr>
        <w:t>therefore</w:t>
      </w:r>
      <w:r w:rsidRPr="00514904">
        <w:rPr>
          <w:rFonts w:eastAsia="Palatino Linotype"/>
          <w:color w:val="353332"/>
        </w:rPr>
        <w:t xml:space="preserve"> disallows derogations on voluntary or unpaid donation standards.</w:t>
      </w:r>
    </w:p>
    <w:p w14:paraId="5E28B1BC" w14:textId="68482268" w:rsidR="00A01D62" w:rsidRPr="00021D9F" w:rsidRDefault="00A01D62" w:rsidP="004F7565">
      <w:pPr>
        <w:rPr>
          <w:b/>
          <w:bCs/>
          <w:caps/>
        </w:rPr>
      </w:pPr>
      <w:r w:rsidRPr="004F7565">
        <w:rPr>
          <w:b/>
          <w:bCs/>
        </w:rPr>
        <w:t xml:space="preserve">Table </w:t>
      </w:r>
      <w:r w:rsidR="007A43F6">
        <w:rPr>
          <w:b/>
          <w:bCs/>
          <w:caps/>
        </w:rPr>
        <w:t>6</w:t>
      </w:r>
      <w:r w:rsidRPr="00021D9F">
        <w:rPr>
          <w:b/>
          <w:bCs/>
        </w:rPr>
        <w:t xml:space="preserve">. Summary assessment of the effects due to the </w:t>
      </w:r>
      <w:r w:rsidR="00446A2D" w:rsidRPr="00021D9F">
        <w:rPr>
          <w:b/>
          <w:bCs/>
        </w:rPr>
        <w:t>intervention n</w:t>
      </w:r>
      <w:r w:rsidRPr="00021D9F">
        <w:rPr>
          <w:b/>
          <w:bCs/>
        </w:rPr>
        <w:t>°</w:t>
      </w:r>
      <w:r w:rsidR="00B35AB1">
        <w:rPr>
          <w:b/>
          <w:bCs/>
        </w:rPr>
        <w:t>6</w:t>
      </w:r>
    </w:p>
    <w:tbl>
      <w:tblPr>
        <w:tblStyle w:val="TableGrid"/>
        <w:tblW w:w="8560" w:type="dxa"/>
        <w:tblLook w:val="04A0" w:firstRow="1" w:lastRow="0" w:firstColumn="1" w:lastColumn="0" w:noHBand="0" w:noVBand="1"/>
      </w:tblPr>
      <w:tblGrid>
        <w:gridCol w:w="2041"/>
        <w:gridCol w:w="907"/>
        <w:gridCol w:w="907"/>
        <w:gridCol w:w="907"/>
        <w:gridCol w:w="1077"/>
        <w:gridCol w:w="907"/>
        <w:gridCol w:w="907"/>
        <w:gridCol w:w="907"/>
      </w:tblGrid>
      <w:tr w:rsidR="001E705B" w:rsidRPr="00A01D62" w14:paraId="717C8F73" w14:textId="77777777" w:rsidTr="4CB0CE33">
        <w:trPr>
          <w:trHeight w:val="300"/>
        </w:trPr>
        <w:tc>
          <w:tcPr>
            <w:tcW w:w="2041" w:type="dxa"/>
          </w:tcPr>
          <w:p w14:paraId="073443CB" w14:textId="7E0ED141" w:rsidR="7B0C4349" w:rsidRPr="00021D9F" w:rsidRDefault="00DC6CE3" w:rsidP="001430B4">
            <w:pPr>
              <w:spacing w:before="60" w:after="270"/>
              <w:rPr>
                <w:b/>
                <w:caps/>
                <w:sz w:val="20"/>
                <w:szCs w:val="20"/>
              </w:rPr>
            </w:pPr>
            <w:r w:rsidRPr="00DC6CE3">
              <w:rPr>
                <w:b/>
                <w:sz w:val="20"/>
                <w:szCs w:val="20"/>
              </w:rPr>
              <w:t>Policy measure</w:t>
            </w:r>
          </w:p>
        </w:tc>
        <w:tc>
          <w:tcPr>
            <w:tcW w:w="907" w:type="dxa"/>
          </w:tcPr>
          <w:p w14:paraId="3F363C05" w14:textId="1034961D" w:rsidR="7B0C4349" w:rsidRPr="00021D9F" w:rsidRDefault="7B0C4349" w:rsidP="001430B4">
            <w:pPr>
              <w:spacing w:before="60" w:after="270"/>
              <w:rPr>
                <w:b/>
                <w:caps/>
                <w:sz w:val="20"/>
                <w:szCs w:val="20"/>
              </w:rPr>
            </w:pPr>
            <w:r w:rsidRPr="00021D9F">
              <w:rPr>
                <w:b/>
                <w:caps/>
                <w:sz w:val="20"/>
                <w:szCs w:val="20"/>
              </w:rPr>
              <w:t>COB</w:t>
            </w:r>
          </w:p>
        </w:tc>
        <w:tc>
          <w:tcPr>
            <w:tcW w:w="907" w:type="dxa"/>
          </w:tcPr>
          <w:p w14:paraId="2744411D" w14:textId="7D287F59" w:rsidR="7B0C4349" w:rsidRPr="00021D9F" w:rsidRDefault="00DC6CE3" w:rsidP="001430B4">
            <w:pPr>
              <w:spacing w:before="60" w:after="270"/>
              <w:rPr>
                <w:b/>
                <w:caps/>
                <w:sz w:val="20"/>
                <w:szCs w:val="20"/>
              </w:rPr>
            </w:pPr>
            <w:r w:rsidRPr="00DC6CE3">
              <w:rPr>
                <w:b/>
                <w:sz w:val="20"/>
                <w:szCs w:val="20"/>
              </w:rPr>
              <w:t>Admin</w:t>
            </w:r>
          </w:p>
        </w:tc>
        <w:tc>
          <w:tcPr>
            <w:tcW w:w="907" w:type="dxa"/>
          </w:tcPr>
          <w:p w14:paraId="214985BD" w14:textId="170FD7D1" w:rsidR="7B0C4349" w:rsidRPr="00021D9F" w:rsidRDefault="7B0C4349" w:rsidP="001430B4">
            <w:pPr>
              <w:spacing w:before="60" w:after="270"/>
              <w:rPr>
                <w:b/>
                <w:caps/>
                <w:sz w:val="20"/>
                <w:szCs w:val="20"/>
              </w:rPr>
            </w:pPr>
            <w:r w:rsidRPr="00021D9F">
              <w:rPr>
                <w:b/>
                <w:caps/>
                <w:sz w:val="20"/>
                <w:szCs w:val="20"/>
              </w:rPr>
              <w:t>CTI</w:t>
            </w:r>
          </w:p>
        </w:tc>
        <w:tc>
          <w:tcPr>
            <w:tcW w:w="1077" w:type="dxa"/>
          </w:tcPr>
          <w:p w14:paraId="3AC7CDD9" w14:textId="6D15B8E6" w:rsidR="7B0C4349" w:rsidRPr="00021D9F" w:rsidRDefault="00DC6CE3" w:rsidP="001430B4">
            <w:pPr>
              <w:spacing w:before="60" w:after="270"/>
              <w:rPr>
                <w:b/>
                <w:caps/>
                <w:sz w:val="20"/>
                <w:szCs w:val="20"/>
              </w:rPr>
            </w:pPr>
            <w:r w:rsidRPr="00DC6CE3">
              <w:rPr>
                <w:b/>
                <w:sz w:val="20"/>
                <w:szCs w:val="20"/>
              </w:rPr>
              <w:t>Int mar</w:t>
            </w:r>
          </w:p>
        </w:tc>
        <w:tc>
          <w:tcPr>
            <w:tcW w:w="907" w:type="dxa"/>
          </w:tcPr>
          <w:p w14:paraId="7545F50F" w14:textId="021329B5" w:rsidR="7B0C4349" w:rsidRPr="00021D9F" w:rsidRDefault="7B0C4349" w:rsidP="001430B4">
            <w:pPr>
              <w:spacing w:before="60" w:after="270"/>
              <w:rPr>
                <w:b/>
                <w:caps/>
                <w:sz w:val="20"/>
                <w:szCs w:val="20"/>
              </w:rPr>
            </w:pPr>
            <w:r w:rsidRPr="00021D9F">
              <w:rPr>
                <w:b/>
                <w:caps/>
                <w:sz w:val="20"/>
                <w:szCs w:val="20"/>
              </w:rPr>
              <w:t>I&amp;R</w:t>
            </w:r>
          </w:p>
        </w:tc>
        <w:tc>
          <w:tcPr>
            <w:tcW w:w="907" w:type="dxa"/>
          </w:tcPr>
          <w:p w14:paraId="7BCD19C7" w14:textId="4D975162" w:rsidR="7B0C4349" w:rsidRPr="00021D9F" w:rsidRDefault="7B0C4349" w:rsidP="001430B4">
            <w:pPr>
              <w:spacing w:before="60" w:after="270"/>
              <w:rPr>
                <w:b/>
                <w:caps/>
                <w:sz w:val="20"/>
                <w:szCs w:val="20"/>
              </w:rPr>
            </w:pPr>
            <w:r w:rsidRPr="00021D9F">
              <w:rPr>
                <w:b/>
                <w:caps/>
                <w:sz w:val="20"/>
                <w:szCs w:val="20"/>
              </w:rPr>
              <w:t>PA</w:t>
            </w:r>
          </w:p>
        </w:tc>
        <w:tc>
          <w:tcPr>
            <w:tcW w:w="907" w:type="dxa"/>
          </w:tcPr>
          <w:p w14:paraId="58D85644" w14:textId="5A9B16B6" w:rsidR="7B0C4349" w:rsidRPr="00021D9F" w:rsidRDefault="7B0C4349" w:rsidP="001430B4">
            <w:pPr>
              <w:spacing w:before="60" w:after="270"/>
              <w:rPr>
                <w:b/>
                <w:caps/>
                <w:sz w:val="20"/>
                <w:szCs w:val="20"/>
              </w:rPr>
            </w:pPr>
            <w:r w:rsidRPr="00021D9F">
              <w:rPr>
                <w:b/>
                <w:caps/>
                <w:sz w:val="20"/>
                <w:szCs w:val="20"/>
              </w:rPr>
              <w:t>H&amp;S</w:t>
            </w:r>
          </w:p>
        </w:tc>
      </w:tr>
      <w:tr w:rsidR="001E705B" w:rsidRPr="00A01D62" w14:paraId="59D4A263" w14:textId="77777777" w:rsidTr="4CB0CE33">
        <w:trPr>
          <w:trHeight w:val="300"/>
        </w:trPr>
        <w:tc>
          <w:tcPr>
            <w:tcW w:w="2041" w:type="dxa"/>
          </w:tcPr>
          <w:p w14:paraId="102685EF" w14:textId="01EA0121" w:rsidR="7B0C4349" w:rsidRPr="00021D9F" w:rsidRDefault="7B0C4349" w:rsidP="001430B4">
            <w:pPr>
              <w:spacing w:before="60" w:after="270"/>
              <w:rPr>
                <w:b/>
                <w:sz w:val="20"/>
                <w:szCs w:val="20"/>
              </w:rPr>
            </w:pPr>
            <w:r w:rsidRPr="00021D9F">
              <w:rPr>
                <w:b/>
                <w:sz w:val="20"/>
                <w:szCs w:val="20"/>
              </w:rPr>
              <w:t>Regulatory sandbox</w:t>
            </w:r>
          </w:p>
        </w:tc>
        <w:tc>
          <w:tcPr>
            <w:tcW w:w="907" w:type="dxa"/>
          </w:tcPr>
          <w:p w14:paraId="50A092B9" w14:textId="770A88D6" w:rsidR="7B0C4349" w:rsidRPr="00021D9F" w:rsidRDefault="7B0C4349" w:rsidP="001430B4">
            <w:pPr>
              <w:spacing w:before="60" w:after="270"/>
              <w:rPr>
                <w:sz w:val="20"/>
                <w:szCs w:val="20"/>
              </w:rPr>
            </w:pPr>
            <w:r w:rsidRPr="00021D9F">
              <w:rPr>
                <w:sz w:val="20"/>
                <w:szCs w:val="20"/>
              </w:rPr>
              <w:t>++</w:t>
            </w:r>
          </w:p>
        </w:tc>
        <w:tc>
          <w:tcPr>
            <w:tcW w:w="907" w:type="dxa"/>
          </w:tcPr>
          <w:p w14:paraId="2D36FC5D" w14:textId="2F3F09E2" w:rsidR="7B0C4349" w:rsidRPr="00021D9F" w:rsidRDefault="7B0C4349" w:rsidP="001430B4">
            <w:pPr>
              <w:spacing w:before="60" w:after="270"/>
              <w:rPr>
                <w:sz w:val="20"/>
                <w:szCs w:val="20"/>
              </w:rPr>
            </w:pPr>
            <w:r w:rsidRPr="00021D9F">
              <w:rPr>
                <w:sz w:val="20"/>
                <w:szCs w:val="20"/>
              </w:rPr>
              <w:t>+</w:t>
            </w:r>
          </w:p>
        </w:tc>
        <w:tc>
          <w:tcPr>
            <w:tcW w:w="907" w:type="dxa"/>
          </w:tcPr>
          <w:p w14:paraId="7BAC5ABF" w14:textId="789161D1" w:rsidR="7B0C4349" w:rsidRPr="00021D9F" w:rsidRDefault="67ECD7B2" w:rsidP="001430B4">
            <w:pPr>
              <w:spacing w:before="60" w:after="270"/>
              <w:rPr>
                <w:sz w:val="20"/>
                <w:szCs w:val="20"/>
              </w:rPr>
            </w:pPr>
            <w:r w:rsidRPr="00021D9F">
              <w:rPr>
                <w:sz w:val="20"/>
                <w:szCs w:val="20"/>
              </w:rPr>
              <w:t>0</w:t>
            </w:r>
            <w:r w:rsidR="433EC8F6" w:rsidRPr="4CB0CE33">
              <w:rPr>
                <w:sz w:val="20"/>
                <w:szCs w:val="20"/>
              </w:rPr>
              <w:t>/+</w:t>
            </w:r>
          </w:p>
        </w:tc>
        <w:tc>
          <w:tcPr>
            <w:tcW w:w="1077" w:type="dxa"/>
          </w:tcPr>
          <w:p w14:paraId="3CAA9434" w14:textId="6764988F" w:rsidR="7B0C4349" w:rsidRPr="00021D9F" w:rsidRDefault="7B0C4349" w:rsidP="001430B4">
            <w:pPr>
              <w:spacing w:before="60" w:after="270"/>
              <w:rPr>
                <w:sz w:val="20"/>
                <w:szCs w:val="20"/>
              </w:rPr>
            </w:pPr>
            <w:r w:rsidRPr="00021D9F">
              <w:rPr>
                <w:sz w:val="20"/>
                <w:szCs w:val="20"/>
              </w:rPr>
              <w:t>0</w:t>
            </w:r>
          </w:p>
        </w:tc>
        <w:tc>
          <w:tcPr>
            <w:tcW w:w="907" w:type="dxa"/>
          </w:tcPr>
          <w:p w14:paraId="7177DDE2" w14:textId="1C56DF16" w:rsidR="7B0C4349" w:rsidRPr="00021D9F" w:rsidRDefault="7B0C4349" w:rsidP="001430B4">
            <w:pPr>
              <w:spacing w:before="60" w:after="270"/>
              <w:rPr>
                <w:sz w:val="20"/>
                <w:szCs w:val="20"/>
              </w:rPr>
            </w:pPr>
            <w:r w:rsidRPr="00021D9F">
              <w:rPr>
                <w:sz w:val="20"/>
                <w:szCs w:val="20"/>
              </w:rPr>
              <w:t>+</w:t>
            </w:r>
          </w:p>
        </w:tc>
        <w:tc>
          <w:tcPr>
            <w:tcW w:w="907" w:type="dxa"/>
          </w:tcPr>
          <w:p w14:paraId="74E635C3" w14:textId="410270B6" w:rsidR="7B0C4349" w:rsidRPr="00021D9F" w:rsidRDefault="7B0C4349" w:rsidP="001430B4">
            <w:pPr>
              <w:spacing w:before="60" w:after="270"/>
              <w:rPr>
                <w:sz w:val="20"/>
                <w:szCs w:val="20"/>
              </w:rPr>
            </w:pPr>
            <w:r w:rsidRPr="00021D9F">
              <w:rPr>
                <w:sz w:val="20"/>
                <w:szCs w:val="20"/>
              </w:rPr>
              <w:t>++</w:t>
            </w:r>
          </w:p>
        </w:tc>
        <w:tc>
          <w:tcPr>
            <w:tcW w:w="907" w:type="dxa"/>
          </w:tcPr>
          <w:p w14:paraId="3FB3883A" w14:textId="5E699D57" w:rsidR="7B0C4349" w:rsidRPr="00021D9F" w:rsidRDefault="7B0C4349" w:rsidP="001430B4">
            <w:pPr>
              <w:spacing w:before="60" w:after="270"/>
              <w:rPr>
                <w:sz w:val="20"/>
                <w:szCs w:val="20"/>
              </w:rPr>
            </w:pPr>
            <w:r w:rsidRPr="00021D9F">
              <w:rPr>
                <w:sz w:val="20"/>
                <w:szCs w:val="20"/>
              </w:rPr>
              <w:t>+</w:t>
            </w:r>
          </w:p>
        </w:tc>
      </w:tr>
    </w:tbl>
    <w:p w14:paraId="70FD46FF" w14:textId="564F5876" w:rsidR="7B0C4349" w:rsidRPr="001430B4" w:rsidRDefault="7B0C4349" w:rsidP="00514904">
      <w:pPr>
        <w:spacing w:after="270"/>
        <w:rPr>
          <w:rFonts w:eastAsia="Palatino Linotype"/>
          <w:color w:val="353332"/>
        </w:rPr>
      </w:pPr>
    </w:p>
    <w:p w14:paraId="68D96918" w14:textId="58CD7A33" w:rsidR="000F3479" w:rsidRPr="00DD0CE5" w:rsidRDefault="000F3479" w:rsidP="00574D27">
      <w:pPr>
        <w:pStyle w:val="Heading3"/>
      </w:pPr>
      <w:bookmarkStart w:id="205" w:name="_Toc224747225"/>
      <w:bookmarkStart w:id="206" w:name="_Toc224749695"/>
      <w:bookmarkStart w:id="207" w:name="_Toc225974573"/>
      <w:bookmarkStart w:id="208" w:name="_Toc225975246"/>
      <w:bookmarkStart w:id="209" w:name="_Toc225975303"/>
      <w:r w:rsidRPr="00DD0CE5">
        <w:t xml:space="preserve">Intervention n°7: </w:t>
      </w:r>
      <w:r w:rsidR="004240FB">
        <w:t>T</w:t>
      </w:r>
      <w:r w:rsidRPr="00DD0CE5">
        <w:t>argeted regulatory reform of the Directive on the deliberate release into the environment of GMOs</w:t>
      </w:r>
      <w:r w:rsidRPr="00DD0CE5">
        <w:rPr>
          <w:vertAlign w:val="superscript"/>
        </w:rPr>
        <w:footnoteReference w:id="211"/>
      </w:r>
      <w:bookmarkEnd w:id="205"/>
      <w:bookmarkEnd w:id="206"/>
      <w:bookmarkEnd w:id="207"/>
      <w:bookmarkEnd w:id="208"/>
      <w:bookmarkEnd w:id="209"/>
      <w:r w:rsidRPr="00DD0CE5">
        <w:rPr>
          <w:vertAlign w:val="superscript"/>
        </w:rPr>
        <w:t xml:space="preserve"> </w:t>
      </w:r>
    </w:p>
    <w:p w14:paraId="77A1BF6B" w14:textId="67D1A6ED" w:rsidR="000F3479" w:rsidRPr="00DD0CE5" w:rsidRDefault="000F3479" w:rsidP="00CD6D61">
      <w:pPr>
        <w:rPr>
          <w:noProof/>
        </w:rPr>
      </w:pPr>
      <w:r w:rsidRPr="00DD0CE5">
        <w:rPr>
          <w:noProof/>
        </w:rPr>
        <w:t xml:space="preserve">The proposal introduces specific provisions in Part C of Directive 2001/18/EC addressing the placing on the market of GMMs as or in products other than food and feed with the aim of creating a tailored, more efficient and streamlined regulatory framework for </w:t>
      </w:r>
      <w:r w:rsidR="001316A8">
        <w:rPr>
          <w:noProof/>
        </w:rPr>
        <w:t xml:space="preserve">the </w:t>
      </w:r>
      <w:r w:rsidR="221FBD7B" w:rsidRPr="095B7CE8">
        <w:rPr>
          <w:noProof/>
        </w:rPr>
        <w:t>placing on the market</w:t>
      </w:r>
      <w:r w:rsidR="001316A8">
        <w:rPr>
          <w:noProof/>
        </w:rPr>
        <w:t xml:space="preserve"> of </w:t>
      </w:r>
      <w:r w:rsidRPr="00DD0CE5">
        <w:rPr>
          <w:noProof/>
        </w:rPr>
        <w:t xml:space="preserve">GMMs </w:t>
      </w:r>
      <w:r w:rsidR="001316A8">
        <w:rPr>
          <w:noProof/>
        </w:rPr>
        <w:t>as or in products,</w:t>
      </w:r>
      <w:r w:rsidRPr="00DD0CE5">
        <w:rPr>
          <w:noProof/>
        </w:rPr>
        <w:t xml:space="preserve"> while maintaining a high safety level for human </w:t>
      </w:r>
      <w:r w:rsidR="3AC7908D" w:rsidRPr="6E1C823F">
        <w:rPr>
          <w:noProof/>
        </w:rPr>
        <w:t xml:space="preserve">and animal </w:t>
      </w:r>
      <w:r w:rsidRPr="6E1C823F">
        <w:rPr>
          <w:noProof/>
        </w:rPr>
        <w:t>health</w:t>
      </w:r>
      <w:r w:rsidRPr="00DD0CE5">
        <w:rPr>
          <w:noProof/>
        </w:rPr>
        <w:t xml:space="preserve"> and the environment. The </w:t>
      </w:r>
      <w:r w:rsidR="00CD2124">
        <w:rPr>
          <w:noProof/>
        </w:rPr>
        <w:t>proposed</w:t>
      </w:r>
      <w:r w:rsidRPr="00DD0CE5">
        <w:rPr>
          <w:noProof/>
        </w:rPr>
        <w:t xml:space="preserve"> provisions relate to the risk assessment, to the validity of the consent granted for their placing on the market, and to detection methods applicable to all GMMs. In addition, the proposal introduces the concept of low-risk GMMs and a specific set of rules for </w:t>
      </w:r>
      <w:r w:rsidR="00471265">
        <w:rPr>
          <w:noProof/>
        </w:rPr>
        <w:t xml:space="preserve">adapted information requirements and </w:t>
      </w:r>
      <w:r w:rsidRPr="00DD0CE5">
        <w:rPr>
          <w:noProof/>
        </w:rPr>
        <w:t xml:space="preserve">a streamlined authorisation procedure for this subgroup of GMMs to be detailed by way of </w:t>
      </w:r>
      <w:r w:rsidR="0015317F">
        <w:rPr>
          <w:noProof/>
        </w:rPr>
        <w:t xml:space="preserve">Commission </w:t>
      </w:r>
      <w:r w:rsidRPr="00DD0CE5">
        <w:rPr>
          <w:noProof/>
        </w:rPr>
        <w:t>delegated and implementing acts</w:t>
      </w:r>
      <w:r w:rsidR="7A48119A" w:rsidRPr="3ECCB7DF">
        <w:rPr>
          <w:noProof/>
        </w:rPr>
        <w:t>.</w:t>
      </w:r>
      <w:r w:rsidRPr="00DD0CE5">
        <w:rPr>
          <w:noProof/>
        </w:rPr>
        <w:t xml:space="preserve"> The requirement for post-market environmental monitoring of low-risk GMMs is equally adapted in the proposal, providing the possibility to a notifier, based on certain conditions, to propose to omit post-market environmental monitoring. </w:t>
      </w:r>
    </w:p>
    <w:p w14:paraId="74752FDE" w14:textId="77777777" w:rsidR="00D82915" w:rsidRPr="00E57EAA" w:rsidRDefault="00D82915" w:rsidP="00021D9F">
      <w:pPr>
        <w:rPr>
          <w:rFonts w:eastAsia="Times New Roman"/>
          <w:color w:val="000000" w:themeColor="text1"/>
          <w:u w:val="single"/>
          <w:lang w:val="en-IE"/>
        </w:rPr>
      </w:pPr>
      <w:r w:rsidRPr="00E57EAA">
        <w:rPr>
          <w:rFonts w:eastAsia="Times New Roman"/>
          <w:noProof/>
          <w:color w:val="000000" w:themeColor="text1"/>
          <w:u w:val="single"/>
          <w:lang w:val="en-IE"/>
        </w:rPr>
        <w:t xml:space="preserve">Expected impacts: </w:t>
      </w:r>
    </w:p>
    <w:p w14:paraId="38484D89" w14:textId="49B2034D" w:rsidR="00C47AEB" w:rsidRDefault="004915EE" w:rsidP="00CD6D61">
      <w:r w:rsidRPr="001546C6">
        <w:rPr>
          <w:b/>
        </w:rPr>
        <w:t>C</w:t>
      </w:r>
      <w:r w:rsidR="00C47AEB" w:rsidRPr="008F0463">
        <w:rPr>
          <w:b/>
        </w:rPr>
        <w:t>onduct of business</w:t>
      </w:r>
      <w:r>
        <w:rPr>
          <w:b/>
        </w:rPr>
        <w:t xml:space="preserve">: </w:t>
      </w:r>
      <w:r w:rsidRPr="00021D9F">
        <w:rPr>
          <w:bCs/>
        </w:rPr>
        <w:t>T</w:t>
      </w:r>
      <w:r w:rsidR="00C47AEB">
        <w:t xml:space="preserve">he proposed regulatory framework for GMMs as or in products other than food and feed is expected to improve some framework conditions for companies being active in the GMM field. By shifting towards more product‑specific risk assessment criteria, introducing specific modalities for detection methods, granting unlimited validity for market consents and creating an accelerated pathway for low‑risk GMMs, </w:t>
      </w:r>
      <w:r w:rsidR="00E226F9">
        <w:t xml:space="preserve">where </w:t>
      </w:r>
      <w:r w:rsidR="00734A2F">
        <w:t>certain data requirements</w:t>
      </w:r>
      <w:r w:rsidR="00CF4B0B">
        <w:t xml:space="preserve"> would </w:t>
      </w:r>
      <w:r w:rsidR="00E226F9" w:rsidRPr="00E226F9">
        <w:t xml:space="preserve">be </w:t>
      </w:r>
      <w:r w:rsidR="00734A2F">
        <w:t>waived in consideration of an existing</w:t>
      </w:r>
      <w:r w:rsidR="00E226F9" w:rsidRPr="00E226F9">
        <w:t xml:space="preserve"> Qualified Presumption of Safety</w:t>
      </w:r>
      <w:r w:rsidR="0090130D">
        <w:t xml:space="preserve"> delivered by EFSA</w:t>
      </w:r>
      <w:r w:rsidR="002455A1">
        <w:t>,</w:t>
      </w:r>
      <w:r w:rsidR="00E226F9" w:rsidRPr="00E226F9">
        <w:t xml:space="preserve"> </w:t>
      </w:r>
      <w:r w:rsidR="00C47AEB">
        <w:t xml:space="preserve">the intervention should shorten time‑to‑market and reduce procedural rigidity. This is expected to </w:t>
      </w:r>
      <w:r w:rsidR="45B72AB5">
        <w:t>pave the way for</w:t>
      </w:r>
      <w:r w:rsidR="00C47AEB">
        <w:t xml:space="preserve"> GMM-related </w:t>
      </w:r>
      <w:r w:rsidR="00F13453">
        <w:t>consents for placing on the EU market</w:t>
      </w:r>
      <w:r w:rsidR="00C47AEB">
        <w:t xml:space="preserve"> </w:t>
      </w:r>
      <w:r w:rsidR="00AF1594">
        <w:t xml:space="preserve">of </w:t>
      </w:r>
      <w:r w:rsidR="00C47AEB">
        <w:t>GMM</w:t>
      </w:r>
      <w:r w:rsidR="0069578E">
        <w:t>s</w:t>
      </w:r>
      <w:r w:rsidR="00C47AEB">
        <w:t xml:space="preserve"> </w:t>
      </w:r>
      <w:r w:rsidR="00AF1594">
        <w:t>as</w:t>
      </w:r>
      <w:r w:rsidR="00C47AEB">
        <w:t xml:space="preserve"> </w:t>
      </w:r>
      <w:r w:rsidR="16D4B35B">
        <w:t>or in</w:t>
      </w:r>
      <w:r w:rsidR="00C47AEB">
        <w:t xml:space="preserve"> products. Earlier market entry would mitigate income losses from regulatory delays and improve the business case for investment, particularly for SMEs and start‑ups that are more sensitive to regulatory timelines and uncertainty.</w:t>
      </w:r>
    </w:p>
    <w:p w14:paraId="48D36553" w14:textId="78302AEE" w:rsidR="00C47AEB" w:rsidRDefault="004915EE" w:rsidP="00CD6D61">
      <w:r w:rsidRPr="00443C31">
        <w:rPr>
          <w:b/>
          <w:bCs/>
        </w:rPr>
        <w:t>A</w:t>
      </w:r>
      <w:r w:rsidR="00C47AEB" w:rsidRPr="008F0463">
        <w:rPr>
          <w:b/>
        </w:rPr>
        <w:t>dministrative costs on businesses</w:t>
      </w:r>
      <w:r w:rsidR="00C47AEB" w:rsidRPr="00021D9F">
        <w:rPr>
          <w:b/>
        </w:rPr>
        <w:t xml:space="preserve"> </w:t>
      </w:r>
      <w:r w:rsidRPr="00021D9F">
        <w:rPr>
          <w:b/>
          <w:bCs/>
        </w:rPr>
        <w:t>(</w:t>
      </w:r>
      <w:r w:rsidR="00C47AEB" w:rsidRPr="00021D9F">
        <w:rPr>
          <w:b/>
        </w:rPr>
        <w:t>including SMEs</w:t>
      </w:r>
      <w:r w:rsidRPr="00021D9F">
        <w:rPr>
          <w:b/>
          <w:bCs/>
        </w:rPr>
        <w:t>):</w:t>
      </w:r>
      <w:r w:rsidR="00C47AEB">
        <w:t xml:space="preserve"> </w:t>
      </w:r>
      <w:r>
        <w:t>T</w:t>
      </w:r>
      <w:r w:rsidR="00C47AEB">
        <w:t xml:space="preserve">he impacts are expected to be </w:t>
      </w:r>
      <w:r w:rsidR="00153D03">
        <w:t>very</w:t>
      </w:r>
      <w:r w:rsidR="00C47AEB">
        <w:t xml:space="preserve"> positive. While quantitative estimates are lacking for non‑food GMMs, a qualitative assessment indicates that a more product‑focused risk assessment and a dedicated low‑risk GMM pathway should substantially reduce the burden associated with preparing extensive dossiers under the current GMO regime. Streamlined, more predictable procedures</w:t>
      </w:r>
      <w:r w:rsidR="71862344">
        <w:t xml:space="preserve">, the unlimited validity of </w:t>
      </w:r>
      <w:r w:rsidR="0012797C">
        <w:t>consents</w:t>
      </w:r>
      <w:r w:rsidR="00C47AEB">
        <w:t xml:space="preserve"> and the possibility to waive post‑market environmental monitoring where justified would lower recurring costs, especially for </w:t>
      </w:r>
      <w:r w:rsidR="002F74F6">
        <w:t xml:space="preserve">GMMs </w:t>
      </w:r>
      <w:r w:rsidR="00C47AEB">
        <w:t xml:space="preserve">considered to be low risk. This is </w:t>
      </w:r>
      <w:r w:rsidR="002F74F6">
        <w:t>expected</w:t>
      </w:r>
      <w:r w:rsidR="005471A6">
        <w:t xml:space="preserve"> </w:t>
      </w:r>
      <w:r w:rsidR="00C47AEB">
        <w:t xml:space="preserve">to make compliance more manageable for resource‑constrained SMEs and start‑ups, to stimulate exploration of novel products and partnerships between large firms and smaller innovators, and to reduce the incentive to relocate development activities to jurisdictions such as the </w:t>
      </w:r>
      <w:r w:rsidR="00021D9F">
        <w:t>US</w:t>
      </w:r>
      <w:r w:rsidR="00C47AEB">
        <w:t xml:space="preserve"> or China with more flexible GMM frameworks.</w:t>
      </w:r>
    </w:p>
    <w:p w14:paraId="70E2F1D9" w14:textId="7B980FB2" w:rsidR="00C47AEB" w:rsidRDefault="004915EE" w:rsidP="00CD6D61">
      <w:r w:rsidRPr="001546C6">
        <w:rPr>
          <w:b/>
        </w:rPr>
        <w:t>C</w:t>
      </w:r>
      <w:r w:rsidR="00C47AEB" w:rsidRPr="008F0463">
        <w:rPr>
          <w:b/>
        </w:rPr>
        <w:t>ompetitiveness, trade and investment flows</w:t>
      </w:r>
      <w:r>
        <w:t>: T</w:t>
      </w:r>
      <w:r w:rsidR="00C47AEB">
        <w:t>he new regulatory framework is expected to act as an enabler and accelerator. By reducing regulatory costs and uncertainty and clarifying a route to market for GMMs, the intervention could render more projects investable, thereby supporting an expansion of the innovation pipeline in sectors such as biofertilisation, biocontrol, bioremediation, and bioleaching. Over time, this is expected to translate into a larger portfolio of authorised GMM products and more robust EU‑based value chains in these areas. The more predictable pathway from laboratory to market would likely attract additional venture capital and corporate investment and may encourage non‑EU companies with established GMM products to enter the EU market. The number and resilience of biotech start‑ups and SMEs operating in GMM‑related domains is likewise expected to increase, as founders and investors gain confidence that commercialisation in Europe can realistically be achieved within acceptable timeframes. However, a</w:t>
      </w:r>
      <w:r w:rsidR="00C47AEB" w:rsidRPr="008019F0">
        <w:rPr>
          <w:lang w:val="en-US"/>
        </w:rPr>
        <w:t xml:space="preserve">ll these effects </w:t>
      </w:r>
      <w:r w:rsidR="00C47AEB">
        <w:rPr>
          <w:lang w:val="en-US"/>
        </w:rPr>
        <w:t>would</w:t>
      </w:r>
      <w:r w:rsidR="00C47AEB" w:rsidRPr="008019F0">
        <w:rPr>
          <w:lang w:val="en-US"/>
        </w:rPr>
        <w:t xml:space="preserve"> be gradual and path</w:t>
      </w:r>
      <w:r w:rsidR="4B54146F" w:rsidRPr="4CDA1642">
        <w:rPr>
          <w:lang w:val="en-US"/>
        </w:rPr>
        <w:t>-</w:t>
      </w:r>
      <w:r w:rsidR="00C47AEB" w:rsidRPr="008019F0">
        <w:rPr>
          <w:lang w:val="en-US"/>
        </w:rPr>
        <w:t>dependent</w:t>
      </w:r>
      <w:r w:rsidR="00C47AEB">
        <w:rPr>
          <w:lang w:val="en-US"/>
        </w:rPr>
        <w:t>, unfolding</w:t>
      </w:r>
      <w:r w:rsidR="00C47AEB" w:rsidRPr="008019F0">
        <w:rPr>
          <w:lang w:val="en-US"/>
        </w:rPr>
        <w:t xml:space="preserve"> over several years</w:t>
      </w:r>
      <w:r w:rsidR="00C47AEB">
        <w:rPr>
          <w:lang w:val="en-US"/>
        </w:rPr>
        <w:t xml:space="preserve"> and</w:t>
      </w:r>
      <w:r w:rsidR="00C47AEB" w:rsidRPr="008019F0">
        <w:rPr>
          <w:lang w:val="en-US"/>
        </w:rPr>
        <w:t xml:space="preserve"> depend</w:t>
      </w:r>
      <w:r w:rsidR="00C47AEB">
        <w:rPr>
          <w:lang w:val="en-US"/>
        </w:rPr>
        <w:t>ent</w:t>
      </w:r>
      <w:r w:rsidR="00C47AEB" w:rsidRPr="008019F0">
        <w:rPr>
          <w:lang w:val="en-US"/>
        </w:rPr>
        <w:t xml:space="preserve"> on how </w:t>
      </w:r>
      <w:r w:rsidR="00C47AEB">
        <w:rPr>
          <w:lang w:val="en-US"/>
        </w:rPr>
        <w:t xml:space="preserve">the </w:t>
      </w:r>
      <w:r w:rsidR="00A459D8">
        <w:rPr>
          <w:lang w:val="en-US"/>
        </w:rPr>
        <w:t xml:space="preserve">regulatory scrutiny </w:t>
      </w:r>
      <w:r w:rsidR="00C47AEB">
        <w:rPr>
          <w:lang w:val="en-US"/>
        </w:rPr>
        <w:t xml:space="preserve">process works </w:t>
      </w:r>
      <w:r w:rsidR="00C47AEB" w:rsidRPr="008019F0">
        <w:rPr>
          <w:lang w:val="en-US"/>
        </w:rPr>
        <w:t>in practice</w:t>
      </w:r>
      <w:r w:rsidR="00C47AEB">
        <w:rPr>
          <w:lang w:val="en-US"/>
        </w:rPr>
        <w:t>.</w:t>
      </w:r>
    </w:p>
    <w:p w14:paraId="4D6503B9" w14:textId="02C4296B" w:rsidR="00C47AEB" w:rsidRDefault="004915EE" w:rsidP="00CD6D61">
      <w:r w:rsidRPr="007A44DD">
        <w:rPr>
          <w:b/>
          <w:bCs/>
        </w:rPr>
        <w:t>F</w:t>
      </w:r>
      <w:r w:rsidR="00C47AEB" w:rsidRPr="008F0463">
        <w:rPr>
          <w:b/>
        </w:rPr>
        <w:t>unctioning of the internal market and competition</w:t>
      </w:r>
      <w:r>
        <w:t>:</w:t>
      </w:r>
      <w:r w:rsidR="00C47AEB">
        <w:t xml:space="preserve"> </w:t>
      </w:r>
      <w:r>
        <w:t>T</w:t>
      </w:r>
      <w:r w:rsidR="00C47AEB">
        <w:t xml:space="preserve">here are no </w:t>
      </w:r>
      <w:r w:rsidR="000E6F9C">
        <w:t xml:space="preserve">adverse </w:t>
      </w:r>
      <w:r w:rsidR="00C47AEB">
        <w:t xml:space="preserve">impacts expected. The new regulatory framework for GMMs modifies a horizontal framework </w:t>
      </w:r>
      <w:r w:rsidR="000E6F9C">
        <w:t xml:space="preserve">and </w:t>
      </w:r>
      <w:r w:rsidR="00C47AEB">
        <w:t xml:space="preserve">will apply across all Member States and to all economic operators, so no distortions of intra‑EU trade or competition between Member States are anticipated. The analysis notes </w:t>
      </w:r>
      <w:r w:rsidR="087FEB37">
        <w:t>that competition and displacement may arise between</w:t>
      </w:r>
      <w:r w:rsidR="00C47AEB">
        <w:t xml:space="preserve"> GMM‑based products and their non‑GM counterparts; however, in the absence of concrete evidence and given that many firms are likely to offer both types of products, no material changes in internal market functioning or competition patterns are expected as a direct consequence of the new GMM framework.</w:t>
      </w:r>
    </w:p>
    <w:p w14:paraId="374CADA5" w14:textId="04A2A94C" w:rsidR="00C47AEB" w:rsidRDefault="004915EE" w:rsidP="00CD6D61">
      <w:r>
        <w:rPr>
          <w:b/>
        </w:rPr>
        <w:t>I</w:t>
      </w:r>
      <w:r w:rsidR="00C47AEB" w:rsidRPr="008F0463">
        <w:rPr>
          <w:b/>
        </w:rPr>
        <w:t>nnovation and research</w:t>
      </w:r>
      <w:r>
        <w:rPr>
          <w:b/>
        </w:rPr>
        <w:t xml:space="preserve">: </w:t>
      </w:r>
      <w:r>
        <w:rPr>
          <w:bCs/>
        </w:rPr>
        <w:t>T</w:t>
      </w:r>
      <w:r w:rsidR="00C47AEB">
        <w:t>he proposed intervention is projected to have a positive and potentially substantial effect. By reducing administrative barriers, shortening authorisation timelines</w:t>
      </w:r>
      <w:r w:rsidR="00FA1C6E">
        <w:t xml:space="preserve"> </w:t>
      </w:r>
      <w:r w:rsidR="00C47AEB">
        <w:t xml:space="preserve">and providing regulatory clarity, the framework could stimulate R&amp;D investment by universities, research organisations and companies. This is particularly important in the EU context, where excellent early‑stage biotech research has historically struggled to translate into scaled‑up applications and competitive firms. A more innovation‑friendly regulatory environment is expected to improve the EU’s relative position vis‑à‑vis other major innovation </w:t>
      </w:r>
      <w:r w:rsidR="00E51165">
        <w:t xml:space="preserve">regions </w:t>
      </w:r>
      <w:r w:rsidR="00C47AEB">
        <w:t xml:space="preserve">such as the </w:t>
      </w:r>
      <w:r w:rsidR="007A44DD">
        <w:t>US</w:t>
      </w:r>
      <w:r w:rsidR="00C47AEB">
        <w:t xml:space="preserve"> and China, increase private funding for GMM‑related research, and help retain and attract talent in this domain. Over the longer term, the biotechnology innovation system around GMMs could therefore become more dynamic, better leveraging Europe’s strong scientific base.</w:t>
      </w:r>
    </w:p>
    <w:p w14:paraId="13AE59D4" w14:textId="0F763C39" w:rsidR="00C47AEB" w:rsidRDefault="004915EE" w:rsidP="00CD6D61">
      <w:r>
        <w:rPr>
          <w:b/>
        </w:rPr>
        <w:t>P</w:t>
      </w:r>
      <w:r w:rsidR="00C47AEB" w:rsidRPr="008F0463">
        <w:rPr>
          <w:b/>
        </w:rPr>
        <w:t>ublic authorities and their administrative workload</w:t>
      </w:r>
      <w:r>
        <w:t>:</w:t>
      </w:r>
      <w:r w:rsidR="00C47AEB">
        <w:t xml:space="preserve"> </w:t>
      </w:r>
      <w:r>
        <w:t>T</w:t>
      </w:r>
      <w:r w:rsidR="00C47AEB">
        <w:t xml:space="preserve">he effects of the new regulatory framework for GMMs are difficult to assess. </w:t>
      </w:r>
      <w:r w:rsidR="50482CFA">
        <w:t>T</w:t>
      </w:r>
      <w:r w:rsidR="00C47AEB">
        <w:t>he average effort for national competent authorities per</w:t>
      </w:r>
      <w:r w:rsidR="7713C8C1">
        <w:t xml:space="preserve"> GMO</w:t>
      </w:r>
      <w:r w:rsidR="00C47AEB">
        <w:t xml:space="preserve"> authorisation of a non‑food/non‑feed GMM would fall</w:t>
      </w:r>
      <w:r w:rsidR="5DA38C02">
        <w:t>.</w:t>
      </w:r>
      <w:r w:rsidR="00C47AEB">
        <w:t xml:space="preserve"> </w:t>
      </w:r>
      <w:r w:rsidR="5DA38C02">
        <w:t>However, the extent to which burden will be reduced will fall in a wide range, resulting from the fact that the adaptation of risk assessment (applicable to all GMMs, and expected to go further for low-risk GMMs) will be case-by-case and may lead to considerable variability of data requirements. In the most conservative scenario, risk assessment would require roughly the same amount of data as today, and</w:t>
      </w:r>
      <w:r w:rsidR="00C47AEB">
        <w:t xml:space="preserve"> only a small fraction of products </w:t>
      </w:r>
      <w:r w:rsidR="68F47171">
        <w:t>would</w:t>
      </w:r>
      <w:r w:rsidR="00C47AEB">
        <w:t xml:space="preserve"> qualify for the low‑risk procedure </w:t>
      </w:r>
      <w:r w:rsidR="3DAE5A94">
        <w:t xml:space="preserve">(interviews suggested that national authorities may be cautious in designating GMMs as low‑risk, based on a precautionary approach and no practical experience with non‑medical GMM releases), translating in very limited gains for competent authorities. In less conservative scenarios, the tailoring of risk assessment to GMMs is expected to deliver efficiency gains for national authorities. In addition, the harmonisation of criteria for low-risk products will allow the effective use of that procedure, delivering further </w:t>
      </w:r>
      <w:r w:rsidR="76B55226">
        <w:t xml:space="preserve">efficiency gains and </w:t>
      </w:r>
      <w:r w:rsidR="287C5955">
        <w:t>reduction of administrative burden</w:t>
      </w:r>
      <w:r w:rsidR="3DAE5A94">
        <w:t xml:space="preserve">. </w:t>
      </w:r>
      <w:r w:rsidR="00C47AEB">
        <w:t xml:space="preserve"> </w:t>
      </w:r>
      <w:r w:rsidR="0F38ED91">
        <w:t>F</w:t>
      </w:r>
      <w:r w:rsidR="00C47AEB">
        <w:t>urther savings</w:t>
      </w:r>
      <w:r w:rsidR="301B7F61">
        <w:t>,</w:t>
      </w:r>
      <w:r w:rsidR="00C47AEB">
        <w:t xml:space="preserve"> </w:t>
      </w:r>
      <w:r w:rsidR="301B7F61">
        <w:t>in the phase following the initial authorisation, would result</w:t>
      </w:r>
      <w:r w:rsidR="00C47AEB">
        <w:t xml:space="preserve"> from </w:t>
      </w:r>
      <w:r w:rsidR="67C429BC">
        <w:t>the</w:t>
      </w:r>
      <w:r w:rsidR="00C47AEB">
        <w:t xml:space="preserve"> unlimited authorisation validity and waivers of post‑market environmental monitoring</w:t>
      </w:r>
      <w:r w:rsidR="6A7DBC2F">
        <w:t>. These</w:t>
      </w:r>
      <w:r w:rsidR="00C47AEB">
        <w:t xml:space="preserve"> were not quantified </w:t>
      </w:r>
      <w:r w:rsidR="455D5A90">
        <w:t>and</w:t>
      </w:r>
      <w:r w:rsidR="00C47AEB">
        <w:t xml:space="preserve"> would accrue mainly at national level. At EU</w:t>
      </w:r>
      <w:r w:rsidR="519E5B14">
        <w:t>-</w:t>
      </w:r>
      <w:r w:rsidR="00C47AEB">
        <w:t xml:space="preserve">level, </w:t>
      </w:r>
      <w:r w:rsidR="0085367D">
        <w:t xml:space="preserve">the mechanisms </w:t>
      </w:r>
      <w:r w:rsidR="008065B3">
        <w:t>regarding</w:t>
      </w:r>
      <w:r w:rsidR="00C47AEB">
        <w:t xml:space="preserve"> EFSA’s role in resolving disagreements between Member States </w:t>
      </w:r>
      <w:r w:rsidR="2D9E2612">
        <w:t>is</w:t>
      </w:r>
      <w:r w:rsidR="00C47AEB">
        <w:t xml:space="preserve"> not modified</w:t>
      </w:r>
      <w:r w:rsidR="0D0E3DA4">
        <w:t>, and the considerations above apply in those instances where -following a disagreement-</w:t>
      </w:r>
      <w:r w:rsidR="000E1B04">
        <w:t xml:space="preserve"> </w:t>
      </w:r>
      <w:r w:rsidR="007E56C5">
        <w:t xml:space="preserve">EFSA would </w:t>
      </w:r>
      <w:r w:rsidR="0D0E3DA4">
        <w:t>need to conduct an assessment. Both at national and EU</w:t>
      </w:r>
      <w:r w:rsidR="2822BD12">
        <w:t>-</w:t>
      </w:r>
      <w:r w:rsidR="0D0E3DA4">
        <w:t>level</w:t>
      </w:r>
      <w:r w:rsidR="2561F0E5">
        <w:t>,</w:t>
      </w:r>
      <w:r w:rsidR="00C47AEB">
        <w:t xml:space="preserve"> </w:t>
      </w:r>
      <w:r w:rsidR="4799236B">
        <w:t>i</w:t>
      </w:r>
      <w:r w:rsidR="00C47AEB">
        <w:t>f application numbers rise significantly under the new framework, total administrative effort may increase or decrease depending on how many of these applications would have occurred under the existing regime and on the effective use of the low‑risk pathway.</w:t>
      </w:r>
    </w:p>
    <w:p w14:paraId="53411F8E" w14:textId="5EBCA09D" w:rsidR="008F0463" w:rsidRDefault="004915EE" w:rsidP="00CD6D61">
      <w:r w:rsidRPr="001546C6">
        <w:rPr>
          <w:b/>
        </w:rPr>
        <w:t>P</w:t>
      </w:r>
      <w:r w:rsidR="00C47AEB" w:rsidRPr="008F0463">
        <w:rPr>
          <w:b/>
        </w:rPr>
        <w:t>ublic health and safety</w:t>
      </w:r>
      <w:r>
        <w:t>: T</w:t>
      </w:r>
      <w:r w:rsidR="00C47AEB">
        <w:t xml:space="preserve">he proposed measures are designed to maintain the high protection standards of the current EU GMO regime while making their implementation more proportionate to the specific characteristics of GMMs. The intervention does not lower safety </w:t>
      </w:r>
      <w:r w:rsidR="2BFD87DB">
        <w:t>standards</w:t>
      </w:r>
      <w:r w:rsidR="00C47AEB">
        <w:t xml:space="preserve"> or abandon mandatory risk assessment but rather tailors information requirements and allows for more flexible approaches where risks are low and well understood. This is expected to reduce unnecessary regulatory burdens without compromising the </w:t>
      </w:r>
      <w:r w:rsidR="00780364">
        <w:t>high level of protection of</w:t>
      </w:r>
      <w:r w:rsidR="00C47AEB">
        <w:t xml:space="preserve"> human and animal health </w:t>
      </w:r>
      <w:r w:rsidR="00780364">
        <w:t xml:space="preserve">and </w:t>
      </w:r>
      <w:r w:rsidR="00C47AEB">
        <w:t xml:space="preserve">the environment. </w:t>
      </w:r>
    </w:p>
    <w:p w14:paraId="22B8C70D" w14:textId="5BEAA176" w:rsidR="00C47AEB" w:rsidRPr="0015158E" w:rsidRDefault="00C47AEB" w:rsidP="00393321">
      <w:r>
        <w:t xml:space="preserve">At the same time, by enabling the deployment of beneficial GMM applications that are currently discouraged or displaced to other regions, the new framework could help realise </w:t>
      </w:r>
      <w:r w:rsidRPr="008F0463">
        <w:rPr>
          <w:b/>
        </w:rPr>
        <w:t>environmental and sustainability benefits</w:t>
      </w:r>
      <w:r>
        <w:t>, for instance by supporting more resource‑efficient agriculture, cleaner industrial processes or enhanced bioremediation. In doing so, it may contribute to broader EU policy objectives such as the European Green Deal and the 2030 Agenda for Sustainable Development, while preserving robust safeguards for health and the environment.</w:t>
      </w:r>
    </w:p>
    <w:p w14:paraId="62633D7A" w14:textId="77777777" w:rsidR="00FD39C5" w:rsidRPr="0015158E" w:rsidRDefault="00FD39C5" w:rsidP="00393321"/>
    <w:p w14:paraId="381459CA" w14:textId="691A564E" w:rsidR="0025340A" w:rsidRPr="00C909C6" w:rsidRDefault="0025340A" w:rsidP="00443C31">
      <w:pPr>
        <w:rPr>
          <w:rFonts w:ascii="Corbel" w:eastAsia="Corbel" w:hAnsi="Corbel" w:cs="Corbel"/>
          <w:sz w:val="16"/>
          <w:szCs w:val="16"/>
        </w:rPr>
      </w:pPr>
      <w:r w:rsidRPr="007C1623">
        <w:rPr>
          <w:b/>
        </w:rPr>
        <w:t xml:space="preserve">Table </w:t>
      </w:r>
      <w:r w:rsidR="007A43F6">
        <w:rPr>
          <w:b/>
          <w:bCs/>
        </w:rPr>
        <w:t>7</w:t>
      </w:r>
      <w:r w:rsidRPr="00C909C6">
        <w:rPr>
          <w:b/>
        </w:rPr>
        <w:t xml:space="preserve">. Summary assessment of the effects due to the </w:t>
      </w:r>
      <w:r w:rsidR="00446A2D" w:rsidRPr="00C909C6">
        <w:rPr>
          <w:b/>
        </w:rPr>
        <w:t>intervention n°7</w:t>
      </w:r>
    </w:p>
    <w:tbl>
      <w:tblPr>
        <w:tblStyle w:val="TableGrid"/>
        <w:tblW w:w="8560" w:type="dxa"/>
        <w:tblLook w:val="04A0" w:firstRow="1" w:lastRow="0" w:firstColumn="1" w:lastColumn="0" w:noHBand="0" w:noVBand="1"/>
      </w:tblPr>
      <w:tblGrid>
        <w:gridCol w:w="2041"/>
        <w:gridCol w:w="907"/>
        <w:gridCol w:w="907"/>
        <w:gridCol w:w="907"/>
        <w:gridCol w:w="1077"/>
        <w:gridCol w:w="907"/>
        <w:gridCol w:w="907"/>
        <w:gridCol w:w="907"/>
      </w:tblGrid>
      <w:tr w:rsidR="005F4A84" w:rsidRPr="004F48D9" w14:paraId="4CDE8FF9" w14:textId="77777777" w:rsidTr="00C16C46">
        <w:trPr>
          <w:trHeight w:val="300"/>
        </w:trPr>
        <w:tc>
          <w:tcPr>
            <w:tcW w:w="2041" w:type="dxa"/>
          </w:tcPr>
          <w:p w14:paraId="7FC56F33" w14:textId="326DEEC4" w:rsidR="0025340A" w:rsidRPr="00C909C6" w:rsidRDefault="00DC6CE3">
            <w:pPr>
              <w:spacing w:before="60" w:after="270"/>
              <w:rPr>
                <w:b/>
                <w:caps/>
                <w:sz w:val="20"/>
                <w:szCs w:val="20"/>
              </w:rPr>
            </w:pPr>
            <w:r w:rsidRPr="00DC6CE3">
              <w:rPr>
                <w:b/>
                <w:sz w:val="20"/>
                <w:szCs w:val="20"/>
              </w:rPr>
              <w:t xml:space="preserve">Policy </w:t>
            </w:r>
            <w:r w:rsidR="00D06F83">
              <w:rPr>
                <w:b/>
                <w:sz w:val="20"/>
                <w:szCs w:val="20"/>
              </w:rPr>
              <w:t xml:space="preserve">measure </w:t>
            </w:r>
          </w:p>
        </w:tc>
        <w:tc>
          <w:tcPr>
            <w:tcW w:w="907" w:type="dxa"/>
          </w:tcPr>
          <w:p w14:paraId="5447E90B" w14:textId="77777777" w:rsidR="0025340A" w:rsidRPr="00C909C6" w:rsidRDefault="0025340A">
            <w:pPr>
              <w:spacing w:before="60" w:after="270"/>
              <w:rPr>
                <w:b/>
                <w:caps/>
                <w:sz w:val="20"/>
                <w:szCs w:val="20"/>
              </w:rPr>
            </w:pPr>
            <w:r w:rsidRPr="00C909C6">
              <w:rPr>
                <w:b/>
                <w:caps/>
                <w:sz w:val="20"/>
                <w:szCs w:val="20"/>
              </w:rPr>
              <w:t>COB</w:t>
            </w:r>
          </w:p>
        </w:tc>
        <w:tc>
          <w:tcPr>
            <w:tcW w:w="907" w:type="dxa"/>
          </w:tcPr>
          <w:p w14:paraId="65C42C07" w14:textId="77777777" w:rsidR="0025340A" w:rsidRPr="00C909C6" w:rsidRDefault="00DC6CE3">
            <w:pPr>
              <w:spacing w:before="60" w:after="270"/>
              <w:rPr>
                <w:b/>
                <w:caps/>
                <w:sz w:val="20"/>
                <w:szCs w:val="20"/>
              </w:rPr>
            </w:pPr>
            <w:r w:rsidRPr="00DC6CE3">
              <w:rPr>
                <w:b/>
                <w:sz w:val="20"/>
                <w:szCs w:val="20"/>
              </w:rPr>
              <w:t>Admin</w:t>
            </w:r>
          </w:p>
        </w:tc>
        <w:tc>
          <w:tcPr>
            <w:tcW w:w="907" w:type="dxa"/>
          </w:tcPr>
          <w:p w14:paraId="31D9EB00" w14:textId="77777777" w:rsidR="0025340A" w:rsidRPr="00C909C6" w:rsidRDefault="0025340A">
            <w:pPr>
              <w:spacing w:before="60" w:after="270"/>
              <w:rPr>
                <w:b/>
                <w:caps/>
                <w:sz w:val="20"/>
                <w:szCs w:val="20"/>
              </w:rPr>
            </w:pPr>
            <w:r w:rsidRPr="00C909C6">
              <w:rPr>
                <w:b/>
                <w:caps/>
                <w:sz w:val="20"/>
                <w:szCs w:val="20"/>
              </w:rPr>
              <w:t>CTI</w:t>
            </w:r>
          </w:p>
        </w:tc>
        <w:tc>
          <w:tcPr>
            <w:tcW w:w="1077" w:type="dxa"/>
          </w:tcPr>
          <w:p w14:paraId="10192C67" w14:textId="1E2BF390" w:rsidR="0025340A" w:rsidRPr="00C909C6" w:rsidRDefault="00DC6CE3">
            <w:pPr>
              <w:spacing w:before="60" w:after="270"/>
              <w:rPr>
                <w:b/>
                <w:caps/>
                <w:sz w:val="20"/>
                <w:szCs w:val="20"/>
              </w:rPr>
            </w:pPr>
            <w:r w:rsidRPr="00DC6CE3">
              <w:rPr>
                <w:b/>
                <w:sz w:val="20"/>
                <w:szCs w:val="20"/>
              </w:rPr>
              <w:t>Int mar</w:t>
            </w:r>
          </w:p>
        </w:tc>
        <w:tc>
          <w:tcPr>
            <w:tcW w:w="907" w:type="dxa"/>
          </w:tcPr>
          <w:p w14:paraId="30C9373F" w14:textId="77777777" w:rsidR="0025340A" w:rsidRPr="00C909C6" w:rsidRDefault="0025340A">
            <w:pPr>
              <w:spacing w:before="60" w:after="270"/>
              <w:rPr>
                <w:b/>
                <w:caps/>
                <w:sz w:val="20"/>
                <w:szCs w:val="20"/>
                <w:lang w:val="en-US"/>
              </w:rPr>
            </w:pPr>
            <w:r w:rsidRPr="00C909C6">
              <w:rPr>
                <w:b/>
                <w:caps/>
                <w:sz w:val="20"/>
                <w:szCs w:val="20"/>
              </w:rPr>
              <w:t>I</w:t>
            </w:r>
            <w:r w:rsidRPr="00C909C6">
              <w:rPr>
                <w:b/>
                <w:caps/>
                <w:sz w:val="20"/>
                <w:szCs w:val="20"/>
                <w:lang w:val="en-US"/>
              </w:rPr>
              <w:t>&amp;R</w:t>
            </w:r>
          </w:p>
        </w:tc>
        <w:tc>
          <w:tcPr>
            <w:tcW w:w="907" w:type="dxa"/>
          </w:tcPr>
          <w:p w14:paraId="32593ED5" w14:textId="77777777" w:rsidR="0025340A" w:rsidRPr="00C909C6" w:rsidRDefault="0025340A">
            <w:pPr>
              <w:spacing w:before="60" w:after="270"/>
              <w:rPr>
                <w:b/>
                <w:caps/>
                <w:sz w:val="20"/>
                <w:szCs w:val="20"/>
              </w:rPr>
            </w:pPr>
            <w:r w:rsidRPr="00C909C6">
              <w:rPr>
                <w:b/>
                <w:caps/>
                <w:sz w:val="20"/>
                <w:szCs w:val="20"/>
              </w:rPr>
              <w:t>PA</w:t>
            </w:r>
          </w:p>
        </w:tc>
        <w:tc>
          <w:tcPr>
            <w:tcW w:w="907" w:type="dxa"/>
          </w:tcPr>
          <w:p w14:paraId="24CC4E24" w14:textId="77777777" w:rsidR="0025340A" w:rsidRPr="00C909C6" w:rsidRDefault="0025340A">
            <w:pPr>
              <w:spacing w:before="60" w:after="270"/>
              <w:rPr>
                <w:b/>
                <w:caps/>
                <w:sz w:val="20"/>
                <w:szCs w:val="20"/>
              </w:rPr>
            </w:pPr>
            <w:r w:rsidRPr="00C909C6">
              <w:rPr>
                <w:b/>
                <w:caps/>
                <w:sz w:val="20"/>
                <w:szCs w:val="20"/>
              </w:rPr>
              <w:t>H&amp;S</w:t>
            </w:r>
          </w:p>
        </w:tc>
      </w:tr>
      <w:tr w:rsidR="005F4A84" w:rsidRPr="004F48D9" w14:paraId="09EC9BCA" w14:textId="77777777" w:rsidTr="00C16C46">
        <w:trPr>
          <w:trHeight w:val="300"/>
        </w:trPr>
        <w:tc>
          <w:tcPr>
            <w:tcW w:w="2041" w:type="dxa"/>
          </w:tcPr>
          <w:p w14:paraId="11461595" w14:textId="77777777" w:rsidR="0025340A" w:rsidRPr="00C909C6" w:rsidRDefault="0025340A">
            <w:pPr>
              <w:spacing w:before="60" w:after="270"/>
              <w:jc w:val="left"/>
              <w:rPr>
                <w:b/>
                <w:sz w:val="20"/>
                <w:szCs w:val="20"/>
              </w:rPr>
            </w:pPr>
            <w:r w:rsidRPr="00C909C6">
              <w:rPr>
                <w:b/>
                <w:sz w:val="20"/>
                <w:szCs w:val="20"/>
              </w:rPr>
              <w:t>Regulatory framework for GMMs as or in products other than food and feed</w:t>
            </w:r>
          </w:p>
        </w:tc>
        <w:tc>
          <w:tcPr>
            <w:tcW w:w="907" w:type="dxa"/>
          </w:tcPr>
          <w:p w14:paraId="48B6AB9A" w14:textId="77777777" w:rsidR="0025340A" w:rsidRPr="00C909C6" w:rsidRDefault="0025340A">
            <w:pPr>
              <w:spacing w:before="60" w:after="270"/>
              <w:rPr>
                <w:b/>
                <w:sz w:val="20"/>
                <w:szCs w:val="20"/>
              </w:rPr>
            </w:pPr>
            <w:r w:rsidRPr="00C909C6">
              <w:rPr>
                <w:b/>
                <w:sz w:val="20"/>
                <w:szCs w:val="20"/>
              </w:rPr>
              <w:t>+</w:t>
            </w:r>
          </w:p>
        </w:tc>
        <w:tc>
          <w:tcPr>
            <w:tcW w:w="907" w:type="dxa"/>
          </w:tcPr>
          <w:p w14:paraId="22E20ECF" w14:textId="77777777" w:rsidR="0025340A" w:rsidRPr="00C909C6" w:rsidRDefault="0025340A">
            <w:pPr>
              <w:spacing w:before="60" w:after="270"/>
              <w:rPr>
                <w:b/>
                <w:sz w:val="20"/>
                <w:szCs w:val="20"/>
              </w:rPr>
            </w:pPr>
            <w:r w:rsidRPr="00C909C6">
              <w:rPr>
                <w:b/>
                <w:sz w:val="20"/>
                <w:szCs w:val="20"/>
              </w:rPr>
              <w:t>+</w:t>
            </w:r>
          </w:p>
        </w:tc>
        <w:tc>
          <w:tcPr>
            <w:tcW w:w="907" w:type="dxa"/>
          </w:tcPr>
          <w:p w14:paraId="555EE933" w14:textId="77777777" w:rsidR="0025340A" w:rsidRPr="00C909C6" w:rsidRDefault="0025340A">
            <w:pPr>
              <w:spacing w:before="60" w:after="270"/>
              <w:rPr>
                <w:b/>
                <w:sz w:val="20"/>
                <w:szCs w:val="20"/>
              </w:rPr>
            </w:pPr>
            <w:r w:rsidRPr="00C909C6">
              <w:rPr>
                <w:b/>
                <w:sz w:val="20"/>
                <w:szCs w:val="20"/>
              </w:rPr>
              <w:t>+</w:t>
            </w:r>
          </w:p>
        </w:tc>
        <w:tc>
          <w:tcPr>
            <w:tcW w:w="1077" w:type="dxa"/>
          </w:tcPr>
          <w:p w14:paraId="352526BD" w14:textId="0D09F6E7" w:rsidR="0025340A" w:rsidRPr="00C909C6" w:rsidRDefault="0066035F">
            <w:pPr>
              <w:spacing w:before="60" w:after="270"/>
              <w:rPr>
                <w:b/>
                <w:sz w:val="20"/>
                <w:szCs w:val="20"/>
              </w:rPr>
            </w:pPr>
            <w:r w:rsidRPr="0066035F">
              <w:rPr>
                <w:b/>
                <w:sz w:val="20"/>
                <w:szCs w:val="20"/>
              </w:rPr>
              <w:t>0</w:t>
            </w:r>
          </w:p>
        </w:tc>
        <w:tc>
          <w:tcPr>
            <w:tcW w:w="907" w:type="dxa"/>
          </w:tcPr>
          <w:p w14:paraId="6D4BF900" w14:textId="77777777" w:rsidR="0025340A" w:rsidRPr="00C909C6" w:rsidRDefault="0025340A">
            <w:pPr>
              <w:spacing w:before="60" w:after="270"/>
              <w:rPr>
                <w:b/>
                <w:sz w:val="20"/>
                <w:szCs w:val="20"/>
              </w:rPr>
            </w:pPr>
            <w:r w:rsidRPr="00C909C6">
              <w:rPr>
                <w:b/>
                <w:sz w:val="20"/>
                <w:szCs w:val="20"/>
              </w:rPr>
              <w:t>+</w:t>
            </w:r>
          </w:p>
        </w:tc>
        <w:tc>
          <w:tcPr>
            <w:tcW w:w="907" w:type="dxa"/>
          </w:tcPr>
          <w:p w14:paraId="169C54C3" w14:textId="125E866D" w:rsidR="0025340A" w:rsidRPr="00C909C6" w:rsidRDefault="0025340A">
            <w:pPr>
              <w:spacing w:before="60" w:after="270"/>
              <w:rPr>
                <w:sz w:val="20"/>
                <w:szCs w:val="20"/>
              </w:rPr>
            </w:pPr>
            <w:r w:rsidRPr="00C909C6">
              <w:rPr>
                <w:sz w:val="20"/>
                <w:szCs w:val="20"/>
              </w:rPr>
              <w:t>+/</w:t>
            </w:r>
            <w:r w:rsidR="00494B4D" w:rsidRPr="00C909C6">
              <w:rPr>
                <w:b/>
                <w:sz w:val="20"/>
                <w:szCs w:val="20"/>
              </w:rPr>
              <w:t>0</w:t>
            </w:r>
          </w:p>
        </w:tc>
        <w:tc>
          <w:tcPr>
            <w:tcW w:w="907" w:type="dxa"/>
          </w:tcPr>
          <w:p w14:paraId="066C75B7" w14:textId="51270E85" w:rsidR="0025340A" w:rsidRPr="00C909C6" w:rsidRDefault="0025340A">
            <w:pPr>
              <w:spacing w:before="60" w:after="270"/>
              <w:rPr>
                <w:b/>
                <w:sz w:val="20"/>
                <w:szCs w:val="20"/>
              </w:rPr>
            </w:pPr>
            <w:r w:rsidRPr="00C909C6">
              <w:rPr>
                <w:b/>
                <w:sz w:val="20"/>
                <w:szCs w:val="20"/>
              </w:rPr>
              <w:t>0</w:t>
            </w:r>
          </w:p>
        </w:tc>
      </w:tr>
    </w:tbl>
    <w:p w14:paraId="540195AE" w14:textId="77777777" w:rsidR="00FA0128" w:rsidRPr="00DD0CE5" w:rsidDel="00FA0128" w:rsidRDefault="00FA0128" w:rsidP="00FA0128">
      <w:pPr>
        <w:pBdr>
          <w:top w:val="nil"/>
          <w:left w:val="nil"/>
          <w:bottom w:val="nil"/>
          <w:right w:val="nil"/>
          <w:between w:val="nil"/>
        </w:pBdr>
        <w:rPr>
          <w:rFonts w:eastAsia="Times New Roman"/>
          <w:color w:val="000000" w:themeColor="text1"/>
          <w:lang w:val="en-IE"/>
        </w:rPr>
      </w:pPr>
    </w:p>
    <w:p w14:paraId="133955D3" w14:textId="0F8B7A88" w:rsidR="000F3479" w:rsidRPr="00DD0CE5" w:rsidRDefault="000F3479" w:rsidP="00574D27">
      <w:pPr>
        <w:pStyle w:val="Heading3"/>
      </w:pPr>
      <w:bookmarkStart w:id="210" w:name="_Toc224747226"/>
      <w:bookmarkStart w:id="211" w:name="_Toc224749696"/>
      <w:bookmarkStart w:id="212" w:name="_Toc225974574"/>
      <w:bookmarkStart w:id="213" w:name="_Toc225975247"/>
      <w:bookmarkStart w:id="214" w:name="_Toc225975304"/>
      <w:r w:rsidRPr="00DD0CE5">
        <w:t xml:space="preserve">Intervention n°8: </w:t>
      </w:r>
      <w:r w:rsidR="00DB6B90">
        <w:t>T</w:t>
      </w:r>
      <w:r w:rsidRPr="00DD0CE5">
        <w:t xml:space="preserve">argeted regulatory reform of </w:t>
      </w:r>
      <w:r w:rsidR="008F0463">
        <w:t xml:space="preserve">the </w:t>
      </w:r>
      <w:r w:rsidRPr="00DD0CE5">
        <w:t>Directive on human organs intended for transplantation</w:t>
      </w:r>
      <w:r w:rsidR="00A135D2">
        <w:rPr>
          <w:rStyle w:val="FootnoteReference"/>
        </w:rPr>
        <w:footnoteReference w:id="212"/>
      </w:r>
      <w:bookmarkEnd w:id="210"/>
      <w:bookmarkEnd w:id="211"/>
      <w:bookmarkEnd w:id="212"/>
      <w:bookmarkEnd w:id="213"/>
      <w:bookmarkEnd w:id="214"/>
    </w:p>
    <w:p w14:paraId="199E2D23" w14:textId="273837C2" w:rsidR="000F3479" w:rsidRPr="00DD0CE5" w:rsidRDefault="000F3479" w:rsidP="00CD6D61">
      <w:pPr>
        <w:rPr>
          <w:noProof/>
        </w:rPr>
      </w:pPr>
      <w:r w:rsidRPr="00DD0CE5">
        <w:rPr>
          <w:noProof/>
        </w:rPr>
        <w:t xml:space="preserve">The proposal amends Directive 2010/53/EU to reflect technological developments in organ preservation and processing and to provide </w:t>
      </w:r>
      <w:r w:rsidR="714898B1" w:rsidRPr="383335CE">
        <w:rPr>
          <w:noProof/>
        </w:rPr>
        <w:t xml:space="preserve">EU-wide </w:t>
      </w:r>
      <w:r w:rsidRPr="383335CE">
        <w:rPr>
          <w:noProof/>
        </w:rPr>
        <w:t xml:space="preserve">legal clarity </w:t>
      </w:r>
      <w:r w:rsidR="73CC71D9" w:rsidRPr="383335CE">
        <w:rPr>
          <w:noProof/>
        </w:rPr>
        <w:t xml:space="preserve">and </w:t>
      </w:r>
      <w:r w:rsidR="00017354">
        <w:rPr>
          <w:noProof/>
        </w:rPr>
        <w:t>standards</w:t>
      </w:r>
      <w:r w:rsidR="00017354" w:rsidRPr="00DD0CE5">
        <w:rPr>
          <w:noProof/>
        </w:rPr>
        <w:t xml:space="preserve"> </w:t>
      </w:r>
      <w:r w:rsidRPr="00DD0CE5">
        <w:rPr>
          <w:noProof/>
        </w:rPr>
        <w:t xml:space="preserve">for innovative practices </w:t>
      </w:r>
      <w:r w:rsidR="00034BA1">
        <w:rPr>
          <w:noProof/>
        </w:rPr>
        <w:t xml:space="preserve">which aim to </w:t>
      </w:r>
      <w:r w:rsidRPr="00DD0CE5">
        <w:rPr>
          <w:noProof/>
        </w:rPr>
        <w:t>improv</w:t>
      </w:r>
      <w:r w:rsidR="00034BA1">
        <w:rPr>
          <w:noProof/>
        </w:rPr>
        <w:t>e</w:t>
      </w:r>
      <w:r w:rsidRPr="00DD0CE5">
        <w:rPr>
          <w:noProof/>
        </w:rPr>
        <w:t xml:space="preserve"> organ quality and expand transplantation opportunities.</w:t>
      </w:r>
    </w:p>
    <w:p w14:paraId="706544AA" w14:textId="62643561" w:rsidR="004544F7" w:rsidRDefault="000F3479" w:rsidP="00CD6D61">
      <w:pPr>
        <w:rPr>
          <w:noProof/>
        </w:rPr>
      </w:pPr>
      <w:r w:rsidRPr="00DD0CE5">
        <w:rPr>
          <w:noProof/>
        </w:rPr>
        <w:t>First, the scope of the Directive is extended to explicitly include the processing of organs prior to transplantation, with a definition of “processing” being introduced by the proposal</w:t>
      </w:r>
      <w:r w:rsidR="004544F7">
        <w:rPr>
          <w:noProof/>
        </w:rPr>
        <w:t xml:space="preserve">, </w:t>
      </w:r>
      <w:r w:rsidR="004544F7" w:rsidRPr="00BA210D">
        <w:rPr>
          <w:rFonts w:eastAsia="Arial"/>
        </w:rPr>
        <w:t>encompassing any operation involving the handling of organs performed to maintain or improve the functional status of an organ prior to transplantation</w:t>
      </w:r>
      <w:r w:rsidRPr="00DD0CE5">
        <w:rPr>
          <w:noProof/>
        </w:rPr>
        <w:t xml:space="preserve">. </w:t>
      </w:r>
    </w:p>
    <w:p w14:paraId="7DDA57E9" w14:textId="414FB430" w:rsidR="008F0A56" w:rsidRDefault="000F3479" w:rsidP="00CD6D61">
      <w:pPr>
        <w:rPr>
          <w:rFonts w:eastAsia="Arial"/>
        </w:rPr>
      </w:pPr>
      <w:r w:rsidRPr="00DD0CE5">
        <w:rPr>
          <w:noProof/>
        </w:rPr>
        <w:t xml:space="preserve">Second, a specific authorisation regime for organ processing </w:t>
      </w:r>
      <w:r w:rsidR="00AA10B9" w:rsidRPr="19871FD4">
        <w:rPr>
          <w:noProof/>
        </w:rPr>
        <w:t xml:space="preserve">per processing technology and per transplantation centre </w:t>
      </w:r>
      <w:r w:rsidRPr="00DD0CE5">
        <w:rPr>
          <w:noProof/>
        </w:rPr>
        <w:t xml:space="preserve">is established. </w:t>
      </w:r>
      <w:r w:rsidR="004544F7" w:rsidRPr="19871FD4">
        <w:rPr>
          <w:rFonts w:eastAsia="Arial"/>
        </w:rPr>
        <w:t xml:space="preserve">A transplantation centre is to submit an application for authorisation to the competent authorities including a benefit-risk assessment where scientific evidence and clinical data are available. In the absence of such evidence and data, </w:t>
      </w:r>
      <w:r w:rsidR="0FC80E59" w:rsidRPr="1389B347">
        <w:rPr>
          <w:rFonts w:eastAsia="Arial"/>
        </w:rPr>
        <w:t>e.g. when no other EU transplant</w:t>
      </w:r>
      <w:r w:rsidR="00A562EC">
        <w:rPr>
          <w:rFonts w:eastAsia="Arial"/>
        </w:rPr>
        <w:t>ation</w:t>
      </w:r>
      <w:r w:rsidR="0FC80E59" w:rsidRPr="1389B347">
        <w:rPr>
          <w:rFonts w:eastAsia="Arial"/>
        </w:rPr>
        <w:t xml:space="preserve"> centre has been authori</w:t>
      </w:r>
      <w:r w:rsidR="001402B4">
        <w:rPr>
          <w:rFonts w:eastAsia="Arial"/>
        </w:rPr>
        <w:t>s</w:t>
      </w:r>
      <w:r w:rsidR="0FC80E59" w:rsidRPr="1389B347">
        <w:rPr>
          <w:rFonts w:eastAsia="Arial"/>
        </w:rPr>
        <w:t xml:space="preserve">ed to </w:t>
      </w:r>
      <w:r w:rsidR="0FC80E59" w:rsidRPr="63180561">
        <w:rPr>
          <w:rFonts w:eastAsia="Arial"/>
        </w:rPr>
        <w:t xml:space="preserve">apply the same organ processing technology, </w:t>
      </w:r>
      <w:r w:rsidR="004544F7" w:rsidRPr="1389B347">
        <w:rPr>
          <w:rFonts w:eastAsia="Arial"/>
        </w:rPr>
        <w:t>a</w:t>
      </w:r>
      <w:r w:rsidR="004544F7" w:rsidRPr="19871FD4">
        <w:rPr>
          <w:rFonts w:eastAsia="Arial"/>
        </w:rPr>
        <w:t xml:space="preserve"> clinical outcome monitoring plan must be submitted for approval. A clinical outcome monitoring plan must also be submitted for approval where the benefit-risk assessment identifies a significant risk.</w:t>
      </w:r>
      <w:r w:rsidR="7B4954D7" w:rsidRPr="19871FD4">
        <w:rPr>
          <w:rFonts w:eastAsia="Arial"/>
        </w:rPr>
        <w:t xml:space="preserve"> </w:t>
      </w:r>
      <w:r w:rsidR="0E3B2386" w:rsidRPr="7E3D644D">
        <w:rPr>
          <w:rFonts w:eastAsia="Arial"/>
        </w:rPr>
        <w:t xml:space="preserve">The extend of the clinical monitoring will be proportionate to the risks identified. </w:t>
      </w:r>
      <w:r w:rsidR="7B4954D7" w:rsidRPr="19871FD4">
        <w:rPr>
          <w:rFonts w:eastAsia="Arial"/>
        </w:rPr>
        <w:t>Detailed rules on the authorisation procedure are to be established through Commission implementing acts and guidance on the benefit risk-assessment is to be established by the competent authorities.</w:t>
      </w:r>
    </w:p>
    <w:p w14:paraId="7006442F" w14:textId="29C05B7F" w:rsidR="004544F7" w:rsidRDefault="7B4954D7" w:rsidP="00CD6D61">
      <w:pPr>
        <w:rPr>
          <w:noProof/>
        </w:rPr>
      </w:pPr>
      <w:r w:rsidRPr="19871FD4">
        <w:rPr>
          <w:rFonts w:eastAsia="Arial"/>
        </w:rPr>
        <w:t>Transplantation centres must request the written agreement of competent authorities prior to making significant changes to authorised processing steps. The competent authorities have the prerogative to suspend an authorisation where there is reasonable ground to suspect non-compliance. A central EU list of authorised processing techniques or with an approved clinical outcome plan is to be established by the Commission</w:t>
      </w:r>
      <w:r w:rsidR="16656021" w:rsidRPr="7E3D644D">
        <w:rPr>
          <w:rFonts w:eastAsia="Arial"/>
        </w:rPr>
        <w:t>. This</w:t>
      </w:r>
      <w:r w:rsidRPr="19871FD4">
        <w:rPr>
          <w:rFonts w:eastAsia="Arial"/>
        </w:rPr>
        <w:t xml:space="preserve"> will serve as reference point </w:t>
      </w:r>
      <w:r w:rsidR="2081A7BC" w:rsidRPr="7E3D644D">
        <w:rPr>
          <w:rFonts w:eastAsia="Arial"/>
        </w:rPr>
        <w:t>to simplify</w:t>
      </w:r>
      <w:r w:rsidRPr="19871FD4">
        <w:rPr>
          <w:rFonts w:eastAsia="Arial"/>
        </w:rPr>
        <w:t xml:space="preserve"> later authorisations </w:t>
      </w:r>
      <w:r w:rsidR="43C38282" w:rsidRPr="7E3D644D">
        <w:rPr>
          <w:rFonts w:eastAsia="Arial"/>
        </w:rPr>
        <w:t xml:space="preserve">of similar processing technologies used in other EU transplant centres, and hence to </w:t>
      </w:r>
      <w:r w:rsidR="000E20AA" w:rsidRPr="7E3D644D">
        <w:rPr>
          <w:rFonts w:eastAsia="Arial"/>
        </w:rPr>
        <w:t>facilitate</w:t>
      </w:r>
      <w:r w:rsidR="4F8B2F92" w:rsidRPr="610470B0">
        <w:rPr>
          <w:rFonts w:eastAsia="Arial"/>
        </w:rPr>
        <w:t xml:space="preserve"> the roll-</w:t>
      </w:r>
      <w:r w:rsidR="4F8B2F92" w:rsidRPr="26D61163">
        <w:rPr>
          <w:rFonts w:eastAsia="Arial"/>
        </w:rPr>
        <w:t xml:space="preserve">out and uptake of </w:t>
      </w:r>
      <w:r w:rsidRPr="26D61163">
        <w:rPr>
          <w:rFonts w:eastAsia="Arial"/>
        </w:rPr>
        <w:t>the</w:t>
      </w:r>
      <w:r w:rsidRPr="19871FD4">
        <w:rPr>
          <w:rFonts w:eastAsia="Arial"/>
        </w:rPr>
        <w:t xml:space="preserve"> same processing technology for other centres and authorities.   </w:t>
      </w:r>
    </w:p>
    <w:p w14:paraId="64365501" w14:textId="192F7395" w:rsidR="000F3479" w:rsidRPr="00DD0CE5" w:rsidRDefault="000F3479" w:rsidP="00CD6D61">
      <w:pPr>
        <w:rPr>
          <w:noProof/>
        </w:rPr>
      </w:pPr>
      <w:r w:rsidRPr="00DD0CE5">
        <w:rPr>
          <w:noProof/>
        </w:rPr>
        <w:t xml:space="preserve">Third, the proposal clarifies coordination with other Union </w:t>
      </w:r>
      <w:r w:rsidR="00B22A17">
        <w:rPr>
          <w:noProof/>
        </w:rPr>
        <w:t xml:space="preserve">health </w:t>
      </w:r>
      <w:r w:rsidRPr="00DD0CE5">
        <w:rPr>
          <w:noProof/>
        </w:rPr>
        <w:t xml:space="preserve">legislation. Where organ processing involves medicinal products, medical devices or SoHO preparations, </w:t>
      </w:r>
      <w:r w:rsidR="009B0246">
        <w:rPr>
          <w:noProof/>
        </w:rPr>
        <w:t xml:space="preserve">national </w:t>
      </w:r>
      <w:r w:rsidRPr="00DD0CE5">
        <w:rPr>
          <w:noProof/>
        </w:rPr>
        <w:t xml:space="preserve">competent authorities must verify compliance under the relevant Union frameworks and cooperate with the corresponding </w:t>
      </w:r>
      <w:r w:rsidR="00060AC0">
        <w:rPr>
          <w:noProof/>
        </w:rPr>
        <w:t xml:space="preserve">national competent </w:t>
      </w:r>
      <w:r w:rsidRPr="00DD0CE5">
        <w:rPr>
          <w:noProof/>
        </w:rPr>
        <w:t>authorities</w:t>
      </w:r>
      <w:r w:rsidR="00060AC0" w:rsidRPr="00060AC0">
        <w:t xml:space="preserve"> </w:t>
      </w:r>
      <w:r w:rsidR="00060AC0" w:rsidRPr="00060AC0">
        <w:rPr>
          <w:noProof/>
        </w:rPr>
        <w:t>under Directive 2001/83/EC, Regulation (EC) No 726/2004, Regulation (EU) 2017/745 and Regulation (EU) 2024/1938</w:t>
      </w:r>
      <w:r w:rsidRPr="00DD0CE5">
        <w:rPr>
          <w:noProof/>
        </w:rPr>
        <w:t xml:space="preserve"> to ensure coherent </w:t>
      </w:r>
      <w:r w:rsidR="403D63CC" w:rsidRPr="26D61163">
        <w:rPr>
          <w:noProof/>
        </w:rPr>
        <w:t xml:space="preserve">and more efficient </w:t>
      </w:r>
      <w:r w:rsidRPr="26D61163">
        <w:rPr>
          <w:noProof/>
        </w:rPr>
        <w:t>oversight.</w:t>
      </w:r>
    </w:p>
    <w:p w14:paraId="1367F789" w14:textId="390A8CEC" w:rsidR="000F3479" w:rsidRPr="00DD0CE5" w:rsidRDefault="000F3479" w:rsidP="00CD6D61">
      <w:pPr>
        <w:rPr>
          <w:noProof/>
        </w:rPr>
      </w:pPr>
      <w:r w:rsidRPr="00DD0CE5">
        <w:rPr>
          <w:noProof/>
        </w:rPr>
        <w:t xml:space="preserve">These amendments aim to provide </w:t>
      </w:r>
      <w:r w:rsidR="5630B054" w:rsidRPr="6760F279">
        <w:rPr>
          <w:noProof/>
        </w:rPr>
        <w:t xml:space="preserve">EU-wide </w:t>
      </w:r>
      <w:r w:rsidR="26BFB583" w:rsidRPr="7E3D644D">
        <w:rPr>
          <w:noProof/>
        </w:rPr>
        <w:t xml:space="preserve">and cross-sector </w:t>
      </w:r>
      <w:r w:rsidRPr="6760F279">
        <w:rPr>
          <w:noProof/>
        </w:rPr>
        <w:t xml:space="preserve">legal </w:t>
      </w:r>
      <w:r w:rsidRPr="00DD0CE5">
        <w:rPr>
          <w:noProof/>
        </w:rPr>
        <w:t>certainty, support innovation in transplantation, and ensure high standards of quality and safety while facilitating timely clinical uptake of advanced processing technologies.</w:t>
      </w:r>
    </w:p>
    <w:p w14:paraId="0395861D" w14:textId="32535D53" w:rsidR="00DC3624" w:rsidRPr="00D82915" w:rsidRDefault="00D82915" w:rsidP="00C909C6">
      <w:pPr>
        <w:rPr>
          <w:u w:val="single"/>
          <w:lang w:val="en-IE"/>
        </w:rPr>
      </w:pPr>
      <w:r w:rsidRPr="00E57EAA">
        <w:rPr>
          <w:noProof/>
          <w:u w:val="single"/>
          <w:lang w:val="en-IE"/>
        </w:rPr>
        <w:t xml:space="preserve">Expected impacts: </w:t>
      </w:r>
    </w:p>
    <w:p w14:paraId="1BFF102F" w14:textId="763D27AE" w:rsidR="004544F7" w:rsidRPr="00E51115" w:rsidRDefault="004544F7" w:rsidP="00C909C6">
      <w:r w:rsidRPr="00C909C6">
        <w:rPr>
          <w:rFonts w:eastAsia="Arial"/>
          <w:b/>
        </w:rPr>
        <w:t>Measure 1</w:t>
      </w:r>
      <w:r w:rsidRPr="00BA210D">
        <w:rPr>
          <w:rFonts w:eastAsia="Arial"/>
        </w:rPr>
        <w:t xml:space="preserve"> </w:t>
      </w:r>
      <w:r w:rsidR="009B57F6">
        <w:rPr>
          <w:rFonts w:eastAsia="Arial"/>
          <w:b/>
          <w:bCs/>
        </w:rPr>
        <w:t xml:space="preserve">– </w:t>
      </w:r>
      <w:r w:rsidR="00861103">
        <w:rPr>
          <w:rFonts w:eastAsia="Arial"/>
          <w:b/>
          <w:bCs/>
        </w:rPr>
        <w:t xml:space="preserve">the enlarged scope </w:t>
      </w:r>
      <w:r w:rsidRPr="00BA210D">
        <w:rPr>
          <w:rFonts w:eastAsia="Arial"/>
        </w:rPr>
        <w:t>is textually modest</w:t>
      </w:r>
      <w:r w:rsidR="00861103">
        <w:rPr>
          <w:rFonts w:eastAsia="Arial"/>
        </w:rPr>
        <w:t xml:space="preserve"> but</w:t>
      </w:r>
      <w:r w:rsidRPr="00BA210D">
        <w:rPr>
          <w:rFonts w:eastAsia="Arial"/>
        </w:rPr>
        <w:t xml:space="preserve"> </w:t>
      </w:r>
      <w:r w:rsidRPr="003F5877">
        <w:rPr>
          <w:rFonts w:eastAsia="Arial"/>
          <w:b/>
          <w:bCs/>
        </w:rPr>
        <w:t>legally consequential</w:t>
      </w:r>
      <w:r w:rsidRPr="00BA210D">
        <w:rPr>
          <w:rFonts w:eastAsia="Arial"/>
        </w:rPr>
        <w:t xml:space="preserve"> as the foundational enabler of Measures 2 and 3. On its own, however, it generates no direct operational requirements, administrative obligations or supervisory mandates. Its independent effect operates through a single channel: the provision of legal certainty by formally recognising organ processing as a regulated activity within the EU legislative framework. This </w:t>
      </w:r>
      <w:r w:rsidRPr="003F5877">
        <w:rPr>
          <w:rFonts w:eastAsia="Arial"/>
          <w:b/>
          <w:bCs/>
        </w:rPr>
        <w:t>resolves the legal ambiguity</w:t>
      </w:r>
      <w:r w:rsidRPr="00BA210D">
        <w:rPr>
          <w:rFonts w:eastAsia="Arial"/>
        </w:rPr>
        <w:t xml:space="preserve"> identified in the problem definition and sends a </w:t>
      </w:r>
      <w:r w:rsidRPr="003F5877">
        <w:rPr>
          <w:rFonts w:eastAsia="Arial"/>
          <w:b/>
          <w:bCs/>
        </w:rPr>
        <w:t>regulatory signal to transplantation centres and technology developers</w:t>
      </w:r>
      <w:r w:rsidRPr="00BA210D">
        <w:rPr>
          <w:rFonts w:eastAsia="Arial"/>
        </w:rPr>
        <w:t xml:space="preserve">, but the substantive operational, administrative, and health impacts materialise only through Measures 2 and 3. </w:t>
      </w:r>
    </w:p>
    <w:p w14:paraId="1C80E746" w14:textId="67D2476E" w:rsidR="004544F7" w:rsidRPr="00DB0396" w:rsidRDefault="004544F7" w:rsidP="00CD6D61">
      <w:pPr>
        <w:rPr>
          <w:rFonts w:eastAsia="Arial"/>
        </w:rPr>
      </w:pPr>
      <w:r w:rsidRPr="00E63153">
        <w:rPr>
          <w:rFonts w:eastAsia="Arial"/>
          <w:b/>
          <w:bCs/>
        </w:rPr>
        <w:t>Measure 2</w:t>
      </w:r>
      <w:r>
        <w:rPr>
          <w:rFonts w:eastAsia="Arial"/>
          <w:b/>
          <w:bCs/>
        </w:rPr>
        <w:t xml:space="preserve"> – on organ processing authorisation regime -</w:t>
      </w:r>
      <w:r w:rsidRPr="00E63153">
        <w:rPr>
          <w:rFonts w:eastAsia="Arial"/>
        </w:rPr>
        <w:t xml:space="preserve"> is </w:t>
      </w:r>
      <w:r w:rsidR="009970DD">
        <w:rPr>
          <w:rFonts w:eastAsia="Arial"/>
        </w:rPr>
        <w:t>crucial and derives in</w:t>
      </w:r>
      <w:r w:rsidRPr="00E63153">
        <w:rPr>
          <w:rFonts w:eastAsia="Arial"/>
        </w:rPr>
        <w:t xml:space="preserve"> nearly all quantified impacts</w:t>
      </w:r>
      <w:r w:rsidR="00CF270D">
        <w:rPr>
          <w:rFonts w:eastAsia="Arial"/>
        </w:rPr>
        <w:t xml:space="preserve"> for this intervention area</w:t>
      </w:r>
      <w:r w:rsidRPr="00E63153">
        <w:rPr>
          <w:rFonts w:eastAsia="Arial"/>
        </w:rPr>
        <w:t xml:space="preserve">. </w:t>
      </w:r>
    </w:p>
    <w:p w14:paraId="5F08FE89" w14:textId="2B1D38DD" w:rsidR="000E349C" w:rsidRDefault="004544F7" w:rsidP="00CD6D61">
      <w:pPr>
        <w:rPr>
          <w:rFonts w:eastAsia="Arial"/>
        </w:rPr>
      </w:pPr>
      <w:r w:rsidRPr="00E2039B">
        <w:rPr>
          <w:rFonts w:eastAsia="Arial"/>
        </w:rPr>
        <w:t xml:space="preserve">The conduct of business is assessed as moderate positive: the framework relates to the operational model of transplantation centres by introducing a prior authorisation obligation per centre and per processing technology. However, the </w:t>
      </w:r>
      <w:r w:rsidRPr="004544F7">
        <w:rPr>
          <w:rFonts w:eastAsia="Arial"/>
          <w:b/>
          <w:bCs/>
        </w:rPr>
        <w:t>net effect is positive because the certainty channel</w:t>
      </w:r>
      <w:r w:rsidRPr="00E2039B">
        <w:rPr>
          <w:rFonts w:eastAsia="Arial"/>
        </w:rPr>
        <w:t xml:space="preserve"> (removing the legal ambiguity that functions as a structural drag on adoption) outweighs the compliance channel, yielding an </w:t>
      </w:r>
      <w:r w:rsidRPr="004544F7">
        <w:rPr>
          <w:rFonts w:eastAsia="Arial"/>
          <w:b/>
          <w:bCs/>
        </w:rPr>
        <w:t>estimated 70-110 additional programmes</w:t>
      </w:r>
      <w:r w:rsidRPr="00E2039B">
        <w:rPr>
          <w:rFonts w:eastAsia="Arial"/>
        </w:rPr>
        <w:t xml:space="preserve"> with active processing capability and approximately </w:t>
      </w:r>
      <w:r w:rsidRPr="004544F7">
        <w:rPr>
          <w:rFonts w:eastAsia="Arial"/>
          <w:b/>
          <w:bCs/>
        </w:rPr>
        <w:t>1,435 additional transplants</w:t>
      </w:r>
      <w:r w:rsidRPr="00E2039B">
        <w:rPr>
          <w:rFonts w:eastAsia="Arial"/>
        </w:rPr>
        <w:t xml:space="preserve"> per year by 2035. </w:t>
      </w:r>
    </w:p>
    <w:p w14:paraId="1CC4A141" w14:textId="31A92136" w:rsidR="000E349C" w:rsidRDefault="004544F7" w:rsidP="00CD6D61">
      <w:pPr>
        <w:rPr>
          <w:rFonts w:eastAsia="Arial"/>
        </w:rPr>
      </w:pPr>
      <w:r w:rsidRPr="000E349C">
        <w:rPr>
          <w:rFonts w:eastAsia="Arial"/>
          <w:b/>
        </w:rPr>
        <w:t>Administrative costs</w:t>
      </w:r>
      <w:r w:rsidRPr="56BFE474">
        <w:rPr>
          <w:rFonts w:eastAsia="Arial"/>
        </w:rPr>
        <w:t xml:space="preserve"> </w:t>
      </w:r>
      <w:r w:rsidRPr="001546C6">
        <w:rPr>
          <w:rFonts w:eastAsia="Arial"/>
          <w:b/>
        </w:rPr>
        <w:t>on businesses</w:t>
      </w:r>
      <w:r w:rsidRPr="56BFE474">
        <w:rPr>
          <w:rFonts w:eastAsia="Arial"/>
        </w:rPr>
        <w:t xml:space="preserve"> are assessed as </w:t>
      </w:r>
      <w:r w:rsidRPr="000E349C">
        <w:rPr>
          <w:rFonts w:eastAsia="Arial"/>
          <w:b/>
        </w:rPr>
        <w:t>marginal negative</w:t>
      </w:r>
      <w:r w:rsidRPr="56BFE474">
        <w:rPr>
          <w:rFonts w:eastAsia="Arial"/>
        </w:rPr>
        <w:t xml:space="preserve">: the per-application cost is estimated at </w:t>
      </w:r>
      <w:r w:rsidRPr="000E349C">
        <w:rPr>
          <w:rFonts w:eastAsia="Arial"/>
          <w:b/>
        </w:rPr>
        <w:t>EUR 11,500-16,750</w:t>
      </w:r>
      <w:r w:rsidRPr="56BFE474">
        <w:rPr>
          <w:rFonts w:eastAsia="Arial"/>
        </w:rPr>
        <w:t xml:space="preserve"> (Track 1/Track 2), with a cumulative EU burden of approximately </w:t>
      </w:r>
      <w:r w:rsidRPr="56BFE474">
        <w:rPr>
          <w:rFonts w:eastAsia="Arial"/>
          <w:b/>
          <w:bCs/>
        </w:rPr>
        <w:t>EUR 2.5 m</w:t>
      </w:r>
      <w:r w:rsidR="42E05E82" w:rsidRPr="56BFE474">
        <w:rPr>
          <w:rFonts w:eastAsia="Arial"/>
          <w:b/>
          <w:bCs/>
        </w:rPr>
        <w:t>illion</w:t>
      </w:r>
      <w:r w:rsidRPr="004F48D9">
        <w:rPr>
          <w:rFonts w:eastAsia="Arial"/>
          <w:b/>
        </w:rPr>
        <w:t xml:space="preserve"> over 2029-2035</w:t>
      </w:r>
      <w:r w:rsidRPr="56BFE474">
        <w:rPr>
          <w:rFonts w:eastAsia="Arial"/>
        </w:rPr>
        <w:t>, costs that are real but proportionate and partially offset by replacing fragmented and duplicative baseline compliance arrangements. Moreover, only the first centre in the EU has to complete the full pathway at the full cost, since subsequent centres can apply a shortened pathway by using evidence from the central list</w:t>
      </w:r>
      <w:r w:rsidR="20E0A005" w:rsidRPr="56BFE474">
        <w:rPr>
          <w:rFonts w:eastAsia="Arial"/>
        </w:rPr>
        <w:t>. This leads to significant administrative savings for the overall EU transplant community.</w:t>
      </w:r>
      <w:r>
        <w:t xml:space="preserve"> </w:t>
      </w:r>
      <w:r w:rsidRPr="56BFE474">
        <w:rPr>
          <w:rFonts w:eastAsia="Arial"/>
        </w:rPr>
        <w:t>Further, transitional measures are envisaged to avoid the authorisation of practices already in place</w:t>
      </w:r>
      <w:r w:rsidR="470A1EA7" w:rsidRPr="56BFE474">
        <w:rPr>
          <w:rFonts w:eastAsia="Arial"/>
        </w:rPr>
        <w:t>, so that these are not to be re-authorized</w:t>
      </w:r>
      <w:r w:rsidRPr="56BFE474">
        <w:rPr>
          <w:rFonts w:eastAsia="Arial"/>
        </w:rPr>
        <w:t xml:space="preserve">. </w:t>
      </w:r>
    </w:p>
    <w:p w14:paraId="5121B029" w14:textId="632A33AC" w:rsidR="000E349C" w:rsidRDefault="004544F7" w:rsidP="00CD6D61">
      <w:pPr>
        <w:rPr>
          <w:rFonts w:eastAsia="Arial"/>
        </w:rPr>
      </w:pPr>
      <w:r w:rsidRPr="000E349C">
        <w:rPr>
          <w:rFonts w:eastAsia="Arial"/>
          <w:b/>
        </w:rPr>
        <w:t>Competitiveness, trade and investment flows</w:t>
      </w:r>
      <w:r w:rsidRPr="00E2039B">
        <w:rPr>
          <w:rFonts w:eastAsia="Arial"/>
        </w:rPr>
        <w:t xml:space="preserve"> are </w:t>
      </w:r>
      <w:r w:rsidRPr="000E349C">
        <w:rPr>
          <w:rFonts w:eastAsia="Arial"/>
          <w:b/>
        </w:rPr>
        <w:t>marginal</w:t>
      </w:r>
      <w:r w:rsidR="00351D8C">
        <w:rPr>
          <w:rFonts w:eastAsia="Arial"/>
          <w:b/>
        </w:rPr>
        <w:t>ly</w:t>
      </w:r>
      <w:r w:rsidRPr="000E349C">
        <w:rPr>
          <w:rFonts w:eastAsia="Arial"/>
          <w:b/>
        </w:rPr>
        <w:t xml:space="preserve"> positive</w:t>
      </w:r>
      <w:r w:rsidRPr="00E2039B">
        <w:rPr>
          <w:rFonts w:eastAsia="Arial"/>
        </w:rPr>
        <w:t xml:space="preserve">: the transparent authorisation pathway reduces the regulatory risk premium for private investment in organ processing technologies, but the effect is indirect given the niche character of the market. The </w:t>
      </w:r>
      <w:r w:rsidRPr="000E349C">
        <w:rPr>
          <w:rFonts w:eastAsia="Arial"/>
          <w:b/>
        </w:rPr>
        <w:t>internal market</w:t>
      </w:r>
      <w:r w:rsidRPr="00E2039B">
        <w:rPr>
          <w:rFonts w:eastAsia="Arial"/>
        </w:rPr>
        <w:t xml:space="preserve"> benefits from </w:t>
      </w:r>
      <w:r w:rsidR="001F1BCC">
        <w:rPr>
          <w:rFonts w:eastAsia="Arial"/>
        </w:rPr>
        <w:t>standardised</w:t>
      </w:r>
      <w:r w:rsidR="001F1BCC" w:rsidRPr="00E2039B">
        <w:rPr>
          <w:rFonts w:eastAsia="Arial"/>
        </w:rPr>
        <w:t xml:space="preserve"> </w:t>
      </w:r>
      <w:r w:rsidRPr="00E2039B">
        <w:rPr>
          <w:rFonts w:eastAsia="Arial"/>
        </w:rPr>
        <w:t xml:space="preserve">authorisation </w:t>
      </w:r>
      <w:r w:rsidR="00F017C4">
        <w:rPr>
          <w:rFonts w:eastAsia="Arial"/>
        </w:rPr>
        <w:t>procedures</w:t>
      </w:r>
      <w:r w:rsidRPr="00E2039B">
        <w:rPr>
          <w:rFonts w:eastAsia="Arial"/>
        </w:rPr>
        <w:t xml:space="preserve"> that create mutual trust for cross-border exchange of processed organs, with an estimated </w:t>
      </w:r>
      <w:r w:rsidRPr="000E349C">
        <w:rPr>
          <w:rFonts w:eastAsia="Arial"/>
          <w:b/>
        </w:rPr>
        <w:t>120-250 additional cross-border exchanges</w:t>
      </w:r>
      <w:r w:rsidRPr="00E2039B">
        <w:rPr>
          <w:rFonts w:eastAsia="Arial"/>
        </w:rPr>
        <w:t xml:space="preserve"> per year by 2035, while the published list of authorised operations generates de facto EU-wide convergence of practice. </w:t>
      </w:r>
    </w:p>
    <w:p w14:paraId="5B771030" w14:textId="14F7888F" w:rsidR="000E349C" w:rsidRDefault="004544F7" w:rsidP="00CD6D61">
      <w:pPr>
        <w:rPr>
          <w:rFonts w:eastAsia="Arial"/>
        </w:rPr>
      </w:pPr>
      <w:r w:rsidRPr="000E349C">
        <w:rPr>
          <w:rFonts w:eastAsia="Arial"/>
          <w:b/>
        </w:rPr>
        <w:t>Innovation and research</w:t>
      </w:r>
      <w:r w:rsidRPr="00E2039B">
        <w:rPr>
          <w:rFonts w:eastAsia="Arial"/>
        </w:rPr>
        <w:t xml:space="preserve"> </w:t>
      </w:r>
      <w:r w:rsidR="00626B4D">
        <w:rPr>
          <w:rFonts w:eastAsia="Arial"/>
        </w:rPr>
        <w:t>are</w:t>
      </w:r>
      <w:r w:rsidRPr="00E2039B">
        <w:rPr>
          <w:rFonts w:eastAsia="Arial"/>
        </w:rPr>
        <w:t xml:space="preserve"> </w:t>
      </w:r>
      <w:r w:rsidRPr="000E349C">
        <w:rPr>
          <w:rFonts w:eastAsia="Arial"/>
          <w:b/>
        </w:rPr>
        <w:t>moderate positive</w:t>
      </w:r>
      <w:r w:rsidRPr="00E2039B">
        <w:rPr>
          <w:rFonts w:eastAsia="Arial"/>
        </w:rPr>
        <w:t xml:space="preserve">: the dual-track system provides a structured pathway for next-generation technologies (Track 2 conditional authorisation), an </w:t>
      </w:r>
      <w:r w:rsidRPr="004F48D9">
        <w:rPr>
          <w:rFonts w:eastAsia="Arial"/>
          <w:b/>
        </w:rPr>
        <w:t xml:space="preserve">estimated 15-36 active monitoring plans </w:t>
      </w:r>
      <w:r w:rsidRPr="00E2039B">
        <w:rPr>
          <w:rFonts w:eastAsia="Arial"/>
        </w:rPr>
        <w:t xml:space="preserve">generate structured EU-level evidence, and the “Processing” data field in the Annex creates the taxonomic infrastructure to disaggregate processing-attributable outcomes. </w:t>
      </w:r>
    </w:p>
    <w:p w14:paraId="314E8F53" w14:textId="74E4A06F" w:rsidR="000E349C" w:rsidRDefault="004544F7" w:rsidP="00CD6D61">
      <w:pPr>
        <w:rPr>
          <w:rFonts w:eastAsia="Arial"/>
        </w:rPr>
      </w:pPr>
      <w:r w:rsidRPr="000E349C">
        <w:rPr>
          <w:rFonts w:eastAsia="Arial"/>
          <w:b/>
        </w:rPr>
        <w:t>Public authorities</w:t>
      </w:r>
      <w:r w:rsidRPr="00E2039B">
        <w:rPr>
          <w:rFonts w:eastAsia="Arial"/>
        </w:rPr>
        <w:t xml:space="preserve"> face a </w:t>
      </w:r>
      <w:r w:rsidRPr="000E349C">
        <w:rPr>
          <w:rFonts w:eastAsia="Arial"/>
          <w:b/>
        </w:rPr>
        <w:t>marginal negative</w:t>
      </w:r>
      <w:r w:rsidRPr="00E2039B">
        <w:rPr>
          <w:rFonts w:eastAsia="Arial"/>
        </w:rPr>
        <w:t xml:space="preserve"> impact: the transition-phase assessment cost is approximately </w:t>
      </w:r>
      <w:r w:rsidRPr="000E349C">
        <w:rPr>
          <w:rFonts w:eastAsia="Arial"/>
          <w:b/>
        </w:rPr>
        <w:t xml:space="preserve">EUR 850,000 over three years </w:t>
      </w:r>
      <w:r w:rsidRPr="00E2039B">
        <w:rPr>
          <w:rFonts w:eastAsia="Arial"/>
        </w:rPr>
        <w:t xml:space="preserve">across the EU, declining to approximately </w:t>
      </w:r>
      <w:r w:rsidRPr="00626B4D">
        <w:rPr>
          <w:rFonts w:eastAsia="Arial"/>
          <w:b/>
        </w:rPr>
        <w:t>EUR</w:t>
      </w:r>
      <w:r w:rsidRPr="00E2039B">
        <w:rPr>
          <w:rFonts w:eastAsia="Arial"/>
        </w:rPr>
        <w:t xml:space="preserve"> </w:t>
      </w:r>
      <w:r w:rsidRPr="000E349C">
        <w:rPr>
          <w:rFonts w:eastAsia="Arial"/>
          <w:b/>
        </w:rPr>
        <w:t>60,000-85,000 per year</w:t>
      </w:r>
      <w:r w:rsidRPr="00E2039B">
        <w:rPr>
          <w:rFonts w:eastAsia="Arial"/>
        </w:rPr>
        <w:t xml:space="preserve"> in steady state; the net incremental cost is moderated by the replacement of ad hoc national arrangements but represents a genuine, if manageable, expansion of the supervisory mandate. </w:t>
      </w:r>
    </w:p>
    <w:p w14:paraId="18351E28" w14:textId="34CCAEDF" w:rsidR="004544F7" w:rsidRDefault="004544F7" w:rsidP="00CD6D61">
      <w:pPr>
        <w:rPr>
          <w:rFonts w:eastAsia="Arial"/>
        </w:rPr>
      </w:pPr>
      <w:r w:rsidRPr="00E2039B">
        <w:rPr>
          <w:rFonts w:eastAsia="Arial"/>
        </w:rPr>
        <w:t xml:space="preserve">Public health and safety is the strongest effect, assessed as significant positive: </w:t>
      </w:r>
      <w:r w:rsidRPr="000E349C">
        <w:rPr>
          <w:rFonts w:eastAsia="Arial"/>
          <w:b/>
        </w:rPr>
        <w:t>1,435 additional transplants per year by 2035; 570-945 fewer organ discards; 57-72 waiting-list deaths averted annually; approximately EUR 158 m in cumulative dialysis cost savings</w:t>
      </w:r>
      <w:r w:rsidRPr="00E2039B">
        <w:rPr>
          <w:rFonts w:eastAsia="Arial"/>
        </w:rPr>
        <w:t xml:space="preserve"> over 2028–2035; and a structural improvement in safety oversight through the mandatory benefit-risk assessment and clinical-outcome monitoring mechanisms.</w:t>
      </w:r>
    </w:p>
    <w:p w14:paraId="4E8011EE" w14:textId="2110FEBA" w:rsidR="000E349C" w:rsidRDefault="004544F7" w:rsidP="00CD6D61">
      <w:pPr>
        <w:rPr>
          <w:rFonts w:eastAsia="Arial"/>
        </w:rPr>
      </w:pPr>
      <w:r w:rsidRPr="000E349C">
        <w:rPr>
          <w:rFonts w:eastAsia="Arial"/>
          <w:b/>
        </w:rPr>
        <w:t>Measure 3</w:t>
      </w:r>
      <w:r w:rsidRPr="00E57EAA">
        <w:rPr>
          <w:rFonts w:eastAsia="Arial"/>
        </w:rPr>
        <w:t xml:space="preserve"> addresses the </w:t>
      </w:r>
      <w:r w:rsidRPr="000E349C">
        <w:rPr>
          <w:rFonts w:eastAsia="Arial"/>
          <w:b/>
        </w:rPr>
        <w:t>multi-regulatory-domain nature of organ processing</w:t>
      </w:r>
      <w:r w:rsidRPr="00E57EAA">
        <w:rPr>
          <w:rFonts w:eastAsia="Arial"/>
        </w:rPr>
        <w:t xml:space="preserve">, which require competent authorities to verify that products used in processing (medical devices, medicinal products, SoHO preparations) are duly authorised under their respective EU frameworks, and mandate cross-authority collaboration for the exchange of clinical outcome data. Its impact profile is narrower and more targeted than Measure 2. </w:t>
      </w:r>
    </w:p>
    <w:p w14:paraId="53497F9C" w14:textId="77A804DC" w:rsidR="000E349C" w:rsidRDefault="004544F7" w:rsidP="00CD6D61">
      <w:pPr>
        <w:rPr>
          <w:rFonts w:eastAsia="Arial"/>
        </w:rPr>
      </w:pPr>
      <w:r w:rsidRPr="00E57EAA">
        <w:rPr>
          <w:rFonts w:eastAsia="Arial"/>
        </w:rPr>
        <w:t xml:space="preserve">The </w:t>
      </w:r>
      <w:r w:rsidRPr="000E349C">
        <w:rPr>
          <w:rFonts w:eastAsia="Arial"/>
          <w:b/>
        </w:rPr>
        <w:t>conduct of business</w:t>
      </w:r>
      <w:r w:rsidRPr="00E57EAA">
        <w:rPr>
          <w:rFonts w:eastAsia="Arial"/>
        </w:rPr>
        <w:t xml:space="preserve"> is marginal positive: the cross-framework verification adds a structured step to the centre’s processing workflow but also </w:t>
      </w:r>
      <w:r w:rsidR="16FCF762" w:rsidRPr="426975E9">
        <w:rPr>
          <w:rFonts w:eastAsia="Arial"/>
        </w:rPr>
        <w:t xml:space="preserve">brings EU </w:t>
      </w:r>
      <w:r w:rsidR="16FCF762" w:rsidRPr="450EFE48">
        <w:rPr>
          <w:rFonts w:eastAsia="Arial"/>
        </w:rPr>
        <w:t xml:space="preserve">harmonization and </w:t>
      </w:r>
      <w:r w:rsidRPr="00E57EAA">
        <w:rPr>
          <w:rFonts w:eastAsia="Arial"/>
        </w:rPr>
        <w:t xml:space="preserve">reduces the ad hoc legal uncertainty that centres currently face regarding the permissibility of specific product combinations. </w:t>
      </w:r>
    </w:p>
    <w:p w14:paraId="77A3194B" w14:textId="4BD512E2" w:rsidR="000E349C" w:rsidRDefault="004544F7" w:rsidP="00CD6D61">
      <w:pPr>
        <w:rPr>
          <w:rFonts w:eastAsia="Arial"/>
        </w:rPr>
      </w:pPr>
      <w:r w:rsidRPr="000E349C">
        <w:rPr>
          <w:rFonts w:eastAsia="Arial"/>
          <w:b/>
        </w:rPr>
        <w:t>Administrative costs</w:t>
      </w:r>
      <w:r w:rsidRPr="00E57EAA">
        <w:rPr>
          <w:rFonts w:eastAsia="Arial"/>
        </w:rPr>
        <w:t xml:space="preserve"> are marginal negative: the verification dossier imposes a modest additional documentation requirement, functionally embedded within the Measure 2 application process.</w:t>
      </w:r>
      <w:r w:rsidR="355C3602" w:rsidRPr="0666EF25">
        <w:rPr>
          <w:rFonts w:eastAsia="Arial"/>
        </w:rPr>
        <w:t xml:space="preserve"> </w:t>
      </w:r>
      <w:r w:rsidR="355C3602" w:rsidRPr="1FF22EA7">
        <w:rPr>
          <w:rFonts w:eastAsia="Arial"/>
        </w:rPr>
        <w:t>However</w:t>
      </w:r>
      <w:r w:rsidR="36F4A15F" w:rsidRPr="52E9762C">
        <w:rPr>
          <w:rFonts w:eastAsia="Arial"/>
        </w:rPr>
        <w:t>,</w:t>
      </w:r>
      <w:r w:rsidR="355C3602" w:rsidRPr="1FF22EA7">
        <w:rPr>
          <w:rFonts w:eastAsia="Arial"/>
        </w:rPr>
        <w:t xml:space="preserve"> there is a significant simplification in</w:t>
      </w:r>
      <w:r w:rsidR="355C3602" w:rsidRPr="1D73DA29">
        <w:rPr>
          <w:rFonts w:eastAsia="Arial"/>
        </w:rPr>
        <w:t xml:space="preserve"> administration by other centres, aiming to implement an organ </w:t>
      </w:r>
      <w:r w:rsidR="355C3602" w:rsidRPr="6692C979">
        <w:rPr>
          <w:rFonts w:eastAsia="Arial"/>
        </w:rPr>
        <w:t>processing step already authorized in other EU transplant centres</w:t>
      </w:r>
      <w:r w:rsidR="355C3602" w:rsidRPr="1FF22EA7">
        <w:rPr>
          <w:rFonts w:eastAsia="Arial"/>
        </w:rPr>
        <w:t xml:space="preserve">, facilitating uptake of novel </w:t>
      </w:r>
      <w:r w:rsidR="355C3602" w:rsidRPr="52E9762C">
        <w:rPr>
          <w:rFonts w:eastAsia="Arial"/>
        </w:rPr>
        <w:t>proc</w:t>
      </w:r>
      <w:r w:rsidR="13981083" w:rsidRPr="52E9762C">
        <w:rPr>
          <w:rFonts w:eastAsia="Arial"/>
        </w:rPr>
        <w:t>esses across the EU.</w:t>
      </w:r>
    </w:p>
    <w:p w14:paraId="45A99C55" w14:textId="43516191" w:rsidR="000E349C" w:rsidRDefault="004544F7" w:rsidP="00CD6D61">
      <w:pPr>
        <w:rPr>
          <w:rFonts w:eastAsia="Arial"/>
        </w:rPr>
      </w:pPr>
      <w:r w:rsidRPr="000E349C">
        <w:rPr>
          <w:rFonts w:eastAsia="Arial"/>
          <w:b/>
        </w:rPr>
        <w:t>Competitiveness, trade and investment flows</w:t>
      </w:r>
      <w:r w:rsidRPr="00E57EAA">
        <w:rPr>
          <w:rFonts w:eastAsia="Arial"/>
        </w:rPr>
        <w:t xml:space="preserve"> are marginal positive: the clearer multi-domain regulatory landscape marginally improves investment predictability for manufacturers of perfusates, gene therapy vectors, and other products used across regulatory frameworks. </w:t>
      </w:r>
    </w:p>
    <w:p w14:paraId="7AD3D006" w14:textId="1F0000F3" w:rsidR="000E349C" w:rsidRDefault="004544F7" w:rsidP="00CD6D61">
      <w:pPr>
        <w:rPr>
          <w:rFonts w:eastAsia="Arial"/>
        </w:rPr>
      </w:pPr>
      <w:r w:rsidRPr="00E57EAA">
        <w:rPr>
          <w:rFonts w:eastAsia="Arial"/>
        </w:rPr>
        <w:t xml:space="preserve">The </w:t>
      </w:r>
      <w:r w:rsidRPr="000E349C">
        <w:rPr>
          <w:rFonts w:eastAsia="Arial"/>
          <w:b/>
        </w:rPr>
        <w:t>internal market</w:t>
      </w:r>
      <w:r w:rsidRPr="00E57EAA">
        <w:rPr>
          <w:rFonts w:eastAsia="Arial"/>
        </w:rPr>
        <w:t xml:space="preserve"> is the principal beneficiary of this measure: the mandatory cross-authority coordination directly addresses the regulatory silo problem identified in Section </w:t>
      </w:r>
      <w:r w:rsidR="00B53A19">
        <w:rPr>
          <w:rFonts w:eastAsia="Arial"/>
        </w:rPr>
        <w:t>3.2.3</w:t>
      </w:r>
      <w:r w:rsidRPr="00E57EAA">
        <w:rPr>
          <w:rFonts w:eastAsia="Arial"/>
        </w:rPr>
        <w:t xml:space="preserve"> and creates legally binding cooperation obligations that facilitate the acceptance of processed organs involving multi-domain products across Member State borders.</w:t>
      </w:r>
    </w:p>
    <w:p w14:paraId="30217FD7" w14:textId="6FE3A3EA" w:rsidR="000E349C" w:rsidRDefault="004544F7" w:rsidP="00CD6D61">
      <w:pPr>
        <w:rPr>
          <w:rFonts w:eastAsia="Arial"/>
        </w:rPr>
      </w:pPr>
      <w:r w:rsidRPr="000E349C">
        <w:rPr>
          <w:rFonts w:eastAsia="Arial"/>
          <w:b/>
        </w:rPr>
        <w:t>Innovation and research</w:t>
      </w:r>
      <w:r w:rsidRPr="00E57EAA">
        <w:rPr>
          <w:rFonts w:eastAsia="Arial"/>
        </w:rPr>
        <w:t xml:space="preserve"> </w:t>
      </w:r>
      <w:r w:rsidR="48EFE7A1" w:rsidRPr="7E49C426">
        <w:rPr>
          <w:rFonts w:eastAsia="Arial"/>
        </w:rPr>
        <w:t>are</w:t>
      </w:r>
      <w:r w:rsidRPr="00E57EAA">
        <w:rPr>
          <w:rFonts w:eastAsia="Arial"/>
        </w:rPr>
        <w:t xml:space="preserve"> marginal positive: the mandated exchange of clinical outcome data between regulatory frameworks generates research-valuable evidence on multi-domain processing outcomes, contributing to a more coherent EU-level evidence ecosystem. </w:t>
      </w:r>
    </w:p>
    <w:p w14:paraId="36E995AA" w14:textId="68264B5C" w:rsidR="000E349C" w:rsidRDefault="004544F7" w:rsidP="00CD6D61">
      <w:pPr>
        <w:rPr>
          <w:rFonts w:eastAsia="Arial"/>
        </w:rPr>
      </w:pPr>
      <w:r w:rsidRPr="000E349C">
        <w:rPr>
          <w:rFonts w:eastAsia="Arial"/>
          <w:b/>
        </w:rPr>
        <w:t>Public authorities</w:t>
      </w:r>
      <w:r w:rsidRPr="00E57EAA">
        <w:rPr>
          <w:rFonts w:eastAsia="Arial"/>
        </w:rPr>
        <w:t xml:space="preserve"> face marginal negative costs from establishing inter-authority communication protocols, though Member States with existing cooperation infrastructure will face limited marginal effort. </w:t>
      </w:r>
    </w:p>
    <w:p w14:paraId="48D2A113" w14:textId="5FC1FC90" w:rsidR="004544F7" w:rsidRPr="00E51115" w:rsidRDefault="004544F7" w:rsidP="00CD6D61">
      <w:r w:rsidRPr="000E349C">
        <w:rPr>
          <w:rFonts w:eastAsia="Arial"/>
          <w:b/>
        </w:rPr>
        <w:t>Public health and safety</w:t>
      </w:r>
      <w:r w:rsidRPr="00E57EAA">
        <w:rPr>
          <w:rFonts w:eastAsia="Arial"/>
        </w:rPr>
        <w:t xml:space="preserve"> benefits indirectly but materially: the cross-framework verification ensures that all products used in processing meet their respective EU safety standards, and the mandated data exchange improves pharmacovigilance and device vigilance for processing-related adverse events, closing a surveillance gap that currently exists between regulatory silos.</w:t>
      </w:r>
    </w:p>
    <w:p w14:paraId="6CBD2609" w14:textId="300319C6" w:rsidR="00AE32C1" w:rsidRPr="00626B4D" w:rsidDel="00B72752" w:rsidRDefault="00AE32C1" w:rsidP="00626B4D">
      <w:pPr>
        <w:rPr>
          <w:b/>
          <w:caps/>
        </w:rPr>
      </w:pPr>
      <w:r w:rsidRPr="00626B4D">
        <w:rPr>
          <w:b/>
        </w:rPr>
        <w:t xml:space="preserve">Table </w:t>
      </w:r>
      <w:r w:rsidR="007A43F6">
        <w:rPr>
          <w:b/>
          <w:bCs/>
        </w:rPr>
        <w:t>8</w:t>
      </w:r>
      <w:r w:rsidRPr="00626B4D">
        <w:rPr>
          <w:b/>
        </w:rPr>
        <w:t xml:space="preserve">. </w:t>
      </w:r>
      <w:r w:rsidRPr="00626B4D" w:rsidDel="00B72752">
        <w:rPr>
          <w:b/>
        </w:rPr>
        <w:t xml:space="preserve">Summary assessment of the effects due to the </w:t>
      </w:r>
      <w:r w:rsidR="00D327E3" w:rsidRPr="00626B4D">
        <w:rPr>
          <w:b/>
        </w:rPr>
        <w:t>intervention n</w:t>
      </w:r>
      <w:r w:rsidRPr="00626B4D">
        <w:rPr>
          <w:b/>
        </w:rPr>
        <w:t>°8</w:t>
      </w:r>
    </w:p>
    <w:tbl>
      <w:tblPr>
        <w:tblStyle w:val="TableGrid"/>
        <w:tblpPr w:leftFromText="180" w:rightFromText="180" w:vertAnchor="text" w:horzAnchor="margin" w:tblpY="103"/>
        <w:tblW w:w="8560" w:type="dxa"/>
        <w:tblLook w:val="04A0" w:firstRow="1" w:lastRow="0" w:firstColumn="1" w:lastColumn="0" w:noHBand="0" w:noVBand="1"/>
      </w:tblPr>
      <w:tblGrid>
        <w:gridCol w:w="2041"/>
        <w:gridCol w:w="907"/>
        <w:gridCol w:w="907"/>
        <w:gridCol w:w="907"/>
        <w:gridCol w:w="1077"/>
        <w:gridCol w:w="907"/>
        <w:gridCol w:w="907"/>
        <w:gridCol w:w="907"/>
      </w:tblGrid>
      <w:tr w:rsidR="00176DBC" w:rsidRPr="00AB529D" w14:paraId="0F27DDEC" w14:textId="77777777" w:rsidTr="00443C31">
        <w:trPr>
          <w:trHeight w:val="98"/>
        </w:trPr>
        <w:tc>
          <w:tcPr>
            <w:tcW w:w="2041" w:type="dxa"/>
          </w:tcPr>
          <w:p w14:paraId="325E3B2E" w14:textId="740807C4" w:rsidR="00176DBC" w:rsidRPr="00AB529D" w:rsidRDefault="00C16C46" w:rsidP="006E6745">
            <w:pPr>
              <w:pStyle w:val="TABLEFONT"/>
              <w:framePr w:hSpace="0" w:wrap="auto" w:vAnchor="margin" w:hAnchor="text" w:yAlign="inline"/>
            </w:pPr>
            <w:r>
              <w:t xml:space="preserve">Policy </w:t>
            </w:r>
            <w:r w:rsidR="00623859">
              <w:t>measure</w:t>
            </w:r>
          </w:p>
        </w:tc>
        <w:tc>
          <w:tcPr>
            <w:tcW w:w="907" w:type="dxa"/>
          </w:tcPr>
          <w:p w14:paraId="6411321E" w14:textId="77777777" w:rsidR="00176DBC" w:rsidRPr="00AB529D" w:rsidRDefault="00176DBC" w:rsidP="006E6745">
            <w:pPr>
              <w:pStyle w:val="TABLEFONT"/>
              <w:framePr w:hSpace="0" w:wrap="auto" w:vAnchor="margin" w:hAnchor="text" w:yAlign="inline"/>
            </w:pPr>
            <w:r w:rsidRPr="00AB529D">
              <w:t>COB</w:t>
            </w:r>
          </w:p>
        </w:tc>
        <w:tc>
          <w:tcPr>
            <w:tcW w:w="907" w:type="dxa"/>
          </w:tcPr>
          <w:p w14:paraId="02BCA402" w14:textId="77777777" w:rsidR="00176DBC" w:rsidRPr="00AB529D" w:rsidRDefault="00176DBC" w:rsidP="006E6745">
            <w:pPr>
              <w:pStyle w:val="TABLEFONT"/>
              <w:framePr w:hSpace="0" w:wrap="auto" w:vAnchor="margin" w:hAnchor="text" w:yAlign="inline"/>
            </w:pPr>
            <w:r w:rsidRPr="00AB529D">
              <w:t>Admin</w:t>
            </w:r>
          </w:p>
        </w:tc>
        <w:tc>
          <w:tcPr>
            <w:tcW w:w="907" w:type="dxa"/>
          </w:tcPr>
          <w:p w14:paraId="19ECA4EA" w14:textId="77777777" w:rsidR="00176DBC" w:rsidRPr="00AB529D" w:rsidRDefault="00176DBC" w:rsidP="006E6745">
            <w:pPr>
              <w:pStyle w:val="TABLEFONT"/>
              <w:framePr w:hSpace="0" w:wrap="auto" w:vAnchor="margin" w:hAnchor="text" w:yAlign="inline"/>
            </w:pPr>
            <w:r w:rsidRPr="00AB529D">
              <w:t>CTI</w:t>
            </w:r>
          </w:p>
        </w:tc>
        <w:tc>
          <w:tcPr>
            <w:tcW w:w="1077" w:type="dxa"/>
          </w:tcPr>
          <w:p w14:paraId="267F63BA" w14:textId="77777777" w:rsidR="00176DBC" w:rsidRPr="00AB529D" w:rsidRDefault="00176DBC" w:rsidP="006E6745">
            <w:pPr>
              <w:pStyle w:val="TABLEFONT"/>
              <w:framePr w:hSpace="0" w:wrap="auto" w:vAnchor="margin" w:hAnchor="text" w:yAlign="inline"/>
            </w:pPr>
            <w:r w:rsidRPr="00AB529D">
              <w:t>Int Mar</w:t>
            </w:r>
          </w:p>
        </w:tc>
        <w:tc>
          <w:tcPr>
            <w:tcW w:w="907" w:type="dxa"/>
          </w:tcPr>
          <w:p w14:paraId="0021A254" w14:textId="77777777" w:rsidR="00176DBC" w:rsidRPr="00AB529D" w:rsidRDefault="00176DBC" w:rsidP="006E6745">
            <w:pPr>
              <w:pStyle w:val="TABLEFONT"/>
              <w:framePr w:hSpace="0" w:wrap="auto" w:vAnchor="margin" w:hAnchor="text" w:yAlign="inline"/>
              <w:rPr>
                <w:lang w:val="en-US"/>
              </w:rPr>
            </w:pPr>
            <w:r w:rsidRPr="00AB529D">
              <w:t>I</w:t>
            </w:r>
            <w:r w:rsidRPr="00AB529D">
              <w:rPr>
                <w:lang w:val="en-US"/>
              </w:rPr>
              <w:t>&amp;R</w:t>
            </w:r>
          </w:p>
        </w:tc>
        <w:tc>
          <w:tcPr>
            <w:tcW w:w="907" w:type="dxa"/>
          </w:tcPr>
          <w:p w14:paraId="255D1622" w14:textId="77777777" w:rsidR="00176DBC" w:rsidRPr="00AB529D" w:rsidRDefault="00176DBC" w:rsidP="006E6745">
            <w:pPr>
              <w:pStyle w:val="TABLEFONT"/>
              <w:framePr w:hSpace="0" w:wrap="auto" w:vAnchor="margin" w:hAnchor="text" w:yAlign="inline"/>
            </w:pPr>
            <w:r w:rsidRPr="00AB529D">
              <w:t>PA</w:t>
            </w:r>
          </w:p>
        </w:tc>
        <w:tc>
          <w:tcPr>
            <w:tcW w:w="907" w:type="dxa"/>
          </w:tcPr>
          <w:p w14:paraId="7F26D0DE" w14:textId="77777777" w:rsidR="00176DBC" w:rsidRPr="00AB529D" w:rsidRDefault="00176DBC" w:rsidP="006E6745">
            <w:pPr>
              <w:pStyle w:val="TABLEFONT"/>
              <w:framePr w:hSpace="0" w:wrap="auto" w:vAnchor="margin" w:hAnchor="text" w:yAlign="inline"/>
            </w:pPr>
            <w:r w:rsidRPr="00AB529D">
              <w:t>H&amp;S</w:t>
            </w:r>
          </w:p>
        </w:tc>
      </w:tr>
      <w:tr w:rsidR="00176DBC" w:rsidRPr="00AB529D" w14:paraId="00B73885" w14:textId="77777777" w:rsidTr="00443C31">
        <w:trPr>
          <w:trHeight w:val="88"/>
        </w:trPr>
        <w:tc>
          <w:tcPr>
            <w:tcW w:w="2041" w:type="dxa"/>
          </w:tcPr>
          <w:p w14:paraId="07795139" w14:textId="7A908CFC" w:rsidR="00176DBC" w:rsidRPr="00AB529D" w:rsidRDefault="00176DBC" w:rsidP="006E6745">
            <w:pPr>
              <w:pStyle w:val="TABLEFONT"/>
              <w:framePr w:hSpace="0" w:wrap="auto" w:vAnchor="margin" w:hAnchor="text" w:yAlign="inline"/>
            </w:pPr>
            <w:r w:rsidRPr="00AB529D">
              <w:rPr>
                <w:rFonts w:eastAsia="Arial"/>
              </w:rPr>
              <w:t>1</w:t>
            </w:r>
            <w:r>
              <w:rPr>
                <w:rFonts w:eastAsia="Arial"/>
              </w:rPr>
              <w:t>.</w:t>
            </w:r>
            <w:r w:rsidRPr="00AB529D">
              <w:rPr>
                <w:rFonts w:eastAsia="Arial"/>
              </w:rPr>
              <w:t xml:space="preserve"> </w:t>
            </w:r>
            <w:r w:rsidR="00207D2B">
              <w:rPr>
                <w:rFonts w:eastAsia="Arial"/>
              </w:rPr>
              <w:t>Enlarged</w:t>
            </w:r>
            <w:r w:rsidRPr="00AB529D">
              <w:rPr>
                <w:rFonts w:eastAsia="Arial"/>
              </w:rPr>
              <w:t xml:space="preserve"> </w:t>
            </w:r>
            <w:r w:rsidR="006303C8">
              <w:rPr>
                <w:rFonts w:eastAsia="Arial"/>
              </w:rPr>
              <w:t>scope</w:t>
            </w:r>
          </w:p>
        </w:tc>
        <w:tc>
          <w:tcPr>
            <w:tcW w:w="907" w:type="dxa"/>
          </w:tcPr>
          <w:p w14:paraId="542DAACF" w14:textId="77777777" w:rsidR="00176DBC" w:rsidRPr="00C16C46" w:rsidRDefault="00176DBC" w:rsidP="006E6745">
            <w:pPr>
              <w:pStyle w:val="TABLEFONT"/>
              <w:framePr w:hSpace="0" w:wrap="auto" w:vAnchor="margin" w:hAnchor="text" w:yAlign="inline"/>
            </w:pPr>
            <w:r w:rsidRPr="00C16C46">
              <w:rPr>
                <w:rFonts w:eastAsia="Arial"/>
              </w:rPr>
              <w:t>0/+</w:t>
            </w:r>
          </w:p>
        </w:tc>
        <w:tc>
          <w:tcPr>
            <w:tcW w:w="907" w:type="dxa"/>
          </w:tcPr>
          <w:p w14:paraId="76FE9C64" w14:textId="77777777" w:rsidR="00176DBC" w:rsidRPr="00C16C46" w:rsidRDefault="00176DBC" w:rsidP="006E6745">
            <w:pPr>
              <w:pStyle w:val="TABLEFONT"/>
              <w:framePr w:hSpace="0" w:wrap="auto" w:vAnchor="margin" w:hAnchor="text" w:yAlign="inline"/>
            </w:pPr>
            <w:r w:rsidRPr="00626B4D">
              <w:rPr>
                <w:rFonts w:eastAsia="Arial"/>
              </w:rPr>
              <w:t>0</w:t>
            </w:r>
          </w:p>
        </w:tc>
        <w:tc>
          <w:tcPr>
            <w:tcW w:w="907" w:type="dxa"/>
          </w:tcPr>
          <w:p w14:paraId="20C29653" w14:textId="77777777" w:rsidR="00176DBC" w:rsidRPr="00C16C46" w:rsidRDefault="00176DBC" w:rsidP="006E6745">
            <w:pPr>
              <w:pStyle w:val="TABLEFONT"/>
              <w:framePr w:hSpace="0" w:wrap="auto" w:vAnchor="margin" w:hAnchor="text" w:yAlign="inline"/>
            </w:pPr>
            <w:r w:rsidRPr="00C16C46">
              <w:rPr>
                <w:rFonts w:eastAsia="Arial"/>
              </w:rPr>
              <w:t>0/+</w:t>
            </w:r>
          </w:p>
        </w:tc>
        <w:tc>
          <w:tcPr>
            <w:tcW w:w="1077" w:type="dxa"/>
          </w:tcPr>
          <w:p w14:paraId="640DBA81" w14:textId="77777777" w:rsidR="00176DBC" w:rsidRPr="00C16C46" w:rsidRDefault="00176DBC" w:rsidP="006E6745">
            <w:pPr>
              <w:pStyle w:val="TABLEFONT"/>
              <w:framePr w:hSpace="0" w:wrap="auto" w:vAnchor="margin" w:hAnchor="text" w:yAlign="inline"/>
            </w:pPr>
            <w:r w:rsidRPr="00C16C46">
              <w:rPr>
                <w:rFonts w:eastAsia="Arial"/>
              </w:rPr>
              <w:t>0/+</w:t>
            </w:r>
          </w:p>
        </w:tc>
        <w:tc>
          <w:tcPr>
            <w:tcW w:w="907" w:type="dxa"/>
          </w:tcPr>
          <w:p w14:paraId="7DB8C438" w14:textId="77777777" w:rsidR="00176DBC" w:rsidRPr="00C16C46" w:rsidRDefault="00176DBC" w:rsidP="006E6745">
            <w:pPr>
              <w:pStyle w:val="TABLEFONT"/>
              <w:framePr w:hSpace="0" w:wrap="auto" w:vAnchor="margin" w:hAnchor="text" w:yAlign="inline"/>
            </w:pPr>
            <w:r w:rsidRPr="00C16C46">
              <w:rPr>
                <w:rFonts w:eastAsia="Arial"/>
              </w:rPr>
              <w:t>0/+</w:t>
            </w:r>
          </w:p>
        </w:tc>
        <w:tc>
          <w:tcPr>
            <w:tcW w:w="907" w:type="dxa"/>
          </w:tcPr>
          <w:p w14:paraId="344CA4FC" w14:textId="77777777" w:rsidR="00176DBC" w:rsidRPr="00C16C46" w:rsidRDefault="00176DBC" w:rsidP="006E6745">
            <w:pPr>
              <w:pStyle w:val="TABLEFONT"/>
              <w:framePr w:hSpace="0" w:wrap="auto" w:vAnchor="margin" w:hAnchor="text" w:yAlign="inline"/>
            </w:pPr>
            <w:r w:rsidRPr="00626B4D">
              <w:rPr>
                <w:rFonts w:eastAsia="Arial"/>
              </w:rPr>
              <w:t>0</w:t>
            </w:r>
          </w:p>
        </w:tc>
        <w:tc>
          <w:tcPr>
            <w:tcW w:w="907" w:type="dxa"/>
          </w:tcPr>
          <w:p w14:paraId="7B622F22" w14:textId="77777777" w:rsidR="00176DBC" w:rsidRPr="00C16C46" w:rsidRDefault="00176DBC" w:rsidP="006E6745">
            <w:pPr>
              <w:pStyle w:val="TABLEFONT"/>
              <w:framePr w:hSpace="0" w:wrap="auto" w:vAnchor="margin" w:hAnchor="text" w:yAlign="inline"/>
            </w:pPr>
            <w:r w:rsidRPr="00C16C46">
              <w:rPr>
                <w:rFonts w:eastAsia="Arial"/>
              </w:rPr>
              <w:t>0/+</w:t>
            </w:r>
          </w:p>
        </w:tc>
      </w:tr>
      <w:tr w:rsidR="00176DBC" w:rsidRPr="00AB529D" w14:paraId="6618B366" w14:textId="77777777" w:rsidTr="00443C31">
        <w:trPr>
          <w:trHeight w:val="93"/>
        </w:trPr>
        <w:tc>
          <w:tcPr>
            <w:tcW w:w="2041" w:type="dxa"/>
          </w:tcPr>
          <w:p w14:paraId="100001E3" w14:textId="3EBC560C" w:rsidR="00176DBC" w:rsidRPr="00AB529D" w:rsidRDefault="00176DBC" w:rsidP="006E6745">
            <w:pPr>
              <w:pStyle w:val="TABLEFONT"/>
              <w:framePr w:hSpace="0" w:wrap="auto" w:vAnchor="margin" w:hAnchor="text" w:yAlign="inline"/>
            </w:pPr>
            <w:r w:rsidRPr="00AB529D">
              <w:rPr>
                <w:rFonts w:eastAsia="Arial"/>
              </w:rPr>
              <w:t>2</w:t>
            </w:r>
            <w:r>
              <w:rPr>
                <w:rFonts w:eastAsia="Arial"/>
              </w:rPr>
              <w:t>.</w:t>
            </w:r>
            <w:r w:rsidRPr="00AB529D">
              <w:rPr>
                <w:rFonts w:eastAsia="Arial"/>
              </w:rPr>
              <w:t xml:space="preserve"> Organ processing authorisation regime</w:t>
            </w:r>
          </w:p>
        </w:tc>
        <w:tc>
          <w:tcPr>
            <w:tcW w:w="907" w:type="dxa"/>
          </w:tcPr>
          <w:p w14:paraId="6B552473" w14:textId="77777777" w:rsidR="00176DBC" w:rsidRPr="00C16C46" w:rsidRDefault="00176DBC" w:rsidP="006E6745">
            <w:pPr>
              <w:pStyle w:val="TABLEFONT"/>
              <w:framePr w:hSpace="0" w:wrap="auto" w:vAnchor="margin" w:hAnchor="text" w:yAlign="inline"/>
            </w:pPr>
            <w:r w:rsidRPr="00626B4D">
              <w:rPr>
                <w:rFonts w:eastAsia="Arial"/>
              </w:rPr>
              <w:t>+</w:t>
            </w:r>
          </w:p>
        </w:tc>
        <w:tc>
          <w:tcPr>
            <w:tcW w:w="907" w:type="dxa"/>
          </w:tcPr>
          <w:p w14:paraId="3C6443F4" w14:textId="77777777" w:rsidR="00176DBC" w:rsidRPr="00C16C46" w:rsidRDefault="00176DBC" w:rsidP="006E6745">
            <w:pPr>
              <w:pStyle w:val="TABLEFONT"/>
              <w:framePr w:hSpace="0" w:wrap="auto" w:vAnchor="margin" w:hAnchor="text" w:yAlign="inline"/>
            </w:pPr>
            <w:r w:rsidRPr="00626B4D">
              <w:rPr>
                <w:rFonts w:eastAsia="Arial"/>
              </w:rPr>
              <w:t>0/–</w:t>
            </w:r>
          </w:p>
        </w:tc>
        <w:tc>
          <w:tcPr>
            <w:tcW w:w="907" w:type="dxa"/>
          </w:tcPr>
          <w:p w14:paraId="6D8FC6B9" w14:textId="77777777" w:rsidR="00176DBC" w:rsidRPr="00C16C46" w:rsidRDefault="00176DBC" w:rsidP="006E6745">
            <w:pPr>
              <w:pStyle w:val="TABLEFONT"/>
              <w:framePr w:hSpace="0" w:wrap="auto" w:vAnchor="margin" w:hAnchor="text" w:yAlign="inline"/>
            </w:pPr>
            <w:r w:rsidRPr="00C16C46">
              <w:rPr>
                <w:rFonts w:eastAsia="Arial"/>
              </w:rPr>
              <w:t>0/+</w:t>
            </w:r>
          </w:p>
        </w:tc>
        <w:tc>
          <w:tcPr>
            <w:tcW w:w="1077" w:type="dxa"/>
          </w:tcPr>
          <w:p w14:paraId="3FC7944E" w14:textId="77777777" w:rsidR="00176DBC" w:rsidRPr="00C16C46" w:rsidRDefault="00176DBC" w:rsidP="006E6745">
            <w:pPr>
              <w:pStyle w:val="TABLEFONT"/>
              <w:framePr w:hSpace="0" w:wrap="auto" w:vAnchor="margin" w:hAnchor="text" w:yAlign="inline"/>
            </w:pPr>
            <w:r w:rsidRPr="00626B4D">
              <w:rPr>
                <w:rFonts w:eastAsia="Arial"/>
              </w:rPr>
              <w:t>+</w:t>
            </w:r>
          </w:p>
        </w:tc>
        <w:tc>
          <w:tcPr>
            <w:tcW w:w="907" w:type="dxa"/>
          </w:tcPr>
          <w:p w14:paraId="669139CB" w14:textId="77777777" w:rsidR="00176DBC" w:rsidRPr="00C16C46" w:rsidRDefault="00176DBC" w:rsidP="006E6745">
            <w:pPr>
              <w:pStyle w:val="TABLEFONT"/>
              <w:framePr w:hSpace="0" w:wrap="auto" w:vAnchor="margin" w:hAnchor="text" w:yAlign="inline"/>
            </w:pPr>
            <w:r w:rsidRPr="00626B4D">
              <w:rPr>
                <w:rFonts w:eastAsia="Arial"/>
              </w:rPr>
              <w:t>+</w:t>
            </w:r>
          </w:p>
        </w:tc>
        <w:tc>
          <w:tcPr>
            <w:tcW w:w="907" w:type="dxa"/>
          </w:tcPr>
          <w:p w14:paraId="6C630932" w14:textId="77777777" w:rsidR="00176DBC" w:rsidRPr="00C16C46" w:rsidRDefault="00176DBC" w:rsidP="006E6745">
            <w:pPr>
              <w:pStyle w:val="TABLEFONT"/>
              <w:framePr w:hSpace="0" w:wrap="auto" w:vAnchor="margin" w:hAnchor="text" w:yAlign="inline"/>
            </w:pPr>
            <w:r w:rsidRPr="00626B4D">
              <w:rPr>
                <w:rFonts w:eastAsia="Arial"/>
              </w:rPr>
              <w:t>0/–</w:t>
            </w:r>
          </w:p>
        </w:tc>
        <w:tc>
          <w:tcPr>
            <w:tcW w:w="907" w:type="dxa"/>
          </w:tcPr>
          <w:p w14:paraId="2E64A4F2" w14:textId="77777777" w:rsidR="00176DBC" w:rsidRPr="00C16C46" w:rsidRDefault="00176DBC" w:rsidP="006E6745">
            <w:pPr>
              <w:pStyle w:val="TABLEFONT"/>
              <w:framePr w:hSpace="0" w:wrap="auto" w:vAnchor="margin" w:hAnchor="text" w:yAlign="inline"/>
            </w:pPr>
            <w:r w:rsidRPr="00626B4D">
              <w:rPr>
                <w:rFonts w:eastAsia="Arial"/>
              </w:rPr>
              <w:t>++</w:t>
            </w:r>
          </w:p>
        </w:tc>
      </w:tr>
      <w:tr w:rsidR="00176DBC" w:rsidRPr="00AB529D" w14:paraId="3A4A019D" w14:textId="77777777" w:rsidTr="00443C31">
        <w:trPr>
          <w:trHeight w:val="93"/>
        </w:trPr>
        <w:tc>
          <w:tcPr>
            <w:tcW w:w="2041" w:type="dxa"/>
          </w:tcPr>
          <w:p w14:paraId="5CA747F0" w14:textId="16A238F0" w:rsidR="00176DBC" w:rsidRPr="00AB529D" w:rsidRDefault="00176DBC" w:rsidP="006E6745">
            <w:pPr>
              <w:pStyle w:val="TABLEFONT"/>
              <w:framePr w:hSpace="0" w:wrap="auto" w:vAnchor="margin" w:hAnchor="text" w:yAlign="inline"/>
            </w:pPr>
            <w:r w:rsidRPr="00AB529D">
              <w:rPr>
                <w:rFonts w:eastAsia="Arial"/>
              </w:rPr>
              <w:t>3</w:t>
            </w:r>
            <w:r>
              <w:rPr>
                <w:rFonts w:eastAsia="Arial"/>
              </w:rPr>
              <w:t>.</w:t>
            </w:r>
            <w:r w:rsidRPr="00AB529D">
              <w:rPr>
                <w:rFonts w:eastAsia="Arial"/>
              </w:rPr>
              <w:t xml:space="preserve"> Cross-border and cross-framework coherence</w:t>
            </w:r>
          </w:p>
        </w:tc>
        <w:tc>
          <w:tcPr>
            <w:tcW w:w="907" w:type="dxa"/>
          </w:tcPr>
          <w:p w14:paraId="187FB402" w14:textId="77777777" w:rsidR="00176DBC" w:rsidRPr="00C16C46" w:rsidRDefault="00176DBC" w:rsidP="006E6745">
            <w:pPr>
              <w:pStyle w:val="TABLEFONT"/>
              <w:framePr w:hSpace="0" w:wrap="auto" w:vAnchor="margin" w:hAnchor="text" w:yAlign="inline"/>
            </w:pPr>
            <w:r w:rsidRPr="00C16C46">
              <w:rPr>
                <w:rFonts w:eastAsia="Arial"/>
              </w:rPr>
              <w:t>0/+</w:t>
            </w:r>
          </w:p>
        </w:tc>
        <w:tc>
          <w:tcPr>
            <w:tcW w:w="907" w:type="dxa"/>
          </w:tcPr>
          <w:p w14:paraId="762960D4" w14:textId="77777777" w:rsidR="00176DBC" w:rsidRPr="00C16C46" w:rsidRDefault="00176DBC" w:rsidP="006E6745">
            <w:pPr>
              <w:pStyle w:val="TABLEFONT"/>
              <w:framePr w:hSpace="0" w:wrap="auto" w:vAnchor="margin" w:hAnchor="text" w:yAlign="inline"/>
            </w:pPr>
            <w:r w:rsidRPr="00626B4D">
              <w:rPr>
                <w:rFonts w:eastAsia="Arial"/>
              </w:rPr>
              <w:t>0/–</w:t>
            </w:r>
          </w:p>
        </w:tc>
        <w:tc>
          <w:tcPr>
            <w:tcW w:w="907" w:type="dxa"/>
          </w:tcPr>
          <w:p w14:paraId="2C749662" w14:textId="77777777" w:rsidR="00176DBC" w:rsidRPr="00C16C46" w:rsidRDefault="00176DBC" w:rsidP="006E6745">
            <w:pPr>
              <w:pStyle w:val="TABLEFONT"/>
              <w:framePr w:hSpace="0" w:wrap="auto" w:vAnchor="margin" w:hAnchor="text" w:yAlign="inline"/>
            </w:pPr>
            <w:r w:rsidRPr="00C16C46">
              <w:rPr>
                <w:rFonts w:eastAsia="Arial"/>
              </w:rPr>
              <w:t>0/+</w:t>
            </w:r>
          </w:p>
        </w:tc>
        <w:tc>
          <w:tcPr>
            <w:tcW w:w="1077" w:type="dxa"/>
          </w:tcPr>
          <w:p w14:paraId="0FBA00B3" w14:textId="77777777" w:rsidR="00176DBC" w:rsidRPr="00C16C46" w:rsidRDefault="00176DBC" w:rsidP="006E6745">
            <w:pPr>
              <w:pStyle w:val="TABLEFONT"/>
              <w:framePr w:hSpace="0" w:wrap="auto" w:vAnchor="margin" w:hAnchor="text" w:yAlign="inline"/>
            </w:pPr>
            <w:r w:rsidRPr="00626B4D">
              <w:rPr>
                <w:rFonts w:eastAsia="Arial"/>
              </w:rPr>
              <w:t>+</w:t>
            </w:r>
          </w:p>
        </w:tc>
        <w:tc>
          <w:tcPr>
            <w:tcW w:w="907" w:type="dxa"/>
          </w:tcPr>
          <w:p w14:paraId="6DB9975C" w14:textId="77777777" w:rsidR="00176DBC" w:rsidRPr="00C16C46" w:rsidRDefault="00176DBC" w:rsidP="006E6745">
            <w:pPr>
              <w:pStyle w:val="TABLEFONT"/>
              <w:framePr w:hSpace="0" w:wrap="auto" w:vAnchor="margin" w:hAnchor="text" w:yAlign="inline"/>
            </w:pPr>
            <w:r w:rsidRPr="00C16C46">
              <w:rPr>
                <w:rFonts w:eastAsia="Arial"/>
              </w:rPr>
              <w:t>0/+</w:t>
            </w:r>
          </w:p>
        </w:tc>
        <w:tc>
          <w:tcPr>
            <w:tcW w:w="907" w:type="dxa"/>
          </w:tcPr>
          <w:p w14:paraId="03F09771" w14:textId="77777777" w:rsidR="00176DBC" w:rsidRPr="00C16C46" w:rsidRDefault="00176DBC" w:rsidP="006E6745">
            <w:pPr>
              <w:pStyle w:val="TABLEFONT"/>
              <w:framePr w:hSpace="0" w:wrap="auto" w:vAnchor="margin" w:hAnchor="text" w:yAlign="inline"/>
            </w:pPr>
            <w:r w:rsidRPr="00626B4D">
              <w:rPr>
                <w:rFonts w:eastAsia="Arial"/>
              </w:rPr>
              <w:t>0/–</w:t>
            </w:r>
          </w:p>
        </w:tc>
        <w:tc>
          <w:tcPr>
            <w:tcW w:w="907" w:type="dxa"/>
          </w:tcPr>
          <w:p w14:paraId="3FEE76A2" w14:textId="77777777" w:rsidR="00176DBC" w:rsidRPr="00C16C46" w:rsidRDefault="00176DBC" w:rsidP="006E6745">
            <w:pPr>
              <w:pStyle w:val="TABLEFONT"/>
              <w:framePr w:hSpace="0" w:wrap="auto" w:vAnchor="margin" w:hAnchor="text" w:yAlign="inline"/>
            </w:pPr>
            <w:r w:rsidRPr="00626B4D">
              <w:rPr>
                <w:rFonts w:eastAsia="Arial"/>
              </w:rPr>
              <w:t>+</w:t>
            </w:r>
          </w:p>
        </w:tc>
      </w:tr>
    </w:tbl>
    <w:p w14:paraId="521CF73E" w14:textId="77777777" w:rsidR="00B66ABC" w:rsidRPr="00E51115" w:rsidRDefault="00B66ABC" w:rsidP="004544F7"/>
    <w:p w14:paraId="6115BF8E" w14:textId="270C4FC1" w:rsidR="001539CB" w:rsidRPr="00DD0CE5" w:rsidRDefault="001539CB" w:rsidP="001539CB">
      <w:pPr>
        <w:pStyle w:val="Heading2"/>
      </w:pPr>
      <w:bookmarkStart w:id="215" w:name="_Toc224747227"/>
      <w:bookmarkStart w:id="216" w:name="_Toc224749697"/>
      <w:bookmarkStart w:id="217" w:name="_Toc225974575"/>
      <w:bookmarkStart w:id="218" w:name="_Toc225975248"/>
      <w:bookmarkStart w:id="219" w:name="_Toc225975305"/>
      <w:bookmarkStart w:id="220" w:name="_Toc227941849"/>
      <w:r w:rsidRPr="00DD0CE5">
        <w:t xml:space="preserve">Interventions on industrial enablers: </w:t>
      </w:r>
      <w:r w:rsidR="003F6224" w:rsidRPr="00DD0CE5">
        <w:t>measures and expected impacts</w:t>
      </w:r>
      <w:bookmarkEnd w:id="215"/>
      <w:bookmarkEnd w:id="216"/>
      <w:bookmarkEnd w:id="217"/>
      <w:bookmarkEnd w:id="218"/>
      <w:bookmarkEnd w:id="219"/>
      <w:bookmarkEnd w:id="220"/>
    </w:p>
    <w:p w14:paraId="2B6B061F" w14:textId="27932246" w:rsidR="000F3479" w:rsidRPr="00DD0CE5" w:rsidRDefault="000F3479" w:rsidP="00574D27">
      <w:pPr>
        <w:pStyle w:val="Heading3"/>
      </w:pPr>
      <w:bookmarkStart w:id="221" w:name="_Toc224747228"/>
      <w:bookmarkStart w:id="222" w:name="_Toc224749698"/>
      <w:bookmarkStart w:id="223" w:name="_Toc225974576"/>
      <w:bookmarkStart w:id="224" w:name="_Toc225975249"/>
      <w:bookmarkStart w:id="225" w:name="_Toc225975306"/>
      <w:r w:rsidRPr="00DD0CE5">
        <w:t>Intervention</w:t>
      </w:r>
      <w:r w:rsidR="00AD3E66">
        <w:t>s</w:t>
      </w:r>
      <w:r w:rsidRPr="00DD0CE5">
        <w:t xml:space="preserve"> n°9</w:t>
      </w:r>
      <w:r w:rsidR="008A2E30">
        <w:t xml:space="preserve">, 10 and </w:t>
      </w:r>
      <w:r w:rsidR="00AD3E66">
        <w:t>1</w:t>
      </w:r>
      <w:r w:rsidR="008824E2">
        <w:t>1</w:t>
      </w:r>
      <w:r w:rsidRPr="00DD0CE5">
        <w:t xml:space="preserve">: </w:t>
      </w:r>
      <w:r w:rsidR="00FB1DA2" w:rsidRPr="00FB1DA2">
        <w:t xml:space="preserve">Strategic projects, high-impact projects and ecosystem support </w:t>
      </w:r>
      <w:bookmarkEnd w:id="221"/>
      <w:bookmarkEnd w:id="222"/>
      <w:bookmarkEnd w:id="223"/>
      <w:bookmarkEnd w:id="224"/>
      <w:bookmarkEnd w:id="225"/>
      <w:r w:rsidR="00FB1DA2" w:rsidRPr="00FB1DA2">
        <w:t>framework</w:t>
      </w:r>
    </w:p>
    <w:p w14:paraId="43923CA2" w14:textId="77777777" w:rsidR="001E7D4C" w:rsidRDefault="000F3479" w:rsidP="00AD3167">
      <w:pPr>
        <w:rPr>
          <w:noProof/>
        </w:rPr>
      </w:pPr>
      <w:r w:rsidRPr="00DD0CE5">
        <w:rPr>
          <w:noProof/>
        </w:rPr>
        <w:t xml:space="preserve">The proposed Regulation </w:t>
      </w:r>
      <w:r w:rsidR="00C03477" w:rsidRPr="00C03477">
        <w:rPr>
          <w:noProof/>
        </w:rPr>
        <w:t xml:space="preserve">establishes </w:t>
      </w:r>
      <w:r w:rsidRPr="00DD0CE5">
        <w:rPr>
          <w:noProof/>
        </w:rPr>
        <w:t xml:space="preserve">a </w:t>
      </w:r>
      <w:r w:rsidR="00C03477" w:rsidRPr="00C03477">
        <w:rPr>
          <w:noProof/>
        </w:rPr>
        <w:t xml:space="preserve">comprehensive </w:t>
      </w:r>
      <w:r w:rsidRPr="00DD0CE5">
        <w:rPr>
          <w:noProof/>
        </w:rPr>
        <w:t>framework</w:t>
      </w:r>
      <w:r w:rsidR="00990562">
        <w:rPr>
          <w:noProof/>
        </w:rPr>
        <w:t xml:space="preserve"> </w:t>
      </w:r>
      <w:r w:rsidR="00990562" w:rsidRPr="00990562">
        <w:rPr>
          <w:noProof/>
        </w:rPr>
        <w:t>to structure and coordinate the selection, development and scaling-up of strategic health biotechnology capacities and projects</w:t>
      </w:r>
      <w:r w:rsidR="00990562">
        <w:rPr>
          <w:noProof/>
        </w:rPr>
        <w:t>,</w:t>
      </w:r>
      <w:r w:rsidRPr="00DD0CE5">
        <w:rPr>
          <w:noProof/>
        </w:rPr>
        <w:t xml:space="preserve"> </w:t>
      </w:r>
      <w:r w:rsidR="00177FC3">
        <w:rPr>
          <w:noProof/>
        </w:rPr>
        <w:t>encompassing</w:t>
      </w:r>
      <w:r w:rsidR="00B67601">
        <w:rPr>
          <w:noProof/>
        </w:rPr>
        <w:t xml:space="preserve">: </w:t>
      </w:r>
    </w:p>
    <w:p w14:paraId="41927EB5" w14:textId="2C13BBEC" w:rsidR="001E7D4C" w:rsidRPr="001E7D4C" w:rsidRDefault="000F3479" w:rsidP="00430713">
      <w:pPr>
        <w:pStyle w:val="ListParagraph"/>
        <w:numPr>
          <w:ilvl w:val="0"/>
          <w:numId w:val="21"/>
        </w:numPr>
        <w:rPr>
          <w:b/>
          <w:bCs/>
          <w:noProof/>
        </w:rPr>
      </w:pPr>
      <w:r w:rsidRPr="001E7D4C">
        <w:rPr>
          <w:b/>
        </w:rPr>
        <w:t>the</w:t>
      </w:r>
      <w:r w:rsidRPr="00DD0CE5">
        <w:rPr>
          <w:noProof/>
        </w:rPr>
        <w:t xml:space="preserve"> </w:t>
      </w:r>
      <w:r w:rsidRPr="001E7D4C">
        <w:rPr>
          <w:b/>
          <w:bCs/>
          <w:noProof/>
        </w:rPr>
        <w:t>recognition and the support of health biotechnology strategic projects</w:t>
      </w:r>
      <w:r w:rsidR="007E356F" w:rsidRPr="001E7D4C">
        <w:rPr>
          <w:b/>
          <w:bCs/>
          <w:noProof/>
        </w:rPr>
        <w:t xml:space="preserve"> (Intervention n°9), </w:t>
      </w:r>
    </w:p>
    <w:p w14:paraId="495CDD5C" w14:textId="77777777" w:rsidR="001E7D4C" w:rsidRPr="001E7D4C" w:rsidRDefault="007E356F" w:rsidP="00430713">
      <w:pPr>
        <w:pStyle w:val="ListParagraph"/>
        <w:numPr>
          <w:ilvl w:val="0"/>
          <w:numId w:val="21"/>
        </w:numPr>
        <w:rPr>
          <w:noProof/>
        </w:rPr>
      </w:pPr>
      <w:r w:rsidRPr="001E7D4C">
        <w:rPr>
          <w:b/>
          <w:bCs/>
          <w:noProof/>
        </w:rPr>
        <w:t>a targeted EU-level framework for high-impact strategic projects (Intervention n°10)</w:t>
      </w:r>
      <w:r w:rsidR="00286C31">
        <w:rPr>
          <w:rStyle w:val="FootnoteReference"/>
          <w:b/>
          <w:bCs/>
          <w:noProof/>
        </w:rPr>
        <w:footnoteReference w:id="213"/>
      </w:r>
      <w:r w:rsidRPr="001E7D4C">
        <w:rPr>
          <w:b/>
          <w:bCs/>
          <w:noProof/>
        </w:rPr>
        <w:t>, and</w:t>
      </w:r>
    </w:p>
    <w:p w14:paraId="2250598F" w14:textId="77777777" w:rsidR="00DA5A6D" w:rsidRPr="001546C6" w:rsidRDefault="007E356F" w:rsidP="007041BF">
      <w:pPr>
        <w:pStyle w:val="ListParagraph"/>
        <w:numPr>
          <w:ilvl w:val="0"/>
          <w:numId w:val="21"/>
        </w:numPr>
        <w:rPr>
          <w:noProof/>
        </w:rPr>
      </w:pPr>
      <w:r w:rsidRPr="001E7D4C">
        <w:rPr>
          <w:b/>
          <w:bCs/>
          <w:noProof/>
        </w:rPr>
        <w:t xml:space="preserve">an ecosystem support framework (Intervention n°11). </w:t>
      </w:r>
    </w:p>
    <w:p w14:paraId="19F18583" w14:textId="424D15F6" w:rsidR="00A45C02" w:rsidRDefault="00867360" w:rsidP="001546C6">
      <w:pPr>
        <w:rPr>
          <w:noProof/>
        </w:rPr>
      </w:pPr>
      <w:r>
        <w:rPr>
          <w:noProof/>
        </w:rPr>
        <w:t xml:space="preserve">Together, these measures aim to </w:t>
      </w:r>
      <w:r w:rsidR="00901ED0">
        <w:rPr>
          <w:noProof/>
        </w:rPr>
        <w:t>boost</w:t>
      </w:r>
      <w:r w:rsidR="000F3479" w:rsidRPr="00DD0CE5">
        <w:rPr>
          <w:noProof/>
        </w:rPr>
        <w:t xml:space="preserve"> the EU’s competitiveness and resilience in </w:t>
      </w:r>
      <w:r w:rsidR="00DC4FD8">
        <w:rPr>
          <w:noProof/>
        </w:rPr>
        <w:t xml:space="preserve">health </w:t>
      </w:r>
      <w:r w:rsidR="000F3479" w:rsidRPr="00DD0CE5">
        <w:rPr>
          <w:noProof/>
        </w:rPr>
        <w:t xml:space="preserve">biotechnology, </w:t>
      </w:r>
      <w:r w:rsidR="00792DCA">
        <w:rPr>
          <w:noProof/>
        </w:rPr>
        <w:t>by</w:t>
      </w:r>
      <w:r w:rsidR="00792DCA" w:rsidRPr="00DD0CE5">
        <w:rPr>
          <w:noProof/>
        </w:rPr>
        <w:t xml:space="preserve"> </w:t>
      </w:r>
      <w:r w:rsidR="000F3479" w:rsidRPr="00DD0CE5">
        <w:rPr>
          <w:noProof/>
        </w:rPr>
        <w:t>strengthening biomanufacturing capacity</w:t>
      </w:r>
      <w:r w:rsidR="00114130">
        <w:rPr>
          <w:noProof/>
        </w:rPr>
        <w:t xml:space="preserve">, </w:t>
      </w:r>
      <w:r w:rsidR="000F3479" w:rsidRPr="00DD0CE5">
        <w:rPr>
          <w:noProof/>
        </w:rPr>
        <w:t>value chains</w:t>
      </w:r>
      <w:r w:rsidR="00114130">
        <w:rPr>
          <w:noProof/>
        </w:rPr>
        <w:t>,</w:t>
      </w:r>
      <w:r w:rsidR="00DC4FD8">
        <w:rPr>
          <w:noProof/>
        </w:rPr>
        <w:t xml:space="preserve"> </w:t>
      </w:r>
      <w:r w:rsidR="00114130" w:rsidRPr="001E7D4C">
        <w:rPr>
          <w:noProof/>
          <w:lang w:val="en-IE" w:eastAsia="de-DE"/>
        </w:rPr>
        <w:t xml:space="preserve">research and technology infrastructures </w:t>
      </w:r>
      <w:r w:rsidR="00DC4FD8">
        <w:rPr>
          <w:noProof/>
        </w:rPr>
        <w:t>in the sector</w:t>
      </w:r>
      <w:r w:rsidR="000F3479" w:rsidRPr="00DD0CE5">
        <w:rPr>
          <w:noProof/>
        </w:rPr>
        <w:t xml:space="preserve">, </w:t>
      </w:r>
      <w:r w:rsidR="000F3479" w:rsidRPr="001E7D4C">
        <w:rPr>
          <w:noProof/>
          <w:lang w:val="en-IE" w:eastAsia="de-DE"/>
        </w:rPr>
        <w:t>accelerating innovation and technology deployment</w:t>
      </w:r>
      <w:r w:rsidR="0068551C" w:rsidRPr="001E7D4C">
        <w:rPr>
          <w:noProof/>
          <w:lang w:val="en-IE" w:eastAsia="de-DE"/>
        </w:rPr>
        <w:t xml:space="preserve"> </w:t>
      </w:r>
      <w:r w:rsidR="0068551C" w:rsidRPr="0068551C">
        <w:rPr>
          <w:noProof/>
          <w:lang w:eastAsia="de-DE"/>
        </w:rPr>
        <w:t xml:space="preserve">and addressing </w:t>
      </w:r>
      <w:r w:rsidR="0068551C">
        <w:rPr>
          <w:noProof/>
          <w:lang w:eastAsia="de-DE"/>
        </w:rPr>
        <w:t>ecosystem</w:t>
      </w:r>
      <w:r w:rsidR="0068551C" w:rsidRPr="0068551C">
        <w:rPr>
          <w:noProof/>
          <w:lang w:eastAsia="de-DE"/>
        </w:rPr>
        <w:t xml:space="preserve"> fragmentation through coordinated support mechanisms</w:t>
      </w:r>
      <w:r w:rsidR="000F3479" w:rsidRPr="00DD0CE5">
        <w:rPr>
          <w:noProof/>
        </w:rPr>
        <w:t xml:space="preserve">. </w:t>
      </w:r>
    </w:p>
    <w:p w14:paraId="1B79CA1D" w14:textId="18CE2322" w:rsidR="000F3479" w:rsidRDefault="000F3479" w:rsidP="00AD3167">
      <w:pPr>
        <w:rPr>
          <w:noProof/>
        </w:rPr>
      </w:pPr>
      <w:r w:rsidRPr="00DD0CE5">
        <w:rPr>
          <w:noProof/>
        </w:rPr>
        <w:t xml:space="preserve">Strategic projects </w:t>
      </w:r>
      <w:r w:rsidR="00CC711F">
        <w:rPr>
          <w:noProof/>
        </w:rPr>
        <w:t>(</w:t>
      </w:r>
      <w:r w:rsidRPr="00DD0CE5">
        <w:rPr>
          <w:noProof/>
        </w:rPr>
        <w:t>recogni</w:t>
      </w:r>
      <w:r w:rsidR="00CC711F">
        <w:rPr>
          <w:noProof/>
        </w:rPr>
        <w:t>sed</w:t>
      </w:r>
      <w:r w:rsidRPr="00DD0CE5">
        <w:rPr>
          <w:noProof/>
        </w:rPr>
        <w:t xml:space="preserve"> by Member State</w:t>
      </w:r>
      <w:r w:rsidR="00CC711F">
        <w:rPr>
          <w:noProof/>
        </w:rPr>
        <w:t>s)</w:t>
      </w:r>
      <w:r w:rsidR="00D71E11">
        <w:rPr>
          <w:noProof/>
        </w:rPr>
        <w:t xml:space="preserve"> </w:t>
      </w:r>
      <w:r w:rsidR="00C337D5">
        <w:rPr>
          <w:noProof/>
        </w:rPr>
        <w:t xml:space="preserve">would </w:t>
      </w:r>
      <w:r w:rsidRPr="00DD0CE5">
        <w:rPr>
          <w:noProof/>
        </w:rPr>
        <w:t xml:space="preserve"> benefit from</w:t>
      </w:r>
      <w:r w:rsidRPr="00DD0CE5" w:rsidDel="00EC444B">
        <w:rPr>
          <w:noProof/>
        </w:rPr>
        <w:t xml:space="preserve"> </w:t>
      </w:r>
      <w:r w:rsidRPr="00DD0CE5">
        <w:rPr>
          <w:noProof/>
        </w:rPr>
        <w:t xml:space="preserve">administrative support (including single points of contact at Member State level), accelerated procedures (including for permitting, </w:t>
      </w:r>
      <w:r w:rsidR="006A77CB">
        <w:rPr>
          <w:noProof/>
        </w:rPr>
        <w:t>subject to a maximum</w:t>
      </w:r>
      <w:r w:rsidRPr="00DD0CE5">
        <w:rPr>
          <w:noProof/>
        </w:rPr>
        <w:t xml:space="preserve"> </w:t>
      </w:r>
      <w:r w:rsidR="003F65C2">
        <w:rPr>
          <w:noProof/>
        </w:rPr>
        <w:t>ten-</w:t>
      </w:r>
      <w:r w:rsidRPr="00DD0CE5">
        <w:rPr>
          <w:noProof/>
        </w:rPr>
        <w:t>month</w:t>
      </w:r>
      <w:r w:rsidR="006A77CB">
        <w:rPr>
          <w:noProof/>
        </w:rPr>
        <w:t xml:space="preserve"> deadline</w:t>
      </w:r>
      <w:r w:rsidRPr="00DD0CE5">
        <w:rPr>
          <w:noProof/>
        </w:rPr>
        <w:t>, as well as for dispute resolution and litigation), a public interest status and measures to facilitate access to funding at national and EU</w:t>
      </w:r>
      <w:r w:rsidR="2FA1DD62" w:rsidRPr="3834653D">
        <w:rPr>
          <w:noProof/>
        </w:rPr>
        <w:t>-</w:t>
      </w:r>
      <w:r w:rsidRPr="00DD0CE5">
        <w:rPr>
          <w:noProof/>
        </w:rPr>
        <w:t xml:space="preserve">level. Provisions also proposed </w:t>
      </w:r>
      <w:r w:rsidR="001632C2">
        <w:rPr>
          <w:noProof/>
        </w:rPr>
        <w:t>support</w:t>
      </w:r>
      <w:r w:rsidRPr="00DD0CE5">
        <w:rPr>
          <w:noProof/>
        </w:rPr>
        <w:t xml:space="preserve"> </w:t>
      </w:r>
      <w:r w:rsidR="00960890">
        <w:rPr>
          <w:noProof/>
        </w:rPr>
        <w:t>to</w:t>
      </w:r>
      <w:r w:rsidRPr="00DD0CE5">
        <w:rPr>
          <w:noProof/>
        </w:rPr>
        <w:t xml:space="preserve"> pro-competitive collaboration between projects, networks and clusters. </w:t>
      </w:r>
      <w:r w:rsidR="00A45C02" w:rsidRPr="00A45C02">
        <w:rPr>
          <w:noProof/>
        </w:rPr>
        <w:t xml:space="preserve">High-impact projects (recognised at EU level) represent a limited flagship portfolio of systemic importance, including biotechnology development accelerators and centres of excellence for advanced therapies. These projects benefit from similar support but with priority status, including an accelerated </w:t>
      </w:r>
      <w:r w:rsidR="001E1C8C">
        <w:rPr>
          <w:noProof/>
        </w:rPr>
        <w:t xml:space="preserve">eight </w:t>
      </w:r>
      <w:r w:rsidR="00A45C02" w:rsidRPr="00A45C02">
        <w:rPr>
          <w:noProof/>
        </w:rPr>
        <w:t>-month</w:t>
      </w:r>
      <w:r w:rsidR="001E1C8C">
        <w:rPr>
          <w:noProof/>
        </w:rPr>
        <w:t>s</w:t>
      </w:r>
      <w:r w:rsidR="00A45C02" w:rsidRPr="00A45C02">
        <w:rPr>
          <w:noProof/>
        </w:rPr>
        <w:t xml:space="preserve"> permitting timeline and stronger signalling for Union financial support.</w:t>
      </w:r>
    </w:p>
    <w:p w14:paraId="799B2842" w14:textId="77777777" w:rsidR="001E7D4C" w:rsidRDefault="0031501F">
      <w:pPr>
        <w:rPr>
          <w:noProof/>
        </w:rPr>
      </w:pPr>
      <w:r w:rsidRPr="0031501F">
        <w:rPr>
          <w:noProof/>
        </w:rPr>
        <w:t xml:space="preserve">These project-level measures are underpinned by ecosystem support instruments: </w:t>
      </w:r>
    </w:p>
    <w:p w14:paraId="378B72FA" w14:textId="7BC6AB4C" w:rsidR="001E7D4C" w:rsidRDefault="0031501F" w:rsidP="00430713">
      <w:pPr>
        <w:pStyle w:val="ListParagraph"/>
        <w:numPr>
          <w:ilvl w:val="0"/>
          <w:numId w:val="20"/>
        </w:numPr>
        <w:rPr>
          <w:noProof/>
        </w:rPr>
      </w:pPr>
      <w:r w:rsidRPr="0031501F">
        <w:rPr>
          <w:noProof/>
        </w:rPr>
        <w:t xml:space="preserve">a strategic mapping of the EU biotechnology ecosystem to identify capacities, gaps and investment needs; </w:t>
      </w:r>
    </w:p>
    <w:p w14:paraId="7C7BB004" w14:textId="4062B3F3" w:rsidR="001E7D4C" w:rsidRDefault="0031501F" w:rsidP="00430713">
      <w:pPr>
        <w:pStyle w:val="ListParagraph"/>
        <w:numPr>
          <w:ilvl w:val="0"/>
          <w:numId w:val="20"/>
        </w:numPr>
        <w:rPr>
          <w:noProof/>
        </w:rPr>
      </w:pPr>
      <w:r w:rsidRPr="0031501F">
        <w:rPr>
          <w:noProof/>
        </w:rPr>
        <w:t xml:space="preserve">an EU health biotechnology support network with national and regional antennas to assist innovators in navigating regulatory and funding pathways and accessing scaling and networking opportunities; and </w:t>
      </w:r>
    </w:p>
    <w:p w14:paraId="50F7CAC7" w14:textId="32246EA3" w:rsidR="0031501F" w:rsidRPr="00DD0CE5" w:rsidRDefault="0031501F" w:rsidP="00430713">
      <w:pPr>
        <w:pStyle w:val="ListParagraph"/>
        <w:numPr>
          <w:ilvl w:val="0"/>
          <w:numId w:val="20"/>
        </w:numPr>
        <w:rPr>
          <w:noProof/>
        </w:rPr>
      </w:pPr>
      <w:r w:rsidRPr="0031501F">
        <w:rPr>
          <w:noProof/>
        </w:rPr>
        <w:t>a European Health Biotechnology Steering Group to coordinate Member States and the Commission, facilitate exchange of best practices and ensure effective implementation</w:t>
      </w:r>
      <w:r w:rsidR="00977090">
        <w:rPr>
          <w:noProof/>
        </w:rPr>
        <w:t xml:space="preserve"> </w:t>
      </w:r>
      <w:r w:rsidR="004A79D9">
        <w:rPr>
          <w:noProof/>
        </w:rPr>
        <w:t>for strategic and high impact health biotechnology projects</w:t>
      </w:r>
      <w:r w:rsidRPr="0031501F">
        <w:rPr>
          <w:noProof/>
        </w:rPr>
        <w:t>.</w:t>
      </w:r>
    </w:p>
    <w:p w14:paraId="35C0F833" w14:textId="5331CBAE" w:rsidR="00032C29" w:rsidRPr="00DD0CE5" w:rsidRDefault="00032C29" w:rsidP="00504C98">
      <w:pPr>
        <w:rPr>
          <w:noProof/>
        </w:rPr>
      </w:pPr>
      <w:r w:rsidRPr="00032C29">
        <w:rPr>
          <w:noProof/>
        </w:rPr>
        <w:t>The EU Health Biotechnology Support Network is not intended to duplicate existing EU-level SME support structures, such as the Enterprise Europe Network or future horizontal instruments under the European Competitiveness Fund. Rather, it operates as a sector-specific coordination and support layer, building on existing structures where appropriate, and providing health biotechnology-specific navigation, ecosystem coordination and cross-border integration functions. In particular, while existing networks may support firms on general business, innovation or internationalisation aspects, they are not designed to provide structured support for navigating complex, multi-framework health biotechnology regulatory pathways. The design of the Support Network is therefore intended to remain compatible with and complementary to future EU-level SME support architectures, including the envisaged EU for Business Network, notably by leveraging existing capacities while ensuring the availability of specialised expertise</w:t>
      </w:r>
      <w:r w:rsidR="00527520">
        <w:rPr>
          <w:noProof/>
        </w:rPr>
        <w:t>.</w:t>
      </w:r>
    </w:p>
    <w:p w14:paraId="34455525" w14:textId="61F7053F" w:rsidR="00574D27" w:rsidRPr="00DF64A5" w:rsidRDefault="006E2A24" w:rsidP="00443C31">
      <w:pPr>
        <w:rPr>
          <w:u w:val="single"/>
          <w:lang w:val="en-IE"/>
        </w:rPr>
      </w:pPr>
      <w:r w:rsidRPr="00DF64A5">
        <w:rPr>
          <w:u w:val="single"/>
          <w:lang w:val="en-IE"/>
        </w:rPr>
        <w:t>E</w:t>
      </w:r>
      <w:r w:rsidR="00574D27" w:rsidRPr="00DF64A5">
        <w:rPr>
          <w:u w:val="single"/>
          <w:lang w:val="en-IE"/>
        </w:rPr>
        <w:t>xpected impacts</w:t>
      </w:r>
      <w:r w:rsidR="00AC1FBC" w:rsidRPr="00DF64A5">
        <w:rPr>
          <w:u w:val="single"/>
          <w:lang w:val="en-IE"/>
        </w:rPr>
        <w:t xml:space="preserve">: </w:t>
      </w:r>
    </w:p>
    <w:p w14:paraId="577CC830" w14:textId="749F364C" w:rsidR="005C4B79" w:rsidRDefault="005305B8" w:rsidP="00CD6D61">
      <w:r>
        <w:rPr>
          <w:b/>
        </w:rPr>
        <w:t>C</w:t>
      </w:r>
      <w:r w:rsidRPr="00D82915">
        <w:rPr>
          <w:b/>
        </w:rPr>
        <w:t>onduct of business and administrative costs</w:t>
      </w:r>
      <w:r>
        <w:rPr>
          <w:b/>
        </w:rPr>
        <w:t>:</w:t>
      </w:r>
      <w:r>
        <w:t xml:space="preserve"> </w:t>
      </w:r>
      <w:r w:rsidR="0010410A">
        <w:t xml:space="preserve">Taken together, </w:t>
      </w:r>
      <w:r w:rsidR="004556EA">
        <w:t>t</w:t>
      </w:r>
      <w:r w:rsidR="003B7F26">
        <w:t xml:space="preserve">he </w:t>
      </w:r>
      <w:r w:rsidR="003D176E">
        <w:t>measure</w:t>
      </w:r>
      <w:r w:rsidR="004556EA">
        <w:t>s are</w:t>
      </w:r>
      <w:r w:rsidR="003B7F26">
        <w:t xml:space="preserve"> expected to generate </w:t>
      </w:r>
      <w:r w:rsidR="00622DAA">
        <w:t xml:space="preserve">significant </w:t>
      </w:r>
      <w:r w:rsidR="003B7F26">
        <w:t xml:space="preserve">positive impacts on </w:t>
      </w:r>
      <w:r w:rsidR="003B7F26" w:rsidRPr="00443C31">
        <w:t>conduct of business and administrative costs</w:t>
      </w:r>
      <w:r w:rsidR="003B7F26">
        <w:t xml:space="preserve"> for firms, with positive but more incremental contributions to competitiveness, internal market functioning, innovation and, indirectly, public health and safety. </w:t>
      </w:r>
      <w:r w:rsidR="00940F08" w:rsidRPr="00940F08">
        <w:t>Impacts on public authorities are expected to be front-loaded but moderate overall due to reliance on existing structures.</w:t>
      </w:r>
      <w:r w:rsidR="00940F08">
        <w:t xml:space="preserve"> </w:t>
      </w:r>
      <w:r w:rsidR="003B7F26">
        <w:t>The principal transmission channel</w:t>
      </w:r>
      <w:r w:rsidR="006F19AC">
        <w:t xml:space="preserve">s </w:t>
      </w:r>
      <w:r w:rsidR="006F19AC" w:rsidRPr="006F19AC">
        <w:t xml:space="preserve">operate at two complementary levels. </w:t>
      </w:r>
      <w:r w:rsidR="006F19AC">
        <w:t>At project level,</w:t>
      </w:r>
      <w:r w:rsidR="003D1961">
        <w:t xml:space="preserve"> impacts arise from reduced</w:t>
      </w:r>
      <w:r w:rsidR="003B7F26">
        <w:t xml:space="preserve"> execution risk through more predictable and coordinated administrative handling, </w:t>
      </w:r>
      <w:r w:rsidR="00274C56" w:rsidRPr="00274C56">
        <w:t>including time-bound permitting (</w:t>
      </w:r>
      <w:r w:rsidR="0007451D">
        <w:t>ten</w:t>
      </w:r>
      <w:r w:rsidR="00274C56" w:rsidRPr="00274C56">
        <w:t xml:space="preserve"> months for strategic projects, </w:t>
      </w:r>
      <w:r w:rsidR="0007451D">
        <w:t>eight</w:t>
      </w:r>
      <w:r w:rsidR="00274C56" w:rsidRPr="00274C56">
        <w:t xml:space="preserve"> months for high-impact projects),</w:t>
      </w:r>
      <w:r w:rsidR="00274C56">
        <w:t xml:space="preserve"> </w:t>
      </w:r>
      <w:r w:rsidR="003B7F26">
        <w:t>structured single point</w:t>
      </w:r>
      <w:r w:rsidR="00E043AE">
        <w:t>s</w:t>
      </w:r>
      <w:r w:rsidR="003B7F26">
        <w:t xml:space="preserve"> of contact model and facilitated access to finance. </w:t>
      </w:r>
      <w:r w:rsidR="00D73CC7" w:rsidRPr="00D73CC7">
        <w:t>At ecosystem level, impacts arise from reduced transaction and navigation costs, improved access to investors and infrastructures, and strengthened cross-border collaboration through network and cluster effects.</w:t>
      </w:r>
      <w:r w:rsidR="00D73CC7">
        <w:t xml:space="preserve"> </w:t>
      </w:r>
    </w:p>
    <w:p w14:paraId="014BA89D" w14:textId="0D6DC7B0" w:rsidR="007E68BB" w:rsidRDefault="007E68BB" w:rsidP="00443C31">
      <w:r w:rsidRPr="668BBF68">
        <w:t xml:space="preserve">Uptake is a key </w:t>
      </w:r>
      <w:r w:rsidR="004901E3">
        <w:t>uncertainty</w:t>
      </w:r>
      <w:r w:rsidR="0012636A">
        <w:t xml:space="preserve"> across all components, therefore </w:t>
      </w:r>
      <w:r w:rsidRPr="668BBF68">
        <w:t>the scale of impacts should be interpreted as proportional to the number and maturity of projects applying for recognition</w:t>
      </w:r>
      <w:r w:rsidR="00CA3E88">
        <w:t xml:space="preserve"> a</w:t>
      </w:r>
      <w:r w:rsidR="00CA3E88" w:rsidRPr="00CA3E88">
        <w:t>nd to the utilisation of ecosystem support services</w:t>
      </w:r>
      <w:r w:rsidRPr="668BBF68">
        <w:t>. This reflects the voluntary nature of the mechanism and the fact that promoters will weigh the administrative effort of application against the expected benefits of more predictable administrative pathway and improved access to support, consistent with observed dynamics in comparable strategic-project regimes</w:t>
      </w:r>
      <w:r>
        <w:rPr>
          <w:rStyle w:val="FootnoteReference"/>
        </w:rPr>
        <w:footnoteReference w:id="214"/>
      </w:r>
      <w:r w:rsidRPr="668BBF68">
        <w:t>.</w:t>
      </w:r>
    </w:p>
    <w:p w14:paraId="4E90461B" w14:textId="29A4D24F" w:rsidR="007E68BB" w:rsidRDefault="007E68BB" w:rsidP="00443C31">
      <w:r w:rsidRPr="00106B0A">
        <w:t>To illustrate the potential order of magnitude, three uptake scenarios can be</w:t>
      </w:r>
      <w:r w:rsidR="001E05C0">
        <w:t xml:space="preserve"> defined </w:t>
      </w:r>
      <w:r w:rsidR="001E05C0" w:rsidRPr="001E05C0">
        <w:t xml:space="preserve">for </w:t>
      </w:r>
      <w:r w:rsidR="008D3E20">
        <w:t>each of the</w:t>
      </w:r>
      <w:r w:rsidR="001E05C0" w:rsidRPr="001E05C0">
        <w:t xml:space="preserve"> project categories.</w:t>
      </w:r>
      <w:r w:rsidR="001E05C0">
        <w:t xml:space="preserve"> </w:t>
      </w:r>
      <w:r w:rsidRPr="00106B0A">
        <w:t>As a calibration point, other EU-level priority-project frameworks</w:t>
      </w:r>
      <w:r w:rsidR="00586370">
        <w:rPr>
          <w:rStyle w:val="FootnoteReference"/>
        </w:rPr>
        <w:footnoteReference w:id="215"/>
      </w:r>
      <w:r w:rsidRPr="00106B0A">
        <w:t xml:space="preserve"> have operated at volumes ranging from several dozen to over one hundred projects</w:t>
      </w:r>
      <w:r w:rsidR="00D9560E">
        <w:t xml:space="preserve">, </w:t>
      </w:r>
      <w:r w:rsidR="00D9560E" w:rsidRPr="00D9560E">
        <w:t>providing a useful order-of-magnitude reference</w:t>
      </w:r>
      <w:r w:rsidR="00756414">
        <w:t xml:space="preserve"> (</w:t>
      </w:r>
      <w:r w:rsidR="00756414" w:rsidRPr="00756414">
        <w:t>rather than a direct comparator</w:t>
      </w:r>
      <w:r w:rsidR="00756414">
        <w:t>)</w:t>
      </w:r>
      <w:r w:rsidR="00D9560E" w:rsidRPr="00D9560E">
        <w:t xml:space="preserve"> for the potential scale of project pipelines under coordinated policy frameworks</w:t>
      </w:r>
      <w:r w:rsidRPr="00106B0A">
        <w:t>. Against this backdrop, an indicative range for health biotechnology strategic projects could be framed as: (i) low uptake: around 25</w:t>
      </w:r>
      <w:r>
        <w:t>-</w:t>
      </w:r>
      <w:r w:rsidRPr="00106B0A">
        <w:t>30 recognised projects by 2038, (ii) medium uptake: around 60</w:t>
      </w:r>
      <w:r>
        <w:t>-</w:t>
      </w:r>
      <w:r w:rsidRPr="00106B0A">
        <w:t>70 projects, and (iii) high uptake: around 100</w:t>
      </w:r>
      <w:r>
        <w:t>-</w:t>
      </w:r>
      <w:r w:rsidRPr="00106B0A">
        <w:t xml:space="preserve">120 projects. </w:t>
      </w:r>
      <w:r w:rsidR="00E4421B" w:rsidRPr="00E4421B">
        <w:t>For high-impact projects, reflecting a limited flagship portfolio</w:t>
      </w:r>
      <w:r w:rsidR="00E4421B">
        <w:t>, ranges would be</w:t>
      </w:r>
      <w:r w:rsidR="00E4421B" w:rsidRPr="00E4421B">
        <w:t>: low uptake (</w:t>
      </w:r>
      <w:r w:rsidR="005305B8">
        <w:t xml:space="preserve">six to </w:t>
      </w:r>
      <w:r w:rsidR="00E4421B" w:rsidRPr="00E4421B">
        <w:t>–</w:t>
      </w:r>
      <w:r w:rsidR="005305B8">
        <w:t>eight</w:t>
      </w:r>
      <w:r w:rsidR="00E4421B" w:rsidRPr="00E4421B">
        <w:t xml:space="preserve"> projects), medium uptake (12–15), and high uptake (20–25). </w:t>
      </w:r>
    </w:p>
    <w:p w14:paraId="035167F8" w14:textId="3743D20E" w:rsidR="003B7F26" w:rsidRDefault="005305B8" w:rsidP="00CD6D61">
      <w:pPr>
        <w:rPr>
          <w:bCs/>
        </w:rPr>
      </w:pPr>
      <w:r w:rsidRPr="001546C6">
        <w:rPr>
          <w:b/>
        </w:rPr>
        <w:t>C</w:t>
      </w:r>
      <w:r w:rsidR="003B7F26" w:rsidRPr="0047225E">
        <w:rPr>
          <w:b/>
        </w:rPr>
        <w:t>onduct of business</w:t>
      </w:r>
      <w:r>
        <w:rPr>
          <w:b/>
        </w:rPr>
        <w:t>:</w:t>
      </w:r>
      <w:r w:rsidR="00936E90">
        <w:rPr>
          <w:b/>
        </w:rPr>
        <w:t xml:space="preserve"> </w:t>
      </w:r>
      <w:r>
        <w:rPr>
          <w:bCs/>
        </w:rPr>
        <w:t>S</w:t>
      </w:r>
      <w:r w:rsidR="00936E90" w:rsidRPr="00443C31">
        <w:rPr>
          <w:bCs/>
        </w:rPr>
        <w:t>ignificant positive impacts are expected through</w:t>
      </w:r>
      <w:r w:rsidR="003B7F26" w:rsidRPr="00296348">
        <w:rPr>
          <w:bCs/>
        </w:rPr>
        <w:t xml:space="preserve"> greater predictability</w:t>
      </w:r>
      <w:r w:rsidR="008A27D0">
        <w:rPr>
          <w:bCs/>
        </w:rPr>
        <w:t xml:space="preserve">, </w:t>
      </w:r>
      <w:r w:rsidR="003B7F26" w:rsidRPr="00296348">
        <w:rPr>
          <w:bCs/>
        </w:rPr>
        <w:t>shorter effective administrative lead times</w:t>
      </w:r>
      <w:r w:rsidR="00E67F5D" w:rsidRPr="001546C6">
        <w:rPr>
          <w:color w:val="0D0D0D" w:themeColor="text1" w:themeTint="F2"/>
        </w:rPr>
        <w:t xml:space="preserve"> for strategic and high-impact projects, alongside</w:t>
      </w:r>
      <w:r w:rsidR="004A7711" w:rsidRPr="004A7711">
        <w:rPr>
          <w:bCs/>
        </w:rPr>
        <w:t xml:space="preserve"> reduced coordination frictions</w:t>
      </w:r>
      <w:r w:rsidR="003B7F26" w:rsidRPr="00296348">
        <w:rPr>
          <w:bCs/>
        </w:rPr>
        <w:t xml:space="preserve">. </w:t>
      </w:r>
      <w:r w:rsidR="009C696D" w:rsidRPr="009C696D">
        <w:rPr>
          <w:bCs/>
        </w:rPr>
        <w:t>Greater clarity and time-bound procedures are expected to improve planning horizons, milestone sequencing and time-to-revenue, reduce volatility in project schedules</w:t>
      </w:r>
      <w:r w:rsidR="009C696D" w:rsidRPr="009C696D" w:rsidDel="009C696D">
        <w:rPr>
          <w:bCs/>
        </w:rPr>
        <w:t xml:space="preserve"> </w:t>
      </w:r>
      <w:r w:rsidR="003B7F26" w:rsidRPr="00296348">
        <w:rPr>
          <w:bCs/>
        </w:rPr>
        <w:t xml:space="preserve">and strengthen firms’ capacity to align procurement, construction and staffing decisions </w:t>
      </w:r>
      <w:r w:rsidR="003B7F26">
        <w:rPr>
          <w:bCs/>
        </w:rPr>
        <w:t>with</w:t>
      </w:r>
      <w:r w:rsidR="003B7F26" w:rsidRPr="00296348">
        <w:rPr>
          <w:bCs/>
        </w:rPr>
        <w:t xml:space="preserve"> a clearer administrative pathway. </w:t>
      </w:r>
      <w:r w:rsidR="003B7F26" w:rsidRPr="002164AD">
        <w:t xml:space="preserve">Delay and uncertainty remain economically material for capital-intensive investments, with an indicative benchmark suggesting that regulatory delays of more than 12 months beyond initial projections have been associated with an average </w:t>
      </w:r>
      <w:r w:rsidR="003B7F26" w:rsidRPr="002164AD">
        <w:rPr>
          <w:bCs/>
        </w:rPr>
        <w:t>34% increase in total development costs</w:t>
      </w:r>
      <w:r w:rsidR="003B7F26" w:rsidRPr="002164AD">
        <w:t>, alongside a high incidence of additional funding rounds and some programme abandonment</w:t>
      </w:r>
      <w:r w:rsidR="003B7F26" w:rsidRPr="00296348">
        <w:rPr>
          <w:bCs/>
        </w:rPr>
        <w:t>.</w:t>
      </w:r>
      <w:r w:rsidR="003B7F26">
        <w:rPr>
          <w:bCs/>
        </w:rPr>
        <w:t xml:space="preserve"> </w:t>
      </w:r>
    </w:p>
    <w:p w14:paraId="750A17B5" w14:textId="62C08807" w:rsidR="008869FF" w:rsidRPr="00443C31" w:rsidRDefault="008869FF" w:rsidP="008869FF">
      <w:pPr>
        <w:rPr>
          <w:lang w:val="en-IE"/>
        </w:rPr>
      </w:pPr>
      <w:r w:rsidRPr="00443C31">
        <w:rPr>
          <w:lang w:val="en-IE"/>
        </w:rPr>
        <w:t>For high-impact projects, these effects are reinforced through access to promoter-led shared late-stage translation infrastructures with cross-border relevance, supporting more efficient development and scale-up. Impacts can be evidenced through utilisation indicators such as the number of firms served, including SMEs, the number of service engagements (e.g. testing, validation and small-batch GMP runs), and utilisation rates, reflecting improved coordination and access to criti</w:t>
      </w:r>
      <w:r w:rsidR="00DC1980">
        <w:rPr>
          <w:lang w:val="en-IE"/>
        </w:rPr>
        <w:t>c</w:t>
      </w:r>
      <w:r w:rsidRPr="00443C31">
        <w:rPr>
          <w:lang w:val="en-IE"/>
        </w:rPr>
        <w:t>al capabilities.</w:t>
      </w:r>
    </w:p>
    <w:p w14:paraId="1F3C62FB" w14:textId="203EF3BC" w:rsidR="008869FF" w:rsidRPr="00443C31" w:rsidRDefault="008869FF" w:rsidP="008869FF">
      <w:pPr>
        <w:rPr>
          <w:lang w:val="en-IE"/>
        </w:rPr>
      </w:pPr>
      <w:r w:rsidRPr="00443C31">
        <w:rPr>
          <w:lang w:val="en-IE"/>
        </w:rPr>
        <w:t>Ecosystem support measures contribute indirectly by improving visibility of strategic projects, facilitating collaboration and enhancing firms’ ability to navigate the EU regulatory and funding landscape. While these effects are not directly attributable in isolation, they reinforce the overall improvement in business conditions generated by the project-level measures. Overall, once implementation stabilises, a significant share of recognised projects is expected to complete permit granting within the appl</w:t>
      </w:r>
      <w:r w:rsidR="00DC1980">
        <w:rPr>
          <w:lang w:val="en-IE"/>
        </w:rPr>
        <w:t>i</w:t>
      </w:r>
      <w:r w:rsidRPr="00443C31">
        <w:rPr>
          <w:lang w:val="en-IE"/>
        </w:rPr>
        <w:t>cable timelines.</w:t>
      </w:r>
    </w:p>
    <w:p w14:paraId="7179FEBC" w14:textId="174446A4" w:rsidR="00CF7D89" w:rsidRPr="00CF7D89" w:rsidRDefault="003B7F26" w:rsidP="00CF7D89">
      <w:pPr>
        <w:rPr>
          <w:bCs/>
          <w:lang w:val="en-IE"/>
        </w:rPr>
      </w:pPr>
      <w:r w:rsidRPr="0047225E">
        <w:rPr>
          <w:b/>
        </w:rPr>
        <w:t>Administrative costs on businesses, including SMEs</w:t>
      </w:r>
      <w:r w:rsidR="00250197">
        <w:rPr>
          <w:b/>
        </w:rPr>
        <w:t>:</w:t>
      </w:r>
      <w:r w:rsidRPr="00296348">
        <w:rPr>
          <w:bCs/>
        </w:rPr>
        <w:t xml:space="preserve"> </w:t>
      </w:r>
      <w:r w:rsidR="00CF7D89" w:rsidRPr="00CF7D89">
        <w:rPr>
          <w:bCs/>
          <w:lang w:val="en-IE"/>
        </w:rPr>
        <w:t>Significant positive impacts on administrative costs are expected, driven by reduced transaction costs, simplified administrative interactions and more predictable, time-bound procedures. For strategic and high-impact projects, reductions arise from fewer parallel interfaces, fewer iterative information exchanges and greater reuse of existing evidence, supported by single points of contact and structured administrative facilitation. These effects are expected to lower compliance costs and administrative burden, with avoided delay costs for capital-intensive investments constituting the main economic benefit.</w:t>
      </w:r>
    </w:p>
    <w:p w14:paraId="650E407A" w14:textId="1AD77C7C" w:rsidR="003B7F26" w:rsidRPr="00443C31" w:rsidRDefault="00CF7D89" w:rsidP="00CD6D61">
      <w:pPr>
        <w:rPr>
          <w:lang w:val="en-IE"/>
        </w:rPr>
      </w:pPr>
      <w:r w:rsidRPr="00CF7D89">
        <w:rPr>
          <w:bCs/>
          <w:lang w:val="en-IE"/>
        </w:rPr>
        <w:t>For high-impact projects, impacts are more targeted, reflecting prioritised handling and faster decision-making for a limited number of catalytic projects, reducing schedule uncertainty rather than generating system-wide burden reductions. Ecosystem support measures further reduce navigation and search costs, particularly for SMEs and start-ups, through a single-entry point and improved preparedness for regulatory interactions. Overall, impacts are expected to be proportionately stronger for SMEs lacking in-house administrative capacity.</w:t>
      </w:r>
    </w:p>
    <w:p w14:paraId="16AA2270" w14:textId="57CF52A6" w:rsidR="00B64E66" w:rsidRPr="00B64E66" w:rsidRDefault="003B7F26" w:rsidP="00B64E66">
      <w:pPr>
        <w:rPr>
          <w:bCs/>
          <w:lang w:val="en-IE"/>
        </w:rPr>
      </w:pPr>
      <w:r w:rsidRPr="0047225E">
        <w:rPr>
          <w:b/>
        </w:rPr>
        <w:t>Competitiveness, trade and investment flows</w:t>
      </w:r>
      <w:r w:rsidR="00B64E66">
        <w:rPr>
          <w:bCs/>
        </w:rPr>
        <w:t xml:space="preserve">: </w:t>
      </w:r>
      <w:r w:rsidR="00B64E66" w:rsidRPr="00B64E66">
        <w:rPr>
          <w:bCs/>
          <w:lang w:val="en-IE"/>
        </w:rPr>
        <w:t>Positive impacts on competitiveness, trade and investment flows are expected through improved bankability, stronger investment signalling and reduced time-to-market. For strategic and high-impact projects, more predictable delivery and prioritised handling are expected to lower risk premia and improve conversion from planning to financial close, supporting higher investment mobilisation and leverage, particularly for mature and bankable projects. High-impact projects are expected to generate stronger effects per project due to their scale, visibility and systemic relevance.</w:t>
      </w:r>
    </w:p>
    <w:p w14:paraId="17F7E6A6" w14:textId="6AFDBC8D" w:rsidR="00B64E66" w:rsidRPr="00B64E66" w:rsidRDefault="00B64E66" w:rsidP="00B64E66">
      <w:pPr>
        <w:rPr>
          <w:bCs/>
          <w:lang w:val="en-IE"/>
        </w:rPr>
      </w:pPr>
      <w:r w:rsidRPr="00B64E66">
        <w:rPr>
          <w:bCs/>
          <w:lang w:val="en-IE"/>
        </w:rPr>
        <w:t>Ecosystem support measures reinforce these effects by improving access to investors through structured matchmaking and by reducing delays linked to incomplete or immature submissions, thereby shortening time-to-market</w:t>
      </w:r>
      <w:r w:rsidR="003D39D3">
        <w:rPr>
          <w:rStyle w:val="FootnoteReference"/>
          <w:bCs/>
          <w:lang w:val="en-IE"/>
        </w:rPr>
        <w:footnoteReference w:id="216"/>
      </w:r>
      <w:r w:rsidRPr="00B64E66">
        <w:rPr>
          <w:bCs/>
          <w:lang w:val="en-IE"/>
        </w:rPr>
        <w:t>. Overall investment mobilisation will depend on project maturity and uptake, but the combined framework is expected to strengthen investment attractiveness and facilitate greater mobilisation of both public and private capital in the Union</w:t>
      </w:r>
      <w:r w:rsidR="00BC7D47">
        <w:rPr>
          <w:bCs/>
          <w:lang w:val="en-IE"/>
        </w:rPr>
        <w:t xml:space="preserve"> health</w:t>
      </w:r>
      <w:r w:rsidRPr="00B64E66">
        <w:rPr>
          <w:bCs/>
          <w:lang w:val="en-IE"/>
        </w:rPr>
        <w:t xml:space="preserve"> biotechnology sector.</w:t>
      </w:r>
      <w:r w:rsidR="0080644D">
        <w:rPr>
          <w:bCs/>
          <w:lang w:val="en-IE"/>
        </w:rPr>
        <w:t xml:space="preserve"> </w:t>
      </w:r>
      <w:r w:rsidR="0080644D" w:rsidRPr="0080644D">
        <w:rPr>
          <w:bCs/>
        </w:rPr>
        <w:t>Existing Union financing instruments can also amplify these effects through leverage: where support is backed by an EU budget guarantee, this can reduce risk for implementing partners and crowd in additional public and private investment beyond the direct Union contribution.</w:t>
      </w:r>
    </w:p>
    <w:p w14:paraId="1C2659CA" w14:textId="25160237" w:rsidR="00CD23BC" w:rsidRPr="00CD23BC" w:rsidRDefault="009D0F36" w:rsidP="00CD23BC">
      <w:pPr>
        <w:rPr>
          <w:lang w:val="en-IE"/>
        </w:rPr>
      </w:pPr>
      <w:r>
        <w:rPr>
          <w:b/>
        </w:rPr>
        <w:t>I</w:t>
      </w:r>
      <w:r w:rsidR="003B7F26" w:rsidRPr="0047225E">
        <w:rPr>
          <w:b/>
        </w:rPr>
        <w:t>nternal market</w:t>
      </w:r>
      <w:r w:rsidR="00CD23BC">
        <w:rPr>
          <w:b/>
        </w:rPr>
        <w:t xml:space="preserve">: </w:t>
      </w:r>
      <w:r w:rsidR="00CD23BC" w:rsidRPr="00CD23BC">
        <w:rPr>
          <w:lang w:val="en-IE"/>
        </w:rPr>
        <w:t xml:space="preserve">Positive impacts on the functioning of the internal market are expected </w:t>
      </w:r>
      <w:r w:rsidR="00CD23BC">
        <w:t xml:space="preserve">through </w:t>
      </w:r>
      <w:r w:rsidR="001A09DC">
        <w:t>a</w:t>
      </w:r>
      <w:r w:rsidR="00CD23BC">
        <w:t xml:space="preserve"> more visible and comparable pipeline of strategic projects </w:t>
      </w:r>
      <w:r w:rsidR="001A09DC">
        <w:t xml:space="preserve">and reduced </w:t>
      </w:r>
      <w:r w:rsidR="00CD23BC">
        <w:t xml:space="preserve">information asymmetries </w:t>
      </w:r>
      <w:r w:rsidR="001A09DC">
        <w:t>for promoters, authorities and investors. Cross-border recognition for projects located in two or more Member States is expected to reduce duplicative processes and improve consistency of treatment, supporting more contestable investment conditions across Member States, while take-up patterns will remain sensitive to underlying administrative capacity and clustering effects. Internal market effects are expected to strengthen as uptake increases and the pipeline becomes sufficiently broad and geographically distributed to improve comparability and transparency across Member States.</w:t>
      </w:r>
    </w:p>
    <w:p w14:paraId="064F64DE" w14:textId="3AAF434A" w:rsidR="00CD23BC" w:rsidRPr="00CD23BC" w:rsidRDefault="00CD23BC" w:rsidP="00CD23BC">
      <w:pPr>
        <w:rPr>
          <w:lang w:val="en-IE"/>
        </w:rPr>
      </w:pPr>
      <w:r w:rsidRPr="00CD23BC">
        <w:rPr>
          <w:lang w:val="en-IE"/>
        </w:rPr>
        <w:t>These effects are reinforced by improved cross-border accessibility of infrastructures and shared capabilities</w:t>
      </w:r>
      <w:r w:rsidR="00E71FAD">
        <w:rPr>
          <w:lang w:val="en-IE"/>
        </w:rPr>
        <w:t xml:space="preserve"> in the context of high-impact strategic projects</w:t>
      </w:r>
      <w:r w:rsidRPr="00CD23BC">
        <w:rPr>
          <w:lang w:val="en-IE"/>
        </w:rPr>
        <w:t xml:space="preserve">, facilitating resource pooling and multi-country collaboration. </w:t>
      </w:r>
      <w:r w:rsidR="00253EBC" w:rsidRPr="00BE5B95">
        <w:t>The Support Network is expected to reduce fragmentation of support services by providing comparable</w:t>
      </w:r>
      <w:r w:rsidR="00625E4B">
        <w:rPr>
          <w:rStyle w:val="FootnoteReference"/>
        </w:rPr>
        <w:footnoteReference w:id="217"/>
      </w:r>
      <w:r w:rsidR="00253EBC" w:rsidRPr="00BE5B95">
        <w:t xml:space="preserve"> antennas across Member States. </w:t>
      </w:r>
      <w:r w:rsidRPr="00443C31">
        <w:rPr>
          <w:lang w:val="en-IE"/>
        </w:rPr>
        <w:t>Cluster networks further contribute by structuring cross-border ecosystems, enabling access to biomanufacturing and research infrastructures and supporting the formation of cross-border consortia</w:t>
      </w:r>
      <w:r w:rsidR="003D3CB5" w:rsidRPr="00443C31">
        <w:rPr>
          <w:rStyle w:val="FootnoteReference"/>
          <w:lang w:val="en-IE"/>
        </w:rPr>
        <w:footnoteReference w:id="218"/>
      </w:r>
      <w:r w:rsidRPr="00443C31">
        <w:rPr>
          <w:lang w:val="en-IE"/>
        </w:rPr>
        <w:t>.</w:t>
      </w:r>
      <w:r w:rsidRPr="00CD23BC">
        <w:rPr>
          <w:lang w:val="en-IE"/>
        </w:rPr>
        <w:t xml:space="preserve"> </w:t>
      </w:r>
    </w:p>
    <w:p w14:paraId="36F32A64" w14:textId="4BFE95E0" w:rsidR="0005506A" w:rsidRPr="0005506A" w:rsidRDefault="003B7F26" w:rsidP="0005506A">
      <w:pPr>
        <w:rPr>
          <w:lang w:val="en-IE"/>
        </w:rPr>
      </w:pPr>
      <w:r w:rsidRPr="0047225E">
        <w:rPr>
          <w:b/>
        </w:rPr>
        <w:t>Innovation and research</w:t>
      </w:r>
      <w:r w:rsidR="0005506A">
        <w:t xml:space="preserve">: </w:t>
      </w:r>
      <w:r w:rsidR="0005506A" w:rsidRPr="0005506A">
        <w:rPr>
          <w:lang w:val="en-IE"/>
        </w:rPr>
        <w:t xml:space="preserve">Impacts are expected through faster and more efficient translation of research and innovation into industrial deployment, supported by strategic projects and reinforced by a limited number of high-impact catalytic assets addressing late-stage bottlenecks. Strategic projects contribute through strengthening biomanufacturing infrastructures and innovation assets, while high-impact projects further enhance the </w:t>
      </w:r>
      <w:r w:rsidR="0005506A" w:rsidRPr="0005506A">
        <w:rPr>
          <w:b/>
          <w:bCs/>
          <w:lang w:val="en-IE"/>
        </w:rPr>
        <w:t>number and speed of projects progressing through late-stage development</w:t>
      </w:r>
      <w:r w:rsidR="0005506A" w:rsidRPr="0005506A">
        <w:rPr>
          <w:lang w:val="en-IE"/>
        </w:rPr>
        <w:t>, particularly for advanced therapies and other complex applications.</w:t>
      </w:r>
    </w:p>
    <w:p w14:paraId="29ADFCEF" w14:textId="77777777" w:rsidR="0005506A" w:rsidRPr="0005506A" w:rsidRDefault="0005506A" w:rsidP="0005506A">
      <w:pPr>
        <w:rPr>
          <w:lang w:val="en-IE"/>
        </w:rPr>
      </w:pPr>
      <w:r w:rsidRPr="0005506A">
        <w:rPr>
          <w:lang w:val="en-IE"/>
        </w:rPr>
        <w:t>These effects are complemented by ecosystem measures, notably cluster networks and support structures that strengthen research-industry linkages and facilitate cross-border collaboration, thereby enhancing firm-level innovation capacity and access to shared infrastructures. Overall, innovation impacts are expected to scale with uptake and portfolio composition, with the main effect being improved translation and deployment rather than system-wide shifts in innovation performance.</w:t>
      </w:r>
    </w:p>
    <w:p w14:paraId="4A8FA2F6" w14:textId="07798A4C" w:rsidR="00F560F2" w:rsidRPr="00F560F2" w:rsidRDefault="00D03FD8" w:rsidP="00CD6D61">
      <w:r w:rsidRPr="00443C31">
        <w:rPr>
          <w:b/>
          <w:bCs/>
        </w:rPr>
        <w:t>P</w:t>
      </w:r>
      <w:r w:rsidR="00F560F2" w:rsidRPr="00C03FA6">
        <w:rPr>
          <w:b/>
        </w:rPr>
        <w:t>ublic authorities</w:t>
      </w:r>
      <w:r>
        <w:rPr>
          <w:b/>
        </w:rPr>
        <w:t xml:space="preserve">: </w:t>
      </w:r>
      <w:r>
        <w:rPr>
          <w:bCs/>
        </w:rPr>
        <w:t>They</w:t>
      </w:r>
      <w:r w:rsidR="00F560F2" w:rsidRPr="00F560F2">
        <w:t xml:space="preserve"> are expected to be front-loaded mainly due to process design, workload reallocation and coordination needs to operate single points of contact and provide structured support</w:t>
      </w:r>
      <w:r w:rsidR="002328B2">
        <w:t xml:space="preserve">, </w:t>
      </w:r>
      <w:r w:rsidR="002328B2" w:rsidRPr="002328B2">
        <w:t>as well as participation in governance and coordination structure</w:t>
      </w:r>
      <w:r w:rsidR="002328B2">
        <w:t>s</w:t>
      </w:r>
      <w:r w:rsidR="00F560F2" w:rsidRPr="00F560F2">
        <w:t xml:space="preserve">. In many Member States, single points of contact may be established by designating or adapting existing administrative coordination mechanisms rather than creating entirely new structures, which may reduce upfront costs. </w:t>
      </w:r>
      <w:r w:rsidR="00F560F2" w:rsidRPr="00C03FA6">
        <w:t>Over time, efficiency gains are expected as procedures standardise</w:t>
      </w:r>
      <w:r w:rsidR="00FE0CD4">
        <w:t>,</w:t>
      </w:r>
      <w:r w:rsidR="00F560F2" w:rsidRPr="00C03FA6">
        <w:t xml:space="preserve"> and administrative experience accumulates.</w:t>
      </w:r>
      <w:r w:rsidR="008A6DCB">
        <w:t xml:space="preserve"> </w:t>
      </w:r>
      <w:r w:rsidR="008A6DCB" w:rsidRPr="008A6DCB">
        <w:t xml:space="preserve">Incremental impacts attributable specifically to the high-impact designation are expected to be limited and concentrated in selection, monitoring, coordination and reporting for a </w:t>
      </w:r>
      <w:r w:rsidR="006102EB">
        <w:t>limited</w:t>
      </w:r>
      <w:r w:rsidR="008A6DCB" w:rsidRPr="008A6DCB">
        <w:t xml:space="preserve"> flagship portfolio, without duplicating cost drivers associated with general permitting operations and routine administrative facilitation. Administrative workload will scale with the number of recognised projects and monitoring cycles required.</w:t>
      </w:r>
    </w:p>
    <w:p w14:paraId="0D77E0FB" w14:textId="4CB7937A" w:rsidR="009671C1" w:rsidRPr="00F560F2" w:rsidRDefault="009671C1" w:rsidP="00CD6D61">
      <w:r w:rsidRPr="009671C1">
        <w:t>The intervention also introduces additional obligations for Member States, including participation in the Steering Group, data provision for ecosystem mapping and facilitation of support network activities, but these are expected to build on existing structures, resulting in marginal set-up costs. Comparable initiatives</w:t>
      </w:r>
      <w:r w:rsidR="00ED6E2F">
        <w:t xml:space="preserve"> (NZIA, CRMA)</w:t>
      </w:r>
      <w:r w:rsidRPr="009671C1">
        <w:t xml:space="preserve"> estimate 1–2 FTEs for one-stop shop functions and around </w:t>
      </w:r>
      <w:r w:rsidR="00841393">
        <w:t>two</w:t>
      </w:r>
      <w:r w:rsidRPr="009671C1">
        <w:t xml:space="preserve"> FTEs for governance participation. These initial obligations are expected to yield efficiency gains over time, as Member States gain access to a systematic evidence base and coordination forum that should improve national decision-making and reduce duplicative investments.</w:t>
      </w:r>
      <w:r w:rsidR="00ED6E2F">
        <w:t xml:space="preserve"> </w:t>
      </w:r>
      <w:r w:rsidR="00ED6E2F" w:rsidRPr="00BE5B95">
        <w:t>At EU</w:t>
      </w:r>
      <w:r w:rsidR="00ED6E2F">
        <w:t>-</w:t>
      </w:r>
      <w:r w:rsidR="00ED6E2F" w:rsidRPr="00BE5B95">
        <w:t xml:space="preserve">level, technical assistance appropriations of approximately </w:t>
      </w:r>
      <w:r w:rsidR="00ED6E2F">
        <w:t>EUR</w:t>
      </w:r>
      <w:r w:rsidR="00ED6E2F" w:rsidRPr="00BE5B95">
        <w:t xml:space="preserve"> 2.6 million annually (</w:t>
      </w:r>
      <w:r w:rsidR="00ED6E2F">
        <w:t xml:space="preserve">EUR </w:t>
      </w:r>
      <w:r w:rsidR="00ED6E2F" w:rsidRPr="00BE5B95">
        <w:t>18.4 million over the MFF period) cover relevant coordination functions.</w:t>
      </w:r>
    </w:p>
    <w:p w14:paraId="1378543B" w14:textId="39A18856" w:rsidR="00C416CE" w:rsidRDefault="003B7F26" w:rsidP="00443C31">
      <w:r w:rsidRPr="00C03FA6">
        <w:rPr>
          <w:b/>
        </w:rPr>
        <w:t>Public health and safety</w:t>
      </w:r>
      <w:r w:rsidR="00D03FD8" w:rsidRPr="00443C31">
        <w:rPr>
          <w:bCs/>
        </w:rPr>
        <w:t>: I</w:t>
      </w:r>
      <w:r w:rsidRPr="00443C31">
        <w:t>mpacts</w:t>
      </w:r>
      <w:r w:rsidRPr="00296348">
        <w:t xml:space="preserve"> are expected to be positive but indirect, mediated by the realised project portfolio and the extent to which faster delivery translates into earlier </w:t>
      </w:r>
      <w:r>
        <w:t>EU</w:t>
      </w:r>
      <w:r w:rsidRPr="00296348">
        <w:t>-based capacity for strategic products and a contribution to supply resilience outcome</w:t>
      </w:r>
      <w:r>
        <w:t xml:space="preserve">s. </w:t>
      </w:r>
      <w:r w:rsidRPr="00EF173F">
        <w:t>The scale of both administrative workload and resilience-relevant capacity effects is expected to increase with uptake, subject to project mix and implementation performance.</w:t>
      </w:r>
      <w:r>
        <w:t xml:space="preserve"> </w:t>
      </w:r>
      <w:r w:rsidR="00A64C2F">
        <w:t>For high-impact projects, t</w:t>
      </w:r>
      <w:r w:rsidR="00A64C2F" w:rsidRPr="00A64C2F">
        <w:t xml:space="preserve">he core </w:t>
      </w:r>
      <w:r w:rsidR="00A64C2F">
        <w:t xml:space="preserve">impact </w:t>
      </w:r>
      <w:r w:rsidR="00A64C2F" w:rsidRPr="00A64C2F">
        <w:t xml:space="preserve">pathway </w:t>
      </w:r>
      <w:r w:rsidR="00A64C2F">
        <w:t>will be</w:t>
      </w:r>
      <w:r w:rsidR="00A64C2F" w:rsidRPr="00A64C2F">
        <w:t xml:space="preserve"> </w:t>
      </w:r>
      <w:r w:rsidR="0021124D">
        <w:t>potentially</w:t>
      </w:r>
      <w:r w:rsidR="00A64C2F" w:rsidRPr="00A64C2F">
        <w:t xml:space="preserve"> faster, safer and more efficient development of innovative therapies, notably advanced therapies, supported by improved access to specialised testing, validation, small-batch GMP and quality control services and, where </w:t>
      </w:r>
      <w:r w:rsidR="00495FD4" w:rsidRPr="00495FD4">
        <w:t>relevant, links to data and digital infrastructures</w:t>
      </w:r>
      <w:r w:rsidR="00A64C2F" w:rsidRPr="00A64C2F">
        <w:t>.</w:t>
      </w:r>
      <w:r>
        <w:t xml:space="preserve"> </w:t>
      </w:r>
    </w:p>
    <w:p w14:paraId="3CC7C531" w14:textId="77777777" w:rsidR="00E61275" w:rsidRPr="00E61275" w:rsidRDefault="00E61275" w:rsidP="00E61275">
      <w:pPr>
        <w:rPr>
          <w:lang w:val="en-IE"/>
        </w:rPr>
      </w:pPr>
      <w:r w:rsidRPr="00E61275">
        <w:rPr>
          <w:lang w:val="en-IE"/>
        </w:rPr>
        <w:t xml:space="preserve">Impacts are expected to materialise over the medium term and remain conditional on uptake by developers and manufacturers, as well as on broader regulatory, reimbursement and health system conditions affecting downstream patient access. </w:t>
      </w:r>
      <w:r w:rsidRPr="00443C31">
        <w:rPr>
          <w:lang w:val="en-IE"/>
        </w:rPr>
        <w:t>Ecosystem support measures are not expected to have direct effects but may indirectly reinforce these outcomes by facilitating collaboration and improving system preparedness.</w:t>
      </w:r>
    </w:p>
    <w:p w14:paraId="36DD8426" w14:textId="461D2D43" w:rsidR="005F5B52" w:rsidRDefault="005F5B52" w:rsidP="007571AF">
      <w:r w:rsidRPr="00B43A1F">
        <w:t>The table</w:t>
      </w:r>
      <w:r w:rsidR="00FB64C3">
        <w:t>s</w:t>
      </w:r>
      <w:r w:rsidRPr="00B43A1F">
        <w:t xml:space="preserve"> below provide an illustrative, scenario-based quantification</w:t>
      </w:r>
      <w:r w:rsidR="00FB64C3">
        <w:rPr>
          <w:rStyle w:val="FootnoteReference"/>
        </w:rPr>
        <w:footnoteReference w:id="219"/>
      </w:r>
      <w:r w:rsidRPr="00B43A1F">
        <w:t xml:space="preserve"> of the expected impacts by 2038 under three uptake cases for the recognition and support framework for strategic health biotechnology projects </w:t>
      </w:r>
      <w:r w:rsidR="00FB64C3">
        <w:t xml:space="preserve">(Table </w:t>
      </w:r>
      <w:r w:rsidR="007A43F6">
        <w:t>9</w:t>
      </w:r>
      <w:r w:rsidR="00FB64C3">
        <w:t xml:space="preserve">) and for high impact health biotechnology projects (Table </w:t>
      </w:r>
      <w:r w:rsidR="007A43F6">
        <w:t>10</w:t>
      </w:r>
      <w:r w:rsidR="00FB64C3">
        <w:t>)</w:t>
      </w:r>
      <w:r w:rsidRPr="00B43A1F">
        <w:t xml:space="preserve"> for each impact category. Impacts should be interpreted as orders of magnitude and as broadly proportional to the number, maturity and operationalisation of recognised projects over the period.</w:t>
      </w:r>
    </w:p>
    <w:p w14:paraId="38572351" w14:textId="77D8EB5A" w:rsidR="007571AF" w:rsidRDefault="007571AF" w:rsidP="007571AF">
      <w:pPr>
        <w:spacing w:before="120" w:after="120"/>
      </w:pPr>
      <w:r w:rsidRPr="00514904">
        <w:rPr>
          <w:b/>
        </w:rPr>
        <w:t xml:space="preserve">Table </w:t>
      </w:r>
      <w:r>
        <w:rPr>
          <w:b/>
        </w:rPr>
        <w:t>9.</w:t>
      </w:r>
      <w:r w:rsidRPr="00514904">
        <w:rPr>
          <w:b/>
        </w:rPr>
        <w:t xml:space="preserve"> Illustrative uptake scenarios and order-of-magnitude impacts </w:t>
      </w:r>
      <w:r>
        <w:rPr>
          <w:b/>
        </w:rPr>
        <w:t>for strategic health biotechnology projects</w:t>
      </w:r>
    </w:p>
    <w:p w14:paraId="75581E65" w14:textId="77777777" w:rsidR="007571AF" w:rsidRDefault="007571AF" w:rsidP="00993FA1"/>
    <w:p w14:paraId="42657231" w14:textId="77777777" w:rsidR="007571AF" w:rsidRDefault="007571AF" w:rsidP="00993FA1"/>
    <w:p w14:paraId="3DB39A98" w14:textId="77777777" w:rsidR="006650B5" w:rsidRDefault="006650B5" w:rsidP="00993FA1">
      <w:pPr>
        <w:rPr>
          <w:b/>
        </w:rPr>
      </w:pPr>
    </w:p>
    <w:p w14:paraId="6B575380" w14:textId="52F76B1A" w:rsidR="005F5B52" w:rsidRPr="006650B5" w:rsidRDefault="005F5B52" w:rsidP="00444A6B"/>
    <w:tbl>
      <w:tblPr>
        <w:tblStyle w:val="TableGrid"/>
        <w:tblpPr w:leftFromText="180" w:rightFromText="180" w:vertAnchor="page" w:horzAnchor="margin" w:tblpY="2416"/>
        <w:tblW w:w="4949" w:type="pct"/>
        <w:tblLayout w:type="fixed"/>
        <w:tblLook w:val="04A0" w:firstRow="1" w:lastRow="0" w:firstColumn="1" w:lastColumn="0" w:noHBand="0" w:noVBand="1"/>
      </w:tblPr>
      <w:tblGrid>
        <w:gridCol w:w="1020"/>
        <w:gridCol w:w="1474"/>
        <w:gridCol w:w="2551"/>
        <w:gridCol w:w="1871"/>
        <w:gridCol w:w="1604"/>
      </w:tblGrid>
      <w:tr w:rsidR="006650B5" w:rsidRPr="00CB5E68" w14:paraId="49A587D9" w14:textId="77777777" w:rsidTr="007571AF">
        <w:trPr>
          <w:trHeight w:val="539"/>
        </w:trPr>
        <w:tc>
          <w:tcPr>
            <w:tcW w:w="1020" w:type="dxa"/>
            <w:vMerge w:val="restart"/>
          </w:tcPr>
          <w:p w14:paraId="54F4F473" w14:textId="73B936A2" w:rsidR="006650B5" w:rsidRPr="00CB5E68" w:rsidRDefault="006650B5" w:rsidP="007571AF">
            <w:pPr>
              <w:pStyle w:val="TABLEFONT"/>
              <w:framePr w:hSpace="0" w:wrap="auto" w:vAnchor="margin" w:hAnchor="text" w:yAlign="inline"/>
            </w:pPr>
            <w:r w:rsidRPr="00CB5E68">
              <w:t>Impact category</w:t>
            </w:r>
          </w:p>
        </w:tc>
        <w:tc>
          <w:tcPr>
            <w:tcW w:w="1474" w:type="dxa"/>
            <w:vMerge w:val="restart"/>
          </w:tcPr>
          <w:p w14:paraId="5452C741" w14:textId="46E8BA4B" w:rsidR="006650B5" w:rsidRPr="00CB5E68" w:rsidRDefault="006650B5" w:rsidP="007571AF">
            <w:pPr>
              <w:pStyle w:val="TABLEFONT"/>
              <w:framePr w:hSpace="0" w:wrap="auto" w:vAnchor="margin" w:hAnchor="text" w:yAlign="inline"/>
            </w:pPr>
            <w:r w:rsidRPr="00CB5E68">
              <w:t>Summary assessment of the effects due to the policy measure</w:t>
            </w:r>
          </w:p>
        </w:tc>
        <w:tc>
          <w:tcPr>
            <w:tcW w:w="6026" w:type="dxa"/>
            <w:gridSpan w:val="3"/>
          </w:tcPr>
          <w:p w14:paraId="5A495097" w14:textId="6BA0A876" w:rsidR="006650B5" w:rsidRPr="00CB5E68" w:rsidRDefault="006650B5" w:rsidP="007571AF">
            <w:pPr>
              <w:pStyle w:val="TABLEFONT"/>
              <w:framePr w:hSpace="0" w:wrap="auto" w:vAnchor="margin" w:hAnchor="text" w:yAlign="inline"/>
            </w:pPr>
            <w:r w:rsidRPr="00CB5E68">
              <w:t>Key indicators expected evolution under different project uptake scenarios</w:t>
            </w:r>
          </w:p>
        </w:tc>
      </w:tr>
      <w:tr w:rsidR="006650B5" w:rsidRPr="00CB5E68" w14:paraId="596BF745" w14:textId="77777777" w:rsidTr="007571AF">
        <w:trPr>
          <w:trHeight w:val="539"/>
        </w:trPr>
        <w:tc>
          <w:tcPr>
            <w:tcW w:w="1020" w:type="dxa"/>
            <w:vMerge/>
          </w:tcPr>
          <w:p w14:paraId="5404D51F" w14:textId="77777777" w:rsidR="006650B5" w:rsidRPr="00CB5E68" w:rsidRDefault="006650B5" w:rsidP="007571AF">
            <w:pPr>
              <w:pStyle w:val="TABLEFONT"/>
              <w:framePr w:hSpace="0" w:wrap="auto" w:vAnchor="margin" w:hAnchor="text" w:yAlign="inline"/>
            </w:pPr>
          </w:p>
        </w:tc>
        <w:tc>
          <w:tcPr>
            <w:tcW w:w="1474" w:type="dxa"/>
            <w:vMerge/>
          </w:tcPr>
          <w:p w14:paraId="5870E066" w14:textId="77777777" w:rsidR="006650B5" w:rsidRPr="00CB5E68" w:rsidRDefault="006650B5" w:rsidP="007571AF">
            <w:pPr>
              <w:pStyle w:val="TABLEFONT"/>
              <w:framePr w:hSpace="0" w:wrap="auto" w:vAnchor="margin" w:hAnchor="text" w:yAlign="inline"/>
            </w:pPr>
          </w:p>
        </w:tc>
        <w:tc>
          <w:tcPr>
            <w:tcW w:w="2551" w:type="dxa"/>
          </w:tcPr>
          <w:p w14:paraId="7D5D9699" w14:textId="4A0049A8" w:rsidR="006650B5" w:rsidRPr="00CB5E68" w:rsidRDefault="006650B5" w:rsidP="007571AF">
            <w:pPr>
              <w:pStyle w:val="TABLEFONT"/>
              <w:framePr w:hSpace="0" w:wrap="auto" w:vAnchor="margin" w:hAnchor="text" w:yAlign="inline"/>
            </w:pPr>
            <w:r w:rsidRPr="00CB5E68">
              <w:t>Low uptake (25-30 projects)</w:t>
            </w:r>
          </w:p>
        </w:tc>
        <w:tc>
          <w:tcPr>
            <w:tcW w:w="1871" w:type="dxa"/>
          </w:tcPr>
          <w:p w14:paraId="0A675ADB" w14:textId="081698C3" w:rsidR="006650B5" w:rsidRPr="00CB5E68" w:rsidRDefault="006650B5" w:rsidP="007571AF">
            <w:pPr>
              <w:pStyle w:val="TABLEFONT"/>
              <w:framePr w:hSpace="0" w:wrap="auto" w:vAnchor="margin" w:hAnchor="text" w:yAlign="inline"/>
            </w:pPr>
            <w:r w:rsidRPr="00CB5E68">
              <w:t>Medium uptake (60-70 projects)</w:t>
            </w:r>
          </w:p>
        </w:tc>
        <w:tc>
          <w:tcPr>
            <w:tcW w:w="1604" w:type="dxa"/>
          </w:tcPr>
          <w:p w14:paraId="3A152CFF" w14:textId="65EF2570" w:rsidR="006650B5" w:rsidRPr="00CB5E68" w:rsidRDefault="006650B5" w:rsidP="007571AF">
            <w:pPr>
              <w:pStyle w:val="TABLEFONT"/>
              <w:framePr w:hSpace="0" w:wrap="auto" w:vAnchor="margin" w:hAnchor="text" w:yAlign="inline"/>
            </w:pPr>
            <w:r w:rsidRPr="00CB5E68">
              <w:t>High uptake (100-120 projects)</w:t>
            </w:r>
          </w:p>
        </w:tc>
      </w:tr>
      <w:tr w:rsidR="006650B5" w:rsidRPr="00CB5E68" w14:paraId="042D5437" w14:textId="77777777" w:rsidTr="007571AF">
        <w:trPr>
          <w:trHeight w:val="539"/>
        </w:trPr>
        <w:tc>
          <w:tcPr>
            <w:tcW w:w="1020" w:type="dxa"/>
          </w:tcPr>
          <w:p w14:paraId="752E4952" w14:textId="281B7BD4" w:rsidR="006650B5" w:rsidRPr="00CB5E68" w:rsidRDefault="006650B5" w:rsidP="007571AF">
            <w:pPr>
              <w:pStyle w:val="TABLEFONT"/>
              <w:framePr w:hSpace="0" w:wrap="auto" w:vAnchor="margin" w:hAnchor="text" w:yAlign="inline"/>
            </w:pPr>
            <w:r w:rsidRPr="00CB5E68">
              <w:t>COB</w:t>
            </w:r>
          </w:p>
        </w:tc>
        <w:tc>
          <w:tcPr>
            <w:tcW w:w="1474" w:type="dxa"/>
          </w:tcPr>
          <w:p w14:paraId="6523AA0D" w14:textId="40F4C226" w:rsidR="006650B5" w:rsidRPr="00CB5E68" w:rsidRDefault="006650B5" w:rsidP="007571AF">
            <w:pPr>
              <w:pStyle w:val="TABLEFONT"/>
              <w:framePr w:hSpace="0" w:wrap="auto" w:vAnchor="margin" w:hAnchor="text" w:yAlign="inline"/>
            </w:pPr>
            <w:r w:rsidRPr="00CB5E68">
              <w:t>++</w:t>
            </w:r>
          </w:p>
        </w:tc>
        <w:tc>
          <w:tcPr>
            <w:tcW w:w="2551" w:type="dxa"/>
          </w:tcPr>
          <w:p w14:paraId="0BBFB2D2" w14:textId="77777777" w:rsidR="006650B5" w:rsidRPr="00CB5E68" w:rsidRDefault="006650B5" w:rsidP="007571AF">
            <w:pPr>
              <w:pStyle w:val="TABLEFONT"/>
              <w:framePr w:hSpace="0" w:wrap="auto" w:vAnchor="margin" w:hAnchor="text" w:yAlign="inline"/>
            </w:pPr>
            <w:r w:rsidRPr="00CB5E68">
              <w:t>Projects completing permit granting within 10 months: ~18-26</w:t>
            </w:r>
          </w:p>
        </w:tc>
        <w:tc>
          <w:tcPr>
            <w:tcW w:w="1871" w:type="dxa"/>
          </w:tcPr>
          <w:p w14:paraId="543BE8A5" w14:textId="77777777" w:rsidR="006650B5" w:rsidRPr="00CB5E68" w:rsidRDefault="006650B5" w:rsidP="007571AF">
            <w:pPr>
              <w:pStyle w:val="TABLEFONT"/>
              <w:framePr w:hSpace="0" w:wrap="auto" w:vAnchor="margin" w:hAnchor="text" w:yAlign="inline"/>
            </w:pPr>
            <w:r w:rsidRPr="00CB5E68">
              <w:t>~42-60</w:t>
            </w:r>
          </w:p>
        </w:tc>
        <w:tc>
          <w:tcPr>
            <w:tcW w:w="1604" w:type="dxa"/>
          </w:tcPr>
          <w:p w14:paraId="1958F14A" w14:textId="77777777" w:rsidR="006650B5" w:rsidRPr="00CB5E68" w:rsidRDefault="006650B5" w:rsidP="007571AF">
            <w:pPr>
              <w:pStyle w:val="TABLEFONT"/>
              <w:framePr w:hSpace="0" w:wrap="auto" w:vAnchor="margin" w:hAnchor="text" w:yAlign="inline"/>
            </w:pPr>
            <w:r w:rsidRPr="00CB5E68">
              <w:t>~70-102</w:t>
            </w:r>
          </w:p>
        </w:tc>
      </w:tr>
      <w:tr w:rsidR="006650B5" w:rsidRPr="00CB5E68" w14:paraId="63442AD8" w14:textId="77777777" w:rsidTr="007571AF">
        <w:trPr>
          <w:trHeight w:val="737"/>
        </w:trPr>
        <w:tc>
          <w:tcPr>
            <w:tcW w:w="1020" w:type="dxa"/>
          </w:tcPr>
          <w:p w14:paraId="5A047B86" w14:textId="416A4CCE" w:rsidR="006650B5" w:rsidRPr="00CB5E68" w:rsidRDefault="006650B5" w:rsidP="007571AF">
            <w:pPr>
              <w:pStyle w:val="TABLEFONT"/>
              <w:framePr w:hSpace="0" w:wrap="auto" w:vAnchor="margin" w:hAnchor="text" w:yAlign="inline"/>
            </w:pPr>
            <w:r w:rsidRPr="00CB5E68">
              <w:t>Admin</w:t>
            </w:r>
          </w:p>
        </w:tc>
        <w:tc>
          <w:tcPr>
            <w:tcW w:w="1474" w:type="dxa"/>
          </w:tcPr>
          <w:p w14:paraId="43B8406E" w14:textId="2F9ACC96" w:rsidR="006650B5" w:rsidRPr="00CB5E68" w:rsidRDefault="006650B5" w:rsidP="007571AF">
            <w:pPr>
              <w:pStyle w:val="TABLEFONT"/>
              <w:framePr w:hSpace="0" w:wrap="auto" w:vAnchor="margin" w:hAnchor="text" w:yAlign="inline"/>
            </w:pPr>
            <w:r w:rsidRPr="00CB5E68">
              <w:t>++</w:t>
            </w:r>
          </w:p>
        </w:tc>
        <w:tc>
          <w:tcPr>
            <w:tcW w:w="2551" w:type="dxa"/>
          </w:tcPr>
          <w:p w14:paraId="7903B0B2" w14:textId="77777777" w:rsidR="006650B5" w:rsidRPr="00CB5E68" w:rsidRDefault="006650B5" w:rsidP="007571AF">
            <w:pPr>
              <w:pStyle w:val="TABLEFONT"/>
              <w:framePr w:hSpace="0" w:wrap="auto" w:vAnchor="margin" w:hAnchor="text" w:yAlign="inline"/>
            </w:pPr>
            <w:r w:rsidRPr="00CB5E68">
              <w:t>Avoided delay costs (cumulative): ~EUR 90-410 million</w:t>
            </w:r>
          </w:p>
        </w:tc>
        <w:tc>
          <w:tcPr>
            <w:tcW w:w="1871" w:type="dxa"/>
          </w:tcPr>
          <w:p w14:paraId="1D9EA7E2" w14:textId="77777777" w:rsidR="006650B5" w:rsidRPr="00CB5E68" w:rsidRDefault="006650B5" w:rsidP="007571AF">
            <w:pPr>
              <w:pStyle w:val="TABLEFONT"/>
              <w:framePr w:hSpace="0" w:wrap="auto" w:vAnchor="margin" w:hAnchor="text" w:yAlign="inline"/>
            </w:pPr>
            <w:r w:rsidRPr="00CB5E68">
              <w:t>~EUR 214-952 million</w:t>
            </w:r>
          </w:p>
        </w:tc>
        <w:tc>
          <w:tcPr>
            <w:tcW w:w="1604" w:type="dxa"/>
          </w:tcPr>
          <w:p w14:paraId="6A9B4F75" w14:textId="77777777" w:rsidR="006650B5" w:rsidRPr="00CB5E68" w:rsidRDefault="006650B5" w:rsidP="007571AF">
            <w:pPr>
              <w:pStyle w:val="TABLEFONT"/>
              <w:framePr w:hSpace="0" w:wrap="auto" w:vAnchor="margin" w:hAnchor="text" w:yAlign="inline"/>
            </w:pPr>
            <w:r w:rsidRPr="00CB5E68">
              <w:t>~EUR 357-1,632 million</w:t>
            </w:r>
          </w:p>
        </w:tc>
      </w:tr>
      <w:tr w:rsidR="006650B5" w:rsidRPr="00CB5E68" w14:paraId="4785599F" w14:textId="77777777" w:rsidTr="007571AF">
        <w:trPr>
          <w:trHeight w:val="737"/>
        </w:trPr>
        <w:tc>
          <w:tcPr>
            <w:tcW w:w="1020" w:type="dxa"/>
          </w:tcPr>
          <w:p w14:paraId="492C9D86" w14:textId="26115E0B" w:rsidR="006650B5" w:rsidRPr="00CB5E68" w:rsidRDefault="006650B5" w:rsidP="007571AF">
            <w:pPr>
              <w:pStyle w:val="TABLEFONT"/>
              <w:framePr w:hSpace="0" w:wrap="auto" w:vAnchor="margin" w:hAnchor="text" w:yAlign="inline"/>
            </w:pPr>
            <w:r w:rsidRPr="00CB5E68">
              <w:t>CTI</w:t>
            </w:r>
          </w:p>
        </w:tc>
        <w:tc>
          <w:tcPr>
            <w:tcW w:w="1474" w:type="dxa"/>
          </w:tcPr>
          <w:p w14:paraId="12454076" w14:textId="00FC5A4B" w:rsidR="006650B5" w:rsidRPr="00CB5E68" w:rsidRDefault="006650B5" w:rsidP="007571AF">
            <w:pPr>
              <w:pStyle w:val="TABLEFONT"/>
              <w:framePr w:hSpace="0" w:wrap="auto" w:vAnchor="margin" w:hAnchor="text" w:yAlign="inline"/>
            </w:pPr>
            <w:r w:rsidRPr="00CB5E68">
              <w:t>++</w:t>
            </w:r>
          </w:p>
        </w:tc>
        <w:tc>
          <w:tcPr>
            <w:tcW w:w="2551" w:type="dxa"/>
          </w:tcPr>
          <w:p w14:paraId="4FA3FD96" w14:textId="77777777" w:rsidR="006650B5" w:rsidRPr="00CB5E68" w:rsidRDefault="006650B5" w:rsidP="007571AF">
            <w:pPr>
              <w:pStyle w:val="TABLEFONT"/>
              <w:framePr w:hSpace="0" w:wrap="auto" w:vAnchor="margin" w:hAnchor="text" w:yAlign="inline"/>
            </w:pPr>
            <w:r w:rsidRPr="00CB5E68">
              <w:t>Total investment mobilised (cumulative): ~EUR 6-12 billion</w:t>
            </w:r>
          </w:p>
        </w:tc>
        <w:tc>
          <w:tcPr>
            <w:tcW w:w="1871" w:type="dxa"/>
          </w:tcPr>
          <w:p w14:paraId="61445083" w14:textId="77777777" w:rsidR="006650B5" w:rsidRPr="00CB5E68" w:rsidRDefault="006650B5" w:rsidP="007571AF">
            <w:pPr>
              <w:pStyle w:val="TABLEFONT"/>
              <w:framePr w:hSpace="0" w:wrap="auto" w:vAnchor="margin" w:hAnchor="text" w:yAlign="inline"/>
            </w:pPr>
            <w:r w:rsidRPr="00CB5E68">
              <w:t>~EUR 15-28 billion</w:t>
            </w:r>
          </w:p>
        </w:tc>
        <w:tc>
          <w:tcPr>
            <w:tcW w:w="1604" w:type="dxa"/>
          </w:tcPr>
          <w:p w14:paraId="14D19672" w14:textId="77777777" w:rsidR="006650B5" w:rsidRPr="00CB5E68" w:rsidRDefault="006650B5" w:rsidP="007571AF">
            <w:pPr>
              <w:pStyle w:val="TABLEFONT"/>
              <w:framePr w:hSpace="0" w:wrap="auto" w:vAnchor="margin" w:hAnchor="text" w:yAlign="inline"/>
            </w:pPr>
            <w:r w:rsidRPr="00CB5E68">
              <w:t>~EUR 25-48 billion</w:t>
            </w:r>
          </w:p>
        </w:tc>
      </w:tr>
      <w:tr w:rsidR="006650B5" w:rsidRPr="00CB5E68" w14:paraId="3AA91C6F" w14:textId="77777777" w:rsidTr="007571AF">
        <w:trPr>
          <w:trHeight w:val="737"/>
        </w:trPr>
        <w:tc>
          <w:tcPr>
            <w:tcW w:w="1020" w:type="dxa"/>
          </w:tcPr>
          <w:p w14:paraId="61CC0A2B" w14:textId="0E354B11" w:rsidR="006650B5" w:rsidRPr="00CB5E68" w:rsidRDefault="006650B5" w:rsidP="007571AF">
            <w:pPr>
              <w:pStyle w:val="TABLEFONT"/>
              <w:framePr w:hSpace="0" w:wrap="auto" w:vAnchor="margin" w:hAnchor="text" w:yAlign="inline"/>
            </w:pPr>
            <w:r w:rsidRPr="00CB5E68">
              <w:t>Int mar</w:t>
            </w:r>
          </w:p>
        </w:tc>
        <w:tc>
          <w:tcPr>
            <w:tcW w:w="1474" w:type="dxa"/>
          </w:tcPr>
          <w:p w14:paraId="5BA62413" w14:textId="2CC1A8FE" w:rsidR="006650B5" w:rsidRPr="00CB5E68" w:rsidRDefault="006650B5" w:rsidP="007571AF">
            <w:pPr>
              <w:pStyle w:val="TABLEFONT"/>
              <w:framePr w:hSpace="0" w:wrap="auto" w:vAnchor="margin" w:hAnchor="text" w:yAlign="inline"/>
            </w:pPr>
            <w:r w:rsidRPr="00CB5E68">
              <w:t>+</w:t>
            </w:r>
          </w:p>
        </w:tc>
        <w:tc>
          <w:tcPr>
            <w:tcW w:w="2551" w:type="dxa"/>
          </w:tcPr>
          <w:p w14:paraId="6BAEF28E" w14:textId="77777777" w:rsidR="006650B5" w:rsidRPr="00CB5E68" w:rsidRDefault="006650B5" w:rsidP="007571AF">
            <w:pPr>
              <w:pStyle w:val="TABLEFONT"/>
              <w:framePr w:hSpace="0" w:wrap="auto" w:vAnchor="margin" w:hAnchor="text" w:yAlign="inline"/>
            </w:pPr>
            <w:r w:rsidRPr="00CB5E68">
              <w:t>Cross-border projects (≥2 Member States): ~3-6</w:t>
            </w:r>
          </w:p>
        </w:tc>
        <w:tc>
          <w:tcPr>
            <w:tcW w:w="1871" w:type="dxa"/>
          </w:tcPr>
          <w:p w14:paraId="319C10BF" w14:textId="77777777" w:rsidR="006650B5" w:rsidRPr="00CB5E68" w:rsidRDefault="006650B5" w:rsidP="007571AF">
            <w:pPr>
              <w:pStyle w:val="TABLEFONT"/>
              <w:framePr w:hSpace="0" w:wrap="auto" w:vAnchor="margin" w:hAnchor="text" w:yAlign="inline"/>
            </w:pPr>
            <w:r w:rsidRPr="00CB5E68">
              <w:t>~6-14</w:t>
            </w:r>
          </w:p>
        </w:tc>
        <w:tc>
          <w:tcPr>
            <w:tcW w:w="1604" w:type="dxa"/>
          </w:tcPr>
          <w:p w14:paraId="4B3B3D3D" w14:textId="77777777" w:rsidR="006650B5" w:rsidRPr="00CB5E68" w:rsidRDefault="006650B5" w:rsidP="007571AF">
            <w:pPr>
              <w:pStyle w:val="TABLEFONT"/>
              <w:framePr w:hSpace="0" w:wrap="auto" w:vAnchor="margin" w:hAnchor="text" w:yAlign="inline"/>
            </w:pPr>
            <w:r w:rsidRPr="00CB5E68">
              <w:t>~10-24</w:t>
            </w:r>
          </w:p>
        </w:tc>
      </w:tr>
      <w:tr w:rsidR="006650B5" w:rsidRPr="00CB5E68" w14:paraId="0646365A" w14:textId="77777777" w:rsidTr="007571AF">
        <w:trPr>
          <w:trHeight w:val="723"/>
        </w:trPr>
        <w:tc>
          <w:tcPr>
            <w:tcW w:w="1020" w:type="dxa"/>
          </w:tcPr>
          <w:p w14:paraId="04B4AEE9" w14:textId="2D8D88C5" w:rsidR="006650B5" w:rsidRPr="00CB5E68" w:rsidRDefault="006650B5" w:rsidP="007571AF">
            <w:pPr>
              <w:pStyle w:val="TABLEFONT"/>
              <w:framePr w:hSpace="0" w:wrap="auto" w:vAnchor="margin" w:hAnchor="text" w:yAlign="inline"/>
            </w:pPr>
            <w:r w:rsidRPr="00CB5E68">
              <w:t>I&amp;R</w:t>
            </w:r>
          </w:p>
        </w:tc>
        <w:tc>
          <w:tcPr>
            <w:tcW w:w="1474" w:type="dxa"/>
          </w:tcPr>
          <w:p w14:paraId="3259D7DB" w14:textId="0EC31D00" w:rsidR="006650B5" w:rsidRPr="00CB5E68" w:rsidRDefault="006650B5" w:rsidP="007571AF">
            <w:pPr>
              <w:pStyle w:val="TABLEFONT"/>
              <w:framePr w:hSpace="0" w:wrap="auto" w:vAnchor="margin" w:hAnchor="text" w:yAlign="inline"/>
            </w:pPr>
            <w:r w:rsidRPr="00CB5E68">
              <w:t>+</w:t>
            </w:r>
          </w:p>
        </w:tc>
        <w:tc>
          <w:tcPr>
            <w:tcW w:w="2551" w:type="dxa"/>
          </w:tcPr>
          <w:p w14:paraId="22A6D94B" w14:textId="77777777" w:rsidR="006650B5" w:rsidRPr="00CB5E68" w:rsidRDefault="006650B5" w:rsidP="007571AF">
            <w:pPr>
              <w:pStyle w:val="TABLEFONT"/>
              <w:framePr w:hSpace="0" w:wrap="auto" w:vAnchor="margin" w:hAnchor="text" w:yAlign="inline"/>
            </w:pPr>
            <w:r w:rsidRPr="00CB5E68">
              <w:t>Projects with material R&amp;I or innovation infrastructure outputs: ~5-9</w:t>
            </w:r>
          </w:p>
        </w:tc>
        <w:tc>
          <w:tcPr>
            <w:tcW w:w="1871" w:type="dxa"/>
          </w:tcPr>
          <w:p w14:paraId="75EAD202" w14:textId="77777777" w:rsidR="006650B5" w:rsidRPr="00CB5E68" w:rsidRDefault="006650B5" w:rsidP="007571AF">
            <w:pPr>
              <w:pStyle w:val="TABLEFONT"/>
              <w:framePr w:hSpace="0" w:wrap="auto" w:vAnchor="margin" w:hAnchor="text" w:yAlign="inline"/>
            </w:pPr>
            <w:r w:rsidRPr="00CB5E68">
              <w:t>~12-21</w:t>
            </w:r>
          </w:p>
        </w:tc>
        <w:tc>
          <w:tcPr>
            <w:tcW w:w="1604" w:type="dxa"/>
          </w:tcPr>
          <w:p w14:paraId="4C8786AB" w14:textId="77777777" w:rsidR="006650B5" w:rsidRPr="00CB5E68" w:rsidRDefault="006650B5" w:rsidP="007571AF">
            <w:pPr>
              <w:pStyle w:val="TABLEFONT"/>
              <w:framePr w:hSpace="0" w:wrap="auto" w:vAnchor="margin" w:hAnchor="text" w:yAlign="inline"/>
            </w:pPr>
            <w:r w:rsidRPr="00CB5E68">
              <w:t>~20-36</w:t>
            </w:r>
          </w:p>
        </w:tc>
      </w:tr>
      <w:tr w:rsidR="006650B5" w:rsidRPr="00CB5E68" w14:paraId="1D8DC9C9" w14:textId="77777777" w:rsidTr="007571AF">
        <w:trPr>
          <w:trHeight w:val="950"/>
        </w:trPr>
        <w:tc>
          <w:tcPr>
            <w:tcW w:w="1020" w:type="dxa"/>
          </w:tcPr>
          <w:p w14:paraId="4E9FC135" w14:textId="29C4ACE2" w:rsidR="006650B5" w:rsidRPr="00CB5E68" w:rsidRDefault="006650B5" w:rsidP="007571AF">
            <w:pPr>
              <w:pStyle w:val="TABLEFONT"/>
              <w:framePr w:hSpace="0" w:wrap="auto" w:vAnchor="margin" w:hAnchor="text" w:yAlign="inline"/>
            </w:pPr>
            <w:r w:rsidRPr="00CB5E68">
              <w:t>PA</w:t>
            </w:r>
          </w:p>
        </w:tc>
        <w:tc>
          <w:tcPr>
            <w:tcW w:w="1474" w:type="dxa"/>
          </w:tcPr>
          <w:p w14:paraId="4C6E3CFE" w14:textId="6F49C72A" w:rsidR="006650B5" w:rsidRPr="00CB5E68" w:rsidRDefault="006650B5" w:rsidP="007571AF">
            <w:pPr>
              <w:pStyle w:val="TABLEFONT"/>
              <w:framePr w:hSpace="0" w:wrap="auto" w:vAnchor="margin" w:hAnchor="text" w:yAlign="inline"/>
            </w:pPr>
            <w:r w:rsidRPr="00CB5E68">
              <w:t>0/+</w:t>
            </w:r>
          </w:p>
        </w:tc>
        <w:tc>
          <w:tcPr>
            <w:tcW w:w="2551" w:type="dxa"/>
          </w:tcPr>
          <w:p w14:paraId="61C3F607" w14:textId="77777777" w:rsidR="006650B5" w:rsidRPr="00CB5E68" w:rsidRDefault="006650B5" w:rsidP="007571AF">
            <w:pPr>
              <w:pStyle w:val="TABLEFONT"/>
              <w:framePr w:hSpace="0" w:wrap="auto" w:vAnchor="margin" w:hAnchor="text" w:yAlign="inline"/>
            </w:pPr>
            <w:r w:rsidRPr="00CB5E68">
              <w:t>Recognition decisions per year (average): ~2-3; indicative single point of contact capacity: ~0.5-1 FTE</w:t>
            </w:r>
          </w:p>
        </w:tc>
        <w:tc>
          <w:tcPr>
            <w:tcW w:w="1871" w:type="dxa"/>
          </w:tcPr>
          <w:p w14:paraId="35C25A56" w14:textId="77777777" w:rsidR="006650B5" w:rsidRPr="00CB5E68" w:rsidRDefault="006650B5" w:rsidP="007571AF">
            <w:pPr>
              <w:pStyle w:val="TABLEFONT"/>
              <w:framePr w:hSpace="0" w:wrap="auto" w:vAnchor="margin" w:hAnchor="text" w:yAlign="inline"/>
            </w:pPr>
            <w:r w:rsidRPr="00CB5E68">
              <w:t>~5-6; ~1-2 FTE</w:t>
            </w:r>
          </w:p>
        </w:tc>
        <w:tc>
          <w:tcPr>
            <w:tcW w:w="1604" w:type="dxa"/>
          </w:tcPr>
          <w:p w14:paraId="7C106F61" w14:textId="77777777" w:rsidR="006650B5" w:rsidRPr="00CB5E68" w:rsidRDefault="006650B5" w:rsidP="007571AF">
            <w:pPr>
              <w:pStyle w:val="TABLEFONT"/>
              <w:framePr w:hSpace="0" w:wrap="auto" w:vAnchor="margin" w:hAnchor="text" w:yAlign="inline"/>
            </w:pPr>
            <w:r w:rsidRPr="00CB5E68">
              <w:t>~8-10; ~2-3 FTE</w:t>
            </w:r>
          </w:p>
        </w:tc>
      </w:tr>
      <w:tr w:rsidR="006650B5" w:rsidRPr="00CB5E68" w14:paraId="0F2CA0A8" w14:textId="77777777" w:rsidTr="007571AF">
        <w:trPr>
          <w:trHeight w:val="525"/>
        </w:trPr>
        <w:tc>
          <w:tcPr>
            <w:tcW w:w="1020" w:type="dxa"/>
          </w:tcPr>
          <w:p w14:paraId="6382ED13" w14:textId="39C6783C" w:rsidR="006650B5" w:rsidRPr="00CB5E68" w:rsidRDefault="006650B5" w:rsidP="007571AF">
            <w:pPr>
              <w:pStyle w:val="TABLEFONT"/>
              <w:framePr w:hSpace="0" w:wrap="auto" w:vAnchor="margin" w:hAnchor="text" w:yAlign="inline"/>
            </w:pPr>
            <w:r w:rsidRPr="00CB5E68">
              <w:t>H&amp;S</w:t>
            </w:r>
          </w:p>
        </w:tc>
        <w:tc>
          <w:tcPr>
            <w:tcW w:w="1474" w:type="dxa"/>
          </w:tcPr>
          <w:p w14:paraId="50134B4F" w14:textId="5EB006A7" w:rsidR="006650B5" w:rsidRPr="00CB5E68" w:rsidRDefault="006650B5" w:rsidP="007571AF">
            <w:pPr>
              <w:pStyle w:val="TABLEFONT"/>
              <w:framePr w:hSpace="0" w:wrap="auto" w:vAnchor="margin" w:hAnchor="text" w:yAlign="inline"/>
            </w:pPr>
            <w:r w:rsidRPr="00CB5E68">
              <w:t>+</w:t>
            </w:r>
          </w:p>
        </w:tc>
        <w:tc>
          <w:tcPr>
            <w:tcW w:w="2551" w:type="dxa"/>
          </w:tcPr>
          <w:p w14:paraId="30CDCF90" w14:textId="77777777" w:rsidR="006650B5" w:rsidRPr="00CB5E68" w:rsidRDefault="006650B5" w:rsidP="007571AF">
            <w:pPr>
              <w:pStyle w:val="TABLEFONT"/>
              <w:framePr w:hSpace="0" w:wrap="auto" w:vAnchor="margin" w:hAnchor="text" w:yAlign="inline"/>
            </w:pPr>
            <w:r w:rsidRPr="00CB5E68">
              <w:t>Capacity-relevant strategic deployments: ~8-15</w:t>
            </w:r>
          </w:p>
        </w:tc>
        <w:tc>
          <w:tcPr>
            <w:tcW w:w="1871" w:type="dxa"/>
          </w:tcPr>
          <w:p w14:paraId="62A0A319" w14:textId="77777777" w:rsidR="006650B5" w:rsidRPr="00CB5E68" w:rsidRDefault="006650B5" w:rsidP="007571AF">
            <w:pPr>
              <w:pStyle w:val="TABLEFONT"/>
              <w:framePr w:hSpace="0" w:wrap="auto" w:vAnchor="margin" w:hAnchor="text" w:yAlign="inline"/>
            </w:pPr>
            <w:r w:rsidRPr="00CB5E68">
              <w:t>~18-35</w:t>
            </w:r>
          </w:p>
        </w:tc>
        <w:tc>
          <w:tcPr>
            <w:tcW w:w="1604" w:type="dxa"/>
          </w:tcPr>
          <w:p w14:paraId="479DE37A" w14:textId="77777777" w:rsidR="006650B5" w:rsidRPr="00CB5E68" w:rsidRDefault="006650B5" w:rsidP="007571AF">
            <w:pPr>
              <w:pStyle w:val="TABLEFONT"/>
              <w:framePr w:hSpace="0" w:wrap="auto" w:vAnchor="margin" w:hAnchor="text" w:yAlign="inline"/>
            </w:pPr>
            <w:r w:rsidRPr="00CB5E68">
              <w:t>~30-60</w:t>
            </w:r>
          </w:p>
        </w:tc>
      </w:tr>
    </w:tbl>
    <w:p w14:paraId="43394B68" w14:textId="77777777" w:rsidR="00F4538B" w:rsidRDefault="00F4538B" w:rsidP="00514904">
      <w:pPr>
        <w:spacing w:before="240" w:after="0"/>
        <w:rPr>
          <w:b/>
        </w:rPr>
      </w:pPr>
    </w:p>
    <w:p w14:paraId="4FA9ECBC" w14:textId="77777777" w:rsidR="006650B5" w:rsidRDefault="006650B5" w:rsidP="00514904">
      <w:pPr>
        <w:spacing w:before="240" w:after="0"/>
        <w:rPr>
          <w:b/>
        </w:rPr>
      </w:pPr>
    </w:p>
    <w:p w14:paraId="46BBF8B7" w14:textId="77777777" w:rsidR="005B1D08" w:rsidRDefault="005B1D08" w:rsidP="00514904">
      <w:pPr>
        <w:spacing w:before="240" w:after="0"/>
        <w:rPr>
          <w:b/>
        </w:rPr>
      </w:pPr>
    </w:p>
    <w:p w14:paraId="73D633A8" w14:textId="294ABFC2" w:rsidR="00D327E3" w:rsidDel="007A43F6" w:rsidRDefault="00EF667D" w:rsidP="00EB5C3F">
      <w:pPr>
        <w:spacing w:before="120" w:after="120"/>
      </w:pPr>
      <w:r w:rsidRPr="00514904" w:rsidDel="007A43F6">
        <w:rPr>
          <w:b/>
        </w:rPr>
        <w:t xml:space="preserve">Table </w:t>
      </w:r>
      <w:r w:rsidR="00704A7E">
        <w:rPr>
          <w:b/>
        </w:rPr>
        <w:t>10</w:t>
      </w:r>
      <w:r w:rsidR="00D327E3" w:rsidDel="007A43F6">
        <w:rPr>
          <w:b/>
        </w:rPr>
        <w:t>.</w:t>
      </w:r>
      <w:r w:rsidR="00D327E3" w:rsidRPr="00514904" w:rsidDel="007A43F6">
        <w:rPr>
          <w:b/>
        </w:rPr>
        <w:t xml:space="preserve"> Illustrative uptake scenarios and order-of-magnitude impacts</w:t>
      </w:r>
      <w:r w:rsidR="004A6CAC" w:rsidDel="007A43F6">
        <w:rPr>
          <w:b/>
        </w:rPr>
        <w:t xml:space="preserve"> for high </w:t>
      </w:r>
      <w:r w:rsidR="005B1D08" w:rsidDel="007A43F6">
        <w:rPr>
          <w:b/>
        </w:rPr>
        <w:t>impact strategic health biotechnology projects</w:t>
      </w:r>
    </w:p>
    <w:p w14:paraId="68BE2536" w14:textId="6208B357" w:rsidR="00574D27" w:rsidDel="007A43F6" w:rsidRDefault="00574D27" w:rsidP="00574D27">
      <w:pPr>
        <w:spacing w:after="0"/>
        <w:rPr>
          <w:color w:val="000000" w:themeColor="text1"/>
        </w:rPr>
      </w:pPr>
    </w:p>
    <w:tbl>
      <w:tblPr>
        <w:tblStyle w:val="TableGrid"/>
        <w:tblpPr w:leftFromText="180" w:rightFromText="180" w:vertAnchor="page" w:horzAnchor="margin" w:tblpY="2277"/>
        <w:tblW w:w="5000" w:type="pct"/>
        <w:tblLayout w:type="fixed"/>
        <w:tblLook w:val="04A0" w:firstRow="1" w:lastRow="0" w:firstColumn="1" w:lastColumn="0" w:noHBand="0" w:noVBand="1"/>
      </w:tblPr>
      <w:tblGrid>
        <w:gridCol w:w="957"/>
        <w:gridCol w:w="1391"/>
        <w:gridCol w:w="2159"/>
        <w:gridCol w:w="2104"/>
        <w:gridCol w:w="1997"/>
      </w:tblGrid>
      <w:tr w:rsidR="002B0FE0" w:rsidRPr="00CB5E68" w14:paraId="3C7E8AC1" w14:textId="77777777" w:rsidTr="007571AF">
        <w:trPr>
          <w:trHeight w:val="489"/>
        </w:trPr>
        <w:tc>
          <w:tcPr>
            <w:tcW w:w="556" w:type="pct"/>
            <w:vMerge w:val="restart"/>
          </w:tcPr>
          <w:p w14:paraId="081A5102" w14:textId="77777777" w:rsidR="002B0FE0" w:rsidRPr="00CB5E68" w:rsidRDefault="002B0FE0" w:rsidP="006E6745">
            <w:pPr>
              <w:pStyle w:val="HTABLE"/>
              <w:framePr w:hSpace="0" w:wrap="auto" w:vAnchor="margin" w:hAnchor="text" w:yAlign="inline"/>
            </w:pPr>
            <w:bookmarkStart w:id="226" w:name="_Toc224747230"/>
            <w:bookmarkStart w:id="227" w:name="_Toc224749700"/>
            <w:bookmarkStart w:id="228" w:name="_Toc225974578"/>
            <w:bookmarkStart w:id="229" w:name="_Toc225975251"/>
            <w:bookmarkStart w:id="230" w:name="_Toc225975308"/>
            <w:r w:rsidRPr="00CB5E68">
              <w:t>Impact category</w:t>
            </w:r>
          </w:p>
        </w:tc>
        <w:tc>
          <w:tcPr>
            <w:tcW w:w="808" w:type="pct"/>
            <w:vMerge w:val="restart"/>
          </w:tcPr>
          <w:p w14:paraId="74A25E24" w14:textId="77777777" w:rsidR="002B0FE0" w:rsidRPr="00CB5E68" w:rsidRDefault="002B0FE0" w:rsidP="002B0FE0">
            <w:pPr>
              <w:pStyle w:val="Caption"/>
              <w:keepNext/>
              <w:rPr>
                <w:rFonts w:ascii="Times New Roman" w:hAnsi="Times New Roman"/>
                <w:sz w:val="18"/>
                <w:szCs w:val="18"/>
              </w:rPr>
            </w:pPr>
            <w:r w:rsidRPr="00CB5E68" w:rsidDel="006B4BF3">
              <w:rPr>
                <w:rFonts w:ascii="Times New Roman" w:hAnsi="Times New Roman"/>
                <w:sz w:val="18"/>
                <w:szCs w:val="18"/>
                <w:lang w:eastAsia="en-GB"/>
              </w:rPr>
              <w:t>Summary assessment of the effects due to the policy measure</w:t>
            </w:r>
          </w:p>
        </w:tc>
        <w:tc>
          <w:tcPr>
            <w:tcW w:w="3636" w:type="pct"/>
            <w:gridSpan w:val="3"/>
          </w:tcPr>
          <w:p w14:paraId="14026F8F" w14:textId="77777777" w:rsidR="002B0FE0" w:rsidRPr="00CB5E68" w:rsidRDefault="002B0FE0" w:rsidP="006E6745">
            <w:pPr>
              <w:pStyle w:val="HTABLE"/>
              <w:framePr w:hSpace="0" w:wrap="auto" w:vAnchor="margin" w:hAnchor="text" w:yAlign="inline"/>
            </w:pPr>
            <w:r w:rsidRPr="00CB5E68">
              <w:t>Key indicators expected evolution under different project uptake scenarios</w:t>
            </w:r>
          </w:p>
        </w:tc>
      </w:tr>
      <w:tr w:rsidR="002B0FE0" w:rsidRPr="00CB5E68" w14:paraId="718DA4EA" w14:textId="77777777" w:rsidTr="007571AF">
        <w:trPr>
          <w:trHeight w:val="489"/>
        </w:trPr>
        <w:tc>
          <w:tcPr>
            <w:tcW w:w="556" w:type="pct"/>
            <w:vMerge/>
          </w:tcPr>
          <w:p w14:paraId="5D9DE4BB" w14:textId="77777777" w:rsidR="002B0FE0" w:rsidRPr="00CB5E68" w:rsidRDefault="002B0FE0" w:rsidP="006E6745">
            <w:pPr>
              <w:pStyle w:val="HTABLE"/>
              <w:framePr w:hSpace="0" w:wrap="auto" w:vAnchor="margin" w:hAnchor="text" w:yAlign="inline"/>
            </w:pPr>
          </w:p>
        </w:tc>
        <w:tc>
          <w:tcPr>
            <w:tcW w:w="808" w:type="pct"/>
            <w:vMerge/>
          </w:tcPr>
          <w:p w14:paraId="0D5CB2E0" w14:textId="77777777" w:rsidR="002B0FE0" w:rsidRPr="00CB5E68" w:rsidRDefault="002B0FE0" w:rsidP="006E6745">
            <w:pPr>
              <w:pStyle w:val="HTABLE"/>
              <w:framePr w:hSpace="0" w:wrap="auto" w:vAnchor="margin" w:hAnchor="text" w:yAlign="inline"/>
            </w:pPr>
          </w:p>
        </w:tc>
        <w:tc>
          <w:tcPr>
            <w:tcW w:w="1254" w:type="pct"/>
          </w:tcPr>
          <w:p w14:paraId="38470627" w14:textId="77777777" w:rsidR="002B0FE0" w:rsidRPr="00CB5E68" w:rsidRDefault="002B0FE0" w:rsidP="006E6745">
            <w:pPr>
              <w:pStyle w:val="HTABLE"/>
              <w:framePr w:hSpace="0" w:wrap="auto" w:vAnchor="margin" w:hAnchor="text" w:yAlign="inline"/>
            </w:pPr>
            <w:r w:rsidRPr="00CB5E68">
              <w:t>Low uptake (6-8 projects)</w:t>
            </w:r>
          </w:p>
        </w:tc>
        <w:tc>
          <w:tcPr>
            <w:tcW w:w="1222" w:type="pct"/>
          </w:tcPr>
          <w:p w14:paraId="17C3EAA6" w14:textId="77777777" w:rsidR="002B0FE0" w:rsidRPr="00CB5E68" w:rsidRDefault="002B0FE0" w:rsidP="006E6745">
            <w:pPr>
              <w:pStyle w:val="HTABLE"/>
              <w:framePr w:hSpace="0" w:wrap="auto" w:vAnchor="margin" w:hAnchor="text" w:yAlign="inline"/>
            </w:pPr>
            <w:r w:rsidRPr="00CB5E68">
              <w:t>Medium uptake (12-15 projects)</w:t>
            </w:r>
          </w:p>
        </w:tc>
        <w:tc>
          <w:tcPr>
            <w:tcW w:w="1160" w:type="pct"/>
          </w:tcPr>
          <w:p w14:paraId="520DAC09" w14:textId="77777777" w:rsidR="002B0FE0" w:rsidRPr="00CB5E68" w:rsidRDefault="002B0FE0" w:rsidP="006E6745">
            <w:pPr>
              <w:pStyle w:val="HTABLE"/>
              <w:framePr w:hSpace="0" w:wrap="auto" w:vAnchor="margin" w:hAnchor="text" w:yAlign="inline"/>
            </w:pPr>
            <w:r w:rsidRPr="00CB5E68">
              <w:t>High uptake (20-25 projects)</w:t>
            </w:r>
          </w:p>
        </w:tc>
      </w:tr>
      <w:tr w:rsidR="002B0FE0" w:rsidRPr="00CB5E68" w14:paraId="54B77BB6" w14:textId="77777777" w:rsidTr="007571AF">
        <w:trPr>
          <w:trHeight w:val="489"/>
        </w:trPr>
        <w:tc>
          <w:tcPr>
            <w:tcW w:w="556" w:type="pct"/>
          </w:tcPr>
          <w:p w14:paraId="61FCA86E" w14:textId="77777777" w:rsidR="002B0FE0" w:rsidRPr="00CB5E68" w:rsidRDefault="002B0FE0" w:rsidP="006E6745">
            <w:pPr>
              <w:pStyle w:val="TABLEFONT"/>
              <w:framePr w:hSpace="0" w:wrap="auto" w:vAnchor="margin" w:hAnchor="text" w:yAlign="inline"/>
            </w:pPr>
            <w:r w:rsidRPr="00CB5E68">
              <w:t>COB</w:t>
            </w:r>
          </w:p>
        </w:tc>
        <w:tc>
          <w:tcPr>
            <w:tcW w:w="808" w:type="pct"/>
          </w:tcPr>
          <w:p w14:paraId="34D674E1" w14:textId="77777777" w:rsidR="002B0FE0" w:rsidRPr="00CB5E68" w:rsidRDefault="002B0FE0" w:rsidP="006E6745">
            <w:pPr>
              <w:pStyle w:val="TABLEFONT"/>
              <w:framePr w:hSpace="0" w:wrap="auto" w:vAnchor="margin" w:hAnchor="text" w:yAlign="inline"/>
            </w:pPr>
            <w:r w:rsidRPr="00CB5E68">
              <w:t>++</w:t>
            </w:r>
          </w:p>
        </w:tc>
        <w:tc>
          <w:tcPr>
            <w:tcW w:w="1254" w:type="pct"/>
          </w:tcPr>
          <w:p w14:paraId="224EAB50" w14:textId="77777777" w:rsidR="002B0FE0" w:rsidRPr="00CB5E68" w:rsidRDefault="002B0FE0" w:rsidP="006E6745">
            <w:pPr>
              <w:pStyle w:val="TABLEFONT"/>
              <w:framePr w:hSpace="0" w:wrap="auto" w:vAnchor="margin" w:hAnchor="text" w:yAlign="inline"/>
            </w:pPr>
            <w:r w:rsidRPr="00CB5E68">
              <w:t>Shared-capability throughput: ~60-120 firms/year, ~120-480 engagements/year</w:t>
            </w:r>
          </w:p>
        </w:tc>
        <w:tc>
          <w:tcPr>
            <w:tcW w:w="1222" w:type="pct"/>
          </w:tcPr>
          <w:p w14:paraId="3F0EF228" w14:textId="77777777" w:rsidR="002B0FE0" w:rsidRPr="00CB5E68" w:rsidRDefault="002B0FE0" w:rsidP="006E6745">
            <w:pPr>
              <w:pStyle w:val="TABLEFONT"/>
              <w:framePr w:hSpace="0" w:wrap="auto" w:vAnchor="margin" w:hAnchor="text" w:yAlign="inline"/>
            </w:pPr>
            <w:r w:rsidRPr="00CB5E68">
              <w:t>~120-360 firms/year, ~240-1,440 engagements/year</w:t>
            </w:r>
          </w:p>
        </w:tc>
        <w:tc>
          <w:tcPr>
            <w:tcW w:w="1160" w:type="pct"/>
          </w:tcPr>
          <w:p w14:paraId="3B6CB70F" w14:textId="77777777" w:rsidR="002B0FE0" w:rsidRPr="00CB5E68" w:rsidRDefault="002B0FE0" w:rsidP="006E6745">
            <w:pPr>
              <w:pStyle w:val="TABLEFONT"/>
              <w:framePr w:hSpace="0" w:wrap="auto" w:vAnchor="margin" w:hAnchor="text" w:yAlign="inline"/>
            </w:pPr>
            <w:r w:rsidRPr="00CB5E68">
              <w:t>~240-600 firms/year, ~480-2,400 engagements/year</w:t>
            </w:r>
          </w:p>
        </w:tc>
      </w:tr>
      <w:tr w:rsidR="002B0FE0" w:rsidRPr="00CB5E68" w14:paraId="6A1870CF" w14:textId="77777777" w:rsidTr="007571AF">
        <w:trPr>
          <w:trHeight w:val="489"/>
        </w:trPr>
        <w:tc>
          <w:tcPr>
            <w:tcW w:w="556" w:type="pct"/>
          </w:tcPr>
          <w:p w14:paraId="1E11D6FA" w14:textId="77777777" w:rsidR="002B0FE0" w:rsidRPr="00CB5E68" w:rsidRDefault="002B0FE0" w:rsidP="006E6745">
            <w:pPr>
              <w:pStyle w:val="TABLEFONT"/>
              <w:framePr w:hSpace="0" w:wrap="auto" w:vAnchor="margin" w:hAnchor="text" w:yAlign="inline"/>
            </w:pPr>
            <w:r w:rsidRPr="00CB5E68">
              <w:t>Admin</w:t>
            </w:r>
          </w:p>
        </w:tc>
        <w:tc>
          <w:tcPr>
            <w:tcW w:w="808" w:type="pct"/>
          </w:tcPr>
          <w:p w14:paraId="2D70F0D7" w14:textId="77777777" w:rsidR="002B0FE0" w:rsidRPr="00CB5E68" w:rsidRDefault="002B0FE0" w:rsidP="006E6745">
            <w:pPr>
              <w:pStyle w:val="TABLEFONT"/>
              <w:framePr w:hSpace="0" w:wrap="auto" w:vAnchor="margin" w:hAnchor="text" w:yAlign="inline"/>
            </w:pPr>
            <w:r w:rsidRPr="00CB5E68">
              <w:t>++</w:t>
            </w:r>
          </w:p>
        </w:tc>
        <w:tc>
          <w:tcPr>
            <w:tcW w:w="1254" w:type="pct"/>
          </w:tcPr>
          <w:p w14:paraId="60D42E89" w14:textId="77777777" w:rsidR="002B0FE0" w:rsidRPr="00CB5E68" w:rsidRDefault="002B0FE0" w:rsidP="006E6745">
            <w:pPr>
              <w:pStyle w:val="TABLEFONT"/>
              <w:framePr w:hSpace="0" w:wrap="auto" w:vAnchor="margin" w:hAnchor="text" w:yAlign="inline"/>
            </w:pPr>
            <w:r w:rsidRPr="00CB5E68">
              <w:t>Avoided delay costs (cumulative): ~EUR 20.4-85 million</w:t>
            </w:r>
          </w:p>
        </w:tc>
        <w:tc>
          <w:tcPr>
            <w:tcW w:w="1222" w:type="pct"/>
          </w:tcPr>
          <w:p w14:paraId="470A3415" w14:textId="77777777" w:rsidR="002B0FE0" w:rsidRPr="00CB5E68" w:rsidRDefault="002B0FE0" w:rsidP="006E6745">
            <w:pPr>
              <w:pStyle w:val="TABLEFONT"/>
              <w:framePr w:hSpace="0" w:wrap="auto" w:vAnchor="margin" w:hAnchor="text" w:yAlign="inline"/>
            </w:pPr>
            <w:r w:rsidRPr="00CB5E68">
              <w:t>~EUR 51-204 million</w:t>
            </w:r>
          </w:p>
        </w:tc>
        <w:tc>
          <w:tcPr>
            <w:tcW w:w="1160" w:type="pct"/>
          </w:tcPr>
          <w:p w14:paraId="6D7CDC33" w14:textId="77777777" w:rsidR="002B0FE0" w:rsidRPr="00CB5E68" w:rsidRDefault="002B0FE0" w:rsidP="006E6745">
            <w:pPr>
              <w:pStyle w:val="TABLEFONT"/>
              <w:framePr w:hSpace="0" w:wrap="auto" w:vAnchor="margin" w:hAnchor="text" w:yAlign="inline"/>
            </w:pPr>
            <w:r w:rsidRPr="00CB5E68">
              <w:t>~EUR 91.8-340 million</w:t>
            </w:r>
          </w:p>
        </w:tc>
      </w:tr>
      <w:tr w:rsidR="002B0FE0" w:rsidRPr="00CB5E68" w14:paraId="2AD69B9E" w14:textId="77777777" w:rsidTr="007571AF">
        <w:trPr>
          <w:trHeight w:val="489"/>
        </w:trPr>
        <w:tc>
          <w:tcPr>
            <w:tcW w:w="556" w:type="pct"/>
          </w:tcPr>
          <w:p w14:paraId="46AC9EC6" w14:textId="77777777" w:rsidR="002B0FE0" w:rsidRPr="00CB5E68" w:rsidRDefault="002B0FE0" w:rsidP="006E6745">
            <w:pPr>
              <w:pStyle w:val="TABLEFONT"/>
              <w:framePr w:hSpace="0" w:wrap="auto" w:vAnchor="margin" w:hAnchor="text" w:yAlign="inline"/>
            </w:pPr>
            <w:r w:rsidRPr="00CB5E68">
              <w:t>CTI</w:t>
            </w:r>
          </w:p>
        </w:tc>
        <w:tc>
          <w:tcPr>
            <w:tcW w:w="808" w:type="pct"/>
          </w:tcPr>
          <w:p w14:paraId="6753E925" w14:textId="77777777" w:rsidR="002B0FE0" w:rsidRPr="00CB5E68" w:rsidRDefault="002B0FE0" w:rsidP="006E6745">
            <w:pPr>
              <w:pStyle w:val="TABLEFONT"/>
              <w:framePr w:hSpace="0" w:wrap="auto" w:vAnchor="margin" w:hAnchor="text" w:yAlign="inline"/>
            </w:pPr>
            <w:r w:rsidRPr="00CB5E68">
              <w:t>+</w:t>
            </w:r>
          </w:p>
        </w:tc>
        <w:tc>
          <w:tcPr>
            <w:tcW w:w="1254" w:type="pct"/>
          </w:tcPr>
          <w:p w14:paraId="19241AC4" w14:textId="77777777" w:rsidR="002B0FE0" w:rsidRPr="00CB5E68" w:rsidRDefault="002B0FE0" w:rsidP="006E6745">
            <w:pPr>
              <w:pStyle w:val="TABLEFONT"/>
              <w:framePr w:hSpace="0" w:wrap="auto" w:vAnchor="margin" w:hAnchor="text" w:yAlign="inline"/>
            </w:pPr>
            <w:r w:rsidRPr="00CB5E68">
              <w:t>Total investment mobilised (cumulative): ~EUR 2-6 billion</w:t>
            </w:r>
          </w:p>
        </w:tc>
        <w:tc>
          <w:tcPr>
            <w:tcW w:w="1222" w:type="pct"/>
          </w:tcPr>
          <w:p w14:paraId="1923A161" w14:textId="77777777" w:rsidR="002B0FE0" w:rsidRPr="00CB5E68" w:rsidRDefault="002B0FE0" w:rsidP="006E6745">
            <w:pPr>
              <w:pStyle w:val="TABLEFONT"/>
              <w:framePr w:hSpace="0" w:wrap="auto" w:vAnchor="margin" w:hAnchor="text" w:yAlign="inline"/>
            </w:pPr>
            <w:r w:rsidRPr="00CB5E68">
              <w:t>~EUR 4-12 billion</w:t>
            </w:r>
          </w:p>
        </w:tc>
        <w:tc>
          <w:tcPr>
            <w:tcW w:w="1160" w:type="pct"/>
          </w:tcPr>
          <w:p w14:paraId="06F2C75B" w14:textId="77777777" w:rsidR="002B0FE0" w:rsidRPr="00CB5E68" w:rsidRDefault="002B0FE0" w:rsidP="006E6745">
            <w:pPr>
              <w:pStyle w:val="TABLEFONT"/>
              <w:framePr w:hSpace="0" w:wrap="auto" w:vAnchor="margin" w:hAnchor="text" w:yAlign="inline"/>
            </w:pPr>
            <w:r w:rsidRPr="00CB5E68">
              <w:t>~EUR 6-20 billion</w:t>
            </w:r>
          </w:p>
        </w:tc>
      </w:tr>
      <w:tr w:rsidR="002B0FE0" w:rsidRPr="00CB5E68" w14:paraId="5ACDD26C" w14:textId="77777777" w:rsidTr="007571AF">
        <w:trPr>
          <w:trHeight w:val="489"/>
        </w:trPr>
        <w:tc>
          <w:tcPr>
            <w:tcW w:w="556" w:type="pct"/>
          </w:tcPr>
          <w:p w14:paraId="061CC0A9" w14:textId="77777777" w:rsidR="002B0FE0" w:rsidRPr="00CB5E68" w:rsidRDefault="002B0FE0" w:rsidP="006E6745">
            <w:pPr>
              <w:pStyle w:val="TABLEFONT"/>
              <w:framePr w:hSpace="0" w:wrap="auto" w:vAnchor="margin" w:hAnchor="text" w:yAlign="inline"/>
            </w:pPr>
            <w:r w:rsidRPr="00CB5E68">
              <w:t>Int mar</w:t>
            </w:r>
          </w:p>
        </w:tc>
        <w:tc>
          <w:tcPr>
            <w:tcW w:w="808" w:type="pct"/>
          </w:tcPr>
          <w:p w14:paraId="1817D915" w14:textId="77777777" w:rsidR="002B0FE0" w:rsidRPr="00CB5E68" w:rsidRDefault="002B0FE0" w:rsidP="006E6745">
            <w:pPr>
              <w:pStyle w:val="TABLEFONT"/>
              <w:framePr w:hSpace="0" w:wrap="auto" w:vAnchor="margin" w:hAnchor="text" w:yAlign="inline"/>
            </w:pPr>
            <w:r w:rsidRPr="00CB5E68">
              <w:t>+</w:t>
            </w:r>
          </w:p>
        </w:tc>
        <w:tc>
          <w:tcPr>
            <w:tcW w:w="1254" w:type="pct"/>
          </w:tcPr>
          <w:p w14:paraId="65EFAB41" w14:textId="77777777" w:rsidR="002B0FE0" w:rsidRPr="00CB5E68" w:rsidRDefault="002B0FE0" w:rsidP="006E6745">
            <w:pPr>
              <w:pStyle w:val="TABLEFONT"/>
              <w:framePr w:hSpace="0" w:wrap="auto" w:vAnchor="margin" w:hAnchor="text" w:yAlign="inline"/>
            </w:pPr>
            <w:r w:rsidRPr="00CB5E68">
              <w:t>Cross-border users supported: ~12-48 firms/year</w:t>
            </w:r>
          </w:p>
        </w:tc>
        <w:tc>
          <w:tcPr>
            <w:tcW w:w="1222" w:type="pct"/>
          </w:tcPr>
          <w:p w14:paraId="3689D865" w14:textId="77777777" w:rsidR="002B0FE0" w:rsidRPr="00CB5E68" w:rsidRDefault="002B0FE0" w:rsidP="006E6745">
            <w:pPr>
              <w:pStyle w:val="TABLEFONT"/>
              <w:framePr w:hSpace="0" w:wrap="auto" w:vAnchor="margin" w:hAnchor="text" w:yAlign="inline"/>
            </w:pPr>
            <w:r w:rsidRPr="00CB5E68">
              <w:t>~24-144 firms/year</w:t>
            </w:r>
          </w:p>
        </w:tc>
        <w:tc>
          <w:tcPr>
            <w:tcW w:w="1160" w:type="pct"/>
          </w:tcPr>
          <w:p w14:paraId="613F773A" w14:textId="77777777" w:rsidR="002B0FE0" w:rsidRPr="00CB5E68" w:rsidRDefault="002B0FE0" w:rsidP="006E6745">
            <w:pPr>
              <w:pStyle w:val="TABLEFONT"/>
              <w:framePr w:hSpace="0" w:wrap="auto" w:vAnchor="margin" w:hAnchor="text" w:yAlign="inline"/>
            </w:pPr>
            <w:r w:rsidRPr="00CB5E68">
              <w:t>~48-240 firms/year</w:t>
            </w:r>
          </w:p>
        </w:tc>
      </w:tr>
      <w:tr w:rsidR="002B0FE0" w:rsidRPr="00CB5E68" w14:paraId="034F05CC" w14:textId="77777777" w:rsidTr="007571AF">
        <w:trPr>
          <w:trHeight w:val="489"/>
        </w:trPr>
        <w:tc>
          <w:tcPr>
            <w:tcW w:w="556" w:type="pct"/>
          </w:tcPr>
          <w:p w14:paraId="250E57B9" w14:textId="77777777" w:rsidR="002B0FE0" w:rsidRPr="00CB5E68" w:rsidRDefault="002B0FE0" w:rsidP="006E6745">
            <w:pPr>
              <w:pStyle w:val="TABLEFONT"/>
              <w:framePr w:hSpace="0" w:wrap="auto" w:vAnchor="margin" w:hAnchor="text" w:yAlign="inline"/>
            </w:pPr>
            <w:r w:rsidRPr="00CB5E68">
              <w:t>I&amp;R</w:t>
            </w:r>
          </w:p>
        </w:tc>
        <w:tc>
          <w:tcPr>
            <w:tcW w:w="808" w:type="pct"/>
          </w:tcPr>
          <w:p w14:paraId="3248098F" w14:textId="77777777" w:rsidR="002B0FE0" w:rsidRPr="00CB5E68" w:rsidRDefault="002B0FE0" w:rsidP="006E6745">
            <w:pPr>
              <w:pStyle w:val="TABLEFONT"/>
              <w:framePr w:hSpace="0" w:wrap="auto" w:vAnchor="margin" w:hAnchor="text" w:yAlign="inline"/>
            </w:pPr>
            <w:r w:rsidRPr="00CB5E68">
              <w:t>+</w:t>
            </w:r>
          </w:p>
        </w:tc>
        <w:tc>
          <w:tcPr>
            <w:tcW w:w="1254" w:type="pct"/>
          </w:tcPr>
          <w:p w14:paraId="10A37304" w14:textId="77777777" w:rsidR="002B0FE0" w:rsidRPr="00CB5E68" w:rsidRDefault="002B0FE0" w:rsidP="006E6745">
            <w:pPr>
              <w:pStyle w:val="TABLEFONT"/>
              <w:framePr w:hSpace="0" w:wrap="auto" w:vAnchor="margin" w:hAnchor="text" w:yAlign="inline"/>
            </w:pPr>
            <w:r w:rsidRPr="00CB5E68">
              <w:t>Clinical trial applications linked to capability layer: ~4-8/year</w:t>
            </w:r>
          </w:p>
        </w:tc>
        <w:tc>
          <w:tcPr>
            <w:tcW w:w="1222" w:type="pct"/>
          </w:tcPr>
          <w:p w14:paraId="69801F8A" w14:textId="77777777" w:rsidR="002B0FE0" w:rsidRPr="00CB5E68" w:rsidRDefault="002B0FE0" w:rsidP="006E6745">
            <w:pPr>
              <w:pStyle w:val="TABLEFONT"/>
              <w:framePr w:hSpace="0" w:wrap="auto" w:vAnchor="margin" w:hAnchor="text" w:yAlign="inline"/>
            </w:pPr>
            <w:r w:rsidRPr="00CB5E68">
              <w:t>~8-24/year</w:t>
            </w:r>
          </w:p>
        </w:tc>
        <w:tc>
          <w:tcPr>
            <w:tcW w:w="1160" w:type="pct"/>
          </w:tcPr>
          <w:p w14:paraId="7346EF16" w14:textId="77777777" w:rsidR="002B0FE0" w:rsidRPr="00CB5E68" w:rsidRDefault="002B0FE0" w:rsidP="006E6745">
            <w:pPr>
              <w:pStyle w:val="TABLEFONT"/>
              <w:framePr w:hSpace="0" w:wrap="auto" w:vAnchor="margin" w:hAnchor="text" w:yAlign="inline"/>
            </w:pPr>
            <w:r w:rsidRPr="00CB5E68">
              <w:t>~16-40/year</w:t>
            </w:r>
          </w:p>
        </w:tc>
      </w:tr>
      <w:tr w:rsidR="002B0FE0" w:rsidRPr="00CB5E68" w14:paraId="0A47414C" w14:textId="77777777" w:rsidTr="007571AF">
        <w:trPr>
          <w:trHeight w:val="665"/>
        </w:trPr>
        <w:tc>
          <w:tcPr>
            <w:tcW w:w="556" w:type="pct"/>
          </w:tcPr>
          <w:p w14:paraId="099E1EAE" w14:textId="77777777" w:rsidR="002B0FE0" w:rsidRPr="00CB5E68" w:rsidRDefault="002B0FE0" w:rsidP="006E6745">
            <w:pPr>
              <w:pStyle w:val="TABLEFONT"/>
              <w:framePr w:hSpace="0" w:wrap="auto" w:vAnchor="margin" w:hAnchor="text" w:yAlign="inline"/>
            </w:pPr>
            <w:r w:rsidRPr="00CB5E68">
              <w:t>PA</w:t>
            </w:r>
          </w:p>
        </w:tc>
        <w:tc>
          <w:tcPr>
            <w:tcW w:w="808" w:type="pct"/>
          </w:tcPr>
          <w:p w14:paraId="120BBC34" w14:textId="77777777" w:rsidR="002B0FE0" w:rsidRPr="00CB5E68" w:rsidRDefault="002B0FE0" w:rsidP="006E6745">
            <w:pPr>
              <w:pStyle w:val="TABLEFONT"/>
              <w:framePr w:hSpace="0" w:wrap="auto" w:vAnchor="margin" w:hAnchor="text" w:yAlign="inline"/>
            </w:pPr>
            <w:r w:rsidRPr="00CB5E68">
              <w:t>0/+</w:t>
            </w:r>
          </w:p>
        </w:tc>
        <w:tc>
          <w:tcPr>
            <w:tcW w:w="1254" w:type="pct"/>
          </w:tcPr>
          <w:p w14:paraId="673FC9D5" w14:textId="77777777" w:rsidR="002B0FE0" w:rsidRPr="00CB5E68" w:rsidRDefault="002B0FE0" w:rsidP="006E6745">
            <w:pPr>
              <w:pStyle w:val="TABLEFONT"/>
              <w:framePr w:hSpace="0" w:wrap="auto" w:vAnchor="margin" w:hAnchor="text" w:yAlign="inline"/>
            </w:pPr>
            <w:r w:rsidRPr="00CB5E68">
              <w:t>Incremental workload: ~6-8 recognition decisions plus monitoring cycles, limited multi-country coordination</w:t>
            </w:r>
          </w:p>
        </w:tc>
        <w:tc>
          <w:tcPr>
            <w:tcW w:w="1222" w:type="pct"/>
          </w:tcPr>
          <w:p w14:paraId="152ECEC1" w14:textId="77777777" w:rsidR="002B0FE0" w:rsidRPr="00CB5E68" w:rsidRDefault="002B0FE0" w:rsidP="006E6745">
            <w:pPr>
              <w:pStyle w:val="TABLEFONT"/>
              <w:framePr w:hSpace="0" w:wrap="auto" w:vAnchor="margin" w:hAnchor="text" w:yAlign="inline"/>
            </w:pPr>
            <w:r w:rsidRPr="00CB5E68">
              <w:t>~12-15 decisions plus monitoring, moderate coordination workload</w:t>
            </w:r>
          </w:p>
        </w:tc>
        <w:tc>
          <w:tcPr>
            <w:tcW w:w="1160" w:type="pct"/>
          </w:tcPr>
          <w:p w14:paraId="3FBE8027" w14:textId="77777777" w:rsidR="002B0FE0" w:rsidRPr="00CB5E68" w:rsidRDefault="002B0FE0" w:rsidP="006E6745">
            <w:pPr>
              <w:pStyle w:val="TABLEFONT"/>
              <w:framePr w:hSpace="0" w:wrap="auto" w:vAnchor="margin" w:hAnchor="text" w:yAlign="inline"/>
            </w:pPr>
            <w:r w:rsidRPr="00CB5E68">
              <w:t>~20-25 decisions plus monitoring, higher coordination workload but still bounded by portfolio design</w:t>
            </w:r>
          </w:p>
        </w:tc>
      </w:tr>
      <w:tr w:rsidR="002B0FE0" w:rsidRPr="00CB5E68" w14:paraId="2CFBA9F4" w14:textId="77777777" w:rsidTr="007571AF">
        <w:trPr>
          <w:trHeight w:val="902"/>
        </w:trPr>
        <w:tc>
          <w:tcPr>
            <w:tcW w:w="556" w:type="pct"/>
          </w:tcPr>
          <w:p w14:paraId="6AA0AE03" w14:textId="77777777" w:rsidR="002B0FE0" w:rsidRPr="00CB5E68" w:rsidRDefault="002B0FE0" w:rsidP="006E6745">
            <w:pPr>
              <w:pStyle w:val="TABLEFONT"/>
              <w:framePr w:hSpace="0" w:wrap="auto" w:vAnchor="margin" w:hAnchor="text" w:yAlign="inline"/>
            </w:pPr>
            <w:r w:rsidRPr="00CB5E68">
              <w:t>H&amp;S</w:t>
            </w:r>
          </w:p>
        </w:tc>
        <w:tc>
          <w:tcPr>
            <w:tcW w:w="808" w:type="pct"/>
          </w:tcPr>
          <w:p w14:paraId="3140AC24" w14:textId="77777777" w:rsidR="002B0FE0" w:rsidRPr="00CB5E68" w:rsidRDefault="002B0FE0" w:rsidP="006E6745">
            <w:pPr>
              <w:pStyle w:val="TABLEFONT"/>
              <w:framePr w:hSpace="0" w:wrap="auto" w:vAnchor="margin" w:hAnchor="text" w:yAlign="inline"/>
            </w:pPr>
            <w:r w:rsidRPr="00CB5E68">
              <w:t>+</w:t>
            </w:r>
          </w:p>
        </w:tc>
        <w:tc>
          <w:tcPr>
            <w:tcW w:w="1254" w:type="pct"/>
          </w:tcPr>
          <w:p w14:paraId="1918AF02" w14:textId="77777777" w:rsidR="002B0FE0" w:rsidRPr="00CB5E68" w:rsidRDefault="002B0FE0" w:rsidP="006E6745">
            <w:pPr>
              <w:pStyle w:val="TABLEFONT"/>
              <w:framePr w:hSpace="0" w:wrap="auto" w:vAnchor="margin" w:hAnchor="text" w:yAlign="inline"/>
            </w:pPr>
            <w:r w:rsidRPr="00CB5E68">
              <w:t>Therapy programmes supported with improved development pathway: ~2-4/year</w:t>
            </w:r>
          </w:p>
        </w:tc>
        <w:tc>
          <w:tcPr>
            <w:tcW w:w="1222" w:type="pct"/>
          </w:tcPr>
          <w:p w14:paraId="62FE8F9B" w14:textId="77777777" w:rsidR="002B0FE0" w:rsidRPr="00CB5E68" w:rsidRDefault="002B0FE0" w:rsidP="006E6745">
            <w:pPr>
              <w:pStyle w:val="TABLEFONT"/>
              <w:framePr w:hSpace="0" w:wrap="auto" w:vAnchor="margin" w:hAnchor="text" w:yAlign="inline"/>
            </w:pPr>
            <w:r w:rsidRPr="00CB5E68">
              <w:t>~4-12/year</w:t>
            </w:r>
          </w:p>
        </w:tc>
        <w:tc>
          <w:tcPr>
            <w:tcW w:w="1160" w:type="pct"/>
          </w:tcPr>
          <w:p w14:paraId="5AD809C5" w14:textId="77777777" w:rsidR="002B0FE0" w:rsidRPr="00CB5E68" w:rsidRDefault="002B0FE0" w:rsidP="006E6745">
            <w:pPr>
              <w:pStyle w:val="TABLEFONT"/>
              <w:framePr w:hSpace="0" w:wrap="auto" w:vAnchor="margin" w:hAnchor="text" w:yAlign="inline"/>
            </w:pPr>
            <w:r w:rsidRPr="00CB5E68">
              <w:t>~8-20/year</w:t>
            </w:r>
          </w:p>
        </w:tc>
      </w:tr>
      <w:bookmarkEnd w:id="226"/>
      <w:bookmarkEnd w:id="227"/>
      <w:bookmarkEnd w:id="228"/>
      <w:bookmarkEnd w:id="229"/>
      <w:bookmarkEnd w:id="230"/>
    </w:tbl>
    <w:p w14:paraId="36BCB0A7" w14:textId="77777777" w:rsidR="00CB5E68" w:rsidRDefault="00CB5E68" w:rsidP="001B4ACA">
      <w:pPr>
        <w:pBdr>
          <w:top w:val="nil"/>
          <w:left w:val="nil"/>
          <w:bottom w:val="nil"/>
          <w:right w:val="nil"/>
          <w:between w:val="nil"/>
        </w:pBdr>
        <w:rPr>
          <w:rFonts w:eastAsia="Times New Roman"/>
          <w:b/>
          <w:color w:val="000000" w:themeColor="text1"/>
        </w:rPr>
      </w:pPr>
    </w:p>
    <w:p w14:paraId="16A613A2" w14:textId="77777777" w:rsidR="005E2EB0" w:rsidRDefault="005E2EB0" w:rsidP="001B4ACA">
      <w:pPr>
        <w:pBdr>
          <w:top w:val="nil"/>
          <w:left w:val="nil"/>
          <w:bottom w:val="nil"/>
          <w:right w:val="nil"/>
          <w:between w:val="nil"/>
        </w:pBdr>
        <w:rPr>
          <w:rFonts w:eastAsia="Times New Roman"/>
          <w:b/>
          <w:color w:val="000000" w:themeColor="text1"/>
        </w:rPr>
      </w:pPr>
    </w:p>
    <w:p w14:paraId="5039EE1C" w14:textId="77777777" w:rsidR="00B80DFC" w:rsidRDefault="00B80DFC" w:rsidP="001B4ACA">
      <w:pPr>
        <w:pBdr>
          <w:top w:val="nil"/>
          <w:left w:val="nil"/>
          <w:bottom w:val="nil"/>
          <w:right w:val="nil"/>
          <w:between w:val="nil"/>
        </w:pBdr>
        <w:rPr>
          <w:rFonts w:eastAsia="Times New Roman"/>
          <w:b/>
          <w:color w:val="000000" w:themeColor="text1"/>
        </w:rPr>
      </w:pPr>
    </w:p>
    <w:p w14:paraId="4EA562D4" w14:textId="77777777" w:rsidR="00B80DFC" w:rsidRDefault="00B80DFC" w:rsidP="001B4ACA">
      <w:pPr>
        <w:pBdr>
          <w:top w:val="nil"/>
          <w:left w:val="nil"/>
          <w:bottom w:val="nil"/>
          <w:right w:val="nil"/>
          <w:between w:val="nil"/>
        </w:pBdr>
        <w:rPr>
          <w:rFonts w:eastAsia="Times New Roman"/>
          <w:b/>
          <w:color w:val="000000" w:themeColor="text1"/>
        </w:rPr>
      </w:pPr>
    </w:p>
    <w:p w14:paraId="09E3E45F" w14:textId="77777777" w:rsidR="005E2EB0" w:rsidRDefault="005E2EB0" w:rsidP="001B4ACA">
      <w:pPr>
        <w:pBdr>
          <w:top w:val="nil"/>
          <w:left w:val="nil"/>
          <w:bottom w:val="nil"/>
          <w:right w:val="nil"/>
          <w:between w:val="nil"/>
        </w:pBdr>
        <w:rPr>
          <w:rFonts w:eastAsia="Times New Roman"/>
          <w:b/>
          <w:color w:val="000000" w:themeColor="text1"/>
        </w:rPr>
      </w:pPr>
    </w:p>
    <w:p w14:paraId="2C5EBDC0" w14:textId="6ECE9266" w:rsidR="00CB5E68" w:rsidRPr="00514904" w:rsidRDefault="00CB5E68" w:rsidP="00EB5C3F">
      <w:pPr>
        <w:pBdr>
          <w:top w:val="nil"/>
          <w:left w:val="nil"/>
          <w:bottom w:val="nil"/>
          <w:right w:val="nil"/>
          <w:between w:val="nil"/>
        </w:pBdr>
        <w:spacing w:before="120"/>
        <w:rPr>
          <w:rFonts w:eastAsia="Times New Roman"/>
          <w:b/>
          <w:color w:val="000000" w:themeColor="text1"/>
        </w:rPr>
      </w:pPr>
      <w:r w:rsidRPr="00514904">
        <w:rPr>
          <w:rFonts w:eastAsia="Times New Roman"/>
          <w:b/>
          <w:color w:val="000000" w:themeColor="text1"/>
        </w:rPr>
        <w:t xml:space="preserve">Table </w:t>
      </w:r>
      <w:r w:rsidRPr="00514904">
        <w:rPr>
          <w:rFonts w:eastAsia="Times New Roman"/>
          <w:b/>
          <w:color w:val="000000" w:themeColor="text1"/>
        </w:rPr>
        <w:fldChar w:fldCharType="begin"/>
      </w:r>
      <w:r w:rsidRPr="00514904">
        <w:rPr>
          <w:rFonts w:eastAsia="Times New Roman"/>
          <w:b/>
          <w:color w:val="000000" w:themeColor="text1"/>
        </w:rPr>
        <w:instrText>SEQ Table \* ARABIC</w:instrText>
      </w:r>
      <w:r w:rsidRPr="00514904">
        <w:rPr>
          <w:rFonts w:eastAsia="Times New Roman"/>
          <w:b/>
          <w:color w:val="000000" w:themeColor="text1"/>
        </w:rPr>
        <w:fldChar w:fldCharType="separate"/>
      </w:r>
      <w:r w:rsidRPr="00514904">
        <w:rPr>
          <w:rFonts w:eastAsia="Times New Roman"/>
          <w:b/>
          <w:color w:val="000000" w:themeColor="text1"/>
        </w:rPr>
        <w:t>1</w:t>
      </w:r>
      <w:r w:rsidRPr="00514904">
        <w:rPr>
          <w:rFonts w:eastAsia="Times New Roman"/>
          <w:b/>
          <w:color w:val="000000" w:themeColor="text1"/>
          <w:lang w:val="en-IE"/>
        </w:rPr>
        <w:fldChar w:fldCharType="end"/>
      </w:r>
      <w:r>
        <w:rPr>
          <w:rFonts w:eastAsia="Times New Roman"/>
          <w:b/>
          <w:color w:val="000000" w:themeColor="text1"/>
          <w:lang w:val="en-IE"/>
        </w:rPr>
        <w:t>1</w:t>
      </w:r>
      <w:r w:rsidRPr="00514904">
        <w:rPr>
          <w:rFonts w:eastAsia="Times New Roman"/>
          <w:b/>
          <w:color w:val="000000" w:themeColor="text1"/>
        </w:rPr>
        <w:t xml:space="preserve">. Summary assessment of the effects </w:t>
      </w:r>
      <w:r>
        <w:rPr>
          <w:rFonts w:eastAsia="Times New Roman"/>
          <w:b/>
          <w:color w:val="000000" w:themeColor="text1"/>
        </w:rPr>
        <w:t>of</w:t>
      </w:r>
      <w:r w:rsidRPr="00ED6E2F">
        <w:rPr>
          <w:rFonts w:eastAsia="Times New Roman"/>
          <w:b/>
          <w:color w:val="000000" w:themeColor="text1"/>
        </w:rPr>
        <w:t xml:space="preserve"> Intervention n°11: Health biotechnology ecosystem support framework</w:t>
      </w:r>
    </w:p>
    <w:tbl>
      <w:tblPr>
        <w:tblStyle w:val="TableGrid"/>
        <w:tblW w:w="8560" w:type="dxa"/>
        <w:tblLook w:val="04A0" w:firstRow="1" w:lastRow="0" w:firstColumn="1" w:lastColumn="0" w:noHBand="0" w:noVBand="1"/>
      </w:tblPr>
      <w:tblGrid>
        <w:gridCol w:w="2041"/>
        <w:gridCol w:w="907"/>
        <w:gridCol w:w="907"/>
        <w:gridCol w:w="907"/>
        <w:gridCol w:w="1077"/>
        <w:gridCol w:w="907"/>
        <w:gridCol w:w="907"/>
        <w:gridCol w:w="907"/>
      </w:tblGrid>
      <w:tr w:rsidR="00C16C46" w:rsidRPr="001B4ACA" w14:paraId="31B2F3C1" w14:textId="77777777" w:rsidTr="00C16C46">
        <w:trPr>
          <w:trHeight w:val="337"/>
        </w:trPr>
        <w:tc>
          <w:tcPr>
            <w:tcW w:w="2041" w:type="dxa"/>
          </w:tcPr>
          <w:p w14:paraId="00F4A454" w14:textId="453DE63C" w:rsidR="001B4ACA" w:rsidRPr="004F48D9" w:rsidRDefault="00B11F23" w:rsidP="001B4ACA">
            <w:pPr>
              <w:pBdr>
                <w:top w:val="nil"/>
                <w:left w:val="nil"/>
                <w:bottom w:val="nil"/>
                <w:right w:val="nil"/>
                <w:between w:val="nil"/>
              </w:pBdr>
              <w:rPr>
                <w:b/>
                <w:noProof/>
                <w:color w:val="000000" w:themeColor="text1"/>
                <w:sz w:val="20"/>
                <w:szCs w:val="20"/>
              </w:rPr>
            </w:pPr>
            <w:r>
              <w:rPr>
                <w:b/>
                <w:noProof/>
                <w:color w:val="000000" w:themeColor="text1"/>
                <w:sz w:val="20"/>
                <w:szCs w:val="20"/>
              </w:rPr>
              <w:t>Policy intervention</w:t>
            </w:r>
          </w:p>
        </w:tc>
        <w:tc>
          <w:tcPr>
            <w:tcW w:w="907" w:type="dxa"/>
            <w:hideMark/>
          </w:tcPr>
          <w:p w14:paraId="4450D2D4" w14:textId="77777777" w:rsidR="001B4ACA" w:rsidRPr="004F48D9" w:rsidRDefault="001B4ACA" w:rsidP="001B4ACA">
            <w:pPr>
              <w:pBdr>
                <w:top w:val="nil"/>
                <w:left w:val="nil"/>
                <w:bottom w:val="nil"/>
                <w:right w:val="nil"/>
                <w:between w:val="nil"/>
              </w:pBdr>
              <w:rPr>
                <w:b/>
                <w:noProof/>
                <w:color w:val="000000" w:themeColor="text1"/>
                <w:sz w:val="20"/>
                <w:szCs w:val="20"/>
              </w:rPr>
            </w:pPr>
            <w:r w:rsidRPr="004F48D9">
              <w:rPr>
                <w:b/>
                <w:noProof/>
                <w:color w:val="000000" w:themeColor="text1"/>
                <w:sz w:val="20"/>
                <w:szCs w:val="20"/>
              </w:rPr>
              <w:t>COB</w:t>
            </w:r>
          </w:p>
        </w:tc>
        <w:tc>
          <w:tcPr>
            <w:tcW w:w="907" w:type="dxa"/>
            <w:hideMark/>
          </w:tcPr>
          <w:p w14:paraId="6BB4DE37" w14:textId="77777777" w:rsidR="001B4ACA" w:rsidRPr="004F48D9" w:rsidRDefault="001B4ACA" w:rsidP="001B4ACA">
            <w:pPr>
              <w:pBdr>
                <w:top w:val="nil"/>
                <w:left w:val="nil"/>
                <w:bottom w:val="nil"/>
                <w:right w:val="nil"/>
                <w:between w:val="nil"/>
              </w:pBdr>
              <w:rPr>
                <w:b/>
                <w:noProof/>
                <w:color w:val="000000" w:themeColor="text1"/>
                <w:sz w:val="20"/>
                <w:szCs w:val="20"/>
              </w:rPr>
            </w:pPr>
            <w:r w:rsidRPr="004F48D9">
              <w:rPr>
                <w:b/>
                <w:noProof/>
                <w:color w:val="000000" w:themeColor="text1"/>
                <w:sz w:val="20"/>
                <w:szCs w:val="20"/>
              </w:rPr>
              <w:t>Admin</w:t>
            </w:r>
          </w:p>
        </w:tc>
        <w:tc>
          <w:tcPr>
            <w:tcW w:w="907" w:type="dxa"/>
            <w:hideMark/>
          </w:tcPr>
          <w:p w14:paraId="14BDC910" w14:textId="77777777" w:rsidR="001B4ACA" w:rsidRPr="004F48D9" w:rsidRDefault="001B4ACA" w:rsidP="001B4ACA">
            <w:pPr>
              <w:pBdr>
                <w:top w:val="nil"/>
                <w:left w:val="nil"/>
                <w:bottom w:val="nil"/>
                <w:right w:val="nil"/>
                <w:between w:val="nil"/>
              </w:pBdr>
              <w:rPr>
                <w:b/>
                <w:noProof/>
                <w:color w:val="000000" w:themeColor="text1"/>
                <w:sz w:val="20"/>
                <w:szCs w:val="20"/>
              </w:rPr>
            </w:pPr>
            <w:r w:rsidRPr="004F48D9">
              <w:rPr>
                <w:b/>
                <w:noProof/>
                <w:color w:val="000000" w:themeColor="text1"/>
                <w:sz w:val="20"/>
                <w:szCs w:val="20"/>
              </w:rPr>
              <w:t>CTI</w:t>
            </w:r>
          </w:p>
        </w:tc>
        <w:tc>
          <w:tcPr>
            <w:tcW w:w="1077" w:type="dxa"/>
            <w:hideMark/>
          </w:tcPr>
          <w:p w14:paraId="4FD71FA3" w14:textId="77777777" w:rsidR="001B4ACA" w:rsidRPr="004F48D9" w:rsidRDefault="001B4ACA" w:rsidP="001B4ACA">
            <w:pPr>
              <w:pBdr>
                <w:top w:val="nil"/>
                <w:left w:val="nil"/>
                <w:bottom w:val="nil"/>
                <w:right w:val="nil"/>
                <w:between w:val="nil"/>
              </w:pBdr>
              <w:rPr>
                <w:b/>
                <w:noProof/>
                <w:color w:val="000000" w:themeColor="text1"/>
                <w:sz w:val="20"/>
                <w:szCs w:val="20"/>
              </w:rPr>
            </w:pPr>
            <w:r w:rsidRPr="004F48D9">
              <w:rPr>
                <w:b/>
                <w:noProof/>
                <w:color w:val="000000" w:themeColor="text1"/>
                <w:sz w:val="20"/>
                <w:szCs w:val="20"/>
              </w:rPr>
              <w:t>Int Mar</w:t>
            </w:r>
          </w:p>
        </w:tc>
        <w:tc>
          <w:tcPr>
            <w:tcW w:w="907" w:type="dxa"/>
            <w:hideMark/>
          </w:tcPr>
          <w:p w14:paraId="0AE58C3B" w14:textId="77777777" w:rsidR="001B4ACA" w:rsidRPr="004F48D9" w:rsidRDefault="001B4ACA" w:rsidP="001B4ACA">
            <w:pPr>
              <w:pBdr>
                <w:top w:val="nil"/>
                <w:left w:val="nil"/>
                <w:bottom w:val="nil"/>
                <w:right w:val="nil"/>
                <w:between w:val="nil"/>
              </w:pBdr>
              <w:rPr>
                <w:b/>
                <w:noProof/>
                <w:color w:val="000000" w:themeColor="text1"/>
                <w:sz w:val="20"/>
                <w:szCs w:val="20"/>
                <w:lang w:val="en-US"/>
              </w:rPr>
            </w:pPr>
            <w:r w:rsidRPr="004F48D9">
              <w:rPr>
                <w:b/>
                <w:noProof/>
                <w:color w:val="000000" w:themeColor="text1"/>
                <w:sz w:val="20"/>
                <w:szCs w:val="20"/>
              </w:rPr>
              <w:t>I</w:t>
            </w:r>
            <w:r w:rsidRPr="004F48D9">
              <w:rPr>
                <w:b/>
                <w:noProof/>
                <w:color w:val="000000" w:themeColor="text1"/>
                <w:sz w:val="20"/>
                <w:szCs w:val="20"/>
                <w:lang w:val="en-US"/>
              </w:rPr>
              <w:t>&amp;R</w:t>
            </w:r>
          </w:p>
        </w:tc>
        <w:tc>
          <w:tcPr>
            <w:tcW w:w="907" w:type="dxa"/>
            <w:hideMark/>
          </w:tcPr>
          <w:p w14:paraId="23416902" w14:textId="77777777" w:rsidR="001B4ACA" w:rsidRPr="004F48D9" w:rsidRDefault="001B4ACA" w:rsidP="001B4ACA">
            <w:pPr>
              <w:pBdr>
                <w:top w:val="nil"/>
                <w:left w:val="nil"/>
                <w:bottom w:val="nil"/>
                <w:right w:val="nil"/>
                <w:between w:val="nil"/>
              </w:pBdr>
              <w:rPr>
                <w:b/>
                <w:noProof/>
                <w:color w:val="000000" w:themeColor="text1"/>
                <w:sz w:val="20"/>
                <w:szCs w:val="20"/>
              </w:rPr>
            </w:pPr>
            <w:r w:rsidRPr="004F48D9">
              <w:rPr>
                <w:b/>
                <w:noProof/>
                <w:color w:val="000000" w:themeColor="text1"/>
                <w:sz w:val="20"/>
                <w:szCs w:val="20"/>
              </w:rPr>
              <w:t>PA</w:t>
            </w:r>
          </w:p>
        </w:tc>
        <w:tc>
          <w:tcPr>
            <w:tcW w:w="907" w:type="dxa"/>
            <w:hideMark/>
          </w:tcPr>
          <w:p w14:paraId="1F6646B3" w14:textId="77777777" w:rsidR="001B4ACA" w:rsidRPr="004F48D9" w:rsidRDefault="001B4ACA" w:rsidP="001B4ACA">
            <w:pPr>
              <w:pBdr>
                <w:top w:val="nil"/>
                <w:left w:val="nil"/>
                <w:bottom w:val="nil"/>
                <w:right w:val="nil"/>
                <w:between w:val="nil"/>
              </w:pBdr>
              <w:rPr>
                <w:b/>
                <w:noProof/>
                <w:color w:val="000000" w:themeColor="text1"/>
                <w:sz w:val="20"/>
                <w:szCs w:val="20"/>
              </w:rPr>
            </w:pPr>
            <w:r w:rsidRPr="004F48D9">
              <w:rPr>
                <w:b/>
                <w:noProof/>
                <w:color w:val="000000" w:themeColor="text1"/>
                <w:sz w:val="20"/>
                <w:szCs w:val="20"/>
              </w:rPr>
              <w:t>H&amp;S</w:t>
            </w:r>
          </w:p>
        </w:tc>
      </w:tr>
      <w:tr w:rsidR="00C16C46" w:rsidRPr="001B4ACA" w14:paraId="686712A6" w14:textId="77777777" w:rsidTr="007571AF">
        <w:trPr>
          <w:trHeight w:val="470"/>
        </w:trPr>
        <w:tc>
          <w:tcPr>
            <w:tcW w:w="2041" w:type="dxa"/>
            <w:hideMark/>
          </w:tcPr>
          <w:p w14:paraId="393E0BD4" w14:textId="1FC3C7E7" w:rsidR="001B4ACA" w:rsidRPr="004F48D9" w:rsidRDefault="0082333C" w:rsidP="001B4ACA">
            <w:pPr>
              <w:pBdr>
                <w:top w:val="nil"/>
                <w:left w:val="nil"/>
                <w:bottom w:val="nil"/>
                <w:right w:val="nil"/>
                <w:between w:val="nil"/>
              </w:pBdr>
              <w:rPr>
                <w:b/>
                <w:noProof/>
                <w:color w:val="000000" w:themeColor="text1"/>
                <w:sz w:val="20"/>
                <w:szCs w:val="20"/>
              </w:rPr>
            </w:pPr>
            <w:r>
              <w:rPr>
                <w:b/>
                <w:noProof/>
                <w:color w:val="000000" w:themeColor="text1"/>
                <w:sz w:val="20"/>
                <w:szCs w:val="20"/>
              </w:rPr>
              <w:t>Ecosystem support m</w:t>
            </w:r>
            <w:r w:rsidR="00B11F23">
              <w:rPr>
                <w:b/>
                <w:noProof/>
                <w:color w:val="000000" w:themeColor="text1"/>
                <w:sz w:val="20"/>
                <w:szCs w:val="20"/>
              </w:rPr>
              <w:t>easure</w:t>
            </w:r>
          </w:p>
        </w:tc>
        <w:tc>
          <w:tcPr>
            <w:tcW w:w="907" w:type="dxa"/>
            <w:hideMark/>
          </w:tcPr>
          <w:p w14:paraId="1C58A041" w14:textId="77777777" w:rsidR="001B4ACA" w:rsidRPr="004F48D9" w:rsidRDefault="001B4ACA" w:rsidP="001B4ACA">
            <w:pPr>
              <w:pBdr>
                <w:top w:val="nil"/>
                <w:left w:val="nil"/>
                <w:bottom w:val="nil"/>
                <w:right w:val="nil"/>
                <w:between w:val="nil"/>
              </w:pBdr>
              <w:rPr>
                <w:noProof/>
                <w:color w:val="000000" w:themeColor="text1"/>
                <w:sz w:val="20"/>
                <w:szCs w:val="20"/>
              </w:rPr>
            </w:pPr>
            <w:r w:rsidRPr="004F48D9">
              <w:rPr>
                <w:noProof/>
                <w:color w:val="000000" w:themeColor="text1"/>
                <w:sz w:val="20"/>
                <w:szCs w:val="20"/>
              </w:rPr>
              <w:t>0</w:t>
            </w:r>
          </w:p>
        </w:tc>
        <w:tc>
          <w:tcPr>
            <w:tcW w:w="907" w:type="dxa"/>
            <w:hideMark/>
          </w:tcPr>
          <w:p w14:paraId="0F08A818" w14:textId="77777777" w:rsidR="001B4ACA" w:rsidRPr="004F48D9" w:rsidRDefault="001B4ACA" w:rsidP="001B4ACA">
            <w:pPr>
              <w:pBdr>
                <w:top w:val="nil"/>
                <w:left w:val="nil"/>
                <w:bottom w:val="nil"/>
                <w:right w:val="nil"/>
                <w:between w:val="nil"/>
              </w:pBdr>
              <w:rPr>
                <w:noProof/>
                <w:color w:val="000000" w:themeColor="text1"/>
                <w:sz w:val="20"/>
                <w:szCs w:val="20"/>
              </w:rPr>
            </w:pPr>
            <w:r w:rsidRPr="004F48D9">
              <w:rPr>
                <w:noProof/>
                <w:color w:val="000000" w:themeColor="text1"/>
                <w:sz w:val="20"/>
                <w:szCs w:val="20"/>
              </w:rPr>
              <w:t>++</w:t>
            </w:r>
          </w:p>
        </w:tc>
        <w:tc>
          <w:tcPr>
            <w:tcW w:w="907" w:type="dxa"/>
            <w:hideMark/>
          </w:tcPr>
          <w:p w14:paraId="5A256953" w14:textId="77777777" w:rsidR="001B4ACA" w:rsidRPr="004F48D9" w:rsidRDefault="001B4ACA" w:rsidP="001B4ACA">
            <w:pPr>
              <w:pBdr>
                <w:top w:val="nil"/>
                <w:left w:val="nil"/>
                <w:bottom w:val="nil"/>
                <w:right w:val="nil"/>
                <w:between w:val="nil"/>
              </w:pBdr>
              <w:rPr>
                <w:noProof/>
                <w:color w:val="000000" w:themeColor="text1"/>
                <w:sz w:val="20"/>
                <w:szCs w:val="20"/>
              </w:rPr>
            </w:pPr>
            <w:r w:rsidRPr="004F48D9">
              <w:rPr>
                <w:noProof/>
                <w:color w:val="000000" w:themeColor="text1"/>
                <w:sz w:val="20"/>
                <w:szCs w:val="20"/>
              </w:rPr>
              <w:t>+</w:t>
            </w:r>
          </w:p>
        </w:tc>
        <w:tc>
          <w:tcPr>
            <w:tcW w:w="1077" w:type="dxa"/>
            <w:hideMark/>
          </w:tcPr>
          <w:p w14:paraId="68466F5D" w14:textId="77777777" w:rsidR="001B4ACA" w:rsidRPr="004F48D9" w:rsidRDefault="001B4ACA" w:rsidP="001B4ACA">
            <w:pPr>
              <w:pBdr>
                <w:top w:val="nil"/>
                <w:left w:val="nil"/>
                <w:bottom w:val="nil"/>
                <w:right w:val="nil"/>
                <w:between w:val="nil"/>
              </w:pBdr>
              <w:rPr>
                <w:noProof/>
                <w:color w:val="000000" w:themeColor="text1"/>
                <w:sz w:val="20"/>
                <w:szCs w:val="20"/>
              </w:rPr>
            </w:pPr>
            <w:r w:rsidRPr="004F48D9">
              <w:rPr>
                <w:noProof/>
                <w:color w:val="000000" w:themeColor="text1"/>
                <w:sz w:val="20"/>
                <w:szCs w:val="20"/>
              </w:rPr>
              <w:t>+</w:t>
            </w:r>
          </w:p>
        </w:tc>
        <w:tc>
          <w:tcPr>
            <w:tcW w:w="907" w:type="dxa"/>
            <w:hideMark/>
          </w:tcPr>
          <w:p w14:paraId="712B374C" w14:textId="77777777" w:rsidR="001B4ACA" w:rsidRPr="004F48D9" w:rsidRDefault="001B4ACA" w:rsidP="001B4ACA">
            <w:pPr>
              <w:pBdr>
                <w:top w:val="nil"/>
                <w:left w:val="nil"/>
                <w:bottom w:val="nil"/>
                <w:right w:val="nil"/>
                <w:between w:val="nil"/>
              </w:pBdr>
              <w:rPr>
                <w:noProof/>
                <w:color w:val="000000" w:themeColor="text1"/>
                <w:sz w:val="20"/>
                <w:szCs w:val="20"/>
              </w:rPr>
            </w:pPr>
            <w:r w:rsidRPr="004F48D9">
              <w:rPr>
                <w:noProof/>
                <w:color w:val="000000" w:themeColor="text1"/>
                <w:sz w:val="20"/>
                <w:szCs w:val="20"/>
              </w:rPr>
              <w:t>+</w:t>
            </w:r>
          </w:p>
        </w:tc>
        <w:tc>
          <w:tcPr>
            <w:tcW w:w="907" w:type="dxa"/>
            <w:hideMark/>
          </w:tcPr>
          <w:p w14:paraId="21F549C2" w14:textId="77777777" w:rsidR="001B4ACA" w:rsidRPr="004F48D9" w:rsidRDefault="001B4ACA" w:rsidP="001B4ACA">
            <w:pPr>
              <w:pBdr>
                <w:top w:val="nil"/>
                <w:left w:val="nil"/>
                <w:bottom w:val="nil"/>
                <w:right w:val="nil"/>
                <w:between w:val="nil"/>
              </w:pBdr>
              <w:rPr>
                <w:noProof/>
                <w:color w:val="000000" w:themeColor="text1"/>
                <w:sz w:val="20"/>
                <w:szCs w:val="20"/>
              </w:rPr>
            </w:pPr>
            <w:r w:rsidRPr="004F48D9">
              <w:rPr>
                <w:noProof/>
                <w:color w:val="000000" w:themeColor="text1"/>
                <w:sz w:val="20"/>
                <w:szCs w:val="20"/>
              </w:rPr>
              <w:t>-</w:t>
            </w:r>
          </w:p>
        </w:tc>
        <w:tc>
          <w:tcPr>
            <w:tcW w:w="907" w:type="dxa"/>
            <w:hideMark/>
          </w:tcPr>
          <w:p w14:paraId="5A1B67B9" w14:textId="77777777" w:rsidR="001B4ACA" w:rsidRPr="004F48D9" w:rsidRDefault="001B4ACA" w:rsidP="001B4ACA">
            <w:pPr>
              <w:pBdr>
                <w:top w:val="nil"/>
                <w:left w:val="nil"/>
                <w:bottom w:val="nil"/>
                <w:right w:val="nil"/>
                <w:between w:val="nil"/>
              </w:pBdr>
              <w:rPr>
                <w:noProof/>
                <w:color w:val="000000" w:themeColor="text1"/>
                <w:sz w:val="20"/>
                <w:szCs w:val="20"/>
              </w:rPr>
            </w:pPr>
            <w:r w:rsidRPr="004F48D9">
              <w:rPr>
                <w:noProof/>
                <w:color w:val="000000" w:themeColor="text1"/>
                <w:sz w:val="20"/>
                <w:szCs w:val="20"/>
              </w:rPr>
              <w:t>0</w:t>
            </w:r>
          </w:p>
        </w:tc>
      </w:tr>
    </w:tbl>
    <w:p w14:paraId="242D4859" w14:textId="02BF6DE4" w:rsidR="000F3479" w:rsidRPr="00DD0CE5" w:rsidRDefault="000F3479" w:rsidP="00443C31">
      <w:pPr>
        <w:pStyle w:val="Heading3"/>
        <w:spacing w:before="240"/>
      </w:pPr>
      <w:bookmarkStart w:id="231" w:name="_Toc224747231"/>
      <w:bookmarkStart w:id="232" w:name="_Toc224749701"/>
      <w:bookmarkStart w:id="233" w:name="_Toc225974579"/>
      <w:bookmarkStart w:id="234" w:name="_Toc225975252"/>
      <w:bookmarkStart w:id="235" w:name="_Toc225975309"/>
      <w:r w:rsidRPr="00DD0CE5">
        <w:t xml:space="preserve">Intervention n°12: </w:t>
      </w:r>
      <w:r w:rsidR="00997832">
        <w:t>B</w:t>
      </w:r>
      <w:r w:rsidRPr="00DD0CE5">
        <w:t xml:space="preserve">iosimilars competitiveness </w:t>
      </w:r>
      <w:bookmarkEnd w:id="231"/>
      <w:bookmarkEnd w:id="232"/>
      <w:r w:rsidRPr="00DD0CE5">
        <w:t>framework</w:t>
      </w:r>
      <w:bookmarkEnd w:id="233"/>
      <w:bookmarkEnd w:id="234"/>
      <w:bookmarkEnd w:id="235"/>
    </w:p>
    <w:p w14:paraId="2AF0DB04" w14:textId="77777777" w:rsidR="003702E9" w:rsidRDefault="5ECEE37F" w:rsidP="00DD415B">
      <w:pPr>
        <w:rPr>
          <w:noProof/>
        </w:rPr>
      </w:pPr>
      <w:r w:rsidRPr="2567740B">
        <w:rPr>
          <w:noProof/>
        </w:rPr>
        <w:t xml:space="preserve">The proposal includes </w:t>
      </w:r>
      <w:r w:rsidR="00DC05A1">
        <w:rPr>
          <w:noProof/>
        </w:rPr>
        <w:t xml:space="preserve">two measures focusing on biosimilars: </w:t>
      </w:r>
    </w:p>
    <w:p w14:paraId="5ADB7101" w14:textId="5230B26F" w:rsidR="6D9B9F3F" w:rsidRPr="000B14A8" w:rsidRDefault="000B14A8" w:rsidP="00443C31">
      <w:pPr>
        <w:rPr>
          <w:lang w:val="en-US"/>
        </w:rPr>
      </w:pPr>
      <w:r>
        <w:rPr>
          <w:noProof/>
        </w:rPr>
        <w:t xml:space="preserve">First, </w:t>
      </w:r>
      <w:r w:rsidR="00347AB5">
        <w:rPr>
          <w:noProof/>
        </w:rPr>
        <w:t>it proposes</w:t>
      </w:r>
      <w:r>
        <w:rPr>
          <w:noProof/>
        </w:rPr>
        <w:t xml:space="preserve"> t</w:t>
      </w:r>
      <w:r w:rsidR="5ECEE37F" w:rsidRPr="000F1347">
        <w:rPr>
          <w:noProof/>
        </w:rPr>
        <w:t>he</w:t>
      </w:r>
      <w:r w:rsidR="5ECEE37F" w:rsidRPr="000F1347">
        <w:t xml:space="preserve"> </w:t>
      </w:r>
      <w:r w:rsidR="00901C33">
        <w:t>development and</w:t>
      </w:r>
      <w:r w:rsidR="5ECEE37F" w:rsidRPr="000F1347">
        <w:t xml:space="preserve"> update of </w:t>
      </w:r>
      <w:r w:rsidR="5ECEE37F" w:rsidRPr="000B14A8">
        <w:rPr>
          <w:b/>
        </w:rPr>
        <w:t>EMA guidelines</w:t>
      </w:r>
      <w:r w:rsidR="5ECEE37F" w:rsidRPr="000F1347">
        <w:t xml:space="preserve"> on tailored </w:t>
      </w:r>
      <w:r w:rsidR="01575665" w:rsidRPr="000F1347">
        <w:t xml:space="preserve">and risk-proportionate </w:t>
      </w:r>
      <w:r w:rsidR="5ECEE37F" w:rsidRPr="000F1347">
        <w:t xml:space="preserve">regulatory approaches for biosimilar development, reflecting manufacturing and analytical testing advances. </w:t>
      </w:r>
      <w:r w:rsidR="59918D77" w:rsidRPr="20EC981C">
        <w:rPr>
          <w:noProof/>
        </w:rPr>
        <w:t>Most</w:t>
      </w:r>
      <w:r w:rsidR="59918D77" w:rsidRPr="0159EA57">
        <w:rPr>
          <w:noProof/>
        </w:rPr>
        <w:t xml:space="preserve"> importantly, the</w:t>
      </w:r>
      <w:r w:rsidR="5440DF06" w:rsidRPr="003702E9">
        <w:rPr>
          <w:noProof/>
        </w:rPr>
        <w:t xml:space="preserve"> g</w:t>
      </w:r>
      <w:r w:rsidR="5ECEE37F" w:rsidRPr="000F1347">
        <w:t xml:space="preserve">uidance will </w:t>
      </w:r>
      <w:r w:rsidR="4036DE7A" w:rsidRPr="003702E9">
        <w:rPr>
          <w:noProof/>
        </w:rPr>
        <w:t>set out the criteria and provide for</w:t>
      </w:r>
      <w:r w:rsidR="5ECEE37F" w:rsidRPr="003702E9">
        <w:t xml:space="preserve"> </w:t>
      </w:r>
      <w:r w:rsidR="2618B9D5" w:rsidRPr="003702E9">
        <w:rPr>
          <w:noProof/>
        </w:rPr>
        <w:t>the</w:t>
      </w:r>
      <w:r w:rsidR="5ECEE37F" w:rsidRPr="003702E9">
        <w:t xml:space="preserve"> </w:t>
      </w:r>
      <w:r w:rsidR="5ECEE37F" w:rsidRPr="000F1347">
        <w:t>potential reduction of clinical data requirements for biosimilar development and approval without affecting quality, safety and efficacy.</w:t>
      </w:r>
      <w:r w:rsidR="00DE0106">
        <w:t xml:space="preserve"> </w:t>
      </w:r>
      <w:r w:rsidR="6145F94C" w:rsidRPr="000B14A8">
        <w:rPr>
          <w:rFonts w:eastAsia="Verdana"/>
          <w:lang w:val="en-US"/>
        </w:rPr>
        <w:t xml:space="preserve">The revision </w:t>
      </w:r>
      <w:r w:rsidR="00452E4F">
        <w:rPr>
          <w:rFonts w:eastAsia="Verdana"/>
          <w:lang w:val="en-US"/>
        </w:rPr>
        <w:t>would be guided</w:t>
      </w:r>
      <w:r w:rsidR="6145F94C" w:rsidRPr="000B14A8">
        <w:rPr>
          <w:rFonts w:eastAsia="Verdana"/>
          <w:lang w:val="en-US"/>
        </w:rPr>
        <w:t xml:space="preserve"> </w:t>
      </w:r>
      <w:r w:rsidR="6BE81ABB" w:rsidRPr="000F1347">
        <w:t>by</w:t>
      </w:r>
      <w:r w:rsidR="69C88C4F" w:rsidRPr="000B14A8">
        <w:rPr>
          <w:rFonts w:eastAsiaTheme="minorEastAsia"/>
        </w:rPr>
        <w:t xml:space="preserve"> the </w:t>
      </w:r>
      <w:r w:rsidR="2F6A0E0E" w:rsidRPr="000B14A8">
        <w:rPr>
          <w:rFonts w:eastAsiaTheme="minorEastAsia"/>
        </w:rPr>
        <w:t>assessment</w:t>
      </w:r>
      <w:r w:rsidR="69C88C4F" w:rsidRPr="000B14A8">
        <w:rPr>
          <w:rFonts w:eastAsia="Verdana"/>
          <w:lang w:val="en-US"/>
        </w:rPr>
        <w:t xml:space="preserve"> and conclusion</w:t>
      </w:r>
      <w:r w:rsidR="05528CCE" w:rsidRPr="000B14A8">
        <w:rPr>
          <w:rFonts w:eastAsia="Verdana"/>
          <w:lang w:val="en-US"/>
        </w:rPr>
        <w:t>s</w:t>
      </w:r>
      <w:r w:rsidR="69C88C4F" w:rsidRPr="000B14A8">
        <w:rPr>
          <w:rFonts w:eastAsia="Verdana"/>
          <w:lang w:val="en-US"/>
        </w:rPr>
        <w:t xml:space="preserve"> of the</w:t>
      </w:r>
      <w:r w:rsidR="00E4017F">
        <w:rPr>
          <w:rFonts w:eastAsia="Verdana"/>
          <w:lang w:val="en-US"/>
        </w:rPr>
        <w:t xml:space="preserve"> r</w:t>
      </w:r>
      <w:r w:rsidR="1FEDDC0F" w:rsidRPr="000B14A8">
        <w:rPr>
          <w:rFonts w:eastAsia="Verdana"/>
          <w:lang w:val="en-US"/>
        </w:rPr>
        <w:t>eflection</w:t>
      </w:r>
      <w:r w:rsidR="69C88C4F" w:rsidRPr="000B14A8">
        <w:rPr>
          <w:rFonts w:eastAsia="Verdana"/>
          <w:lang w:val="en-US"/>
        </w:rPr>
        <w:t xml:space="preserve"> </w:t>
      </w:r>
      <w:r w:rsidR="1FEDDC0F" w:rsidRPr="000B14A8">
        <w:rPr>
          <w:rFonts w:eastAsia="Verdana"/>
          <w:lang w:val="en-US"/>
        </w:rPr>
        <w:t xml:space="preserve">paper on tailored clinical </w:t>
      </w:r>
      <w:r w:rsidR="008B1171" w:rsidRPr="000B14A8">
        <w:rPr>
          <w:rFonts w:eastAsia="Verdana"/>
          <w:lang w:val="en-US"/>
        </w:rPr>
        <w:t>approach</w:t>
      </w:r>
      <w:r w:rsidR="1FEDDC0F" w:rsidRPr="000B14A8">
        <w:rPr>
          <w:rFonts w:eastAsia="Verdana"/>
          <w:lang w:val="en-US"/>
        </w:rPr>
        <w:t xml:space="preserve"> in </w:t>
      </w:r>
      <w:r w:rsidR="00125915" w:rsidRPr="000B14A8">
        <w:rPr>
          <w:rFonts w:eastAsia="Verdana"/>
          <w:lang w:val="en-US"/>
        </w:rPr>
        <w:t>biosimilar</w:t>
      </w:r>
      <w:r w:rsidR="1FEDDC0F" w:rsidRPr="000B14A8">
        <w:rPr>
          <w:rFonts w:eastAsia="Verdana"/>
          <w:lang w:val="en-US"/>
        </w:rPr>
        <w:t xml:space="preserve"> development by </w:t>
      </w:r>
      <w:r w:rsidR="39D91F7B" w:rsidRPr="000B14A8">
        <w:rPr>
          <w:rFonts w:eastAsiaTheme="minorEastAsia"/>
          <w:lang w:val="en-US"/>
        </w:rPr>
        <w:t>EMA and the CHMP Biosimilar Medicinal Products Working Party (BMWP)</w:t>
      </w:r>
      <w:r w:rsidR="2FE618BC" w:rsidRPr="000B14A8">
        <w:rPr>
          <w:rFonts w:eastAsiaTheme="minorEastAsia"/>
          <w:lang w:val="en-US"/>
        </w:rPr>
        <w:t>, published on 27 March 2026</w:t>
      </w:r>
      <w:r w:rsidR="5ECEE37F" w:rsidRPr="04E207A0">
        <w:rPr>
          <w:rFonts w:eastAsiaTheme="minorEastAsia"/>
          <w:vertAlign w:val="superscript"/>
          <w:lang w:val="en-US"/>
        </w:rPr>
        <w:footnoteReference w:id="220"/>
      </w:r>
      <w:r w:rsidR="4EBA04ED" w:rsidRPr="000B14A8">
        <w:rPr>
          <w:rFonts w:eastAsiaTheme="minorEastAsia"/>
          <w:lang w:val="en-US"/>
        </w:rPr>
        <w:t>. The reflection</w:t>
      </w:r>
      <w:r w:rsidR="5C4E8FAF" w:rsidRPr="000B14A8">
        <w:rPr>
          <w:rFonts w:eastAsiaTheme="minorEastAsia"/>
          <w:lang w:val="en-US"/>
        </w:rPr>
        <w:t xml:space="preserve"> paper </w:t>
      </w:r>
      <w:r w:rsidR="4EBA04ED" w:rsidRPr="000B14A8">
        <w:rPr>
          <w:rFonts w:eastAsiaTheme="minorEastAsia"/>
          <w:lang w:val="en-US"/>
        </w:rPr>
        <w:t>concludes</w:t>
      </w:r>
      <w:r w:rsidR="440C4828" w:rsidRPr="000B14A8">
        <w:rPr>
          <w:rFonts w:eastAsiaTheme="minorEastAsia"/>
          <w:lang w:val="en-US"/>
        </w:rPr>
        <w:t xml:space="preserve"> that </w:t>
      </w:r>
      <w:r w:rsidR="00EC33F6" w:rsidRPr="000B14A8">
        <w:rPr>
          <w:rFonts w:eastAsiaTheme="minorEastAsia"/>
          <w:lang w:val="en-US"/>
        </w:rPr>
        <w:t>“</w:t>
      </w:r>
      <w:r w:rsidR="69C88C4F" w:rsidRPr="000B14A8">
        <w:rPr>
          <w:rFonts w:eastAsiaTheme="minorEastAsia"/>
          <w:lang w:val="en-US"/>
        </w:rPr>
        <w:t xml:space="preserve">a tailored approach for clinical development of biosimilar candidates is possible. </w:t>
      </w:r>
      <w:r w:rsidR="005028DF" w:rsidRPr="000B14A8">
        <w:rPr>
          <w:rFonts w:eastAsia="Palatino Linotype"/>
        </w:rPr>
        <w:t>Comparative Efficacy Studies (</w:t>
      </w:r>
      <w:r w:rsidR="69C88C4F" w:rsidRPr="000B14A8">
        <w:rPr>
          <w:rFonts w:eastAsiaTheme="minorEastAsia"/>
          <w:lang w:val="en-US"/>
        </w:rPr>
        <w:t>CES</w:t>
      </w:r>
      <w:r w:rsidR="005028DF" w:rsidRPr="000B14A8">
        <w:rPr>
          <w:rFonts w:eastAsiaTheme="minorEastAsia"/>
          <w:lang w:val="en-US"/>
        </w:rPr>
        <w:t>)</w:t>
      </w:r>
      <w:r w:rsidR="00217A05" w:rsidRPr="000B14A8">
        <w:rPr>
          <w:rFonts w:eastAsiaTheme="minorEastAsia"/>
          <w:lang w:val="en-US"/>
        </w:rPr>
        <w:t xml:space="preserve"> </w:t>
      </w:r>
      <w:r w:rsidR="69C88C4F" w:rsidRPr="000B14A8">
        <w:rPr>
          <w:rFonts w:eastAsiaTheme="minorEastAsia"/>
          <w:lang w:val="en-US"/>
        </w:rPr>
        <w:t xml:space="preserve">are no longer expected to be required for approval of biosimilars that can be thoroughly </w:t>
      </w:r>
      <w:r w:rsidR="22550397" w:rsidRPr="000B14A8">
        <w:rPr>
          <w:rFonts w:eastAsiaTheme="minorEastAsia"/>
          <w:lang w:val="en-US"/>
        </w:rPr>
        <w:t>characteri</w:t>
      </w:r>
      <w:r w:rsidR="00243888" w:rsidRPr="000B14A8">
        <w:rPr>
          <w:rFonts w:eastAsiaTheme="minorEastAsia"/>
          <w:lang w:val="en-US"/>
        </w:rPr>
        <w:t>s</w:t>
      </w:r>
      <w:r w:rsidR="22550397" w:rsidRPr="000B14A8">
        <w:rPr>
          <w:rFonts w:eastAsiaTheme="minorEastAsia"/>
          <w:lang w:val="en-US"/>
        </w:rPr>
        <w:t>ed</w:t>
      </w:r>
      <w:r w:rsidR="69C88C4F" w:rsidRPr="000B14A8">
        <w:rPr>
          <w:rFonts w:eastAsiaTheme="minorEastAsia"/>
          <w:lang w:val="en-US"/>
        </w:rPr>
        <w:t xml:space="preserve"> using state-of-the-art analytical methods and have demonstrated similarity in physicochemical and functional properties</w:t>
      </w:r>
      <w:r w:rsidR="0097588F">
        <w:rPr>
          <w:rFonts w:eastAsiaTheme="minorEastAsia"/>
          <w:lang w:val="en-US"/>
        </w:rPr>
        <w:t>”</w:t>
      </w:r>
      <w:r w:rsidR="69C88C4F" w:rsidRPr="000B14A8">
        <w:rPr>
          <w:rFonts w:eastAsiaTheme="minorEastAsia"/>
          <w:lang w:val="en-US"/>
        </w:rPr>
        <w:t xml:space="preserve">. Comparative clinical </w:t>
      </w:r>
      <w:r w:rsidR="00B1395D" w:rsidRPr="000B14A8">
        <w:rPr>
          <w:rFonts w:eastAsiaTheme="minorEastAsia"/>
          <w:lang w:val="en-US"/>
        </w:rPr>
        <w:t>pharmacokinetics</w:t>
      </w:r>
      <w:r w:rsidR="6E2175A1" w:rsidRPr="000B14A8">
        <w:rPr>
          <w:rFonts w:eastAsiaTheme="minorEastAsia"/>
          <w:lang w:val="en-US"/>
        </w:rPr>
        <w:t xml:space="preserve">/pharmacodynamics </w:t>
      </w:r>
      <w:r w:rsidR="00B1395D" w:rsidRPr="000B14A8">
        <w:rPr>
          <w:rFonts w:eastAsiaTheme="minorEastAsia"/>
          <w:lang w:val="en-US"/>
        </w:rPr>
        <w:t>(</w:t>
      </w:r>
      <w:r w:rsidR="69C88C4F" w:rsidRPr="000B14A8">
        <w:rPr>
          <w:rFonts w:eastAsiaTheme="minorEastAsia"/>
          <w:lang w:val="en-US"/>
        </w:rPr>
        <w:t>PK</w:t>
      </w:r>
      <w:r w:rsidR="49673A96" w:rsidRPr="000B14A8">
        <w:rPr>
          <w:rFonts w:eastAsiaTheme="minorEastAsia"/>
          <w:lang w:val="en-US"/>
        </w:rPr>
        <w:t>/PD</w:t>
      </w:r>
      <w:r w:rsidR="00B1395D" w:rsidRPr="000B14A8">
        <w:rPr>
          <w:rFonts w:eastAsiaTheme="minorEastAsia"/>
          <w:lang w:val="en-US"/>
        </w:rPr>
        <w:t>)</w:t>
      </w:r>
      <w:r w:rsidR="69C88C4F" w:rsidRPr="000B14A8">
        <w:rPr>
          <w:rFonts w:eastAsiaTheme="minorEastAsia"/>
          <w:lang w:val="en-US"/>
        </w:rPr>
        <w:t xml:space="preserve"> studies can </w:t>
      </w:r>
      <w:r w:rsidR="0097588F">
        <w:rPr>
          <w:rFonts w:eastAsiaTheme="minorEastAsia"/>
          <w:lang w:val="en-US"/>
        </w:rPr>
        <w:t>in this context</w:t>
      </w:r>
      <w:r w:rsidR="69C88C4F" w:rsidRPr="000B14A8">
        <w:rPr>
          <w:rFonts w:eastAsiaTheme="minorEastAsia"/>
          <w:lang w:val="en-US"/>
        </w:rPr>
        <w:t xml:space="preserve"> provide supportive safety and immunogenicity data. </w:t>
      </w:r>
      <w:r w:rsidR="6D9B9F3F" w:rsidRPr="000B14A8">
        <w:rPr>
          <w:lang w:val="en-US"/>
        </w:rPr>
        <w:t>Over the past three years, applications concerning monoclonal antibodies and fusion proteins have represented more than 90% of all biosimilar marketing authorisation applications (see Annex</w:t>
      </w:r>
      <w:r w:rsidR="26E06D04" w:rsidRPr="000B14A8">
        <w:rPr>
          <w:lang w:val="en-US"/>
        </w:rPr>
        <w:t xml:space="preserve"> 5</w:t>
      </w:r>
      <w:r w:rsidR="00B81161" w:rsidRPr="000B14A8">
        <w:rPr>
          <w:lang w:val="en-US"/>
        </w:rPr>
        <w:t xml:space="preserve"> - </w:t>
      </w:r>
      <w:r w:rsidR="00B81161">
        <w:t>additional background on the sector and problem definition</w:t>
      </w:r>
      <w:r w:rsidR="6D9B9F3F" w:rsidRPr="000B14A8">
        <w:rPr>
          <w:lang w:val="en-US"/>
        </w:rPr>
        <w:t xml:space="preserve">). The </w:t>
      </w:r>
      <w:r w:rsidR="00F82B67">
        <w:rPr>
          <w:lang w:val="en-US"/>
        </w:rPr>
        <w:t>proposed measure</w:t>
      </w:r>
      <w:r w:rsidR="6D9B9F3F" w:rsidRPr="000B14A8">
        <w:rPr>
          <w:lang w:val="en-US"/>
        </w:rPr>
        <w:t xml:space="preserve"> is therefore expected to have a broad practical impact, as it applies to the majority of current and future biosimilar development programmes.</w:t>
      </w:r>
      <w:r w:rsidR="58DC7F44" w:rsidRPr="000B14A8">
        <w:rPr>
          <w:lang w:val="en-US"/>
        </w:rPr>
        <w:t xml:space="preserve"> </w:t>
      </w:r>
    </w:p>
    <w:p w14:paraId="01458772" w14:textId="5E313235" w:rsidR="00A2300E" w:rsidRPr="008842C4" w:rsidRDefault="000B14A8">
      <w:r w:rsidRPr="3F0B7497">
        <w:rPr>
          <w:noProof/>
        </w:rPr>
        <w:t xml:space="preserve">Second, </w:t>
      </w:r>
      <w:r w:rsidR="00824493" w:rsidRPr="3F0B7497">
        <w:rPr>
          <w:noProof/>
        </w:rPr>
        <w:t>it proposes</w:t>
      </w:r>
      <w:r w:rsidRPr="3F0B7497">
        <w:rPr>
          <w:noProof/>
        </w:rPr>
        <w:t xml:space="preserve"> t</w:t>
      </w:r>
      <w:r w:rsidR="5ECEE37F" w:rsidRPr="3F0B7497">
        <w:rPr>
          <w:noProof/>
        </w:rPr>
        <w:t>he</w:t>
      </w:r>
      <w:r w:rsidR="5ECEE37F">
        <w:t xml:space="preserve"> establishment of a framework for the </w:t>
      </w:r>
      <w:r w:rsidR="5ECEE37F" w:rsidRPr="3F0B7497">
        <w:rPr>
          <w:b/>
          <w:bCs/>
        </w:rPr>
        <w:t xml:space="preserve">recognition and the support </w:t>
      </w:r>
      <w:r w:rsidR="00F82B67" w:rsidRPr="3F0B7497">
        <w:rPr>
          <w:b/>
          <w:bCs/>
        </w:rPr>
        <w:t>of</w:t>
      </w:r>
      <w:r w:rsidR="5ECEE37F">
        <w:t xml:space="preserve"> </w:t>
      </w:r>
      <w:r w:rsidR="5ECEE37F" w:rsidRPr="3F0B7497">
        <w:rPr>
          <w:b/>
          <w:bCs/>
        </w:rPr>
        <w:t>health biotechnology strategic projects focused on biosimilar</w:t>
      </w:r>
      <w:r w:rsidR="5ECEE37F">
        <w:t xml:space="preserve"> research, development, manufacturing and marketing authorisation.</w:t>
      </w:r>
      <w:r w:rsidR="008A5FEC">
        <w:t xml:space="preserve"> </w:t>
      </w:r>
      <w:r w:rsidR="008A5FEC" w:rsidRPr="3F0B7497">
        <w:rPr>
          <w:rFonts w:eastAsia="Arial" w:cs="Arial"/>
        </w:rPr>
        <w:t xml:space="preserve">The support package outlined </w:t>
      </w:r>
      <w:r w:rsidR="00F82B67" w:rsidRPr="3F0B7497">
        <w:rPr>
          <w:rFonts w:eastAsia="Arial" w:cs="Arial"/>
        </w:rPr>
        <w:t>in</w:t>
      </w:r>
      <w:r w:rsidR="00586DB1">
        <w:t xml:space="preserve"> intervention </w:t>
      </w:r>
      <w:r w:rsidR="56893FE6">
        <w:t>n°9</w:t>
      </w:r>
      <w:r w:rsidR="009331FD">
        <w:t xml:space="preserve"> </w:t>
      </w:r>
      <w:r w:rsidR="00F82B67">
        <w:t>applies to these projects</w:t>
      </w:r>
      <w:r w:rsidR="00B85F4C">
        <w:t>. Furthermore, the</w:t>
      </w:r>
      <w:r w:rsidR="00D30048">
        <w:t xml:space="preserve"> proposed</w:t>
      </w:r>
      <w:r w:rsidR="4C995D3E">
        <w:t xml:space="preserve"> measure</w:t>
      </w:r>
      <w:r w:rsidR="00D526C5">
        <w:t xml:space="preserve"> </w:t>
      </w:r>
      <w:r w:rsidR="5ECEE37F">
        <w:t>promot</w:t>
      </w:r>
      <w:r w:rsidR="00943944">
        <w:t>es</w:t>
      </w:r>
      <w:r w:rsidR="5ECEE37F">
        <w:t xml:space="preserve"> international cooperation between economic operators and biotechnology clusters </w:t>
      </w:r>
      <w:r w:rsidR="00FA682E">
        <w:t>active in the area of biosimilars</w:t>
      </w:r>
      <w:r w:rsidR="00477BCF">
        <w:t xml:space="preserve">, including in the context of </w:t>
      </w:r>
      <w:r w:rsidR="00233A68">
        <w:t>health biotechnology strategic projects</w:t>
      </w:r>
      <w:r w:rsidR="5ECEE37F">
        <w:t>.</w:t>
      </w:r>
    </w:p>
    <w:p w14:paraId="18E828DA" w14:textId="5233AFA4" w:rsidR="00A32A54" w:rsidRDefault="00A32A54" w:rsidP="00A32A54">
      <w:pPr>
        <w:rPr>
          <w:rFonts w:eastAsia="Arial"/>
        </w:rPr>
      </w:pPr>
      <w:r>
        <w:t>The two measures are complementary and the</w:t>
      </w:r>
      <w:r w:rsidRPr="00514904">
        <w:t xml:space="preserve"> intervention logic goes as follows: </w:t>
      </w:r>
      <w:r w:rsidRPr="009D7E56">
        <w:rPr>
          <w:rFonts w:eastAsia="Times New Roman"/>
          <w:noProof/>
          <w:color w:val="000000" w:themeColor="text1"/>
        </w:rPr>
        <w:t>The EMA guidelines are expected to</w:t>
      </w:r>
      <w:r w:rsidRPr="00DD0CE5">
        <w:rPr>
          <w:rFonts w:eastAsia="Times New Roman"/>
          <w:noProof/>
          <w:color w:val="000000" w:themeColor="text1"/>
        </w:rPr>
        <w:t xml:space="preserve"> </w:t>
      </w:r>
      <w:r>
        <w:rPr>
          <w:rFonts w:eastAsia="Arial"/>
        </w:rPr>
        <w:t>reduce the evidentiary burden and associated cost and time of biosimilar development, thereby lowering barriers to market entry. Simultaneously, biosimilar strategic project recognition aims to provide administrative, financial, and permitting support for biosimilar manufacturing and development projects within the EU. Furthermore, eligibility criteria for biosimilar strategic projects enable projects developing analytical methodologies that reduce clinical data needs to qualify for support under the measure, creating a feedback loop between regulatory modernisation and industrial investment.</w:t>
      </w:r>
    </w:p>
    <w:p w14:paraId="5864B8C8" w14:textId="41B1A169" w:rsidR="00122DA7" w:rsidRPr="00443C31" w:rsidRDefault="53CD0206" w:rsidP="00443C31">
      <w:pPr>
        <w:rPr>
          <w:u w:val="single"/>
        </w:rPr>
      </w:pPr>
      <w:r w:rsidRPr="00443C31">
        <w:rPr>
          <w:u w:val="single"/>
        </w:rPr>
        <w:t>Expected impacts</w:t>
      </w:r>
      <w:r w:rsidR="00D7628F" w:rsidRPr="00443C31">
        <w:rPr>
          <w:u w:val="single"/>
        </w:rPr>
        <w:t xml:space="preserve"> of m</w:t>
      </w:r>
      <w:r w:rsidR="0024373D" w:rsidRPr="00443C31">
        <w:rPr>
          <w:u w:val="single"/>
        </w:rPr>
        <w:t>easure 1</w:t>
      </w:r>
      <w:r w:rsidR="00EF2AD4" w:rsidRPr="00443C31">
        <w:rPr>
          <w:u w:val="single"/>
        </w:rPr>
        <w:t>: update and development of EMA guidelines</w:t>
      </w:r>
    </w:p>
    <w:p w14:paraId="2CFA023D" w14:textId="2EE1CBD6" w:rsidR="43A6F574" w:rsidRPr="008842C4" w:rsidRDefault="43A6F574" w:rsidP="00443C31">
      <w:pPr>
        <w:rPr>
          <w:highlight w:val="yellow"/>
          <w:vertAlign w:val="superscript"/>
        </w:rPr>
      </w:pPr>
      <w:r w:rsidRPr="008842C4">
        <w:rPr>
          <w:b/>
        </w:rPr>
        <w:t xml:space="preserve">Conduct of business: </w:t>
      </w:r>
      <w:r w:rsidR="00F82B67" w:rsidRPr="00443C31">
        <w:t>I</w:t>
      </w:r>
      <w:r w:rsidR="00E05BE5" w:rsidRPr="008842C4">
        <w:rPr>
          <w:bCs/>
        </w:rPr>
        <w:t>f</w:t>
      </w:r>
      <w:r w:rsidR="00D968A4">
        <w:rPr>
          <w:bCs/>
        </w:rPr>
        <w:t>,</w:t>
      </w:r>
      <w:r w:rsidR="00E05BE5" w:rsidRPr="008842C4">
        <w:rPr>
          <w:bCs/>
        </w:rPr>
        <w:t xml:space="preserve"> </w:t>
      </w:r>
      <w:r w:rsidR="009C09AF" w:rsidRPr="008842C4">
        <w:rPr>
          <w:bCs/>
        </w:rPr>
        <w:t xml:space="preserve">following EMA guidelines, </w:t>
      </w:r>
      <w:r w:rsidRPr="008842C4">
        <w:t>CES requirement</w:t>
      </w:r>
      <w:r w:rsidR="009C09AF" w:rsidRPr="008842C4">
        <w:t xml:space="preserve"> </w:t>
      </w:r>
      <w:r w:rsidR="00952B08" w:rsidRPr="008842C4">
        <w:t>was</w:t>
      </w:r>
      <w:r w:rsidR="009C09AF" w:rsidRPr="008842C4">
        <w:t xml:space="preserve"> waived</w:t>
      </w:r>
      <w:r w:rsidRPr="008842C4">
        <w:t xml:space="preserve"> for biosimilar mAb products where analytical similarity is comprehensively demonstrated</w:t>
      </w:r>
      <w:r w:rsidR="0014645D" w:rsidRPr="008842C4">
        <w:t>,</w:t>
      </w:r>
      <w:r w:rsidR="000426D2" w:rsidRPr="000426D2">
        <w:t xml:space="preserve"> </w:t>
      </w:r>
      <w:r w:rsidR="000426D2" w:rsidRPr="00514904">
        <w:t>developers could reduce</w:t>
      </w:r>
      <w:r w:rsidR="000426D2" w:rsidRPr="000426D2">
        <w:t xml:space="preserve"> direct Phase III clinical trial costs by an estimated EUR 19–26 million per</w:t>
      </w:r>
      <w:r w:rsidR="00EC39C5">
        <w:t xml:space="preserve"> product</w:t>
      </w:r>
      <w:r w:rsidRPr="008842C4">
        <w:rPr>
          <w:vertAlign w:val="superscript"/>
        </w:rPr>
        <w:footnoteReference w:id="221"/>
      </w:r>
      <w:r w:rsidRPr="008842C4">
        <w:t>, with a broader range</w:t>
      </w:r>
      <w:r w:rsidRPr="00370BE8">
        <w:t xml:space="preserve"> of EUR 14–46 million </w:t>
      </w:r>
      <w:r w:rsidRPr="00AD5FE0">
        <w:t>across all trial types</w:t>
      </w:r>
      <w:r w:rsidRPr="7E3D644D">
        <w:rPr>
          <w:vertAlign w:val="superscript"/>
        </w:rPr>
        <w:footnoteReference w:id="222"/>
      </w:r>
      <w:r w:rsidR="074F42FE" w:rsidRPr="00AD5FE0">
        <w:t xml:space="preserve">. </w:t>
      </w:r>
      <w:r w:rsidRPr="00AD5FE0">
        <w:t>Clinical development accounts for approximately 57</w:t>
      </w:r>
      <w:r w:rsidR="00405618">
        <w:t>%</w:t>
      </w:r>
      <w:r w:rsidRPr="00AD5FE0">
        <w:t xml:space="preserve"> of total biosimilar development costs</w:t>
      </w:r>
      <w:r w:rsidRPr="7E3D644D">
        <w:rPr>
          <w:vertAlign w:val="superscript"/>
        </w:rPr>
        <w:footnoteReference w:id="223"/>
      </w:r>
      <w:r w:rsidRPr="00370BE8">
        <w:t>, with the CES representing the single largest component</w:t>
      </w:r>
      <w:r w:rsidR="00912B9A" w:rsidRPr="00370BE8">
        <w:t xml:space="preserve">. </w:t>
      </w:r>
    </w:p>
    <w:p w14:paraId="25FA4A7A" w14:textId="5A1E72F9" w:rsidR="24B65ECB" w:rsidRDefault="24B65ECB" w:rsidP="00443C31">
      <w:pPr>
        <w:rPr>
          <w:rFonts w:eastAsia="Palatino Linotype"/>
          <w:color w:val="353332"/>
        </w:rPr>
      </w:pPr>
      <w:r w:rsidRPr="008842C4">
        <w:rPr>
          <w:rFonts w:eastAsia="Times New Roman"/>
        </w:rPr>
        <w:t>Of the 27 biosimilar marketing authorisation applications (MAAs) resolved in 2024</w:t>
      </w:r>
      <w:r w:rsidR="00D12332" w:rsidRPr="008842C4">
        <w:rPr>
          <w:rStyle w:val="FootnoteReference"/>
          <w:rFonts w:eastAsia="Times New Roman"/>
        </w:rPr>
        <w:footnoteReference w:id="224"/>
      </w:r>
      <w:r w:rsidRPr="008842C4">
        <w:rPr>
          <w:rFonts w:eastAsia="Times New Roman"/>
        </w:rPr>
        <w:t xml:space="preserve">, approximately 24 concerned monoclonal antibodies or fusion proteins, </w:t>
      </w:r>
      <w:r w:rsidR="008B0042" w:rsidRPr="008842C4">
        <w:rPr>
          <w:rFonts w:eastAsia="Times New Roman"/>
        </w:rPr>
        <w:t>the</w:t>
      </w:r>
      <w:r w:rsidRPr="008842C4">
        <w:rPr>
          <w:rFonts w:eastAsia="Times New Roman"/>
        </w:rPr>
        <w:t xml:space="preserve"> product classes for which CES have historically been required (see Annex</w:t>
      </w:r>
      <w:r w:rsidR="000C48DE">
        <w:rPr>
          <w:rFonts w:eastAsia="Times New Roman"/>
        </w:rPr>
        <w:t xml:space="preserve"> 5</w:t>
      </w:r>
      <w:r w:rsidRPr="008842C4">
        <w:rPr>
          <w:rFonts w:eastAsia="Times New Roman"/>
        </w:rPr>
        <w:t>)</w:t>
      </w:r>
      <w:r w:rsidRPr="008842C4">
        <w:rPr>
          <w:rFonts w:eastAsia="Palatino Linotype"/>
          <w:color w:val="353332"/>
          <w:vertAlign w:val="superscript"/>
        </w:rPr>
        <w:footnoteReference w:id="225"/>
      </w:r>
      <w:r w:rsidR="468E94A1" w:rsidRPr="008842C4">
        <w:rPr>
          <w:rFonts w:eastAsia="Palatino Linotype"/>
          <w:color w:val="353332"/>
        </w:rPr>
        <w:t>.</w:t>
      </w:r>
      <w:r w:rsidR="43A6F574" w:rsidRPr="00370BE8">
        <w:rPr>
          <w:rFonts w:eastAsia="Palatino Linotype"/>
          <w:color w:val="353332"/>
        </w:rPr>
        <w:t xml:space="preserve"> </w:t>
      </w:r>
    </w:p>
    <w:p w14:paraId="2B515CE5" w14:textId="097988A0" w:rsidR="002914C6" w:rsidRDefault="1BA2DDF0" w:rsidP="00443C31">
      <w:pPr>
        <w:rPr>
          <w:rFonts w:eastAsia="Times New Roman"/>
        </w:rPr>
      </w:pPr>
      <w:r w:rsidRPr="05EC79B0">
        <w:rPr>
          <w:rFonts w:eastAsia="Times New Roman"/>
        </w:rPr>
        <w:t xml:space="preserve">On this basis, </w:t>
      </w:r>
      <w:r w:rsidRPr="00443C31">
        <w:rPr>
          <w:rFonts w:eastAsia="Times New Roman"/>
          <w:b/>
        </w:rPr>
        <w:t>three scenarios</w:t>
      </w:r>
      <w:r w:rsidRPr="05EC79B0">
        <w:rPr>
          <w:rFonts w:eastAsia="Times New Roman"/>
        </w:rPr>
        <w:t xml:space="preserve"> are considered regarding the uptake of a tailored development approach including CES waivers</w:t>
      </w:r>
      <w:r w:rsidR="00C1361B" w:rsidRPr="7EACB7DF">
        <w:rPr>
          <w:rFonts w:eastAsia="Times New Roman"/>
        </w:rPr>
        <w:t>.</w:t>
      </w:r>
      <w:r w:rsidR="002914C6" w:rsidRPr="7EACB7DF">
        <w:rPr>
          <w:rFonts w:eastAsia="Times New Roman"/>
        </w:rPr>
        <w:t xml:space="preserve"> </w:t>
      </w:r>
    </w:p>
    <w:p w14:paraId="5E5E316B" w14:textId="6D87539B" w:rsidR="1BA2DDF0" w:rsidRDefault="00C1361B" w:rsidP="00443C31">
      <w:pPr>
        <w:rPr>
          <w:rFonts w:eastAsia="Times New Roman"/>
        </w:rPr>
      </w:pPr>
      <w:r>
        <w:rPr>
          <w:rFonts w:eastAsia="Times New Roman"/>
        </w:rPr>
        <w:t>A</w:t>
      </w:r>
      <w:r w:rsidR="1BA2DDF0" w:rsidRPr="05EC79B0">
        <w:rPr>
          <w:rFonts w:eastAsia="Times New Roman"/>
        </w:rPr>
        <w:t xml:space="preserve">n estimated CES cost of EUR </w:t>
      </w:r>
      <w:r w:rsidR="1BA2DDF0" w:rsidRPr="00514904">
        <w:rPr>
          <w:rFonts w:eastAsia="Times New Roman"/>
          <w:b/>
        </w:rPr>
        <w:t>19–26 million</w:t>
      </w:r>
      <w:r w:rsidR="1BA2DDF0" w:rsidRPr="05EC79B0">
        <w:rPr>
          <w:rFonts w:eastAsia="Times New Roman"/>
        </w:rPr>
        <w:t xml:space="preserve"> per product for monoclonal antibody and fusion protein biosimilars</w:t>
      </w:r>
      <w:r w:rsidR="0097672B">
        <w:rPr>
          <w:rFonts w:eastAsia="Times New Roman"/>
        </w:rPr>
        <w:t xml:space="preserve"> is used to estimate</w:t>
      </w:r>
      <w:r w:rsidR="1BA2DDF0" w:rsidRPr="05EC79B0">
        <w:rPr>
          <w:rFonts w:eastAsia="Times New Roman"/>
        </w:rPr>
        <w:t xml:space="preserve"> the </w:t>
      </w:r>
      <w:r w:rsidR="1BA2DDF0" w:rsidRPr="05EC79B0">
        <w:rPr>
          <w:rFonts w:eastAsia="Times New Roman"/>
          <w:b/>
        </w:rPr>
        <w:t>gross annual cost savings</w:t>
      </w:r>
      <w:r w:rsidR="1BA2DDF0" w:rsidRPr="05EC79B0">
        <w:rPr>
          <w:rFonts w:eastAsia="Times New Roman"/>
        </w:rPr>
        <w:t xml:space="preserve"> for industry</w:t>
      </w:r>
      <w:r w:rsidR="0097672B">
        <w:rPr>
          <w:rFonts w:eastAsia="Times New Roman"/>
        </w:rPr>
        <w:t>.</w:t>
      </w:r>
    </w:p>
    <w:p w14:paraId="7AC8D215" w14:textId="7261F49C" w:rsidR="0097672B" w:rsidRPr="00443C31" w:rsidRDefault="1BA2DDF0" w:rsidP="00443C31">
      <w:pPr>
        <w:rPr>
          <w:rFonts w:eastAsia="Times New Roman"/>
        </w:rPr>
      </w:pPr>
      <w:r w:rsidRPr="05EC79B0">
        <w:rPr>
          <w:rFonts w:eastAsia="Times New Roman"/>
        </w:rPr>
        <w:t>Residual clinical requirements are expected to persist. Comparative PK</w:t>
      </w:r>
      <w:r w:rsidR="5810647D" w:rsidRPr="6C8C6B11">
        <w:rPr>
          <w:rFonts w:eastAsia="Times New Roman"/>
        </w:rPr>
        <w:t>/PD</w:t>
      </w:r>
      <w:r w:rsidRPr="05EC79B0">
        <w:rPr>
          <w:rFonts w:eastAsia="Times New Roman"/>
        </w:rPr>
        <w:t xml:space="preserve"> studies (estimated at EUR 5.7–7.8 million per product) will remain necessary for all biosimilars, and immunogenicity assessment will continue to be required, particularly for antibody-based products. Accounting for these residual costs, </w:t>
      </w:r>
      <w:r w:rsidRPr="00443C31">
        <w:rPr>
          <w:rFonts w:eastAsia="Times New Roman"/>
          <w:b/>
        </w:rPr>
        <w:t xml:space="preserve">total net savings </w:t>
      </w:r>
      <w:r w:rsidRPr="05EC79B0">
        <w:rPr>
          <w:rFonts w:eastAsia="Times New Roman"/>
        </w:rPr>
        <w:t>are assumed to be reduced by approximately 30</w:t>
      </w:r>
      <w:r w:rsidR="00405618">
        <w:rPr>
          <w:rFonts w:eastAsia="Times New Roman"/>
        </w:rPr>
        <w:t>%</w:t>
      </w:r>
      <w:r w:rsidR="00760B88">
        <w:rPr>
          <w:rStyle w:val="FootnoteReference"/>
          <w:rFonts w:eastAsia="Times New Roman"/>
        </w:rPr>
        <w:footnoteReference w:id="226"/>
      </w:r>
      <w:r w:rsidRPr="05EC79B0">
        <w:rPr>
          <w:rFonts w:eastAsia="Times New Roman"/>
        </w:rPr>
        <w:t xml:space="preserve">. </w:t>
      </w:r>
    </w:p>
    <w:p w14:paraId="6DC86C61" w14:textId="728AF9F4" w:rsidR="4875E76F" w:rsidRDefault="4875E76F" w:rsidP="00443C31">
      <w:pPr>
        <w:rPr>
          <w:rFonts w:eastAsia="Times New Roman"/>
        </w:rPr>
      </w:pPr>
      <w:r w:rsidRPr="10487184">
        <w:rPr>
          <w:rFonts w:eastAsia="Times New Roman"/>
          <w:b/>
        </w:rPr>
        <w:t>In the near term (2025–2030),</w:t>
      </w:r>
      <w:r w:rsidRPr="10487184">
        <w:rPr>
          <w:rFonts w:eastAsia="Times New Roman"/>
        </w:rPr>
        <w:t xml:space="preserve"> </w:t>
      </w:r>
      <w:r w:rsidR="54A55ED6" w:rsidRPr="2BEE4BFA">
        <w:rPr>
          <w:rFonts w:eastAsia="Times New Roman"/>
        </w:rPr>
        <w:t>a</w:t>
      </w:r>
      <w:r w:rsidRPr="2BEE4BFA">
        <w:rPr>
          <w:rFonts w:eastAsia="Times New Roman"/>
        </w:rPr>
        <w:t>ssuming</w:t>
      </w:r>
      <w:r w:rsidRPr="15EF98B2">
        <w:rPr>
          <w:rFonts w:eastAsia="Times New Roman"/>
        </w:rPr>
        <w:t xml:space="preserve"> 25–45 biosimilar marketing authorisation applications (MAAs) per year, with approximately 90</w:t>
      </w:r>
      <w:r w:rsidR="00405618">
        <w:rPr>
          <w:rFonts w:eastAsia="Times New Roman"/>
        </w:rPr>
        <w:t>%</w:t>
      </w:r>
      <w:r w:rsidRPr="15EF98B2">
        <w:rPr>
          <w:rFonts w:eastAsia="Times New Roman"/>
        </w:rPr>
        <w:t xml:space="preserve"> relating to monoclonal antibodies and fusion proteins, and that 50–75</w:t>
      </w:r>
      <w:r w:rsidR="00405618">
        <w:rPr>
          <w:rFonts w:eastAsia="Times New Roman"/>
        </w:rPr>
        <w:t>%</w:t>
      </w:r>
      <w:r w:rsidRPr="15EF98B2">
        <w:rPr>
          <w:rFonts w:eastAsia="Times New Roman"/>
        </w:rPr>
        <w:t xml:space="preserve"> of these would benefit from a tailored development approach including a CES waiver, the </w:t>
      </w:r>
      <w:r w:rsidRPr="15EF98B2">
        <w:rPr>
          <w:rFonts w:eastAsia="Times New Roman"/>
          <w:b/>
        </w:rPr>
        <w:t>gross annual cost savings</w:t>
      </w:r>
      <w:r w:rsidRPr="15EF98B2">
        <w:rPr>
          <w:rFonts w:eastAsia="Times New Roman"/>
        </w:rPr>
        <w:t xml:space="preserve"> for industry are estimated at EUR </w:t>
      </w:r>
      <w:r w:rsidRPr="0B6DB81B">
        <w:rPr>
          <w:rFonts w:eastAsia="Times New Roman"/>
        </w:rPr>
        <w:t>2</w:t>
      </w:r>
      <w:r w:rsidR="00299938" w:rsidRPr="0B6DB81B">
        <w:rPr>
          <w:rFonts w:eastAsia="Times New Roman"/>
        </w:rPr>
        <w:t>14</w:t>
      </w:r>
      <w:r w:rsidRPr="15EF98B2">
        <w:rPr>
          <w:rFonts w:eastAsia="Times New Roman"/>
        </w:rPr>
        <w:t>–790 million.</w:t>
      </w:r>
    </w:p>
    <w:p w14:paraId="442EB239" w14:textId="0B72E74E" w:rsidR="4875E76F" w:rsidRDefault="4875E76F" w:rsidP="00443C31">
      <w:pPr>
        <w:rPr>
          <w:rFonts w:eastAsia="Times New Roman"/>
        </w:rPr>
      </w:pPr>
      <w:r w:rsidRPr="15EF98B2">
        <w:rPr>
          <w:rFonts w:eastAsia="Times New Roman"/>
        </w:rPr>
        <w:t xml:space="preserve">After accounting for residual clinical development requirements—primarily </w:t>
      </w:r>
      <w:r w:rsidRPr="089FB97E">
        <w:rPr>
          <w:rFonts w:eastAsia="Times New Roman"/>
        </w:rPr>
        <w:t>comparative</w:t>
      </w:r>
      <w:r w:rsidR="009745E1">
        <w:rPr>
          <w:rFonts w:eastAsia="Times New Roman"/>
        </w:rPr>
        <w:t xml:space="preserve"> </w:t>
      </w:r>
      <w:r w:rsidRPr="089FB97E">
        <w:rPr>
          <w:rFonts w:eastAsia="Times New Roman"/>
        </w:rPr>
        <w:t>PK</w:t>
      </w:r>
      <w:r w:rsidR="3E61AA42" w:rsidRPr="66F6972D">
        <w:rPr>
          <w:rFonts w:eastAsia="Times New Roman"/>
        </w:rPr>
        <w:t>/PD</w:t>
      </w:r>
      <w:r w:rsidRPr="15EF98B2">
        <w:rPr>
          <w:rFonts w:eastAsia="Times New Roman"/>
        </w:rPr>
        <w:t xml:space="preserve"> studies and immunogenicity assessments </w:t>
      </w:r>
      <w:r w:rsidRPr="15EF98B2">
        <w:rPr>
          <w:rFonts w:eastAsia="Times New Roman"/>
          <w:b/>
        </w:rPr>
        <w:t>net annual savings</w:t>
      </w:r>
      <w:r w:rsidRPr="15EF98B2">
        <w:rPr>
          <w:rFonts w:eastAsia="Times New Roman"/>
        </w:rPr>
        <w:t xml:space="preserve"> </w:t>
      </w:r>
      <w:r w:rsidR="26E388D8" w:rsidRPr="263E56FA">
        <w:rPr>
          <w:rFonts w:eastAsia="Times New Roman"/>
        </w:rPr>
        <w:t xml:space="preserve">are expected </w:t>
      </w:r>
      <w:r w:rsidRPr="15EF98B2">
        <w:rPr>
          <w:rFonts w:eastAsia="Times New Roman"/>
        </w:rPr>
        <w:t xml:space="preserve">in the range of EUR </w:t>
      </w:r>
      <w:r w:rsidRPr="6552F028">
        <w:rPr>
          <w:rFonts w:eastAsia="Times New Roman"/>
        </w:rPr>
        <w:t>1</w:t>
      </w:r>
      <w:r w:rsidR="49A060A3" w:rsidRPr="6552F028">
        <w:rPr>
          <w:rFonts w:eastAsia="Times New Roman"/>
        </w:rPr>
        <w:t>50</w:t>
      </w:r>
      <w:r w:rsidRPr="15EF98B2">
        <w:rPr>
          <w:rFonts w:eastAsia="Times New Roman"/>
        </w:rPr>
        <w:t>–552 million.</w:t>
      </w:r>
    </w:p>
    <w:p w14:paraId="746513EC" w14:textId="7F3EF23A" w:rsidR="00D73DAA" w:rsidRDefault="4875E76F">
      <w:pPr>
        <w:rPr>
          <w:rFonts w:eastAsia="Times New Roman"/>
        </w:rPr>
      </w:pPr>
      <w:r w:rsidRPr="15EF98B2">
        <w:rPr>
          <w:rFonts w:eastAsia="Times New Roman"/>
        </w:rPr>
        <w:t xml:space="preserve">Over the </w:t>
      </w:r>
      <w:r w:rsidRPr="00443C31">
        <w:rPr>
          <w:b/>
          <w:bCs/>
        </w:rPr>
        <w:t>five-year period</w:t>
      </w:r>
      <w:r w:rsidR="6BBAEF21" w:rsidRPr="42CB473F">
        <w:rPr>
          <w:b/>
          <w:bCs/>
        </w:rPr>
        <w:t xml:space="preserve"> (2025-2030)</w:t>
      </w:r>
      <w:r w:rsidRPr="00443C31">
        <w:rPr>
          <w:b/>
          <w:bCs/>
        </w:rPr>
        <w:t>, cumulative net savings</w:t>
      </w:r>
      <w:r w:rsidRPr="15EF98B2">
        <w:rPr>
          <w:rFonts w:eastAsia="Times New Roman"/>
        </w:rPr>
        <w:t xml:space="preserve"> are therefore estimated at:</w:t>
      </w:r>
    </w:p>
    <w:tbl>
      <w:tblPr>
        <w:tblStyle w:val="TableGrid"/>
        <w:tblW w:w="8615" w:type="dxa"/>
        <w:tblLook w:val="04A0" w:firstRow="1" w:lastRow="0" w:firstColumn="1" w:lastColumn="0" w:noHBand="0" w:noVBand="1"/>
      </w:tblPr>
      <w:tblGrid>
        <w:gridCol w:w="1587"/>
        <w:gridCol w:w="1757"/>
        <w:gridCol w:w="1757"/>
        <w:gridCol w:w="1757"/>
        <w:gridCol w:w="1757"/>
      </w:tblGrid>
      <w:tr w:rsidR="002914C6" w:rsidRPr="002914C6" w14:paraId="16C84DFB" w14:textId="77777777" w:rsidTr="00443C31">
        <w:tc>
          <w:tcPr>
            <w:tcW w:w="1587" w:type="dxa"/>
          </w:tcPr>
          <w:p w14:paraId="02752AF2" w14:textId="77777777" w:rsidR="002914C6" w:rsidRPr="002914C6" w:rsidRDefault="002914C6">
            <w:pPr>
              <w:spacing w:after="0"/>
              <w:rPr>
                <w:b/>
                <w:bCs/>
                <w:sz w:val="20"/>
                <w:szCs w:val="20"/>
              </w:rPr>
            </w:pPr>
            <w:r w:rsidRPr="002914C6">
              <w:rPr>
                <w:b/>
                <w:bCs/>
                <w:sz w:val="20"/>
                <w:szCs w:val="20"/>
              </w:rPr>
              <w:t>Scenario</w:t>
            </w:r>
          </w:p>
        </w:tc>
        <w:tc>
          <w:tcPr>
            <w:tcW w:w="1757" w:type="dxa"/>
          </w:tcPr>
          <w:p w14:paraId="63FD4082" w14:textId="77777777" w:rsidR="002914C6" w:rsidRPr="002914C6" w:rsidRDefault="002914C6">
            <w:pPr>
              <w:spacing w:after="0"/>
              <w:rPr>
                <w:b/>
                <w:bCs/>
                <w:sz w:val="20"/>
                <w:szCs w:val="20"/>
              </w:rPr>
            </w:pPr>
            <w:r w:rsidRPr="002914C6">
              <w:rPr>
                <w:b/>
                <w:bCs/>
                <w:sz w:val="20"/>
                <w:szCs w:val="20"/>
              </w:rPr>
              <w:t>Uptake</w:t>
            </w:r>
          </w:p>
        </w:tc>
        <w:tc>
          <w:tcPr>
            <w:tcW w:w="1757" w:type="dxa"/>
          </w:tcPr>
          <w:p w14:paraId="05A096B8" w14:textId="77777777" w:rsidR="002914C6" w:rsidRPr="002914C6" w:rsidRDefault="002914C6">
            <w:pPr>
              <w:spacing w:after="0"/>
              <w:rPr>
                <w:sz w:val="20"/>
                <w:szCs w:val="20"/>
              </w:rPr>
            </w:pPr>
            <w:r w:rsidRPr="002914C6">
              <w:rPr>
                <w:b/>
                <w:sz w:val="20"/>
                <w:szCs w:val="20"/>
              </w:rPr>
              <w:t>Gross annual cost savings for industry</w:t>
            </w:r>
          </w:p>
        </w:tc>
        <w:tc>
          <w:tcPr>
            <w:tcW w:w="1757" w:type="dxa"/>
          </w:tcPr>
          <w:p w14:paraId="7CC2D301" w14:textId="0216F88B" w:rsidR="002914C6" w:rsidRPr="002914C6" w:rsidRDefault="002914C6">
            <w:pPr>
              <w:spacing w:after="0"/>
              <w:rPr>
                <w:sz w:val="20"/>
                <w:szCs w:val="20"/>
              </w:rPr>
            </w:pPr>
            <w:r w:rsidRPr="002914C6">
              <w:rPr>
                <w:b/>
                <w:bCs/>
                <w:sz w:val="20"/>
                <w:szCs w:val="20"/>
              </w:rPr>
              <w:t xml:space="preserve">Total net </w:t>
            </w:r>
            <w:r w:rsidR="43E6A5FD" w:rsidRPr="223FD819">
              <w:rPr>
                <w:b/>
                <w:bCs/>
                <w:sz w:val="20"/>
                <w:szCs w:val="20"/>
              </w:rPr>
              <w:t xml:space="preserve">annual </w:t>
            </w:r>
            <w:r w:rsidRPr="002914C6">
              <w:rPr>
                <w:b/>
                <w:bCs/>
                <w:sz w:val="20"/>
                <w:szCs w:val="20"/>
              </w:rPr>
              <w:t>savings</w:t>
            </w:r>
          </w:p>
        </w:tc>
        <w:tc>
          <w:tcPr>
            <w:tcW w:w="1757" w:type="dxa"/>
          </w:tcPr>
          <w:p w14:paraId="5925B61D" w14:textId="2CE1BCDE" w:rsidR="002914C6" w:rsidRPr="002914C6" w:rsidRDefault="002914C6">
            <w:pPr>
              <w:spacing w:after="0"/>
              <w:rPr>
                <w:b/>
                <w:bCs/>
                <w:sz w:val="20"/>
                <w:szCs w:val="20"/>
              </w:rPr>
            </w:pPr>
            <w:r w:rsidRPr="00443C31">
              <w:rPr>
                <w:b/>
                <w:sz w:val="20"/>
                <w:szCs w:val="20"/>
              </w:rPr>
              <w:t>Five-year period, cumulative net savings</w:t>
            </w:r>
          </w:p>
        </w:tc>
      </w:tr>
      <w:tr w:rsidR="002914C6" w:rsidRPr="002914C6" w14:paraId="05F8DCAF" w14:textId="77777777" w:rsidTr="00443C31">
        <w:tc>
          <w:tcPr>
            <w:tcW w:w="1587" w:type="dxa"/>
          </w:tcPr>
          <w:p w14:paraId="1D6448B0" w14:textId="678C7AEE" w:rsidR="002914C6" w:rsidRPr="002914C6" w:rsidRDefault="002914C6">
            <w:pPr>
              <w:spacing w:after="0"/>
              <w:rPr>
                <w:sz w:val="20"/>
                <w:szCs w:val="20"/>
              </w:rPr>
            </w:pPr>
            <w:r w:rsidRPr="002914C6">
              <w:rPr>
                <w:b/>
                <w:bCs/>
                <w:sz w:val="20"/>
                <w:szCs w:val="20"/>
              </w:rPr>
              <w:t>Low scenario (50</w:t>
            </w:r>
            <w:r w:rsidR="00405618">
              <w:rPr>
                <w:b/>
                <w:bCs/>
                <w:sz w:val="20"/>
                <w:szCs w:val="20"/>
              </w:rPr>
              <w:t>%</w:t>
            </w:r>
            <w:r w:rsidRPr="002914C6">
              <w:rPr>
                <w:b/>
                <w:bCs/>
                <w:sz w:val="20"/>
                <w:szCs w:val="20"/>
              </w:rPr>
              <w:t>)</w:t>
            </w:r>
          </w:p>
        </w:tc>
        <w:tc>
          <w:tcPr>
            <w:tcW w:w="1757" w:type="dxa"/>
          </w:tcPr>
          <w:p w14:paraId="2B454BC0" w14:textId="77777777" w:rsidR="002914C6" w:rsidRPr="002914C6" w:rsidRDefault="002914C6">
            <w:pPr>
              <w:spacing w:after="0"/>
              <w:rPr>
                <w:sz w:val="20"/>
                <w:szCs w:val="20"/>
              </w:rPr>
            </w:pPr>
            <w:r w:rsidRPr="002914C6">
              <w:rPr>
                <w:sz w:val="20"/>
                <w:szCs w:val="20"/>
              </w:rPr>
              <w:t>12 products per year transition to CES waivers</w:t>
            </w:r>
          </w:p>
        </w:tc>
        <w:tc>
          <w:tcPr>
            <w:tcW w:w="1757" w:type="dxa"/>
          </w:tcPr>
          <w:p w14:paraId="1C77C6FD" w14:textId="77777777" w:rsidR="002914C6" w:rsidRPr="002914C6" w:rsidRDefault="002914C6">
            <w:pPr>
              <w:spacing w:after="0"/>
              <w:rPr>
                <w:sz w:val="20"/>
                <w:szCs w:val="20"/>
              </w:rPr>
            </w:pPr>
            <w:r w:rsidRPr="002914C6">
              <w:rPr>
                <w:sz w:val="20"/>
                <w:szCs w:val="20"/>
              </w:rPr>
              <w:t>EUR 222–312 million</w:t>
            </w:r>
          </w:p>
        </w:tc>
        <w:tc>
          <w:tcPr>
            <w:tcW w:w="1757" w:type="dxa"/>
          </w:tcPr>
          <w:p w14:paraId="3A19A144" w14:textId="77777777" w:rsidR="002914C6" w:rsidRPr="002914C6" w:rsidRDefault="002914C6">
            <w:pPr>
              <w:spacing w:after="0"/>
              <w:rPr>
                <w:sz w:val="20"/>
                <w:szCs w:val="20"/>
              </w:rPr>
            </w:pPr>
            <w:r w:rsidRPr="002914C6">
              <w:rPr>
                <w:sz w:val="20"/>
                <w:szCs w:val="20"/>
              </w:rPr>
              <w:t>EUR 155–218 million</w:t>
            </w:r>
          </w:p>
        </w:tc>
        <w:tc>
          <w:tcPr>
            <w:tcW w:w="1757" w:type="dxa"/>
          </w:tcPr>
          <w:p w14:paraId="044C80E1" w14:textId="4709B716" w:rsidR="002914C6" w:rsidRPr="002914C6" w:rsidRDefault="002914C6">
            <w:pPr>
              <w:spacing w:after="0"/>
              <w:rPr>
                <w:sz w:val="20"/>
                <w:szCs w:val="20"/>
              </w:rPr>
            </w:pPr>
            <w:r w:rsidRPr="002914C6">
              <w:rPr>
                <w:sz w:val="20"/>
                <w:szCs w:val="20"/>
              </w:rPr>
              <w:t>EUR 0.75 billion</w:t>
            </w:r>
          </w:p>
        </w:tc>
      </w:tr>
      <w:tr w:rsidR="002914C6" w:rsidRPr="002914C6" w14:paraId="421812A7" w14:textId="77777777" w:rsidTr="00443C31">
        <w:tc>
          <w:tcPr>
            <w:tcW w:w="1587" w:type="dxa"/>
          </w:tcPr>
          <w:p w14:paraId="3736C7BE" w14:textId="1354EB6F" w:rsidR="002914C6" w:rsidRPr="002914C6" w:rsidRDefault="002914C6">
            <w:pPr>
              <w:spacing w:after="0"/>
              <w:rPr>
                <w:sz w:val="20"/>
                <w:szCs w:val="20"/>
              </w:rPr>
            </w:pPr>
            <w:r w:rsidRPr="002914C6">
              <w:rPr>
                <w:b/>
                <w:bCs/>
                <w:sz w:val="20"/>
                <w:szCs w:val="20"/>
              </w:rPr>
              <w:t>Central scenario (≈60–65</w:t>
            </w:r>
            <w:r w:rsidR="00405618">
              <w:rPr>
                <w:b/>
                <w:bCs/>
                <w:sz w:val="20"/>
                <w:szCs w:val="20"/>
              </w:rPr>
              <w:t>%</w:t>
            </w:r>
            <w:r w:rsidRPr="002914C6">
              <w:rPr>
                <w:b/>
                <w:bCs/>
                <w:sz w:val="20"/>
                <w:szCs w:val="20"/>
              </w:rPr>
              <w:t>)</w:t>
            </w:r>
          </w:p>
        </w:tc>
        <w:tc>
          <w:tcPr>
            <w:tcW w:w="1757" w:type="dxa"/>
          </w:tcPr>
          <w:p w14:paraId="4B999745" w14:textId="77777777" w:rsidR="002914C6" w:rsidRPr="002914C6" w:rsidRDefault="002914C6">
            <w:pPr>
              <w:spacing w:after="0"/>
              <w:rPr>
                <w:sz w:val="20"/>
                <w:szCs w:val="20"/>
              </w:rPr>
            </w:pPr>
            <w:r w:rsidRPr="002914C6">
              <w:rPr>
                <w:sz w:val="20"/>
                <w:szCs w:val="20"/>
              </w:rPr>
              <w:t>14–15 products per year</w:t>
            </w:r>
          </w:p>
        </w:tc>
        <w:tc>
          <w:tcPr>
            <w:tcW w:w="1757" w:type="dxa"/>
          </w:tcPr>
          <w:p w14:paraId="5E4D0456" w14:textId="77777777" w:rsidR="002914C6" w:rsidRPr="002914C6" w:rsidRDefault="002914C6">
            <w:pPr>
              <w:spacing w:after="0"/>
              <w:rPr>
                <w:sz w:val="20"/>
                <w:szCs w:val="20"/>
              </w:rPr>
            </w:pPr>
            <w:r w:rsidRPr="002914C6">
              <w:rPr>
                <w:sz w:val="20"/>
                <w:szCs w:val="20"/>
              </w:rPr>
              <w:t>EUR 266–390 million</w:t>
            </w:r>
          </w:p>
        </w:tc>
        <w:tc>
          <w:tcPr>
            <w:tcW w:w="1757" w:type="dxa"/>
          </w:tcPr>
          <w:p w14:paraId="4BAC4204" w14:textId="77777777" w:rsidR="002914C6" w:rsidRPr="002914C6" w:rsidRDefault="002914C6">
            <w:pPr>
              <w:spacing w:after="0"/>
              <w:rPr>
                <w:sz w:val="20"/>
                <w:szCs w:val="20"/>
              </w:rPr>
            </w:pPr>
            <w:r w:rsidRPr="002914C6">
              <w:rPr>
                <w:sz w:val="20"/>
                <w:szCs w:val="20"/>
              </w:rPr>
              <w:t xml:space="preserve">EUR 186–273 million </w:t>
            </w:r>
          </w:p>
        </w:tc>
        <w:tc>
          <w:tcPr>
            <w:tcW w:w="1757" w:type="dxa"/>
          </w:tcPr>
          <w:p w14:paraId="25058296" w14:textId="4094E84A" w:rsidR="002914C6" w:rsidRPr="00443C31" w:rsidRDefault="002914C6" w:rsidP="00443C31">
            <w:pPr>
              <w:rPr>
                <w:sz w:val="20"/>
                <w:szCs w:val="20"/>
              </w:rPr>
            </w:pPr>
            <w:r w:rsidRPr="00443C31">
              <w:rPr>
                <w:sz w:val="20"/>
                <w:szCs w:val="20"/>
              </w:rPr>
              <w:t>EUR</w:t>
            </w:r>
            <w:r w:rsidR="00101BBF">
              <w:rPr>
                <w:sz w:val="20"/>
                <w:szCs w:val="20"/>
              </w:rPr>
              <w:t xml:space="preserve"> </w:t>
            </w:r>
            <w:r w:rsidRPr="00443C31">
              <w:rPr>
                <w:sz w:val="20"/>
                <w:szCs w:val="20"/>
              </w:rPr>
              <w:t xml:space="preserve">1.5–1.8 billion </w:t>
            </w:r>
          </w:p>
          <w:p w14:paraId="2A6D6713" w14:textId="77777777" w:rsidR="002914C6" w:rsidRPr="002914C6" w:rsidRDefault="002914C6">
            <w:pPr>
              <w:spacing w:after="0"/>
              <w:rPr>
                <w:sz w:val="20"/>
                <w:szCs w:val="20"/>
              </w:rPr>
            </w:pPr>
          </w:p>
        </w:tc>
      </w:tr>
      <w:tr w:rsidR="002914C6" w:rsidRPr="002914C6" w14:paraId="0D4EB144" w14:textId="77777777" w:rsidTr="00443C31">
        <w:tc>
          <w:tcPr>
            <w:tcW w:w="1587" w:type="dxa"/>
          </w:tcPr>
          <w:p w14:paraId="309066D6" w14:textId="3BD8B52D" w:rsidR="002914C6" w:rsidRPr="002914C6" w:rsidRDefault="002914C6">
            <w:pPr>
              <w:spacing w:after="0"/>
              <w:rPr>
                <w:sz w:val="20"/>
                <w:szCs w:val="20"/>
              </w:rPr>
            </w:pPr>
            <w:r w:rsidRPr="002914C6">
              <w:rPr>
                <w:b/>
                <w:bCs/>
                <w:sz w:val="20"/>
                <w:szCs w:val="20"/>
              </w:rPr>
              <w:t>High scenario (75</w:t>
            </w:r>
            <w:r w:rsidR="00405618">
              <w:rPr>
                <w:b/>
                <w:bCs/>
                <w:sz w:val="20"/>
                <w:szCs w:val="20"/>
              </w:rPr>
              <w:t>%</w:t>
            </w:r>
            <w:r w:rsidRPr="002914C6">
              <w:rPr>
                <w:b/>
                <w:bCs/>
                <w:sz w:val="20"/>
                <w:szCs w:val="20"/>
              </w:rPr>
              <w:t>)</w:t>
            </w:r>
          </w:p>
        </w:tc>
        <w:tc>
          <w:tcPr>
            <w:tcW w:w="1757" w:type="dxa"/>
          </w:tcPr>
          <w:p w14:paraId="2EC5F53D" w14:textId="77777777" w:rsidR="002914C6" w:rsidRPr="002914C6" w:rsidRDefault="002914C6">
            <w:pPr>
              <w:spacing w:after="0"/>
              <w:rPr>
                <w:sz w:val="20"/>
                <w:szCs w:val="20"/>
              </w:rPr>
            </w:pPr>
            <w:r w:rsidRPr="002914C6">
              <w:rPr>
                <w:sz w:val="20"/>
                <w:szCs w:val="20"/>
              </w:rPr>
              <w:t>18 products per year</w:t>
            </w:r>
          </w:p>
        </w:tc>
        <w:tc>
          <w:tcPr>
            <w:tcW w:w="1757" w:type="dxa"/>
          </w:tcPr>
          <w:p w14:paraId="7B5DE24C" w14:textId="77777777" w:rsidR="002914C6" w:rsidRPr="002914C6" w:rsidRDefault="002914C6">
            <w:pPr>
              <w:spacing w:after="0"/>
              <w:rPr>
                <w:sz w:val="20"/>
                <w:szCs w:val="20"/>
              </w:rPr>
            </w:pPr>
            <w:r w:rsidRPr="002914C6">
              <w:rPr>
                <w:sz w:val="20"/>
                <w:szCs w:val="20"/>
              </w:rPr>
              <w:t>EUR 342–467 million</w:t>
            </w:r>
          </w:p>
        </w:tc>
        <w:tc>
          <w:tcPr>
            <w:tcW w:w="1757" w:type="dxa"/>
          </w:tcPr>
          <w:p w14:paraId="5BBF8634" w14:textId="77777777" w:rsidR="002914C6" w:rsidRPr="002914C6" w:rsidRDefault="002914C6">
            <w:pPr>
              <w:spacing w:after="0"/>
              <w:rPr>
                <w:sz w:val="20"/>
                <w:szCs w:val="20"/>
              </w:rPr>
            </w:pPr>
            <w:r w:rsidRPr="002914C6">
              <w:rPr>
                <w:sz w:val="20"/>
                <w:szCs w:val="20"/>
              </w:rPr>
              <w:t>EUR 239–326 million</w:t>
            </w:r>
          </w:p>
          <w:p w14:paraId="5D8C57D3" w14:textId="77777777" w:rsidR="002914C6" w:rsidRPr="002914C6" w:rsidRDefault="002914C6">
            <w:pPr>
              <w:spacing w:after="0"/>
              <w:rPr>
                <w:sz w:val="20"/>
                <w:szCs w:val="20"/>
              </w:rPr>
            </w:pPr>
          </w:p>
        </w:tc>
        <w:tc>
          <w:tcPr>
            <w:tcW w:w="1757" w:type="dxa"/>
          </w:tcPr>
          <w:p w14:paraId="6C1218CF" w14:textId="6EE84DD0" w:rsidR="002914C6" w:rsidRPr="002914C6" w:rsidRDefault="002914C6">
            <w:pPr>
              <w:spacing w:after="0"/>
              <w:rPr>
                <w:sz w:val="20"/>
                <w:szCs w:val="20"/>
              </w:rPr>
            </w:pPr>
            <w:r w:rsidRPr="00443C31">
              <w:rPr>
                <w:sz w:val="20"/>
                <w:szCs w:val="20"/>
              </w:rPr>
              <w:t>EUR 2.8 billion</w:t>
            </w:r>
          </w:p>
        </w:tc>
      </w:tr>
    </w:tbl>
    <w:p w14:paraId="645F4A08" w14:textId="3C626B12" w:rsidR="002914C6" w:rsidRDefault="002914C6" w:rsidP="00443C31">
      <w:pPr>
        <w:rPr>
          <w:rFonts w:eastAsia="Times New Roman"/>
        </w:rPr>
      </w:pPr>
    </w:p>
    <w:p w14:paraId="4FAA6B47" w14:textId="162E0E28" w:rsidR="4875E76F" w:rsidRDefault="4875E76F" w:rsidP="00443C31">
      <w:pPr>
        <w:rPr>
          <w:rFonts w:eastAsia="Times New Roman"/>
        </w:rPr>
      </w:pPr>
      <w:r w:rsidRPr="0B196888">
        <w:rPr>
          <w:rFonts w:eastAsia="Times New Roman"/>
        </w:rPr>
        <w:t xml:space="preserve">The projected annual range of 25–45 </w:t>
      </w:r>
      <w:r w:rsidR="006B5D58" w:rsidRPr="56E512F6">
        <w:rPr>
          <w:rFonts w:eastAsia="Times New Roman"/>
        </w:rPr>
        <w:t xml:space="preserve">marketing authorisation applications </w:t>
      </w:r>
      <w:r w:rsidR="006B5D58">
        <w:rPr>
          <w:rFonts w:eastAsia="Times New Roman"/>
        </w:rPr>
        <w:t>(</w:t>
      </w:r>
      <w:r w:rsidRPr="0B196888">
        <w:rPr>
          <w:rFonts w:eastAsia="Times New Roman"/>
        </w:rPr>
        <w:t>MAAs</w:t>
      </w:r>
      <w:r w:rsidR="006B5D58">
        <w:rPr>
          <w:rFonts w:eastAsia="Times New Roman"/>
        </w:rPr>
        <w:t>)</w:t>
      </w:r>
      <w:r w:rsidRPr="0B196888">
        <w:rPr>
          <w:rFonts w:eastAsia="Times New Roman"/>
        </w:rPr>
        <w:t xml:space="preserve"> reflects a normalisation following the exceptional peak observed in 2025, notably linked to denosumab-related applications. At the same time, projections remain constrained by the </w:t>
      </w:r>
      <w:r w:rsidR="00926977">
        <w:rPr>
          <w:rFonts w:eastAsia="Times New Roman"/>
        </w:rPr>
        <w:t>‘</w:t>
      </w:r>
      <w:r w:rsidRPr="0B196888">
        <w:rPr>
          <w:rFonts w:eastAsia="Times New Roman"/>
        </w:rPr>
        <w:t>biosimilar void</w:t>
      </w:r>
      <w:r w:rsidR="00926977">
        <w:rPr>
          <w:rFonts w:eastAsia="Times New Roman"/>
        </w:rPr>
        <w:t>’</w:t>
      </w:r>
      <w:r w:rsidR="280F2023" w:rsidRPr="0B196888">
        <w:rPr>
          <w:rFonts w:eastAsia="Times New Roman"/>
        </w:rPr>
        <w:t xml:space="preserve"> </w:t>
      </w:r>
      <w:r w:rsidRPr="1FB66770">
        <w:rPr>
          <w:rFonts w:eastAsia="Palatino Linotype"/>
          <w:color w:val="353332"/>
          <w:vertAlign w:val="superscript"/>
        </w:rPr>
        <w:footnoteReference w:id="227"/>
      </w:r>
      <w:r w:rsidR="14444019" w:rsidRPr="0B196888">
        <w:rPr>
          <w:rFonts w:eastAsia="Palatino Linotype"/>
          <w:color w:val="353332"/>
          <w:vertAlign w:val="superscript"/>
        </w:rPr>
        <w:t xml:space="preserve">, </w:t>
      </w:r>
      <w:r w:rsidRPr="1FB66770">
        <w:rPr>
          <w:rFonts w:eastAsia="Palatino Linotype"/>
          <w:color w:val="353332"/>
          <w:vertAlign w:val="superscript"/>
        </w:rPr>
        <w:footnoteReference w:id="228"/>
      </w:r>
      <w:r w:rsidR="14444019">
        <w:rPr>
          <w:rFonts w:eastAsia="Palatino Linotype"/>
          <w:color w:val="353332"/>
        </w:rPr>
        <w:t>.</w:t>
      </w:r>
    </w:p>
    <w:p w14:paraId="696A9E07" w14:textId="5E76734D" w:rsidR="4875E76F" w:rsidRDefault="14444019" w:rsidP="00443C31">
      <w:pPr>
        <w:rPr>
          <w:rFonts w:eastAsia="Times New Roman"/>
        </w:rPr>
      </w:pPr>
      <w:r w:rsidRPr="5CB584A9">
        <w:rPr>
          <w:rFonts w:eastAsia="Palatino Linotype"/>
          <w:color w:val="353332"/>
        </w:rPr>
        <w:t>The lower bound (25/year) assumes the void persists; the upper bound (45/year) assumes that the guidance (issued by 2027) begins attracting developers</w:t>
      </w:r>
      <w:r w:rsidR="00F82DB4">
        <w:rPr>
          <w:rFonts w:eastAsia="Palatino Linotype"/>
          <w:color w:val="353332"/>
        </w:rPr>
        <w:t>.</w:t>
      </w:r>
      <w:r w:rsidR="12806C7C" w:rsidRPr="15EF98B2">
        <w:rPr>
          <w:rFonts w:eastAsia="Times New Roman"/>
        </w:rPr>
        <w:t xml:space="preserve"> </w:t>
      </w:r>
      <w:r w:rsidR="4875E76F" w:rsidRPr="15EF98B2">
        <w:rPr>
          <w:rFonts w:eastAsia="Times New Roman"/>
        </w:rPr>
        <w:t>Under current conditions, it is estimated that only around 10</w:t>
      </w:r>
      <w:r w:rsidR="00405618">
        <w:rPr>
          <w:rFonts w:eastAsia="Times New Roman"/>
        </w:rPr>
        <w:t>%</w:t>
      </w:r>
      <w:r w:rsidR="4875E76F" w:rsidRPr="15EF98B2">
        <w:rPr>
          <w:rFonts w:eastAsia="Times New Roman"/>
        </w:rPr>
        <w:t xml:space="preserve"> of the approximately 100 biologics expected to lose exclusivity in the EU by 2032 will face biosimilar competition</w:t>
      </w:r>
      <w:r w:rsidRPr="00370BE8">
        <w:rPr>
          <w:rFonts w:eastAsia="Times New Roman"/>
          <w:vertAlign w:val="superscript"/>
        </w:rPr>
        <w:footnoteReference w:id="229"/>
      </w:r>
      <w:r w:rsidR="4875E76F" w:rsidRPr="15EF98B2">
        <w:rPr>
          <w:rFonts w:eastAsia="Times New Roman"/>
        </w:rPr>
        <w:t>.</w:t>
      </w:r>
    </w:p>
    <w:p w14:paraId="5B00E75A" w14:textId="4E89B34A" w:rsidR="15EF98B2" w:rsidRDefault="5A1FF8F3" w:rsidP="00443C31">
      <w:pPr>
        <w:rPr>
          <w:rFonts w:eastAsia="Times New Roman"/>
        </w:rPr>
      </w:pPr>
      <w:r w:rsidRPr="10487184">
        <w:rPr>
          <w:rFonts w:eastAsia="Times New Roman"/>
          <w:b/>
        </w:rPr>
        <w:t>In the medium term (2030–2038),</w:t>
      </w:r>
      <w:r w:rsidRPr="10487184">
        <w:rPr>
          <w:rFonts w:eastAsia="Times New Roman"/>
        </w:rPr>
        <w:t xml:space="preserve"> </w:t>
      </w:r>
      <w:r w:rsidR="2ECCBC0A" w:rsidRPr="28B55B99">
        <w:rPr>
          <w:rFonts w:eastAsia="Times New Roman"/>
        </w:rPr>
        <w:t>a</w:t>
      </w:r>
      <w:r w:rsidRPr="28B55B99">
        <w:rPr>
          <w:rFonts w:eastAsia="Times New Roman"/>
        </w:rPr>
        <w:t>ssuming</w:t>
      </w:r>
      <w:r w:rsidRPr="56E512F6">
        <w:rPr>
          <w:rFonts w:eastAsia="Times New Roman"/>
        </w:rPr>
        <w:t xml:space="preserve"> that the tailored approach to CES waivers is widely implemented, and that complementary investment support measures partially mitigate the </w:t>
      </w:r>
      <w:r w:rsidR="00564810">
        <w:rPr>
          <w:rFonts w:eastAsia="Times New Roman"/>
        </w:rPr>
        <w:t>‘</w:t>
      </w:r>
      <w:r w:rsidRPr="56E512F6">
        <w:rPr>
          <w:rFonts w:eastAsia="Times New Roman"/>
        </w:rPr>
        <w:t>biosimilar void</w:t>
      </w:r>
      <w:r w:rsidR="00564810">
        <w:rPr>
          <w:rFonts w:eastAsia="Times New Roman"/>
        </w:rPr>
        <w:t>’</w:t>
      </w:r>
      <w:r w:rsidRPr="56E512F6">
        <w:rPr>
          <w:rFonts w:eastAsia="Times New Roman"/>
        </w:rPr>
        <w:t>, it is projected that 35–55 biosimilar MAAs may be submitted annually. Of these, approximately 90</w:t>
      </w:r>
      <w:r w:rsidR="00405618">
        <w:rPr>
          <w:rFonts w:eastAsia="Times New Roman"/>
        </w:rPr>
        <w:t>%</w:t>
      </w:r>
      <w:r w:rsidRPr="56E512F6">
        <w:rPr>
          <w:rFonts w:eastAsia="Times New Roman"/>
        </w:rPr>
        <w:t xml:space="preserve"> are expected to concern monoclonal antibodies and fusion proteins, with 70–80</w:t>
      </w:r>
      <w:r w:rsidR="00405618">
        <w:rPr>
          <w:rFonts w:eastAsia="Times New Roman"/>
        </w:rPr>
        <w:t>%</w:t>
      </w:r>
      <w:r w:rsidRPr="56E512F6">
        <w:rPr>
          <w:rFonts w:eastAsia="Times New Roman"/>
        </w:rPr>
        <w:t xml:space="preserve"> benefiting from a tailored development approach including a CES waiver.</w:t>
      </w:r>
    </w:p>
    <w:p w14:paraId="229AF0F2" w14:textId="361D9D38" w:rsidR="15EF98B2" w:rsidRDefault="5A1FF8F3" w:rsidP="00443C31">
      <w:pPr>
        <w:rPr>
          <w:rFonts w:eastAsia="Times New Roman"/>
        </w:rPr>
      </w:pPr>
      <w:r w:rsidRPr="56E512F6">
        <w:rPr>
          <w:rFonts w:eastAsia="Times New Roman"/>
        </w:rPr>
        <w:t xml:space="preserve">On this basis, the </w:t>
      </w:r>
      <w:r w:rsidRPr="56E512F6">
        <w:rPr>
          <w:rFonts w:eastAsia="Times New Roman"/>
          <w:b/>
        </w:rPr>
        <w:t>gross annual cost savings</w:t>
      </w:r>
      <w:r w:rsidRPr="56E512F6">
        <w:rPr>
          <w:rFonts w:eastAsia="Times New Roman"/>
        </w:rPr>
        <w:t xml:space="preserve"> for industry are estimated at EUR 418</w:t>
      </w:r>
      <w:r w:rsidR="7D7651B7" w:rsidRPr="2AAD01A6">
        <w:rPr>
          <w:rFonts w:eastAsia="Times New Roman"/>
        </w:rPr>
        <w:t>-990</w:t>
      </w:r>
      <w:r w:rsidRPr="56E512F6">
        <w:rPr>
          <w:rFonts w:eastAsia="Times New Roman"/>
        </w:rPr>
        <w:t xml:space="preserve"> million</w:t>
      </w:r>
      <w:r w:rsidRPr="2AAD01A6">
        <w:rPr>
          <w:rFonts w:eastAsia="Times New Roman"/>
        </w:rPr>
        <w:t>.</w:t>
      </w:r>
      <w:r w:rsidRPr="56E512F6">
        <w:rPr>
          <w:rFonts w:eastAsia="Times New Roman"/>
        </w:rPr>
        <w:t xml:space="preserve"> </w:t>
      </w:r>
    </w:p>
    <w:p w14:paraId="0E651C09" w14:textId="1C7B1ED6" w:rsidR="15EF98B2" w:rsidRPr="00443C31" w:rsidRDefault="5A1FF8F3" w:rsidP="00443C31">
      <w:pPr>
        <w:rPr>
          <w:rFonts w:eastAsia="Times New Roman"/>
        </w:rPr>
      </w:pPr>
      <w:r w:rsidRPr="56E512F6">
        <w:rPr>
          <w:rFonts w:eastAsia="Times New Roman"/>
        </w:rPr>
        <w:t xml:space="preserve">After </w:t>
      </w:r>
      <w:r w:rsidRPr="00443C31">
        <w:rPr>
          <w:rFonts w:eastAsia="Times New Roman"/>
        </w:rPr>
        <w:t xml:space="preserve">accounting for residual clinical development requirements </w:t>
      </w:r>
      <w:r w:rsidRPr="00443C31">
        <w:rPr>
          <w:rFonts w:eastAsia="Times New Roman"/>
          <w:b/>
        </w:rPr>
        <w:t>net annual savings</w:t>
      </w:r>
      <w:r w:rsidRPr="00443C31">
        <w:rPr>
          <w:rFonts w:eastAsia="Times New Roman"/>
        </w:rPr>
        <w:t xml:space="preserve"> </w:t>
      </w:r>
      <w:r w:rsidR="4565AA34" w:rsidRPr="00443C31">
        <w:rPr>
          <w:rFonts w:eastAsia="Times New Roman"/>
        </w:rPr>
        <w:t xml:space="preserve">are expected </w:t>
      </w:r>
      <w:r w:rsidRPr="00443C31">
        <w:rPr>
          <w:rFonts w:eastAsia="Times New Roman"/>
        </w:rPr>
        <w:t>in the range of EUR 29</w:t>
      </w:r>
      <w:r w:rsidR="0E1963EC" w:rsidRPr="00443C31">
        <w:rPr>
          <w:rFonts w:eastAsia="Times New Roman"/>
        </w:rPr>
        <w:t>3</w:t>
      </w:r>
      <w:r w:rsidRPr="00443C31">
        <w:rPr>
          <w:rFonts w:eastAsia="Times New Roman"/>
        </w:rPr>
        <w:t>–700 million.</w:t>
      </w:r>
    </w:p>
    <w:p w14:paraId="0408A435" w14:textId="24845539" w:rsidR="15EF98B2" w:rsidRPr="00443C31" w:rsidRDefault="5A1FF8F3" w:rsidP="00443C31">
      <w:pPr>
        <w:rPr>
          <w:rFonts w:eastAsia="Times New Roman"/>
        </w:rPr>
      </w:pPr>
      <w:r w:rsidRPr="00443C31">
        <w:rPr>
          <w:rFonts w:eastAsia="Times New Roman"/>
        </w:rPr>
        <w:t xml:space="preserve">Over a five-year period within this timeframe, cumulative </w:t>
      </w:r>
      <w:r w:rsidRPr="00443C31">
        <w:rPr>
          <w:rFonts w:eastAsia="Times New Roman"/>
          <w:b/>
        </w:rPr>
        <w:t>net savings</w:t>
      </w:r>
      <w:r w:rsidRPr="00443C31">
        <w:rPr>
          <w:rFonts w:eastAsia="Times New Roman"/>
        </w:rPr>
        <w:t xml:space="preserve"> are therefore estimated at:</w:t>
      </w:r>
    </w:p>
    <w:p w14:paraId="299BFD98" w14:textId="7FD4A929" w:rsidR="15EF98B2" w:rsidRPr="00443C31" w:rsidRDefault="5A1FF8F3" w:rsidP="00430713">
      <w:pPr>
        <w:pStyle w:val="ListParagraph"/>
        <w:numPr>
          <w:ilvl w:val="0"/>
          <w:numId w:val="18"/>
        </w:numPr>
        <w:rPr>
          <w:rFonts w:eastAsia="Times New Roman"/>
        </w:rPr>
      </w:pPr>
      <w:r w:rsidRPr="00443C31">
        <w:rPr>
          <w:rFonts w:eastAsia="Times New Roman"/>
          <w:b/>
        </w:rPr>
        <w:t>Low scenario</w:t>
      </w:r>
      <w:r w:rsidRPr="00443C31">
        <w:rPr>
          <w:rFonts w:eastAsia="Times New Roman"/>
        </w:rPr>
        <w:t xml:space="preserve">: EUR 1.5 billion </w:t>
      </w:r>
    </w:p>
    <w:p w14:paraId="34DE44D5" w14:textId="216B41A8" w:rsidR="15EF98B2" w:rsidRPr="00443C31" w:rsidRDefault="5A1FF8F3" w:rsidP="00430713">
      <w:pPr>
        <w:pStyle w:val="ListParagraph"/>
        <w:numPr>
          <w:ilvl w:val="0"/>
          <w:numId w:val="18"/>
        </w:numPr>
        <w:rPr>
          <w:rFonts w:eastAsia="Times New Roman"/>
        </w:rPr>
      </w:pPr>
      <w:r w:rsidRPr="00443C31">
        <w:rPr>
          <w:rFonts w:eastAsia="Times New Roman"/>
          <w:b/>
        </w:rPr>
        <w:t>Central scenario</w:t>
      </w:r>
      <w:r w:rsidRPr="00443C31">
        <w:rPr>
          <w:rFonts w:eastAsia="Times New Roman"/>
        </w:rPr>
        <w:t xml:space="preserve">: EUR 2.3–2.8 billion </w:t>
      </w:r>
    </w:p>
    <w:p w14:paraId="364D3D8A" w14:textId="7954C90D" w:rsidR="15EF98B2" w:rsidRPr="00443C31" w:rsidRDefault="5A1FF8F3" w:rsidP="00430713">
      <w:pPr>
        <w:pStyle w:val="ListParagraph"/>
        <w:numPr>
          <w:ilvl w:val="0"/>
          <w:numId w:val="18"/>
        </w:numPr>
        <w:rPr>
          <w:rFonts w:eastAsia="Times New Roman"/>
        </w:rPr>
      </w:pPr>
      <w:r w:rsidRPr="00443C31">
        <w:rPr>
          <w:rFonts w:eastAsia="Times New Roman"/>
          <w:b/>
        </w:rPr>
        <w:t>High scenario</w:t>
      </w:r>
      <w:r w:rsidRPr="00443C31">
        <w:rPr>
          <w:rFonts w:eastAsia="Times New Roman"/>
        </w:rPr>
        <w:t xml:space="preserve">: EUR 3.5 billion </w:t>
      </w:r>
    </w:p>
    <w:p w14:paraId="64CF384C" w14:textId="3F3BF080" w:rsidR="15EF98B2" w:rsidRDefault="5A1FF8F3" w:rsidP="00443C31">
      <w:pPr>
        <w:rPr>
          <w:rFonts w:eastAsia="Times New Roman"/>
        </w:rPr>
      </w:pPr>
      <w:r w:rsidRPr="56E512F6">
        <w:rPr>
          <w:rFonts w:eastAsia="Times New Roman"/>
        </w:rPr>
        <w:t>These projections reflect a scenario in which reduced development costs, increased regulatory predictability, and targeted policy support measures contribute to higher biosimilar uptake and increased market entry. As such, the economic impact of CES waivers is expected to be significantly amplified compared to the near-term period.</w:t>
      </w:r>
    </w:p>
    <w:p w14:paraId="754DB2C5" w14:textId="4C2AC3A5" w:rsidR="15EF98B2" w:rsidRDefault="5A1FF8F3" w:rsidP="00443C31">
      <w:pPr>
        <w:rPr>
          <w:rFonts w:eastAsia="Times New Roman"/>
        </w:rPr>
      </w:pPr>
      <w:r w:rsidRPr="56E512F6">
        <w:rPr>
          <w:rFonts w:eastAsia="Times New Roman"/>
        </w:rPr>
        <w:t>Overall, the medium-term scenario suggests that the full implementation of a tailored, risk-based regulatory approach could generate substantial and sustained cost efficiencies for industry, while supporting improved competition and access to biological medicines in the Union.</w:t>
      </w:r>
    </w:p>
    <w:p w14:paraId="6D30616E" w14:textId="62CD5984" w:rsidR="43A6F574" w:rsidRPr="00514904" w:rsidRDefault="0C3C050E" w:rsidP="00443C31">
      <w:pPr>
        <w:rPr>
          <w:rFonts w:eastAsia="Times New Roman"/>
        </w:rPr>
      </w:pPr>
      <w:r w:rsidRPr="008842C4">
        <w:rPr>
          <w:rFonts w:eastAsia="Times New Roman"/>
        </w:rPr>
        <w:t xml:space="preserve">According to the </w:t>
      </w:r>
      <w:r w:rsidR="006A2E02" w:rsidRPr="006A2E02">
        <w:rPr>
          <w:rFonts w:eastAsia="Times New Roman"/>
        </w:rPr>
        <w:t>Biosimilar Medicines Group</w:t>
      </w:r>
      <w:r w:rsidR="006A2E02">
        <w:rPr>
          <w:rStyle w:val="FootnoteReference"/>
          <w:rFonts w:eastAsia="Times New Roman"/>
        </w:rPr>
        <w:footnoteReference w:id="230"/>
      </w:r>
      <w:r w:rsidR="006A2E02">
        <w:rPr>
          <w:rFonts w:eastAsia="Times New Roman"/>
        </w:rPr>
        <w:t>, a sector group of the</w:t>
      </w:r>
      <w:r w:rsidR="006A2E02" w:rsidRPr="006A2E02">
        <w:rPr>
          <w:rFonts w:eastAsia="Times New Roman"/>
        </w:rPr>
        <w:t xml:space="preserve"> </w:t>
      </w:r>
      <w:r w:rsidRPr="008842C4">
        <w:rPr>
          <w:rFonts w:eastAsia="Times New Roman"/>
        </w:rPr>
        <w:t>Medicines for Europe</w:t>
      </w:r>
      <w:r w:rsidR="007211EE">
        <w:rPr>
          <w:rFonts w:eastAsia="Times New Roman"/>
        </w:rPr>
        <w:t xml:space="preserve"> </w:t>
      </w:r>
      <w:r w:rsidR="006A2E02">
        <w:rPr>
          <w:rFonts w:eastAsia="Times New Roman"/>
        </w:rPr>
        <w:t>organisation</w:t>
      </w:r>
      <w:r w:rsidRPr="008842C4">
        <w:rPr>
          <w:rFonts w:eastAsia="Times New Roman"/>
        </w:rPr>
        <w:t>, under the current framework, the sector’s contribution to European clinical trials for biosimilar candidates amounts to EUR 4.9 billion over five years, with approximately 71</w:t>
      </w:r>
      <w:r w:rsidR="00405618">
        <w:rPr>
          <w:rFonts w:eastAsia="Times New Roman"/>
        </w:rPr>
        <w:t>%</w:t>
      </w:r>
      <w:r w:rsidRPr="008842C4">
        <w:rPr>
          <w:rFonts w:eastAsia="Times New Roman"/>
        </w:rPr>
        <w:t xml:space="preserve"> allocated to CES. The implementation of CES waivers could free an estimated </w:t>
      </w:r>
      <w:r w:rsidRPr="008842C4">
        <w:rPr>
          <w:rFonts w:eastAsia="Times New Roman"/>
          <w:b/>
        </w:rPr>
        <w:t xml:space="preserve">EUR 3 billion over five years </w:t>
      </w:r>
      <w:r w:rsidRPr="008842C4">
        <w:rPr>
          <w:rFonts w:eastAsia="Times New Roman"/>
        </w:rPr>
        <w:t>in clinical spending. These resources could be reallocated to European research and development and manufacturing, including the development of next-generation biosimilar medicines, new technological platforms (e.g., antibody-drug conjugates, cell and gene therapies), and modernisation of manufacturing operations</w:t>
      </w:r>
      <w:r w:rsidR="00923178">
        <w:rPr>
          <w:rFonts w:eastAsia="Times New Roman"/>
        </w:rPr>
        <w:t>).</w:t>
      </w:r>
      <w:r w:rsidRPr="008842C4">
        <w:rPr>
          <w:rFonts w:eastAsia="Times New Roman"/>
          <w:vertAlign w:val="superscript"/>
        </w:rPr>
        <w:footnoteReference w:id="231"/>
      </w:r>
    </w:p>
    <w:p w14:paraId="62512DFC" w14:textId="7AEFFE6E" w:rsidR="39239CE9" w:rsidRPr="00423788" w:rsidRDefault="39239CE9" w:rsidP="00443C31">
      <w:pPr>
        <w:rPr>
          <w:rFonts w:eastAsia="Times New Roman"/>
        </w:rPr>
      </w:pPr>
      <w:r w:rsidRPr="00514904">
        <w:rPr>
          <w:rFonts w:eastAsia="Palatino Linotype"/>
        </w:rPr>
        <w:t>While the cost impact of biosimilars has been evaluated, the potential time savings are expected to be limited, as many development streams run in parallel rather than sequentially. A CES waiver would accelerate one stream, while the remaining streams continue to constrain the overall development timeline. However, shorter development pipelines would allow developers to start later, once the originator’s market trajectory—including geographic penetration, therapeutic positioning and real-world outcomes—is clearer, thereby reducing commercial risk without affecting the ultimate timing of market entry</w:t>
      </w:r>
      <w:r w:rsidRPr="00514904">
        <w:rPr>
          <w:rFonts w:eastAsiaTheme="minorEastAsia"/>
        </w:rPr>
        <w:t>.</w:t>
      </w:r>
    </w:p>
    <w:p w14:paraId="53FD2EAA" w14:textId="00E5D464" w:rsidR="43E0CBA7" w:rsidRPr="00423788" w:rsidRDefault="00564810" w:rsidP="00443C31">
      <w:pPr>
        <w:rPr>
          <w:rFonts w:eastAsiaTheme="minorEastAsia"/>
        </w:rPr>
      </w:pPr>
      <w:r w:rsidRPr="00443C31">
        <w:rPr>
          <w:rFonts w:eastAsiaTheme="minorEastAsia"/>
          <w:b/>
          <w:bCs/>
        </w:rPr>
        <w:t>A</w:t>
      </w:r>
      <w:r w:rsidR="39239CE9" w:rsidRPr="00514904">
        <w:rPr>
          <w:rFonts w:eastAsiaTheme="minorEastAsia"/>
          <w:b/>
        </w:rPr>
        <w:t>dministrative burden</w:t>
      </w:r>
      <w:r>
        <w:rPr>
          <w:rFonts w:eastAsiaTheme="minorEastAsia"/>
          <w:b/>
        </w:rPr>
        <w:t xml:space="preserve">: </w:t>
      </w:r>
      <w:r>
        <w:rPr>
          <w:rFonts w:eastAsiaTheme="minorEastAsia"/>
        </w:rPr>
        <w:t>T</w:t>
      </w:r>
      <w:r w:rsidR="562DC0C2" w:rsidRPr="00423788">
        <w:rPr>
          <w:rFonts w:eastAsiaTheme="minorEastAsia"/>
        </w:rPr>
        <w:t xml:space="preserve">he dominant cost saving </w:t>
      </w:r>
      <w:r w:rsidR="00B2639E" w:rsidRPr="00423788">
        <w:rPr>
          <w:rFonts w:eastAsiaTheme="minorEastAsia"/>
        </w:rPr>
        <w:t>is</w:t>
      </w:r>
      <w:r w:rsidR="562DC0C2" w:rsidRPr="00423788">
        <w:rPr>
          <w:rFonts w:eastAsiaTheme="minorEastAsia"/>
        </w:rPr>
        <w:t xml:space="preserve"> </w:t>
      </w:r>
      <w:r w:rsidR="00B2639E" w:rsidRPr="00423788">
        <w:rPr>
          <w:rFonts w:eastAsiaTheme="minorEastAsia"/>
        </w:rPr>
        <w:t xml:space="preserve">associated with the CES waiver </w:t>
      </w:r>
      <w:r w:rsidR="00186FD4" w:rsidRPr="00423788">
        <w:rPr>
          <w:rFonts w:eastAsiaTheme="minorEastAsia"/>
        </w:rPr>
        <w:t>and</w:t>
      </w:r>
      <w:r w:rsidR="562DC0C2" w:rsidRPr="00423788">
        <w:rPr>
          <w:rFonts w:eastAsiaTheme="minorEastAsia"/>
        </w:rPr>
        <w:t xml:space="preserve"> not </w:t>
      </w:r>
      <w:r w:rsidR="00186FD4" w:rsidRPr="00423788">
        <w:rPr>
          <w:rFonts w:eastAsiaTheme="minorEastAsia"/>
        </w:rPr>
        <w:t>with</w:t>
      </w:r>
      <w:r w:rsidR="562DC0C2" w:rsidRPr="00423788">
        <w:rPr>
          <w:rFonts w:eastAsiaTheme="minorEastAsia"/>
        </w:rPr>
        <w:t xml:space="preserve"> the reduction in dossier preparation labour. </w:t>
      </w:r>
      <w:r w:rsidR="5F19C2AD" w:rsidRPr="00423788">
        <w:rPr>
          <w:rFonts w:eastAsiaTheme="minorEastAsia"/>
        </w:rPr>
        <w:t xml:space="preserve">According to </w:t>
      </w:r>
      <w:r w:rsidR="2C952398" w:rsidRPr="00423788">
        <w:rPr>
          <w:rFonts w:eastAsiaTheme="minorEastAsia"/>
        </w:rPr>
        <w:t>reported estimate</w:t>
      </w:r>
      <w:r w:rsidR="2D043025" w:rsidRPr="00423788">
        <w:rPr>
          <w:rFonts w:eastAsiaTheme="minorEastAsia"/>
        </w:rPr>
        <w:t>s,</w:t>
      </w:r>
      <w:r w:rsidR="2C952398" w:rsidRPr="00423788">
        <w:rPr>
          <w:rFonts w:eastAsiaTheme="minorEastAsia"/>
        </w:rPr>
        <w:t xml:space="preserve"> the</w:t>
      </w:r>
      <w:r w:rsidR="39239CE9" w:rsidRPr="00423788">
        <w:rPr>
          <w:rFonts w:eastAsiaTheme="minorEastAsia"/>
        </w:rPr>
        <w:t xml:space="preserve"> preparation of a full CES-based dossier requires approximately 328 person-days (EUR 131–197 thousand), compared to 253 person-days (EUR 101–152 thousand) for a tailored package. This represents a reduction of approximately 75 person-days (EUR 30–45 thousand) per application. Applied to 12–18 affected MAAs annually, this yields </w:t>
      </w:r>
      <w:r w:rsidR="00CC718E" w:rsidRPr="00423788">
        <w:rPr>
          <w:rFonts w:eastAsiaTheme="minorEastAsia"/>
        </w:rPr>
        <w:t xml:space="preserve">an </w:t>
      </w:r>
      <w:r w:rsidR="39239CE9" w:rsidRPr="00423788">
        <w:rPr>
          <w:rFonts w:eastAsiaTheme="minorEastAsia"/>
        </w:rPr>
        <w:t>aggregate</w:t>
      </w:r>
      <w:r w:rsidR="00CC718E" w:rsidRPr="00423788">
        <w:rPr>
          <w:rFonts w:eastAsiaTheme="minorEastAsia"/>
        </w:rPr>
        <w:t>d</w:t>
      </w:r>
      <w:r w:rsidR="39239CE9" w:rsidRPr="00423788">
        <w:rPr>
          <w:rFonts w:eastAsiaTheme="minorEastAsia"/>
        </w:rPr>
        <w:t xml:space="preserve"> administrative savings of </w:t>
      </w:r>
      <w:r w:rsidR="39239CE9" w:rsidRPr="00423788">
        <w:rPr>
          <w:rFonts w:eastAsiaTheme="minorEastAsia"/>
          <w:b/>
        </w:rPr>
        <w:t>EUR 0.36–0.81 million per year at current conditions.</w:t>
      </w:r>
      <w:r w:rsidR="39239CE9" w:rsidRPr="00423788">
        <w:rPr>
          <w:rFonts w:eastAsiaTheme="minorEastAsia"/>
        </w:rPr>
        <w:t xml:space="preserve"> While measurable, these savings are secondary relative to clinical trial cost reductions (see Annex </w:t>
      </w:r>
      <w:r w:rsidR="00D45729" w:rsidRPr="00423788">
        <w:rPr>
          <w:rFonts w:eastAsiaTheme="minorEastAsia"/>
        </w:rPr>
        <w:t>5</w:t>
      </w:r>
      <w:r w:rsidR="39239CE9" w:rsidRPr="00423788">
        <w:rPr>
          <w:rFonts w:eastAsiaTheme="minorEastAsia"/>
        </w:rPr>
        <w:t xml:space="preserve"> for </w:t>
      </w:r>
      <w:r w:rsidR="6D8DCF3E" w:rsidRPr="00423788">
        <w:rPr>
          <w:rFonts w:eastAsiaTheme="minorEastAsia"/>
        </w:rPr>
        <w:t>reported</w:t>
      </w:r>
      <w:r w:rsidR="39239CE9" w:rsidRPr="00423788">
        <w:rPr>
          <w:rFonts w:eastAsiaTheme="minorEastAsia"/>
        </w:rPr>
        <w:t xml:space="preserve"> detailed dossier preparation calculations).</w:t>
      </w:r>
    </w:p>
    <w:p w14:paraId="034B771F" w14:textId="2204412B" w:rsidR="0030552C" w:rsidRPr="00514904" w:rsidRDefault="00564810" w:rsidP="00443C31">
      <w:r w:rsidRPr="00443C31">
        <w:rPr>
          <w:rFonts w:eastAsia="Times New Roman"/>
          <w:b/>
          <w:bCs/>
        </w:rPr>
        <w:t>I</w:t>
      </w:r>
      <w:r w:rsidR="3CE00C24" w:rsidRPr="00370BE8">
        <w:rPr>
          <w:rFonts w:eastAsia="Times New Roman"/>
          <w:b/>
        </w:rPr>
        <w:t>nnovation</w:t>
      </w:r>
      <w:r w:rsidR="570CD3EB" w:rsidRPr="00370BE8">
        <w:rPr>
          <w:rFonts w:eastAsia="Times New Roman"/>
          <w:b/>
        </w:rPr>
        <w:t xml:space="preserve"> and research</w:t>
      </w:r>
      <w:r>
        <w:rPr>
          <w:rFonts w:eastAsia="Times New Roman"/>
          <w:noProof/>
        </w:rPr>
        <w:t>: T</w:t>
      </w:r>
      <w:r w:rsidR="180FE7F7" w:rsidRPr="00AD5FE0">
        <w:rPr>
          <w:noProof/>
          <w:lang w:val="en-IE"/>
        </w:rPr>
        <w:t>he proposed intervention is expected to reallocate inno</w:t>
      </w:r>
      <w:r w:rsidR="180FE7F7" w:rsidRPr="008842C4">
        <w:rPr>
          <w:noProof/>
          <w:lang w:val="en-IE"/>
        </w:rPr>
        <w:t xml:space="preserve">vation incentives toward advanced analytical science. </w:t>
      </w:r>
      <w:r w:rsidR="00802AB5" w:rsidRPr="008842C4">
        <w:rPr>
          <w:noProof/>
          <w:lang w:val="en-IE"/>
        </w:rPr>
        <w:t xml:space="preserve">As outlined in the section </w:t>
      </w:r>
      <w:r>
        <w:rPr>
          <w:noProof/>
          <w:lang w:val="en-IE"/>
        </w:rPr>
        <w:t>‘</w:t>
      </w:r>
      <w:r w:rsidR="00802AB5" w:rsidRPr="008842C4">
        <w:rPr>
          <w:noProof/>
          <w:lang w:val="en-IE"/>
        </w:rPr>
        <w:t>co</w:t>
      </w:r>
      <w:r>
        <w:rPr>
          <w:noProof/>
          <w:lang w:val="en-IE"/>
        </w:rPr>
        <w:t>n</w:t>
      </w:r>
      <w:r w:rsidR="00802AB5" w:rsidRPr="008842C4">
        <w:rPr>
          <w:noProof/>
          <w:lang w:val="en-IE"/>
        </w:rPr>
        <w:t>duct of business</w:t>
      </w:r>
      <w:r>
        <w:rPr>
          <w:noProof/>
          <w:lang w:val="en-IE"/>
        </w:rPr>
        <w:t>’</w:t>
      </w:r>
      <w:r w:rsidR="00802AB5" w:rsidRPr="008842C4">
        <w:rPr>
          <w:noProof/>
          <w:lang w:val="en-IE"/>
        </w:rPr>
        <w:t xml:space="preserve"> above, </w:t>
      </w:r>
      <w:r w:rsidR="30A4ADE1" w:rsidRPr="008842C4">
        <w:rPr>
          <w:rFonts w:eastAsiaTheme="minorEastAsia"/>
        </w:rPr>
        <w:t>savings generated from the elimination of superfluous comparative efficacy studies (CES)</w:t>
      </w:r>
      <w:r w:rsidR="0070529C" w:rsidRPr="008842C4">
        <w:rPr>
          <w:rFonts w:eastAsiaTheme="minorEastAsia"/>
        </w:rPr>
        <w:t xml:space="preserve"> are</w:t>
      </w:r>
      <w:r w:rsidR="0070529C" w:rsidRPr="008842C4" w:rsidDel="0070529C">
        <w:rPr>
          <w:rFonts w:eastAsiaTheme="minorEastAsia"/>
        </w:rPr>
        <w:t xml:space="preserve"> </w:t>
      </w:r>
      <w:r w:rsidR="30A4ADE1" w:rsidRPr="008842C4">
        <w:rPr>
          <w:rFonts w:eastAsiaTheme="minorEastAsia"/>
        </w:rPr>
        <w:t xml:space="preserve">estimated at </w:t>
      </w:r>
      <w:r w:rsidR="257659B3" w:rsidRPr="00443C31">
        <w:rPr>
          <w:rFonts w:eastAsiaTheme="minorEastAsia"/>
          <w:b/>
        </w:rPr>
        <w:t xml:space="preserve">EUR </w:t>
      </w:r>
      <w:r w:rsidR="6AE6AC94" w:rsidRPr="00443C31">
        <w:rPr>
          <w:rFonts w:eastAsiaTheme="minorEastAsia"/>
          <w:b/>
        </w:rPr>
        <w:t>717</w:t>
      </w:r>
      <w:r w:rsidR="30A4ADE1" w:rsidRPr="008842C4">
        <w:rPr>
          <w:rFonts w:eastAsiaTheme="minorEastAsia"/>
          <w:b/>
        </w:rPr>
        <w:t xml:space="preserve"> million</w:t>
      </w:r>
      <w:r w:rsidR="14321CA3" w:rsidRPr="008842C4">
        <w:rPr>
          <w:rFonts w:eastAsiaTheme="minorEastAsia"/>
          <w:b/>
        </w:rPr>
        <w:t>- 2.</w:t>
      </w:r>
      <w:r w:rsidR="42688544" w:rsidRPr="008842C4">
        <w:rPr>
          <w:rFonts w:eastAsiaTheme="minorEastAsia"/>
          <w:b/>
          <w:bCs/>
        </w:rPr>
        <w:t>76</w:t>
      </w:r>
      <w:r w:rsidR="30A4ADE1" w:rsidRPr="008842C4">
        <w:rPr>
          <w:rFonts w:eastAsiaTheme="minorEastAsia"/>
          <w:b/>
        </w:rPr>
        <w:t xml:space="preserve"> billion </w:t>
      </w:r>
      <w:r w:rsidR="14321CA3" w:rsidRPr="008842C4">
        <w:rPr>
          <w:rFonts w:eastAsiaTheme="minorEastAsia"/>
          <w:b/>
        </w:rPr>
        <w:t xml:space="preserve">in </w:t>
      </w:r>
      <w:r>
        <w:rPr>
          <w:rFonts w:eastAsiaTheme="minorEastAsia"/>
          <w:b/>
        </w:rPr>
        <w:t>five</w:t>
      </w:r>
      <w:r w:rsidR="14321CA3" w:rsidRPr="008842C4">
        <w:rPr>
          <w:rFonts w:eastAsiaTheme="minorEastAsia"/>
          <w:b/>
        </w:rPr>
        <w:t xml:space="preserve"> years</w:t>
      </w:r>
      <w:r w:rsidR="00823505" w:rsidRPr="008842C4">
        <w:rPr>
          <w:rFonts w:eastAsiaTheme="minorEastAsia"/>
          <w:b/>
        </w:rPr>
        <w:t xml:space="preserve">, </w:t>
      </w:r>
      <w:r w:rsidR="00823505" w:rsidRPr="008842C4">
        <w:rPr>
          <w:noProof/>
        </w:rPr>
        <w:t>as regulatory reliance shifts from clinical tri</w:t>
      </w:r>
      <w:r w:rsidR="00823505" w:rsidRPr="008842C4">
        <w:rPr>
          <w:rFonts w:eastAsiaTheme="minorEastAsia"/>
        </w:rPr>
        <w:t>als to analytical comparability</w:t>
      </w:r>
      <w:r w:rsidR="482527A9" w:rsidRPr="008842C4">
        <w:rPr>
          <w:rFonts w:eastAsiaTheme="minorEastAsia"/>
        </w:rPr>
        <w:t xml:space="preserve">. According to another </w:t>
      </w:r>
      <w:r w:rsidR="00C537B5">
        <w:rPr>
          <w:rFonts w:eastAsiaTheme="minorEastAsia"/>
        </w:rPr>
        <w:t>recent industry</w:t>
      </w:r>
      <w:r w:rsidR="482527A9" w:rsidRPr="008842C4">
        <w:rPr>
          <w:rFonts w:eastAsiaTheme="minorEastAsia"/>
        </w:rPr>
        <w:t xml:space="preserve"> </w:t>
      </w:r>
      <w:r w:rsidR="00473187" w:rsidRPr="008842C4">
        <w:rPr>
          <w:rFonts w:eastAsiaTheme="minorEastAsia"/>
        </w:rPr>
        <w:t>report</w:t>
      </w:r>
      <w:r w:rsidR="00C537B5">
        <w:rPr>
          <w:rStyle w:val="FootnoteReference"/>
          <w:rFonts w:eastAsiaTheme="minorEastAsia"/>
        </w:rPr>
        <w:footnoteReference w:id="232"/>
      </w:r>
      <w:r w:rsidR="00473187" w:rsidRPr="008842C4">
        <w:rPr>
          <w:rFonts w:eastAsiaTheme="minorEastAsia"/>
          <w:noProof/>
        </w:rPr>
        <w:t>,</w:t>
      </w:r>
      <w:r w:rsidR="00473187" w:rsidRPr="008842C4">
        <w:rPr>
          <w:rFonts w:eastAsiaTheme="minorEastAsia"/>
        </w:rPr>
        <w:t xml:space="preserve"> approximately</w:t>
      </w:r>
      <w:r w:rsidR="30A4ADE1" w:rsidRPr="008842C4">
        <w:rPr>
          <w:rFonts w:eastAsiaTheme="minorEastAsia"/>
        </w:rPr>
        <w:t xml:space="preserve"> </w:t>
      </w:r>
      <w:r w:rsidR="7C1472EF" w:rsidRPr="008842C4">
        <w:rPr>
          <w:rFonts w:eastAsiaTheme="minorEastAsia"/>
        </w:rPr>
        <w:t xml:space="preserve">EUR </w:t>
      </w:r>
      <w:r w:rsidR="30A4ADE1" w:rsidRPr="008842C4">
        <w:rPr>
          <w:rFonts w:eastAsiaTheme="minorEastAsia"/>
        </w:rPr>
        <w:t xml:space="preserve">3 billion in R&amp;D expenditure </w:t>
      </w:r>
      <w:r w:rsidR="6E35CE46" w:rsidRPr="008842C4">
        <w:rPr>
          <w:rFonts w:eastAsiaTheme="minorEastAsia"/>
        </w:rPr>
        <w:t xml:space="preserve">will be </w:t>
      </w:r>
      <w:r w:rsidR="30A4ADE1" w:rsidRPr="008842C4">
        <w:rPr>
          <w:rFonts w:eastAsiaTheme="minorEastAsia"/>
        </w:rPr>
        <w:t xml:space="preserve">freed up over five years out of the current </w:t>
      </w:r>
      <w:r w:rsidR="094AA8D2" w:rsidRPr="008842C4">
        <w:rPr>
          <w:rFonts w:eastAsiaTheme="minorEastAsia"/>
        </w:rPr>
        <w:t xml:space="preserve">EUR </w:t>
      </w:r>
      <w:r w:rsidR="30A4ADE1" w:rsidRPr="008842C4">
        <w:rPr>
          <w:rFonts w:eastAsiaTheme="minorEastAsia"/>
        </w:rPr>
        <w:t>4.9 billion</w:t>
      </w:r>
      <w:r w:rsidR="00CC718E" w:rsidRPr="008842C4">
        <w:rPr>
          <w:rFonts w:eastAsiaTheme="minorEastAsia"/>
          <w:noProof/>
        </w:rPr>
        <w:t xml:space="preserve"> </w:t>
      </w:r>
      <w:r w:rsidR="30A4ADE1" w:rsidRPr="008842C4">
        <w:rPr>
          <w:rFonts w:eastAsiaTheme="minorEastAsia"/>
        </w:rPr>
        <w:t>—</w:t>
      </w:r>
      <w:r w:rsidR="2195D36B" w:rsidRPr="008842C4">
        <w:rPr>
          <w:rFonts w:eastAsiaTheme="minorEastAsia"/>
        </w:rPr>
        <w:t>to</w:t>
      </w:r>
      <w:r w:rsidR="30A4ADE1" w:rsidRPr="008842C4">
        <w:rPr>
          <w:rFonts w:eastAsiaTheme="minorEastAsia"/>
        </w:rPr>
        <w:t xml:space="preserve"> be reinvested in the development of additional biosimilar produ</w:t>
      </w:r>
      <w:r w:rsidR="30A4ADE1" w:rsidRPr="008842C4">
        <w:rPr>
          <w:noProof/>
        </w:rPr>
        <w:t>cts, new technology platforms, and the modernisation of manufacturing operations</w:t>
      </w:r>
      <w:r w:rsidR="0077219E">
        <w:rPr>
          <w:noProof/>
        </w:rPr>
        <w:t>.</w:t>
      </w:r>
    </w:p>
    <w:p w14:paraId="75962720" w14:textId="416CED26" w:rsidR="003B6B75" w:rsidRPr="008842C4" w:rsidRDefault="001A1C5D" w:rsidP="00443C31">
      <w:pPr>
        <w:rPr>
          <w:noProof/>
        </w:rPr>
      </w:pPr>
      <w:r>
        <w:rPr>
          <w:rFonts w:eastAsia="Times New Roman"/>
          <w:b/>
          <w:noProof/>
          <w:lang w:val="en-IE"/>
        </w:rPr>
        <w:t>P</w:t>
      </w:r>
      <w:r w:rsidR="166E1766" w:rsidRPr="00370BE8">
        <w:rPr>
          <w:rFonts w:eastAsia="Times New Roman"/>
          <w:b/>
          <w:lang w:val="en-IE"/>
        </w:rPr>
        <w:t>ublic health</w:t>
      </w:r>
      <w:r>
        <w:rPr>
          <w:rFonts w:eastAsia="Times New Roman"/>
          <w:b/>
          <w:lang w:val="en-IE"/>
        </w:rPr>
        <w:t xml:space="preserve">: </w:t>
      </w:r>
      <w:r>
        <w:rPr>
          <w:rFonts w:eastAsia="Times New Roman"/>
          <w:bCs/>
          <w:lang w:val="en-IE"/>
        </w:rPr>
        <w:t>T</w:t>
      </w:r>
      <w:r w:rsidR="10DA1E2C" w:rsidRPr="00AD5FE0">
        <w:rPr>
          <w:noProof/>
        </w:rPr>
        <w:t>h</w:t>
      </w:r>
      <w:r w:rsidR="10DA1E2C" w:rsidRPr="008842C4">
        <w:rPr>
          <w:noProof/>
        </w:rPr>
        <w:t xml:space="preserve">e tailored approach is expected to accelerate patient access without compromising safety. </w:t>
      </w:r>
      <w:r w:rsidR="16CD6B61" w:rsidRPr="008842C4">
        <w:rPr>
          <w:noProof/>
        </w:rPr>
        <w:t xml:space="preserve"> </w:t>
      </w:r>
      <w:r w:rsidR="10DA1E2C" w:rsidRPr="008842C4">
        <w:rPr>
          <w:noProof/>
        </w:rPr>
        <w:t>Therapeutic coverage is expected to expand from approximately 27 reference products to 35–45 by 2030 and</w:t>
      </w:r>
      <w:r w:rsidR="00F61FC4" w:rsidRPr="008842C4">
        <w:rPr>
          <w:noProof/>
        </w:rPr>
        <w:t xml:space="preserve"> to</w:t>
      </w:r>
      <w:r w:rsidR="10DA1E2C" w:rsidRPr="008842C4">
        <w:rPr>
          <w:noProof/>
        </w:rPr>
        <w:t xml:space="preserve"> 55–75 by 2038.</w:t>
      </w:r>
      <w:r w:rsidR="39E5043C" w:rsidRPr="008842C4">
        <w:rPr>
          <w:noProof/>
        </w:rPr>
        <w:t xml:space="preserve"> </w:t>
      </w:r>
      <w:r w:rsidR="010EED8B" w:rsidRPr="008842C4">
        <w:rPr>
          <w:noProof/>
        </w:rPr>
        <w:t>T</w:t>
      </w:r>
      <w:r w:rsidR="010EED8B" w:rsidRPr="008842C4">
        <w:t xml:space="preserve">he cumulative number of authorised biosimilars is expected to grow from 151 in 2024 to </w:t>
      </w:r>
      <w:r w:rsidR="00CA4293" w:rsidRPr="008842C4">
        <w:t>250-350 between 2025-2030</w:t>
      </w:r>
      <w:r w:rsidR="00B3419C" w:rsidRPr="008842C4">
        <w:rPr>
          <w:rStyle w:val="FootnoteReference"/>
        </w:rPr>
        <w:footnoteReference w:id="233"/>
      </w:r>
      <w:r w:rsidR="00CA4293" w:rsidRPr="008842C4">
        <w:rPr>
          <w:noProof/>
        </w:rPr>
        <w:t xml:space="preserve"> and</w:t>
      </w:r>
      <w:r w:rsidR="17E5EDB6" w:rsidRPr="008842C4">
        <w:t xml:space="preserve"> </w:t>
      </w:r>
      <w:r w:rsidR="17E5EDB6" w:rsidRPr="008842C4">
        <w:rPr>
          <w:noProof/>
        </w:rPr>
        <w:t xml:space="preserve">to </w:t>
      </w:r>
      <w:r w:rsidR="119EF0FE" w:rsidRPr="008842C4">
        <w:t>450-650 between 2030-38</w:t>
      </w:r>
      <w:r w:rsidR="00BD3418" w:rsidRPr="008842C4">
        <w:rPr>
          <w:rStyle w:val="FootnoteReference"/>
        </w:rPr>
        <w:footnoteReference w:id="234"/>
      </w:r>
      <w:r w:rsidR="0CC766F6" w:rsidRPr="008842C4">
        <w:rPr>
          <w:noProof/>
        </w:rPr>
        <w:t>.</w:t>
      </w:r>
      <w:r w:rsidR="119EF0FE" w:rsidRPr="008842C4">
        <w:rPr>
          <w:noProof/>
        </w:rPr>
        <w:t xml:space="preserve"> </w:t>
      </w:r>
      <w:r w:rsidR="3BC729C4" w:rsidRPr="008842C4">
        <w:rPr>
          <w:rFonts w:eastAsia="Times New Roman"/>
          <w:noProof/>
          <w:lang w:val="en-IE"/>
        </w:rPr>
        <w:t xml:space="preserve">This expansion is projected to generate significant system-level savings, increasing from approximately </w:t>
      </w:r>
      <w:r w:rsidR="3BC729C4" w:rsidRPr="008842C4">
        <w:rPr>
          <w:rFonts w:eastAsia="Times New Roman"/>
          <w:b/>
          <w:lang w:val="en-IE"/>
        </w:rPr>
        <w:t>EUR 13 billion in 2024 to EUR 16–22 billion annually by 2030 and EUR 22–35 billion/year by 2035–2038,</w:t>
      </w:r>
      <w:r w:rsidR="3BC729C4" w:rsidRPr="008842C4">
        <w:rPr>
          <w:rFonts w:eastAsia="Times New Roman"/>
          <w:noProof/>
          <w:lang w:val="en-IE"/>
        </w:rPr>
        <w:t xml:space="preserve"> driven by increased competition and broader treatment availability.</w:t>
      </w:r>
      <w:r w:rsidR="3BC729C4" w:rsidRPr="008842C4">
        <w:rPr>
          <w:noProof/>
        </w:rPr>
        <w:t xml:space="preserve"> T</w:t>
      </w:r>
      <w:r w:rsidR="3BC729C4" w:rsidRPr="008842C4">
        <w:rPr>
          <w:rFonts w:eastAsia="Times New Roman"/>
          <w:noProof/>
          <w:lang w:val="en-IE"/>
        </w:rPr>
        <w:t>he introduction of a tailored regulatory approach is not expected to alter the underlying safety standard, as it modifies evidentiary requirements rather than regulatory thresholds for approval</w:t>
      </w:r>
      <w:r w:rsidR="00C93567">
        <w:rPr>
          <w:rStyle w:val="FootnoteReference"/>
          <w:rFonts w:eastAsia="Times New Roman"/>
          <w:noProof/>
          <w:lang w:val="en-IE"/>
        </w:rPr>
        <w:footnoteReference w:id="235"/>
      </w:r>
      <w:r w:rsidR="3BC729C4" w:rsidRPr="008842C4">
        <w:rPr>
          <w:rFonts w:eastAsia="Times New Roman"/>
          <w:noProof/>
          <w:lang w:val="en-IE"/>
        </w:rPr>
        <w:t xml:space="preserve">. The safety outlook therefore remains unchanged, with </w:t>
      </w:r>
      <w:r w:rsidR="3BC729C4" w:rsidRPr="008842C4">
        <w:rPr>
          <w:rFonts w:eastAsia="Times New Roman"/>
          <w:b/>
          <w:bCs/>
          <w:noProof/>
          <w:lang w:val="en-IE"/>
        </w:rPr>
        <w:t>no increase in withdrawals on safety grounds anticipated</w:t>
      </w:r>
      <w:r w:rsidR="3BC729C4" w:rsidRPr="008842C4">
        <w:rPr>
          <w:rFonts w:eastAsia="Times New Roman"/>
          <w:noProof/>
          <w:lang w:val="en-IE"/>
        </w:rPr>
        <w:t>.</w:t>
      </w:r>
    </w:p>
    <w:p w14:paraId="5A64F6FB" w14:textId="4C65F6B5" w:rsidR="003B6B75" w:rsidRPr="00370BE8" w:rsidRDefault="00AE3A86" w:rsidP="00443C31">
      <w:pPr>
        <w:rPr>
          <w:rFonts w:eastAsia="Corbel"/>
          <w:vertAlign w:val="superscript"/>
        </w:rPr>
      </w:pPr>
      <w:r w:rsidRPr="008842C4">
        <w:rPr>
          <w:rFonts w:eastAsia="Times New Roman"/>
        </w:rPr>
        <w:t>However, t</w:t>
      </w:r>
      <w:r w:rsidR="3BC729C4" w:rsidRPr="00514904">
        <w:rPr>
          <w:rFonts w:eastAsia="Times New Roman"/>
        </w:rPr>
        <w:t>he upper bounds of</w:t>
      </w:r>
      <w:r w:rsidR="00502067" w:rsidRPr="008842C4">
        <w:rPr>
          <w:rFonts w:eastAsia="Times New Roman"/>
        </w:rPr>
        <w:t xml:space="preserve"> these projections</w:t>
      </w:r>
      <w:r w:rsidR="3BC729C4" w:rsidRPr="00514904">
        <w:rPr>
          <w:rFonts w:eastAsia="Times New Roman"/>
        </w:rPr>
        <w:t xml:space="preserve"> </w:t>
      </w:r>
      <w:r w:rsidR="001A1C5D">
        <w:rPr>
          <w:rFonts w:eastAsia="Times New Roman"/>
        </w:rPr>
        <w:t>are</w:t>
      </w:r>
      <w:r w:rsidR="00BB57B2" w:rsidRPr="008842C4">
        <w:rPr>
          <w:rFonts w:eastAsia="Times New Roman"/>
        </w:rPr>
        <w:t xml:space="preserve"> tempered by a structural gap in the market.</w:t>
      </w:r>
      <w:r w:rsidR="3BC729C4" w:rsidRPr="00514904">
        <w:rPr>
          <w:rFonts w:eastAsia="Times New Roman"/>
        </w:rPr>
        <w:t xml:space="preserve"> </w:t>
      </w:r>
      <w:r w:rsidR="00BB57B2" w:rsidRPr="008842C4">
        <w:rPr>
          <w:rFonts w:eastAsia="Times New Roman"/>
        </w:rPr>
        <w:t>O</w:t>
      </w:r>
      <w:r w:rsidR="3BC729C4" w:rsidRPr="00514904">
        <w:rPr>
          <w:rFonts w:eastAsia="Times New Roman"/>
        </w:rPr>
        <w:t>f approximately 100 biologics expected to lose exclusivity by 2032, 79</w:t>
      </w:r>
      <w:r w:rsidR="00405618">
        <w:rPr>
          <w:rFonts w:eastAsia="Times New Roman"/>
        </w:rPr>
        <w:t>%</w:t>
      </w:r>
      <w:r w:rsidR="3BC729C4" w:rsidRPr="00514904">
        <w:rPr>
          <w:rFonts w:eastAsia="Times New Roman"/>
        </w:rPr>
        <w:t xml:space="preserve"> have no biosimilar</w:t>
      </w:r>
      <w:r w:rsidR="00FE28B4" w:rsidRPr="008842C4">
        <w:rPr>
          <w:rFonts w:eastAsia="Times New Roman"/>
        </w:rPr>
        <w:t xml:space="preserve"> versions </w:t>
      </w:r>
      <w:r w:rsidR="3BC729C4" w:rsidRPr="00514904">
        <w:rPr>
          <w:rFonts w:eastAsia="Times New Roman"/>
        </w:rPr>
        <w:t>in development and only 10% are likely to face biosimilar competition in Europe</w:t>
      </w:r>
      <w:r w:rsidR="166E1766" w:rsidRPr="008842C4">
        <w:rPr>
          <w:rFonts w:eastAsia="Times New Roman"/>
          <w:vertAlign w:val="superscript"/>
        </w:rPr>
        <w:footnoteReference w:id="236"/>
      </w:r>
      <w:r w:rsidR="3BC729C4" w:rsidRPr="008842C4">
        <w:rPr>
          <w:rFonts w:eastAsia="Times New Roman"/>
        </w:rPr>
        <w:t>.</w:t>
      </w:r>
      <w:r w:rsidR="3BC729C4" w:rsidRPr="00370BE8">
        <w:rPr>
          <w:rFonts w:eastAsia="Times New Roman"/>
        </w:rPr>
        <w:t xml:space="preserve"> </w:t>
      </w:r>
    </w:p>
    <w:p w14:paraId="379705DF" w14:textId="1F6D36FF" w:rsidR="00122DA7" w:rsidRPr="00443C31" w:rsidRDefault="00D7628F" w:rsidP="000B14A8">
      <w:pPr>
        <w:rPr>
          <w:u w:val="single"/>
        </w:rPr>
      </w:pPr>
      <w:r w:rsidRPr="00443C31">
        <w:rPr>
          <w:noProof/>
          <w:u w:val="single"/>
        </w:rPr>
        <w:t>Expected impact</w:t>
      </w:r>
      <w:r w:rsidR="000B14A8">
        <w:rPr>
          <w:noProof/>
          <w:u w:val="single"/>
        </w:rPr>
        <w:t xml:space="preserve">s </w:t>
      </w:r>
      <w:r w:rsidRPr="00443C31">
        <w:rPr>
          <w:noProof/>
          <w:u w:val="single"/>
        </w:rPr>
        <w:t>of m</w:t>
      </w:r>
      <w:r w:rsidR="00FE7B41" w:rsidRPr="00443C31">
        <w:rPr>
          <w:u w:val="single"/>
        </w:rPr>
        <w:t>easure 2: b</w:t>
      </w:r>
      <w:r w:rsidR="00122DA7" w:rsidRPr="00443C31">
        <w:rPr>
          <w:u w:val="single"/>
        </w:rPr>
        <w:t>iosimilar strategic projects recognition and support</w:t>
      </w:r>
    </w:p>
    <w:p w14:paraId="37C900B9" w14:textId="7D1D500E" w:rsidR="00122DA7" w:rsidRPr="00887BE7" w:rsidRDefault="00122DA7" w:rsidP="000B14A8">
      <w:pPr>
        <w:rPr>
          <w:noProof/>
        </w:rPr>
      </w:pPr>
      <w:r>
        <w:rPr>
          <w:noProof/>
        </w:rPr>
        <w:t xml:space="preserve">The projects this </w:t>
      </w:r>
      <w:r w:rsidR="007C4D0B">
        <w:rPr>
          <w:noProof/>
        </w:rPr>
        <w:t xml:space="preserve">proposed </w:t>
      </w:r>
      <w:r>
        <w:rPr>
          <w:noProof/>
        </w:rPr>
        <w:t>measure w</w:t>
      </w:r>
      <w:r w:rsidR="001A1C5D">
        <w:rPr>
          <w:noProof/>
        </w:rPr>
        <w:t>ould</w:t>
      </w:r>
      <w:r>
        <w:rPr>
          <w:noProof/>
        </w:rPr>
        <w:t xml:space="preserve"> target benefit from the same framework described in intervention </w:t>
      </w:r>
      <w:r w:rsidR="46D6E3A3" w:rsidRPr="3045D831">
        <w:rPr>
          <w:noProof/>
        </w:rPr>
        <w:t>n°9</w:t>
      </w:r>
      <w:r w:rsidR="00BB2975">
        <w:rPr>
          <w:noProof/>
        </w:rPr>
        <w:t xml:space="preserve"> </w:t>
      </w:r>
      <w:r w:rsidRPr="00370BE8">
        <w:rPr>
          <w:i/>
        </w:rPr>
        <w:t>i.e. recognition and the support of health biotechnology strategic projects</w:t>
      </w:r>
      <w:r>
        <w:rPr>
          <w:b/>
          <w:bCs/>
          <w:noProof/>
        </w:rPr>
        <w:t>:</w:t>
      </w:r>
      <w:r w:rsidRPr="00DD0CE5">
        <w:rPr>
          <w:b/>
          <w:bCs/>
          <w:noProof/>
        </w:rPr>
        <w:t xml:space="preserve"> </w:t>
      </w:r>
      <w:r w:rsidRPr="00DD0CE5">
        <w:rPr>
          <w:noProof/>
        </w:rPr>
        <w:t xml:space="preserve">administrative support (including through single points of contact at Member State level), accelerated procedures (including for permitting, </w:t>
      </w:r>
      <w:r>
        <w:rPr>
          <w:noProof/>
        </w:rPr>
        <w:t>subject to a maximum</w:t>
      </w:r>
      <w:r w:rsidRPr="00DD0CE5">
        <w:rPr>
          <w:noProof/>
        </w:rPr>
        <w:t xml:space="preserve"> </w:t>
      </w:r>
      <w:r w:rsidR="001A1C5D">
        <w:rPr>
          <w:noProof/>
        </w:rPr>
        <w:t>ten-</w:t>
      </w:r>
      <w:r w:rsidRPr="00887BE7">
        <w:rPr>
          <w:noProof/>
        </w:rPr>
        <w:t>month deadline, as well as for dispute resolution and litigation), a public interest status and measures to facilitate access to funding at national and EU</w:t>
      </w:r>
      <w:r w:rsidR="7605D644" w:rsidRPr="3834653D">
        <w:rPr>
          <w:noProof/>
        </w:rPr>
        <w:t>-</w:t>
      </w:r>
      <w:r w:rsidRPr="00887BE7">
        <w:rPr>
          <w:noProof/>
        </w:rPr>
        <w:t xml:space="preserve">level. </w:t>
      </w:r>
    </w:p>
    <w:p w14:paraId="352D8257" w14:textId="2E43DA41" w:rsidR="008619D4" w:rsidRPr="00887BE7" w:rsidRDefault="001A1C5D" w:rsidP="000B14A8">
      <w:pPr>
        <w:rPr>
          <w:rFonts w:eastAsia="Arial"/>
          <w:highlight w:val="cyan"/>
        </w:rPr>
      </w:pPr>
      <w:r>
        <w:rPr>
          <w:rFonts w:eastAsia="Arial"/>
          <w:b/>
        </w:rPr>
        <w:t>A</w:t>
      </w:r>
      <w:r w:rsidR="008619D4" w:rsidRPr="00F05FE0">
        <w:rPr>
          <w:rFonts w:eastAsia="Arial"/>
          <w:b/>
        </w:rPr>
        <w:t>dministrative costs on businesses</w:t>
      </w:r>
      <w:r>
        <w:rPr>
          <w:rFonts w:eastAsia="Arial"/>
          <w:b/>
        </w:rPr>
        <w:t>:</w:t>
      </w:r>
      <w:r w:rsidR="008619D4" w:rsidRPr="00887BE7">
        <w:rPr>
          <w:rFonts w:eastAsia="Times New Roman"/>
          <w:color w:val="000000" w:themeColor="text1"/>
        </w:rPr>
        <w:t xml:space="preserve"> </w:t>
      </w:r>
      <w:r>
        <w:rPr>
          <w:rFonts w:eastAsia="Times New Roman"/>
          <w:color w:val="000000" w:themeColor="text1"/>
        </w:rPr>
        <w:t>A</w:t>
      </w:r>
      <w:r w:rsidR="008619D4" w:rsidRPr="00887BE7">
        <w:rPr>
          <w:rFonts w:eastAsia="Times New Roman"/>
          <w:color w:val="000000" w:themeColor="text1"/>
        </w:rPr>
        <w:t xml:space="preserve">s for the projects described in intervention </w:t>
      </w:r>
      <w:r w:rsidR="612CB497" w:rsidRPr="3045D831">
        <w:rPr>
          <w:rFonts w:eastAsia="Times New Roman"/>
          <w:color w:val="000000" w:themeColor="text1"/>
        </w:rPr>
        <w:t>n°</w:t>
      </w:r>
      <w:r w:rsidR="008619D4" w:rsidRPr="00887BE7">
        <w:rPr>
          <w:rFonts w:eastAsia="Times New Roman"/>
          <w:color w:val="000000" w:themeColor="text1"/>
        </w:rPr>
        <w:t xml:space="preserve">9, the greatest efficiency gain is expected to be the </w:t>
      </w:r>
      <w:r w:rsidR="008619D4" w:rsidRPr="00887BE7">
        <w:t>reduction of execution risk through more predictable and coordinated administrative handling, notably through a structured single point of contact model and a maximum 10-month permit-granting timeline, complemented by facilitated access to finance.</w:t>
      </w:r>
    </w:p>
    <w:p w14:paraId="2DEE01DF" w14:textId="5E0F7724" w:rsidR="00122DA7" w:rsidRPr="00E11C79" w:rsidRDefault="001A1C5D" w:rsidP="00443C31">
      <w:pPr>
        <w:rPr>
          <w:rFonts w:eastAsia="Arial"/>
        </w:rPr>
      </w:pPr>
      <w:r>
        <w:rPr>
          <w:rFonts w:eastAsia="Times New Roman"/>
          <w:b/>
          <w:color w:val="000000" w:themeColor="text1"/>
        </w:rPr>
        <w:t>C</w:t>
      </w:r>
      <w:r w:rsidR="008619D4" w:rsidRPr="00887BE7">
        <w:rPr>
          <w:rFonts w:eastAsia="Times New Roman"/>
          <w:b/>
          <w:color w:val="000000" w:themeColor="text1"/>
        </w:rPr>
        <w:t>onduct of busi</w:t>
      </w:r>
      <w:r w:rsidR="006C106D">
        <w:rPr>
          <w:rFonts w:eastAsia="Times New Roman"/>
          <w:b/>
          <w:color w:val="000000" w:themeColor="text1"/>
        </w:rPr>
        <w:t>n</w:t>
      </w:r>
      <w:r w:rsidR="008619D4" w:rsidRPr="00887BE7">
        <w:rPr>
          <w:rFonts w:eastAsia="Times New Roman"/>
          <w:b/>
          <w:color w:val="000000" w:themeColor="text1"/>
        </w:rPr>
        <w:t>ess</w:t>
      </w:r>
      <w:r w:rsidRPr="00DF329D">
        <w:rPr>
          <w:rFonts w:eastAsia="Times New Roman"/>
          <w:b/>
          <w:bCs/>
          <w:color w:val="000000" w:themeColor="text1"/>
        </w:rPr>
        <w:t>:</w:t>
      </w:r>
      <w:r>
        <w:rPr>
          <w:rFonts w:eastAsia="Times New Roman"/>
          <w:color w:val="000000" w:themeColor="text1"/>
        </w:rPr>
        <w:t xml:space="preserve"> T</w:t>
      </w:r>
      <w:r w:rsidR="008619D4" w:rsidRPr="00887BE7">
        <w:rPr>
          <w:rFonts w:eastAsia="Times New Roman"/>
          <w:color w:val="000000" w:themeColor="text1"/>
        </w:rPr>
        <w:t>he</w:t>
      </w:r>
      <w:r w:rsidR="00122DA7" w:rsidRPr="00887BE7">
        <w:rPr>
          <w:rFonts w:eastAsia="Times New Roman"/>
          <w:color w:val="000000" w:themeColor="text1"/>
        </w:rPr>
        <w:t xml:space="preserve"> measure</w:t>
      </w:r>
      <w:r w:rsidR="00122DA7" w:rsidRPr="00887BE7">
        <w:rPr>
          <w:rFonts w:eastAsia="Arial"/>
        </w:rPr>
        <w:t xml:space="preserve"> is expected to mobilise additional investment in EU biosimilar manufacturing and development infrastructure</w:t>
      </w:r>
      <w:r w:rsidR="00AA0E9E">
        <w:rPr>
          <w:rFonts w:eastAsia="Arial"/>
        </w:rPr>
        <w:t>s</w:t>
      </w:r>
      <w:r w:rsidR="00122DA7" w:rsidRPr="00887BE7">
        <w:rPr>
          <w:rFonts w:eastAsia="Arial"/>
        </w:rPr>
        <w:t>. The magnitude depends on Member State implementation.</w:t>
      </w:r>
      <w:r w:rsidR="00122DA7" w:rsidRPr="00887BE7">
        <w:t xml:space="preserve"> </w:t>
      </w:r>
      <w:r w:rsidR="00122DA7" w:rsidRPr="00887BE7">
        <w:rPr>
          <w:rFonts w:eastAsia="Arial"/>
        </w:rPr>
        <w:t>To estimate the order of magnitude, three uptake scenarios are used, consistent with the approach applied</w:t>
      </w:r>
      <w:r w:rsidR="00122DA7" w:rsidRPr="00E11C79">
        <w:rPr>
          <w:rFonts w:eastAsia="Arial"/>
        </w:rPr>
        <w:t xml:space="preserve"> in the strategic projects and high impact projects assessments. Biosimilar projects are framed as a subset of the total strategic project pipeline:</w:t>
      </w:r>
    </w:p>
    <w:p w14:paraId="1ECA9FAE" w14:textId="77777777" w:rsidR="00122DA7" w:rsidRPr="00443C31" w:rsidRDefault="00122DA7" w:rsidP="00430713">
      <w:pPr>
        <w:pStyle w:val="ListParagraph"/>
        <w:numPr>
          <w:ilvl w:val="0"/>
          <w:numId w:val="19"/>
        </w:numPr>
        <w:rPr>
          <w:rFonts w:eastAsia="Arial"/>
        </w:rPr>
      </w:pPr>
      <w:r w:rsidRPr="00443C31">
        <w:rPr>
          <w:rFonts w:eastAsia="Arial"/>
          <w:b/>
          <w:bCs/>
        </w:rPr>
        <w:t>Low uptake</w:t>
      </w:r>
      <w:r w:rsidRPr="00443C31">
        <w:rPr>
          <w:rFonts w:eastAsia="Arial"/>
        </w:rPr>
        <w:t>: 3–5 biosimilar projects recognised by 2038 (~0.3 per year)</w:t>
      </w:r>
    </w:p>
    <w:p w14:paraId="5E5C9D9E" w14:textId="77777777" w:rsidR="00122DA7" w:rsidRPr="00443C31" w:rsidRDefault="00122DA7" w:rsidP="00430713">
      <w:pPr>
        <w:pStyle w:val="ListParagraph"/>
        <w:numPr>
          <w:ilvl w:val="0"/>
          <w:numId w:val="19"/>
        </w:numPr>
        <w:rPr>
          <w:rFonts w:eastAsia="Arial"/>
        </w:rPr>
      </w:pPr>
      <w:r w:rsidRPr="00443C31">
        <w:rPr>
          <w:rFonts w:eastAsia="Arial"/>
          <w:b/>
          <w:bCs/>
        </w:rPr>
        <w:t>Medium uptake</w:t>
      </w:r>
      <w:r w:rsidRPr="00443C31">
        <w:rPr>
          <w:rFonts w:eastAsia="Arial"/>
        </w:rPr>
        <w:t>: 8–12 biosimilar projects (~1 per year)</w:t>
      </w:r>
    </w:p>
    <w:p w14:paraId="22179436" w14:textId="77777777" w:rsidR="00122DA7" w:rsidRPr="000B14A8" w:rsidRDefault="00122DA7" w:rsidP="00430713">
      <w:pPr>
        <w:pStyle w:val="ListParagraph"/>
        <w:numPr>
          <w:ilvl w:val="0"/>
          <w:numId w:val="19"/>
        </w:numPr>
        <w:rPr>
          <w:b/>
        </w:rPr>
      </w:pPr>
      <w:r w:rsidRPr="00443C31">
        <w:rPr>
          <w:rFonts w:eastAsia="Arial"/>
          <w:b/>
          <w:bCs/>
        </w:rPr>
        <w:t>High uptake</w:t>
      </w:r>
      <w:r w:rsidRPr="00443C31">
        <w:rPr>
          <w:rFonts w:eastAsia="Arial"/>
        </w:rPr>
        <w:t>: 15–20 biosimilar projects (~1.5 per year)</w:t>
      </w:r>
      <w:r w:rsidR="008619D4" w:rsidRPr="000B14A8">
        <w:rPr>
          <w:b/>
          <w:bCs/>
        </w:rPr>
        <w:t xml:space="preserve"> </w:t>
      </w:r>
    </w:p>
    <w:p w14:paraId="039ED6FF" w14:textId="670F2D1D" w:rsidR="003938AE" w:rsidRDefault="00427EEB" w:rsidP="000B14A8">
      <w:r>
        <w:t xml:space="preserve">See annex 7 </w:t>
      </w:r>
      <w:r w:rsidR="003C7196">
        <w:t>f</w:t>
      </w:r>
      <w:r w:rsidR="007C462F" w:rsidRPr="00443C31">
        <w:t xml:space="preserve">or an overview of the </w:t>
      </w:r>
      <w:r w:rsidR="003938AE" w:rsidRPr="008E504D">
        <w:t>illustrative order</w:t>
      </w:r>
      <w:r w:rsidR="003938AE" w:rsidRPr="00321D10">
        <w:t xml:space="preserve">-of-magnitude impacts for biosimilar strategic projects derived by proportional scaling from the Strategic Projects of chapter II (intervention </w:t>
      </w:r>
      <w:r w:rsidR="0DC31BAA">
        <w:t>n°9</w:t>
      </w:r>
      <w:r w:rsidR="003938AE" w:rsidRPr="00514904">
        <w:t>)</w:t>
      </w:r>
      <w:r w:rsidR="0097220D" w:rsidRPr="00514904">
        <w:t>.</w:t>
      </w:r>
    </w:p>
    <w:p w14:paraId="68D8B99D" w14:textId="2CEC4634" w:rsidR="008619D4" w:rsidRPr="00A30BB3" w:rsidRDefault="001A1C5D" w:rsidP="00443C31">
      <w:r>
        <w:rPr>
          <w:rFonts w:eastAsia="Arial"/>
          <w:b/>
        </w:rPr>
        <w:t>C</w:t>
      </w:r>
      <w:r w:rsidR="008619D4" w:rsidRPr="00F05FE0">
        <w:rPr>
          <w:rFonts w:eastAsia="Arial"/>
          <w:b/>
        </w:rPr>
        <w:t>ompetitiveness, trade and investment flows</w:t>
      </w:r>
      <w:r>
        <w:rPr>
          <w:rFonts w:eastAsia="Arial"/>
          <w:b/>
        </w:rPr>
        <w:t xml:space="preserve">: </w:t>
      </w:r>
      <w:r>
        <w:rPr>
          <w:rFonts w:eastAsia="Arial"/>
          <w:bCs/>
        </w:rPr>
        <w:t>T</w:t>
      </w:r>
      <w:r w:rsidR="008619D4" w:rsidRPr="00A30BB3">
        <w:rPr>
          <w:rFonts w:eastAsia="Arial"/>
        </w:rPr>
        <w:t xml:space="preserve">he effectiveness of the </w:t>
      </w:r>
      <w:r w:rsidR="00FE274A">
        <w:rPr>
          <w:rFonts w:eastAsia="Arial"/>
        </w:rPr>
        <w:t xml:space="preserve">proposed </w:t>
      </w:r>
      <w:r w:rsidR="008619D4" w:rsidRPr="00A30BB3">
        <w:rPr>
          <w:rFonts w:eastAsia="Arial"/>
        </w:rPr>
        <w:t xml:space="preserve">measure is expected to scale with its uptake, with higher levels of recognised projects leading to greater mobilisation of investment in EU-based biosimilar manufacturing. </w:t>
      </w:r>
      <w:r w:rsidR="008619D4" w:rsidRPr="00A30BB3">
        <w:t>The investment mobilisation estimate</w:t>
      </w:r>
      <w:r w:rsidR="006F7CCD">
        <w:t>d</w:t>
      </w:r>
      <w:r w:rsidR="004B2D01" w:rsidRPr="00A30BB3">
        <w:t xml:space="preserve"> at</w:t>
      </w:r>
      <w:r w:rsidR="008619D4" w:rsidRPr="00A30BB3">
        <w:t xml:space="preserve"> </w:t>
      </w:r>
      <w:r w:rsidR="008619D4" w:rsidRPr="00F05FE0">
        <w:rPr>
          <w:b/>
        </w:rPr>
        <w:t>EUR 0.9–7.6 billion cumulative by 2038</w:t>
      </w:r>
      <w:r w:rsidR="008619D4" w:rsidRPr="00A30BB3">
        <w:t xml:space="preserve"> reflect</w:t>
      </w:r>
      <w:r w:rsidR="004B2D01" w:rsidRPr="00A30BB3">
        <w:t>s</w:t>
      </w:r>
      <w:r w:rsidR="008619D4" w:rsidRPr="00A30BB3">
        <w:t xml:space="preserve"> the total capital deployed in biosimilar manufacturing and development projects. This includes private investment, STEP-supported instruments, and any national co-financing. The per-project investment range of </w:t>
      </w:r>
      <w:r w:rsidR="008619D4" w:rsidRPr="00F05FE0">
        <w:rPr>
          <w:b/>
        </w:rPr>
        <w:t>EUR 200–400</w:t>
      </w:r>
      <w:r w:rsidR="008619D4" w:rsidRPr="00A30BB3">
        <w:t xml:space="preserve"> </w:t>
      </w:r>
      <w:r w:rsidR="008619D4" w:rsidRPr="00443C31">
        <w:rPr>
          <w:b/>
          <w:bCs/>
        </w:rPr>
        <w:t>million</w:t>
      </w:r>
      <w:r w:rsidR="008619D4" w:rsidRPr="00A30BB3">
        <w:t xml:space="preserve"> is consistent with the capital requirements for dedicated biosimilar biomanufacturing facilities, as documented by industry sources.</w:t>
      </w:r>
      <w:r w:rsidR="008619D4" w:rsidRPr="00A30BB3">
        <w:rPr>
          <w:rStyle w:val="FootnoteReference"/>
          <w:noProof/>
        </w:rPr>
        <w:footnoteReference w:id="237"/>
      </w:r>
    </w:p>
    <w:p w14:paraId="2608D5CD" w14:textId="0346006C" w:rsidR="00AE2019" w:rsidRPr="00F05FE0" w:rsidRDefault="003E50BC" w:rsidP="000B14A8">
      <w:pPr>
        <w:rPr>
          <w:rFonts w:eastAsia="Arial"/>
        </w:rPr>
      </w:pPr>
      <w:r w:rsidRPr="006AFD62">
        <w:rPr>
          <w:rFonts w:eastAsia="Arial"/>
        </w:rPr>
        <w:t>Further</w:t>
      </w:r>
      <w:r>
        <w:rPr>
          <w:rFonts w:eastAsia="Arial"/>
        </w:rPr>
        <w:t xml:space="preserve">, </w:t>
      </w:r>
      <w:r w:rsidR="006B029C">
        <w:rPr>
          <w:rFonts w:eastAsia="Arial"/>
        </w:rPr>
        <w:t xml:space="preserve">the </w:t>
      </w:r>
      <w:r w:rsidR="00DE6968">
        <w:rPr>
          <w:rFonts w:eastAsia="Arial"/>
        </w:rPr>
        <w:t>proposed</w:t>
      </w:r>
      <w:r w:rsidR="006B029C">
        <w:rPr>
          <w:rFonts w:eastAsia="Arial"/>
        </w:rPr>
        <w:t xml:space="preserve"> measure supports</w:t>
      </w:r>
      <w:r w:rsidR="008619D4" w:rsidRPr="0097220D">
        <w:rPr>
          <w:rFonts w:eastAsia="Arial"/>
        </w:rPr>
        <w:t xml:space="preserve"> EU</w:t>
      </w:r>
      <w:r w:rsidR="00FF7F0B">
        <w:rPr>
          <w:rFonts w:eastAsia="Arial"/>
        </w:rPr>
        <w:t xml:space="preserve"> based manufacturers</w:t>
      </w:r>
      <w:r w:rsidR="00F65F68">
        <w:rPr>
          <w:rFonts w:eastAsia="Arial"/>
        </w:rPr>
        <w:t>’</w:t>
      </w:r>
      <w:r w:rsidR="00FF7F0B">
        <w:rPr>
          <w:rFonts w:eastAsia="Arial"/>
        </w:rPr>
        <w:t xml:space="preserve"> </w:t>
      </w:r>
      <w:r w:rsidR="008619D4" w:rsidRPr="0097220D">
        <w:rPr>
          <w:rFonts w:eastAsia="Arial"/>
        </w:rPr>
        <w:t>competitive</w:t>
      </w:r>
      <w:r w:rsidR="003C2108" w:rsidRPr="00F05FE0">
        <w:rPr>
          <w:rFonts w:eastAsia="Arial"/>
        </w:rPr>
        <w:t>ness</w:t>
      </w:r>
      <w:r w:rsidR="008619D4" w:rsidRPr="00F05FE0">
        <w:rPr>
          <w:rFonts w:eastAsia="Arial"/>
        </w:rPr>
        <w:t xml:space="preserve"> </w:t>
      </w:r>
      <w:r w:rsidR="000A0438" w:rsidRPr="00F05FE0">
        <w:rPr>
          <w:rFonts w:eastAsia="Arial"/>
        </w:rPr>
        <w:t xml:space="preserve">in </w:t>
      </w:r>
      <w:r w:rsidR="00983B82" w:rsidRPr="00F05FE0">
        <w:rPr>
          <w:rFonts w:eastAsia="Arial"/>
        </w:rPr>
        <w:t xml:space="preserve">biosimilars, </w:t>
      </w:r>
      <w:r w:rsidR="006B029C">
        <w:rPr>
          <w:rFonts w:eastAsia="Arial"/>
        </w:rPr>
        <w:t>by promoting</w:t>
      </w:r>
      <w:r w:rsidR="008619D4" w:rsidRPr="0097220D">
        <w:rPr>
          <w:rFonts w:eastAsia="Arial"/>
        </w:rPr>
        <w:t xml:space="preserve"> </w:t>
      </w:r>
      <w:r w:rsidR="00AE312E" w:rsidRPr="00F05FE0">
        <w:rPr>
          <w:rFonts w:eastAsia="Arial"/>
          <w:b/>
        </w:rPr>
        <w:t>international partnerships</w:t>
      </w:r>
      <w:r w:rsidR="00AE312E">
        <w:rPr>
          <w:rFonts w:eastAsia="Arial"/>
        </w:rPr>
        <w:t xml:space="preserve"> among</w:t>
      </w:r>
      <w:r w:rsidR="008619D4" w:rsidRPr="0097220D">
        <w:rPr>
          <w:rFonts w:eastAsia="Arial"/>
        </w:rPr>
        <w:t xml:space="preserve"> </w:t>
      </w:r>
      <w:r w:rsidR="006B029C" w:rsidRPr="006AFD62">
        <w:rPr>
          <w:rFonts w:eastAsia="Arial"/>
        </w:rPr>
        <w:t>economic operators</w:t>
      </w:r>
      <w:r w:rsidR="005B506A" w:rsidRPr="006AFD62">
        <w:rPr>
          <w:rFonts w:eastAsia="Arial"/>
        </w:rPr>
        <w:t xml:space="preserve"> </w:t>
      </w:r>
      <w:r w:rsidR="005B506A">
        <w:rPr>
          <w:rFonts w:eastAsia="Arial"/>
        </w:rPr>
        <w:t xml:space="preserve">as a mean to share expertise and </w:t>
      </w:r>
      <w:r w:rsidR="002B1904" w:rsidRPr="002B1904">
        <w:rPr>
          <w:rFonts w:eastAsia="Arial"/>
        </w:rPr>
        <w:t>diversifying and strengthening supply chains</w:t>
      </w:r>
      <w:r w:rsidR="00DE5A06" w:rsidRPr="00F05FE0">
        <w:rPr>
          <w:rFonts w:eastAsia="Arial"/>
        </w:rPr>
        <w:t>.</w:t>
      </w:r>
      <w:r w:rsidR="00080FDB">
        <w:rPr>
          <w:rFonts w:eastAsia="Arial"/>
        </w:rPr>
        <w:t xml:space="preserve"> </w:t>
      </w:r>
      <w:r w:rsidR="00777A94">
        <w:t xml:space="preserve">Recent </w:t>
      </w:r>
      <w:r w:rsidR="00C71C9F">
        <w:t>studies</w:t>
      </w:r>
      <w:r w:rsidR="00777A94">
        <w:t xml:space="preserve"> identified</w:t>
      </w:r>
      <w:r w:rsidR="00C31CA0">
        <w:t xml:space="preserve"> an increasing number of partnerships</w:t>
      </w:r>
      <w:r w:rsidR="00080FDB" w:rsidRPr="004D2A14">
        <w:t xml:space="preserve"> involv</w:t>
      </w:r>
      <w:r w:rsidR="00A33838">
        <w:t>ing</w:t>
      </w:r>
      <w:r w:rsidR="00080FDB" w:rsidRPr="004D2A14">
        <w:t xml:space="preserve"> ex-EU </w:t>
      </w:r>
      <w:r w:rsidR="000E5EA5">
        <w:t xml:space="preserve">biosimilar </w:t>
      </w:r>
      <w:r w:rsidR="00080FDB" w:rsidRPr="004D2A14">
        <w:t xml:space="preserve">companies that </w:t>
      </w:r>
      <w:r w:rsidR="007F35A1">
        <w:t>collaborate</w:t>
      </w:r>
      <w:r w:rsidR="00080FDB" w:rsidRPr="004D2A14">
        <w:t xml:space="preserve"> with European manufacturers to launch products in Europe. Historically, these partnerships were relatively uncommon</w:t>
      </w:r>
      <w:r w:rsidR="00C10EF5">
        <w:t>, but</w:t>
      </w:r>
      <w:r w:rsidR="00615BEF">
        <w:t xml:space="preserve"> their prevalence has</w:t>
      </w:r>
      <w:r w:rsidR="00C10EF5">
        <w:t xml:space="preserve"> increased</w:t>
      </w:r>
      <w:r w:rsidR="002F0B0E">
        <w:t>.</w:t>
      </w:r>
      <w:r w:rsidR="00080FDB" w:rsidRPr="004D2A14">
        <w:t xml:space="preserve"> Between 2006 and 2013, ex-EU partnerships represented 30</w:t>
      </w:r>
      <w:r w:rsidR="00405618">
        <w:t>%</w:t>
      </w:r>
      <w:r w:rsidR="00080FDB" w:rsidRPr="004D2A14">
        <w:t xml:space="preserve"> of all approvals, but more recently this figure increased to 45</w:t>
      </w:r>
      <w:r w:rsidR="00405618">
        <w:t>%</w:t>
      </w:r>
      <w:r w:rsidR="00080FDB" w:rsidRPr="004D2A14">
        <w:t xml:space="preserve"> (2014–2024)</w:t>
      </w:r>
      <w:r w:rsidR="00033CB0">
        <w:t>.</w:t>
      </w:r>
      <w:r w:rsidR="001601CC">
        <w:rPr>
          <w:rStyle w:val="FootnoteReference"/>
        </w:rPr>
        <w:footnoteReference w:id="238"/>
      </w:r>
      <w:r w:rsidR="00033CB0">
        <w:t xml:space="preserve"> </w:t>
      </w:r>
      <w:r w:rsidR="008B0C3B">
        <w:rPr>
          <w:rFonts w:eastAsia="Arial"/>
        </w:rPr>
        <w:t>T</w:t>
      </w:r>
      <w:r w:rsidR="004111B4" w:rsidRPr="0097220D">
        <w:rPr>
          <w:rFonts w:eastAsia="Arial"/>
        </w:rPr>
        <w:t>he proposal</w:t>
      </w:r>
      <w:r w:rsidR="008B0C3B">
        <w:rPr>
          <w:rFonts w:eastAsia="Arial"/>
        </w:rPr>
        <w:t xml:space="preserve"> aims to leverage this trend by</w:t>
      </w:r>
      <w:r w:rsidR="004111B4" w:rsidRPr="0097220D">
        <w:rPr>
          <w:rFonts w:eastAsia="Arial"/>
        </w:rPr>
        <w:t xml:space="preserve"> </w:t>
      </w:r>
      <w:r w:rsidR="008B0C3B">
        <w:rPr>
          <w:rFonts w:eastAsia="Arial"/>
        </w:rPr>
        <w:t>encouraging</w:t>
      </w:r>
      <w:r w:rsidR="004111B4" w:rsidRPr="004111B4">
        <w:rPr>
          <w:rFonts w:eastAsia="Arial"/>
        </w:rPr>
        <w:t xml:space="preserve"> promoters of</w:t>
      </w:r>
      <w:r w:rsidR="004111B4">
        <w:rPr>
          <w:rFonts w:eastAsia="Arial"/>
        </w:rPr>
        <w:t xml:space="preserve"> </w:t>
      </w:r>
      <w:r w:rsidR="00FC187D">
        <w:rPr>
          <w:rFonts w:eastAsia="Arial"/>
        </w:rPr>
        <w:t>biosimilar</w:t>
      </w:r>
      <w:r w:rsidR="004111B4" w:rsidRPr="004111B4">
        <w:rPr>
          <w:rFonts w:eastAsia="Arial"/>
        </w:rPr>
        <w:t xml:space="preserve"> projects to establish or strengthen cooperation with </w:t>
      </w:r>
      <w:r w:rsidR="004111B4" w:rsidRPr="00F05FE0">
        <w:rPr>
          <w:rFonts w:eastAsia="Arial"/>
          <w:b/>
        </w:rPr>
        <w:t xml:space="preserve">international </w:t>
      </w:r>
      <w:r w:rsidR="00FC187D" w:rsidRPr="00F05FE0">
        <w:rPr>
          <w:rFonts w:eastAsia="Arial"/>
          <w:b/>
        </w:rPr>
        <w:t>partners</w:t>
      </w:r>
      <w:r w:rsidR="004111B4" w:rsidRPr="004111B4">
        <w:rPr>
          <w:rFonts w:eastAsia="Arial"/>
        </w:rPr>
        <w:t xml:space="preserve">, including with a view to fulfilling the conditions for the recognition of </w:t>
      </w:r>
      <w:r w:rsidR="00B941F3">
        <w:rPr>
          <w:rFonts w:eastAsia="Arial"/>
        </w:rPr>
        <w:t>biosimilar</w:t>
      </w:r>
      <w:r w:rsidR="004111B4" w:rsidRPr="004111B4">
        <w:rPr>
          <w:rFonts w:eastAsia="Arial"/>
        </w:rPr>
        <w:t xml:space="preserve"> strategic projects</w:t>
      </w:r>
      <w:r w:rsidR="003C2108" w:rsidRPr="00F05FE0">
        <w:rPr>
          <w:rFonts w:eastAsia="Arial"/>
        </w:rPr>
        <w:t>.</w:t>
      </w:r>
      <w:r w:rsidR="00C71C9F">
        <w:rPr>
          <w:rFonts w:eastAsia="Arial"/>
        </w:rPr>
        <w:t xml:space="preserve"> </w:t>
      </w:r>
    </w:p>
    <w:p w14:paraId="20B73126" w14:textId="6F772519" w:rsidR="0079784B" w:rsidRDefault="00523EAD" w:rsidP="00443C31">
      <w:pPr>
        <w:rPr>
          <w:rFonts w:eastAsia="Arial"/>
        </w:rPr>
      </w:pPr>
      <w:r>
        <w:rPr>
          <w:rFonts w:eastAsia="Arial"/>
        </w:rPr>
        <w:t xml:space="preserve">When it comes to </w:t>
      </w:r>
      <w:r w:rsidRPr="00E11C79">
        <w:rPr>
          <w:rFonts w:eastAsia="Arial"/>
          <w:b/>
        </w:rPr>
        <w:t>research and innovation</w:t>
      </w:r>
      <w:r>
        <w:rPr>
          <w:rFonts w:eastAsia="Arial"/>
          <w:b/>
        </w:rPr>
        <w:t xml:space="preserve"> (R&amp;I)</w:t>
      </w:r>
      <w:r w:rsidR="00610971">
        <w:rPr>
          <w:rFonts w:eastAsia="Arial"/>
        </w:rPr>
        <w:t>, a</w:t>
      </w:r>
      <w:r w:rsidR="00D15509">
        <w:rPr>
          <w:rFonts w:eastAsia="Arial"/>
        </w:rPr>
        <w:t xml:space="preserve">s per </w:t>
      </w:r>
      <w:r w:rsidR="00DF284D">
        <w:rPr>
          <w:rFonts w:eastAsia="Arial"/>
        </w:rPr>
        <w:t>specific</w:t>
      </w:r>
      <w:r w:rsidR="00D15509">
        <w:rPr>
          <w:rFonts w:eastAsia="Arial"/>
        </w:rPr>
        <w:t xml:space="preserve"> eligibility criteria </w:t>
      </w:r>
      <w:r w:rsidR="00DF284D">
        <w:rPr>
          <w:rFonts w:eastAsia="Arial"/>
        </w:rPr>
        <w:t>proposed</w:t>
      </w:r>
      <w:r w:rsidR="00610971">
        <w:rPr>
          <w:rFonts w:eastAsia="Arial"/>
        </w:rPr>
        <w:t xml:space="preserve"> in Article 29</w:t>
      </w:r>
      <w:r w:rsidR="00D15509">
        <w:rPr>
          <w:rFonts w:eastAsia="Arial"/>
        </w:rPr>
        <w:t xml:space="preserve">, </w:t>
      </w:r>
      <w:r w:rsidR="00D15509" w:rsidRPr="00F05FE0">
        <w:rPr>
          <w:rFonts w:eastAsia="Arial"/>
        </w:rPr>
        <w:t>the</w:t>
      </w:r>
      <w:r w:rsidR="00A44D8F" w:rsidRPr="00F05FE0">
        <w:rPr>
          <w:rFonts w:eastAsia="Arial"/>
        </w:rPr>
        <w:t xml:space="preserve"> recognised project</w:t>
      </w:r>
      <w:r w:rsidR="00717632" w:rsidRPr="00F05FE0">
        <w:rPr>
          <w:rFonts w:eastAsia="Arial"/>
        </w:rPr>
        <w:t>s</w:t>
      </w:r>
      <w:r w:rsidR="00A44D8F" w:rsidRPr="00F05FE0">
        <w:rPr>
          <w:rFonts w:eastAsia="Arial"/>
        </w:rPr>
        <w:t xml:space="preserve"> could </w:t>
      </w:r>
      <w:r w:rsidR="00717632" w:rsidRPr="00F05FE0">
        <w:rPr>
          <w:rFonts w:eastAsia="Arial"/>
        </w:rPr>
        <w:t xml:space="preserve">contribute </w:t>
      </w:r>
      <w:r w:rsidR="00B363D3" w:rsidRPr="00F05FE0">
        <w:rPr>
          <w:rFonts w:eastAsia="Arial"/>
        </w:rPr>
        <w:t xml:space="preserve">to R&amp;I through setting up </w:t>
      </w:r>
      <w:r w:rsidR="00E04DE0" w:rsidRPr="00F05FE0">
        <w:rPr>
          <w:rFonts w:eastAsia="Arial"/>
        </w:rPr>
        <w:t xml:space="preserve">or extending </w:t>
      </w:r>
      <w:r w:rsidR="00B363D3" w:rsidRPr="00F05FE0">
        <w:rPr>
          <w:rFonts w:eastAsia="Arial"/>
        </w:rPr>
        <w:t xml:space="preserve">infrastructures for </w:t>
      </w:r>
      <w:r w:rsidR="00491FDE" w:rsidRPr="00F05FE0">
        <w:rPr>
          <w:rFonts w:eastAsia="Arial"/>
        </w:rPr>
        <w:t xml:space="preserve">biosimilar </w:t>
      </w:r>
      <w:r w:rsidR="00B363D3" w:rsidRPr="00F05FE0">
        <w:rPr>
          <w:rFonts w:eastAsia="Arial"/>
        </w:rPr>
        <w:t>analytical testing; strengthening the use of platform technologies</w:t>
      </w:r>
      <w:r w:rsidR="00153C57" w:rsidRPr="00F05FE0">
        <w:rPr>
          <w:rFonts w:eastAsia="Arial"/>
        </w:rPr>
        <w:t xml:space="preserve"> </w:t>
      </w:r>
      <w:r w:rsidR="004B3614" w:rsidRPr="00F05FE0">
        <w:rPr>
          <w:rFonts w:eastAsia="Arial"/>
        </w:rPr>
        <w:t xml:space="preserve">for </w:t>
      </w:r>
      <w:r w:rsidR="00153C57" w:rsidRPr="00F05FE0">
        <w:rPr>
          <w:rFonts w:eastAsia="Arial"/>
        </w:rPr>
        <w:t>research, development and marketing authorisation</w:t>
      </w:r>
      <w:r w:rsidR="00D15509">
        <w:rPr>
          <w:rFonts w:eastAsia="Arial"/>
        </w:rPr>
        <w:t>;</w:t>
      </w:r>
      <w:r w:rsidR="004B3614">
        <w:rPr>
          <w:rFonts w:eastAsia="Arial"/>
        </w:rPr>
        <w:t xml:space="preserve"> and</w:t>
      </w:r>
      <w:r w:rsidR="00811ED6">
        <w:rPr>
          <w:rFonts w:eastAsia="Arial"/>
        </w:rPr>
        <w:t xml:space="preserve"> develop</w:t>
      </w:r>
      <w:r w:rsidR="00D15509">
        <w:rPr>
          <w:rFonts w:eastAsia="Arial"/>
        </w:rPr>
        <w:t>ing</w:t>
      </w:r>
      <w:r w:rsidR="00811ED6">
        <w:rPr>
          <w:rFonts w:eastAsia="Arial"/>
        </w:rPr>
        <w:t xml:space="preserve"> </w:t>
      </w:r>
      <w:r w:rsidR="00811ED6" w:rsidRPr="00811ED6">
        <w:rPr>
          <w:rFonts w:eastAsia="Arial"/>
        </w:rPr>
        <w:t xml:space="preserve">analytical methodologies that would reduce the need for clinical data for </w:t>
      </w:r>
      <w:r w:rsidR="00AB7746">
        <w:rPr>
          <w:rFonts w:eastAsia="Arial"/>
        </w:rPr>
        <w:t xml:space="preserve">the development and approval of </w:t>
      </w:r>
      <w:r w:rsidR="00811ED6" w:rsidRPr="00811ED6">
        <w:rPr>
          <w:rFonts w:eastAsia="Arial"/>
        </w:rPr>
        <w:t>biosimilars</w:t>
      </w:r>
      <w:r w:rsidR="00845527">
        <w:rPr>
          <w:rFonts w:eastAsia="Arial"/>
        </w:rPr>
        <w:t xml:space="preserve">. </w:t>
      </w:r>
      <w:r w:rsidR="00580769">
        <w:rPr>
          <w:rFonts w:eastAsia="Arial"/>
        </w:rPr>
        <w:t>The impact of the measure on R&amp;I will depend on how many recognised projects will focus on material research or analytical innovation outputs.</w:t>
      </w:r>
      <w:r w:rsidR="002374C9">
        <w:rPr>
          <w:rFonts w:eastAsia="Arial"/>
        </w:rPr>
        <w:t xml:space="preserve"> As</w:t>
      </w:r>
      <w:r w:rsidR="00D87FD7">
        <w:rPr>
          <w:rFonts w:eastAsia="Arial"/>
        </w:rPr>
        <w:t xml:space="preserve"> mentioned in the conduct of business section above,</w:t>
      </w:r>
      <w:r w:rsidR="002374C9">
        <w:rPr>
          <w:rFonts w:eastAsia="Arial"/>
        </w:rPr>
        <w:t xml:space="preserve"> b</w:t>
      </w:r>
      <w:r w:rsidR="002374C9" w:rsidRPr="00E11C79">
        <w:rPr>
          <w:rFonts w:eastAsia="Arial"/>
        </w:rPr>
        <w:t>iosimilar projects are framed as a subset of the total strategic project pipeline</w:t>
      </w:r>
      <w:r w:rsidR="00D87FD7">
        <w:rPr>
          <w:rFonts w:eastAsia="Arial"/>
        </w:rPr>
        <w:t xml:space="preserve">. Out of all </w:t>
      </w:r>
      <w:r w:rsidR="000A1AC6">
        <w:rPr>
          <w:rFonts w:eastAsia="Arial"/>
        </w:rPr>
        <w:t>3-5</w:t>
      </w:r>
      <w:r w:rsidR="00D87FD7">
        <w:rPr>
          <w:rFonts w:eastAsia="Arial"/>
        </w:rPr>
        <w:t xml:space="preserve"> biosimilar strategic projects</w:t>
      </w:r>
      <w:r w:rsidR="00865440">
        <w:rPr>
          <w:rFonts w:eastAsia="Arial"/>
        </w:rPr>
        <w:t xml:space="preserve"> in a low uptake scenario</w:t>
      </w:r>
      <w:r w:rsidR="006F6A53">
        <w:rPr>
          <w:rFonts w:eastAsia="Arial"/>
        </w:rPr>
        <w:t>,</w:t>
      </w:r>
      <w:r w:rsidR="002374C9">
        <w:rPr>
          <w:rFonts w:eastAsia="Arial"/>
        </w:rPr>
        <w:t xml:space="preserve"> we assume 1-2 </w:t>
      </w:r>
      <w:r w:rsidR="00865440">
        <w:rPr>
          <w:rFonts w:eastAsia="Arial"/>
        </w:rPr>
        <w:t>to be</w:t>
      </w:r>
      <w:r w:rsidR="002374C9">
        <w:rPr>
          <w:rFonts w:eastAsia="Arial"/>
        </w:rPr>
        <w:t xml:space="preserve"> </w:t>
      </w:r>
      <w:r w:rsidR="00064EA7">
        <w:rPr>
          <w:rFonts w:eastAsia="Arial"/>
        </w:rPr>
        <w:t xml:space="preserve">R&amp;I focused; 2-4 </w:t>
      </w:r>
      <w:r w:rsidR="00B94C1A">
        <w:rPr>
          <w:rFonts w:eastAsia="Arial"/>
        </w:rPr>
        <w:t>out of 8-12</w:t>
      </w:r>
      <w:r w:rsidR="00064EA7">
        <w:rPr>
          <w:rFonts w:eastAsia="Arial"/>
        </w:rPr>
        <w:t xml:space="preserve"> in a medium uptake scenario; and 3-6 </w:t>
      </w:r>
      <w:r w:rsidR="00B94C1A">
        <w:rPr>
          <w:rFonts w:eastAsia="Arial"/>
        </w:rPr>
        <w:t xml:space="preserve">out of 15-20 </w:t>
      </w:r>
      <w:r w:rsidR="00064EA7">
        <w:rPr>
          <w:rFonts w:eastAsia="Arial"/>
        </w:rPr>
        <w:t>in a high uptake scenario</w:t>
      </w:r>
      <w:r w:rsidR="00A565C4">
        <w:rPr>
          <w:rFonts w:eastAsia="Arial"/>
        </w:rPr>
        <w:t xml:space="preserve"> (see Annex 7 for </w:t>
      </w:r>
      <w:r w:rsidR="006F6A53">
        <w:rPr>
          <w:rFonts w:eastAsia="Arial"/>
        </w:rPr>
        <w:t>full</w:t>
      </w:r>
      <w:r w:rsidR="00A565C4">
        <w:rPr>
          <w:rFonts w:eastAsia="Arial"/>
        </w:rPr>
        <w:t xml:space="preserve"> </w:t>
      </w:r>
      <w:r w:rsidR="00507075">
        <w:rPr>
          <w:rFonts w:eastAsia="Arial"/>
        </w:rPr>
        <w:t>table of scenarios uptake</w:t>
      </w:r>
      <w:r w:rsidR="00A565C4">
        <w:rPr>
          <w:rFonts w:eastAsia="Arial"/>
        </w:rPr>
        <w:t>)</w:t>
      </w:r>
      <w:r w:rsidR="00064EA7">
        <w:rPr>
          <w:rFonts w:eastAsia="Arial"/>
        </w:rPr>
        <w:t>.</w:t>
      </w:r>
    </w:p>
    <w:p w14:paraId="0E4E8887" w14:textId="3BE325A9" w:rsidR="003C363D" w:rsidRDefault="00122DA7" w:rsidP="000B14A8">
      <w:pPr>
        <w:rPr>
          <w:rFonts w:eastAsia="Arial"/>
        </w:rPr>
      </w:pPr>
      <w:r w:rsidRPr="00E11C79">
        <w:rPr>
          <w:b/>
        </w:rPr>
        <w:t xml:space="preserve">The administrative costs </w:t>
      </w:r>
      <w:r w:rsidR="008619D4" w:rsidRPr="00E11C79">
        <w:rPr>
          <w:b/>
          <w:bCs/>
        </w:rPr>
        <w:t>for</w:t>
      </w:r>
      <w:r w:rsidR="008619D4" w:rsidRPr="00E11C79">
        <w:t xml:space="preserve"> </w:t>
      </w:r>
      <w:r w:rsidRPr="00E11C79">
        <w:rPr>
          <w:b/>
        </w:rPr>
        <w:t>public authorities</w:t>
      </w:r>
      <w:r w:rsidRPr="00E11C79">
        <w:t xml:space="preserve"> </w:t>
      </w:r>
      <w:r w:rsidR="35685924">
        <w:t>are</w:t>
      </w:r>
      <w:r w:rsidRPr="00E11C79">
        <w:t xml:space="preserve"> part of the overall cost analysed in chapter II for strategic project</w:t>
      </w:r>
      <w:r w:rsidR="00884BFE">
        <w:t>s</w:t>
      </w:r>
      <w:r w:rsidRPr="00E11C79">
        <w:t xml:space="preserve">. The initiative </w:t>
      </w:r>
      <w:r w:rsidRPr="00E11C79">
        <w:rPr>
          <w:rFonts w:eastAsia="Arial"/>
        </w:rPr>
        <w:t>does not create a separate approval architecture</w:t>
      </w:r>
      <w:r w:rsidRPr="00E11C79">
        <w:t xml:space="preserve"> for biosimilar strategic projects specifically</w:t>
      </w:r>
      <w:r w:rsidRPr="00E11C79">
        <w:rPr>
          <w:rFonts w:eastAsia="Arial"/>
        </w:rPr>
        <w:t>.</w:t>
      </w:r>
      <w:r w:rsidRPr="00E11C79">
        <w:t xml:space="preserve"> Efficiency gains are expected to emerge over time as procedures </w:t>
      </w:r>
      <w:r w:rsidRPr="00D5559B">
        <w:t>standardise</w:t>
      </w:r>
      <w:r w:rsidR="00D5559B" w:rsidRPr="00D5559B">
        <w:t>,</w:t>
      </w:r>
      <w:r w:rsidRPr="00E11C79">
        <w:t xml:space="preserve"> and administrative experience accumulates. </w:t>
      </w:r>
      <w:r w:rsidRPr="00E11C79">
        <w:rPr>
          <w:rFonts w:eastAsia="Arial"/>
        </w:rPr>
        <w:t>By 2030–2038, as the recognition process matures and uptake increases (estimated at 8–12 biosimilar projects under the medium scenario), the net effect is expected to be decisively positive for the sector.</w:t>
      </w:r>
    </w:p>
    <w:tbl>
      <w:tblPr>
        <w:tblStyle w:val="TableGrid"/>
        <w:tblpPr w:leftFromText="180" w:rightFromText="180" w:vertAnchor="text" w:horzAnchor="margin" w:tblpY="394"/>
        <w:tblW w:w="8560" w:type="dxa"/>
        <w:tblLook w:val="04A0" w:firstRow="1" w:lastRow="0" w:firstColumn="1" w:lastColumn="0" w:noHBand="0" w:noVBand="1"/>
      </w:tblPr>
      <w:tblGrid>
        <w:gridCol w:w="2041"/>
        <w:gridCol w:w="907"/>
        <w:gridCol w:w="907"/>
        <w:gridCol w:w="907"/>
        <w:gridCol w:w="1077"/>
        <w:gridCol w:w="907"/>
        <w:gridCol w:w="907"/>
        <w:gridCol w:w="907"/>
      </w:tblGrid>
      <w:tr w:rsidR="00F16324" w:rsidRPr="0093322D" w14:paraId="4E855307" w14:textId="77777777" w:rsidTr="00F16324">
        <w:tc>
          <w:tcPr>
            <w:tcW w:w="2041" w:type="dxa"/>
          </w:tcPr>
          <w:p w14:paraId="7ECF565A" w14:textId="14289EE9" w:rsidR="00F16324" w:rsidRPr="00876704" w:rsidRDefault="00F16324" w:rsidP="006E6745">
            <w:pPr>
              <w:pStyle w:val="TABLEFONT"/>
              <w:framePr w:hSpace="0" w:wrap="auto" w:vAnchor="margin" w:hAnchor="text" w:yAlign="inline"/>
            </w:pPr>
            <w:r w:rsidRPr="00876704">
              <w:t>Policy</w:t>
            </w:r>
            <w:r w:rsidR="00E73A27">
              <w:t xml:space="preserve"> measure</w:t>
            </w:r>
            <w:r w:rsidRPr="00876704">
              <w:t xml:space="preserve"> </w:t>
            </w:r>
          </w:p>
        </w:tc>
        <w:tc>
          <w:tcPr>
            <w:tcW w:w="907" w:type="dxa"/>
          </w:tcPr>
          <w:p w14:paraId="7330BF17" w14:textId="77777777" w:rsidR="00F16324" w:rsidRPr="00876704" w:rsidRDefault="00F16324" w:rsidP="006E6745">
            <w:pPr>
              <w:pStyle w:val="TABLEFONT"/>
              <w:framePr w:hSpace="0" w:wrap="auto" w:vAnchor="margin" w:hAnchor="text" w:yAlign="inline"/>
            </w:pPr>
            <w:r w:rsidRPr="00876704">
              <w:t>COB</w:t>
            </w:r>
          </w:p>
        </w:tc>
        <w:tc>
          <w:tcPr>
            <w:tcW w:w="907" w:type="dxa"/>
          </w:tcPr>
          <w:p w14:paraId="301FD40F" w14:textId="77777777" w:rsidR="00F16324" w:rsidRPr="00876704" w:rsidRDefault="00F16324" w:rsidP="006E6745">
            <w:pPr>
              <w:pStyle w:val="TABLEFONT"/>
              <w:framePr w:hSpace="0" w:wrap="auto" w:vAnchor="margin" w:hAnchor="text" w:yAlign="inline"/>
            </w:pPr>
            <w:r w:rsidRPr="00876704">
              <w:t>Admin</w:t>
            </w:r>
          </w:p>
        </w:tc>
        <w:tc>
          <w:tcPr>
            <w:tcW w:w="907" w:type="dxa"/>
          </w:tcPr>
          <w:p w14:paraId="50172348" w14:textId="77777777" w:rsidR="00F16324" w:rsidRPr="00876704" w:rsidRDefault="00F16324" w:rsidP="006E6745">
            <w:pPr>
              <w:pStyle w:val="TABLEFONT"/>
              <w:framePr w:hSpace="0" w:wrap="auto" w:vAnchor="margin" w:hAnchor="text" w:yAlign="inline"/>
            </w:pPr>
            <w:r w:rsidRPr="00876704">
              <w:t>CTI</w:t>
            </w:r>
          </w:p>
        </w:tc>
        <w:tc>
          <w:tcPr>
            <w:tcW w:w="1077" w:type="dxa"/>
          </w:tcPr>
          <w:p w14:paraId="22B16736" w14:textId="77777777" w:rsidR="00F16324" w:rsidRPr="00876704" w:rsidRDefault="00F16324" w:rsidP="006E6745">
            <w:pPr>
              <w:pStyle w:val="TABLEFONT"/>
              <w:framePr w:hSpace="0" w:wrap="auto" w:vAnchor="margin" w:hAnchor="text" w:yAlign="inline"/>
            </w:pPr>
            <w:r w:rsidRPr="00876704">
              <w:t>Int Mar</w:t>
            </w:r>
          </w:p>
        </w:tc>
        <w:tc>
          <w:tcPr>
            <w:tcW w:w="907" w:type="dxa"/>
          </w:tcPr>
          <w:p w14:paraId="0AD1453B" w14:textId="77777777" w:rsidR="00F16324" w:rsidRPr="00876704" w:rsidRDefault="00F16324" w:rsidP="006E6745">
            <w:pPr>
              <w:pStyle w:val="TABLEFONT"/>
              <w:framePr w:hSpace="0" w:wrap="auto" w:vAnchor="margin" w:hAnchor="text" w:yAlign="inline"/>
              <w:rPr>
                <w:lang w:val="en-US"/>
              </w:rPr>
            </w:pPr>
            <w:r w:rsidRPr="00876704">
              <w:t>I</w:t>
            </w:r>
            <w:r w:rsidRPr="00876704">
              <w:rPr>
                <w:lang w:val="en-US"/>
              </w:rPr>
              <w:t>&amp;R</w:t>
            </w:r>
          </w:p>
        </w:tc>
        <w:tc>
          <w:tcPr>
            <w:tcW w:w="907" w:type="dxa"/>
          </w:tcPr>
          <w:p w14:paraId="1959AE45" w14:textId="77777777" w:rsidR="00F16324" w:rsidRPr="00876704" w:rsidRDefault="00F16324" w:rsidP="006E6745">
            <w:pPr>
              <w:pStyle w:val="TABLEFONT"/>
              <w:framePr w:hSpace="0" w:wrap="auto" w:vAnchor="margin" w:hAnchor="text" w:yAlign="inline"/>
            </w:pPr>
            <w:r w:rsidRPr="00876704">
              <w:t>PA</w:t>
            </w:r>
          </w:p>
        </w:tc>
        <w:tc>
          <w:tcPr>
            <w:tcW w:w="907" w:type="dxa"/>
          </w:tcPr>
          <w:p w14:paraId="207F4BA2" w14:textId="77777777" w:rsidR="00F16324" w:rsidRPr="00876704" w:rsidRDefault="00F16324" w:rsidP="006E6745">
            <w:pPr>
              <w:pStyle w:val="TABLEFONT"/>
              <w:framePr w:hSpace="0" w:wrap="auto" w:vAnchor="margin" w:hAnchor="text" w:yAlign="inline"/>
            </w:pPr>
            <w:r w:rsidRPr="00876704">
              <w:t>H&amp;S</w:t>
            </w:r>
          </w:p>
        </w:tc>
      </w:tr>
      <w:tr w:rsidR="00F16324" w:rsidRPr="0093322D" w14:paraId="4732700A" w14:textId="77777777" w:rsidTr="00F16324">
        <w:tc>
          <w:tcPr>
            <w:tcW w:w="2041" w:type="dxa"/>
          </w:tcPr>
          <w:p w14:paraId="6BCF10D4" w14:textId="41C8CF00" w:rsidR="00F16324" w:rsidRPr="00876704" w:rsidRDefault="00F16324" w:rsidP="006E6745">
            <w:pPr>
              <w:pStyle w:val="TABLEFONT"/>
              <w:framePr w:hSpace="0" w:wrap="auto" w:vAnchor="margin" w:hAnchor="text" w:yAlign="inline"/>
            </w:pPr>
            <w:r w:rsidRPr="00876704">
              <w:rPr>
                <w:rFonts w:eastAsia="Arial"/>
              </w:rPr>
              <w:t>1</w:t>
            </w:r>
            <w:r w:rsidR="006B4BF3">
              <w:rPr>
                <w:rFonts w:eastAsia="Arial"/>
              </w:rPr>
              <w:t>.</w:t>
            </w:r>
            <w:r w:rsidRPr="00876704">
              <w:rPr>
                <w:rFonts w:eastAsia="Arial"/>
              </w:rPr>
              <w:t xml:space="preserve"> Tailored regulatory approach (Art. 28)</w:t>
            </w:r>
          </w:p>
        </w:tc>
        <w:tc>
          <w:tcPr>
            <w:tcW w:w="907" w:type="dxa"/>
          </w:tcPr>
          <w:p w14:paraId="01C57454" w14:textId="77777777" w:rsidR="00F16324" w:rsidRPr="00876704" w:rsidRDefault="00F16324" w:rsidP="006E6745">
            <w:pPr>
              <w:pStyle w:val="TABLEFONT"/>
              <w:framePr w:hSpace="0" w:wrap="auto" w:vAnchor="margin" w:hAnchor="text" w:yAlign="inline"/>
            </w:pPr>
            <w:r w:rsidRPr="00876704">
              <w:t>++</w:t>
            </w:r>
          </w:p>
        </w:tc>
        <w:tc>
          <w:tcPr>
            <w:tcW w:w="907" w:type="dxa"/>
          </w:tcPr>
          <w:p w14:paraId="0F0C6FCB" w14:textId="77777777" w:rsidR="00F16324" w:rsidRPr="00876704" w:rsidRDefault="00F16324" w:rsidP="006E6745">
            <w:pPr>
              <w:pStyle w:val="TABLEFONT"/>
              <w:framePr w:hSpace="0" w:wrap="auto" w:vAnchor="margin" w:hAnchor="text" w:yAlign="inline"/>
            </w:pPr>
            <w:r w:rsidRPr="00876704">
              <w:t>+</w:t>
            </w:r>
          </w:p>
        </w:tc>
        <w:tc>
          <w:tcPr>
            <w:tcW w:w="907" w:type="dxa"/>
          </w:tcPr>
          <w:p w14:paraId="6B2977D7" w14:textId="77777777" w:rsidR="00F16324" w:rsidRPr="00876704" w:rsidRDefault="00F16324" w:rsidP="006E6745">
            <w:pPr>
              <w:pStyle w:val="TABLEFONT"/>
              <w:framePr w:hSpace="0" w:wrap="auto" w:vAnchor="margin" w:hAnchor="text" w:yAlign="inline"/>
            </w:pPr>
            <w:r w:rsidRPr="00876704">
              <w:t>+</w:t>
            </w:r>
          </w:p>
        </w:tc>
        <w:tc>
          <w:tcPr>
            <w:tcW w:w="1077" w:type="dxa"/>
          </w:tcPr>
          <w:p w14:paraId="30E773AF" w14:textId="77777777" w:rsidR="00F16324" w:rsidRPr="00876704" w:rsidRDefault="00F16324" w:rsidP="006E6745">
            <w:pPr>
              <w:pStyle w:val="TABLEFONT"/>
              <w:framePr w:hSpace="0" w:wrap="auto" w:vAnchor="margin" w:hAnchor="text" w:yAlign="inline"/>
            </w:pPr>
            <w:r w:rsidRPr="00876704">
              <w:t>+</w:t>
            </w:r>
          </w:p>
        </w:tc>
        <w:tc>
          <w:tcPr>
            <w:tcW w:w="907" w:type="dxa"/>
          </w:tcPr>
          <w:p w14:paraId="3A4DCEBA" w14:textId="77777777" w:rsidR="00F16324" w:rsidRPr="00876704" w:rsidRDefault="00F16324" w:rsidP="006E6745">
            <w:pPr>
              <w:pStyle w:val="TABLEFONT"/>
              <w:framePr w:hSpace="0" w:wrap="auto" w:vAnchor="margin" w:hAnchor="text" w:yAlign="inline"/>
            </w:pPr>
            <w:r w:rsidRPr="00876704">
              <w:t>+</w:t>
            </w:r>
          </w:p>
        </w:tc>
        <w:tc>
          <w:tcPr>
            <w:tcW w:w="907" w:type="dxa"/>
          </w:tcPr>
          <w:p w14:paraId="56007A5A" w14:textId="77777777" w:rsidR="00F16324" w:rsidRPr="00876704" w:rsidRDefault="00F16324" w:rsidP="006E6745">
            <w:pPr>
              <w:pStyle w:val="TABLEFONT"/>
              <w:framePr w:hSpace="0" w:wrap="auto" w:vAnchor="margin" w:hAnchor="text" w:yAlign="inline"/>
            </w:pPr>
            <w:r w:rsidRPr="00876704">
              <w:t>-</w:t>
            </w:r>
          </w:p>
        </w:tc>
        <w:tc>
          <w:tcPr>
            <w:tcW w:w="907" w:type="dxa"/>
          </w:tcPr>
          <w:p w14:paraId="6B62C528" w14:textId="77777777" w:rsidR="00F16324" w:rsidRPr="00876704" w:rsidRDefault="00F16324" w:rsidP="006E6745">
            <w:pPr>
              <w:pStyle w:val="TABLEFONT"/>
              <w:framePr w:hSpace="0" w:wrap="auto" w:vAnchor="margin" w:hAnchor="text" w:yAlign="inline"/>
            </w:pPr>
            <w:r w:rsidRPr="00876704">
              <w:t>+</w:t>
            </w:r>
          </w:p>
        </w:tc>
      </w:tr>
      <w:tr w:rsidR="00F16324" w:rsidRPr="0093322D" w14:paraId="0334C6B0" w14:textId="77777777" w:rsidTr="00F16324">
        <w:tc>
          <w:tcPr>
            <w:tcW w:w="2041" w:type="dxa"/>
          </w:tcPr>
          <w:p w14:paraId="750107AC" w14:textId="2E54F3BF" w:rsidR="00F16324" w:rsidRPr="00876704" w:rsidRDefault="00F16324" w:rsidP="006E6745">
            <w:pPr>
              <w:pStyle w:val="TABLEFONT"/>
              <w:framePr w:hSpace="0" w:wrap="auto" w:vAnchor="margin" w:hAnchor="text" w:yAlign="inline"/>
            </w:pPr>
            <w:r w:rsidRPr="00876704">
              <w:rPr>
                <w:rFonts w:eastAsia="Arial"/>
              </w:rPr>
              <w:t>2</w:t>
            </w:r>
            <w:r w:rsidR="00E73A27">
              <w:rPr>
                <w:rFonts w:eastAsia="Arial"/>
              </w:rPr>
              <w:t>.</w:t>
            </w:r>
            <w:r w:rsidRPr="00876704">
              <w:rPr>
                <w:rFonts w:eastAsia="Arial"/>
              </w:rPr>
              <w:t xml:space="preserve"> Strategic project support (Art. 29-30)</w:t>
            </w:r>
          </w:p>
        </w:tc>
        <w:tc>
          <w:tcPr>
            <w:tcW w:w="907" w:type="dxa"/>
          </w:tcPr>
          <w:p w14:paraId="43903BBC" w14:textId="77777777" w:rsidR="00F16324" w:rsidRPr="00876704" w:rsidRDefault="00F16324" w:rsidP="006E6745">
            <w:pPr>
              <w:pStyle w:val="TABLEFONT"/>
              <w:framePr w:hSpace="0" w:wrap="auto" w:vAnchor="margin" w:hAnchor="text" w:yAlign="inline"/>
            </w:pPr>
            <w:r w:rsidRPr="00876704">
              <w:t>+</w:t>
            </w:r>
          </w:p>
        </w:tc>
        <w:tc>
          <w:tcPr>
            <w:tcW w:w="907" w:type="dxa"/>
          </w:tcPr>
          <w:p w14:paraId="0F5064A8" w14:textId="77777777" w:rsidR="00F16324" w:rsidRPr="00876704" w:rsidRDefault="00F16324" w:rsidP="006E6745">
            <w:pPr>
              <w:pStyle w:val="TABLEFONT"/>
              <w:framePr w:hSpace="0" w:wrap="auto" w:vAnchor="margin" w:hAnchor="text" w:yAlign="inline"/>
            </w:pPr>
            <w:r w:rsidRPr="00876704">
              <w:t>+/-</w:t>
            </w:r>
          </w:p>
        </w:tc>
        <w:tc>
          <w:tcPr>
            <w:tcW w:w="907" w:type="dxa"/>
          </w:tcPr>
          <w:p w14:paraId="1A322DD7" w14:textId="77777777" w:rsidR="00F16324" w:rsidRPr="00876704" w:rsidRDefault="00F16324" w:rsidP="006E6745">
            <w:pPr>
              <w:pStyle w:val="TABLEFONT"/>
              <w:framePr w:hSpace="0" w:wrap="auto" w:vAnchor="margin" w:hAnchor="text" w:yAlign="inline"/>
            </w:pPr>
            <w:r w:rsidRPr="00876704">
              <w:t>+</w:t>
            </w:r>
          </w:p>
        </w:tc>
        <w:tc>
          <w:tcPr>
            <w:tcW w:w="1077" w:type="dxa"/>
          </w:tcPr>
          <w:p w14:paraId="12155C69" w14:textId="77777777" w:rsidR="00F16324" w:rsidRPr="00876704" w:rsidRDefault="00F16324" w:rsidP="006E6745">
            <w:pPr>
              <w:pStyle w:val="TABLEFONT"/>
              <w:framePr w:hSpace="0" w:wrap="auto" w:vAnchor="margin" w:hAnchor="text" w:yAlign="inline"/>
            </w:pPr>
            <w:r w:rsidRPr="00876704">
              <w:t>+</w:t>
            </w:r>
          </w:p>
        </w:tc>
        <w:tc>
          <w:tcPr>
            <w:tcW w:w="907" w:type="dxa"/>
          </w:tcPr>
          <w:p w14:paraId="5886F0AD" w14:textId="77777777" w:rsidR="00F16324" w:rsidRPr="00876704" w:rsidRDefault="00F16324" w:rsidP="006E6745">
            <w:pPr>
              <w:pStyle w:val="TABLEFONT"/>
              <w:framePr w:hSpace="0" w:wrap="auto" w:vAnchor="margin" w:hAnchor="text" w:yAlign="inline"/>
            </w:pPr>
            <w:r w:rsidRPr="00876704">
              <w:t>+</w:t>
            </w:r>
          </w:p>
        </w:tc>
        <w:tc>
          <w:tcPr>
            <w:tcW w:w="907" w:type="dxa"/>
          </w:tcPr>
          <w:p w14:paraId="4BCBF018" w14:textId="77777777" w:rsidR="00F16324" w:rsidRPr="00876704" w:rsidRDefault="00F16324" w:rsidP="006E6745">
            <w:pPr>
              <w:pStyle w:val="TABLEFONT"/>
              <w:framePr w:hSpace="0" w:wrap="auto" w:vAnchor="margin" w:hAnchor="text" w:yAlign="inline"/>
            </w:pPr>
            <w:r w:rsidRPr="00876704">
              <w:t>-</w:t>
            </w:r>
          </w:p>
        </w:tc>
        <w:tc>
          <w:tcPr>
            <w:tcW w:w="907" w:type="dxa"/>
          </w:tcPr>
          <w:p w14:paraId="69C69AFD" w14:textId="77777777" w:rsidR="00F16324" w:rsidRPr="00876704" w:rsidRDefault="00F16324" w:rsidP="006E6745">
            <w:pPr>
              <w:pStyle w:val="TABLEFONT"/>
              <w:framePr w:hSpace="0" w:wrap="auto" w:vAnchor="margin" w:hAnchor="text" w:yAlign="inline"/>
            </w:pPr>
            <w:r w:rsidRPr="00876704">
              <w:t>0/+</w:t>
            </w:r>
          </w:p>
        </w:tc>
      </w:tr>
    </w:tbl>
    <w:p w14:paraId="0647EFE3" w14:textId="37627117" w:rsidR="0046006B" w:rsidRDefault="0044455E" w:rsidP="00BB0394">
      <w:pPr>
        <w:pBdr>
          <w:top w:val="nil"/>
          <w:left w:val="nil"/>
          <w:bottom w:val="nil"/>
          <w:right w:val="nil"/>
          <w:between w:val="nil"/>
        </w:pBdr>
        <w:rPr>
          <w:rFonts w:eastAsia="Times New Roman"/>
          <w:b/>
          <w:color w:val="000000" w:themeColor="text1"/>
        </w:rPr>
      </w:pPr>
      <w:r w:rsidRPr="00514904">
        <w:rPr>
          <w:rFonts w:eastAsia="Times New Roman"/>
          <w:b/>
          <w:color w:val="000000" w:themeColor="text1"/>
        </w:rPr>
        <w:t xml:space="preserve">Table </w:t>
      </w:r>
      <w:r w:rsidR="00F37494" w:rsidRPr="00514904">
        <w:rPr>
          <w:rFonts w:eastAsia="Times New Roman"/>
          <w:b/>
          <w:color w:val="000000" w:themeColor="text1"/>
        </w:rPr>
        <w:fldChar w:fldCharType="begin"/>
      </w:r>
      <w:r w:rsidR="00F37494" w:rsidRPr="00514904">
        <w:rPr>
          <w:rFonts w:eastAsia="Times New Roman"/>
          <w:b/>
          <w:color w:val="000000" w:themeColor="text1"/>
        </w:rPr>
        <w:instrText>SEQ Table \* ARABIC</w:instrText>
      </w:r>
      <w:r w:rsidR="00F37494" w:rsidRPr="00514904">
        <w:rPr>
          <w:rFonts w:eastAsia="Times New Roman"/>
          <w:b/>
          <w:color w:val="000000" w:themeColor="text1"/>
        </w:rPr>
        <w:fldChar w:fldCharType="separate"/>
      </w:r>
      <w:r w:rsidR="00437745">
        <w:rPr>
          <w:rFonts w:eastAsia="Times New Roman"/>
          <w:b/>
          <w:noProof/>
          <w:color w:val="000000" w:themeColor="text1"/>
        </w:rPr>
        <w:t>2</w:t>
      </w:r>
      <w:r w:rsidR="00F37494" w:rsidRPr="00514904">
        <w:rPr>
          <w:rFonts w:eastAsia="Times New Roman"/>
          <w:b/>
          <w:color w:val="000000" w:themeColor="text1"/>
          <w:lang w:val="en-IE"/>
        </w:rPr>
        <w:fldChar w:fldCharType="end"/>
      </w:r>
      <w:r w:rsidR="00F37494" w:rsidRPr="00514904">
        <w:rPr>
          <w:rFonts w:eastAsia="Times New Roman"/>
          <w:b/>
          <w:bCs/>
          <w:noProof/>
          <w:color w:val="000000" w:themeColor="text1"/>
          <w:lang w:val="en-IE"/>
        </w:rPr>
        <w:t>1</w:t>
      </w:r>
      <w:r w:rsidR="00F37494">
        <w:rPr>
          <w:rFonts w:eastAsia="Times New Roman"/>
          <w:b/>
          <w:bCs/>
          <w:noProof/>
          <w:color w:val="000000" w:themeColor="text1"/>
          <w:lang w:val="en-IE"/>
        </w:rPr>
        <w:t>2</w:t>
      </w:r>
      <w:r w:rsidRPr="00514904">
        <w:rPr>
          <w:rFonts w:eastAsia="Times New Roman"/>
          <w:b/>
          <w:color w:val="000000" w:themeColor="text1"/>
        </w:rPr>
        <w:t>. Summary assessment of the effects due to the policy intervention</w:t>
      </w:r>
    </w:p>
    <w:p w14:paraId="3C31DEBA" w14:textId="77777777" w:rsidR="00BC7728" w:rsidRPr="00514904" w:rsidRDefault="00BC7728" w:rsidP="00BB0394">
      <w:pPr>
        <w:pBdr>
          <w:top w:val="nil"/>
          <w:left w:val="nil"/>
          <w:bottom w:val="nil"/>
          <w:right w:val="nil"/>
          <w:between w:val="nil"/>
        </w:pBdr>
        <w:rPr>
          <w:b/>
          <w:color w:val="000000" w:themeColor="text1"/>
        </w:rPr>
      </w:pPr>
    </w:p>
    <w:p w14:paraId="25CC27BF" w14:textId="120BFC4B" w:rsidR="000F3479" w:rsidRPr="00DD0CE5" w:rsidRDefault="000F3479" w:rsidP="00514904">
      <w:pPr>
        <w:pStyle w:val="Heading3"/>
        <w:spacing w:before="240"/>
      </w:pPr>
      <w:bookmarkStart w:id="236" w:name="_Toc224747232"/>
      <w:bookmarkStart w:id="237" w:name="_Toc224749702"/>
      <w:bookmarkStart w:id="238" w:name="_Toc225974580"/>
      <w:bookmarkStart w:id="239" w:name="_Toc225975253"/>
      <w:bookmarkStart w:id="240" w:name="_Toc225975310"/>
      <w:r w:rsidRPr="00DD0CE5">
        <w:t>Intervention n°13: SPC extension for biotechnology medicines</w:t>
      </w:r>
      <w:bookmarkEnd w:id="236"/>
      <w:bookmarkEnd w:id="237"/>
      <w:bookmarkEnd w:id="238"/>
      <w:bookmarkEnd w:id="239"/>
      <w:bookmarkEnd w:id="240"/>
    </w:p>
    <w:p w14:paraId="0812B514" w14:textId="7379549F" w:rsidR="008971EC" w:rsidRPr="00443C31" w:rsidRDefault="008971EC" w:rsidP="008971EC">
      <w:r w:rsidRPr="00A93FDC">
        <w:rPr>
          <w:b/>
          <w:bCs/>
        </w:rPr>
        <w:t xml:space="preserve">Supplementary protection certificates </w:t>
      </w:r>
      <w:r w:rsidR="00BD3D91" w:rsidRPr="002F739A">
        <w:rPr>
          <w:b/>
        </w:rPr>
        <w:t xml:space="preserve">(SPCs) </w:t>
      </w:r>
      <w:r w:rsidRPr="00443C31">
        <w:t>are an intellectual property right. They serve as an extension to a patent right and aim to offset the loss of patent protection for pharmaceutical that occurs due to the compulsory testing these products require prior to obtaining regulatory marketing approval. An SPC can extend a patent right for a maximum of five years</w:t>
      </w:r>
      <w:r w:rsidR="00C93149" w:rsidRPr="004741B3">
        <w:rPr>
          <w:rStyle w:val="FootnoteReference"/>
        </w:rPr>
        <w:footnoteReference w:id="239"/>
      </w:r>
      <w:r w:rsidR="00813B5B" w:rsidRPr="00443C31">
        <w:t>.</w:t>
      </w:r>
    </w:p>
    <w:p w14:paraId="241D8249" w14:textId="21FD2142" w:rsidR="000F3479" w:rsidRDefault="000F3479" w:rsidP="000B14A8">
      <w:pPr>
        <w:rPr>
          <w:b/>
        </w:rPr>
      </w:pPr>
      <w:r w:rsidRPr="00DD0CE5">
        <w:rPr>
          <w:noProof/>
        </w:rPr>
        <w:t xml:space="preserve">The </w:t>
      </w:r>
      <w:r w:rsidR="005A4FF1">
        <w:rPr>
          <w:noProof/>
        </w:rPr>
        <w:t>Regulation</w:t>
      </w:r>
      <w:r w:rsidRPr="00DD0CE5">
        <w:rPr>
          <w:noProof/>
        </w:rPr>
        <w:t xml:space="preserve"> proposal introduces an extension of 12 months of the </w:t>
      </w:r>
      <w:r w:rsidRPr="00443C31">
        <w:rPr>
          <w:b/>
          <w:bCs/>
          <w:noProof/>
        </w:rPr>
        <w:t xml:space="preserve">SPC for medicinal products developed by means of biotechnology processes and for Advanced Therapy Medicinal Products. </w:t>
      </w:r>
    </w:p>
    <w:p w14:paraId="217E99A3" w14:textId="112D6160" w:rsidR="00395DA9" w:rsidRDefault="00C62548" w:rsidP="000B14A8">
      <w:pPr>
        <w:rPr>
          <w:noProof/>
        </w:rPr>
      </w:pPr>
      <w:r w:rsidRPr="67844295">
        <w:rPr>
          <w:noProof/>
        </w:rPr>
        <w:t xml:space="preserve">Eligible medicinal </w:t>
      </w:r>
      <w:r w:rsidRPr="4D8683BF">
        <w:rPr>
          <w:noProof/>
        </w:rPr>
        <w:t>product</w:t>
      </w:r>
      <w:r w:rsidR="67F586F7" w:rsidRPr="4D8683BF">
        <w:rPr>
          <w:noProof/>
        </w:rPr>
        <w:t>s</w:t>
      </w:r>
      <w:r w:rsidRPr="67844295">
        <w:rPr>
          <w:noProof/>
        </w:rPr>
        <w:t xml:space="preserve"> </w:t>
      </w:r>
      <w:r w:rsidR="00ED5C19">
        <w:rPr>
          <w:noProof/>
        </w:rPr>
        <w:t>would</w:t>
      </w:r>
      <w:r w:rsidR="009A7FFC">
        <w:rPr>
          <w:noProof/>
        </w:rPr>
        <w:t xml:space="preserve"> </w:t>
      </w:r>
      <w:r w:rsidR="0035538A">
        <w:rPr>
          <w:noProof/>
        </w:rPr>
        <w:t xml:space="preserve">have to </w:t>
      </w:r>
      <w:r w:rsidRPr="67844295">
        <w:rPr>
          <w:noProof/>
        </w:rPr>
        <w:t>contain</w:t>
      </w:r>
      <w:r w:rsidR="008A41E9">
        <w:rPr>
          <w:noProof/>
        </w:rPr>
        <w:t xml:space="preserve"> </w:t>
      </w:r>
      <w:r w:rsidRPr="67844295">
        <w:rPr>
          <w:noProof/>
        </w:rPr>
        <w:t xml:space="preserve">a new active substance </w:t>
      </w:r>
      <w:r w:rsidR="00B26D1A">
        <w:rPr>
          <w:noProof/>
        </w:rPr>
        <w:t>which</w:t>
      </w:r>
      <w:r w:rsidR="008A60D4">
        <w:rPr>
          <w:noProof/>
        </w:rPr>
        <w:t xml:space="preserve"> </w:t>
      </w:r>
      <w:r w:rsidR="00A3279C">
        <w:rPr>
          <w:noProof/>
        </w:rPr>
        <w:t>is effective via</w:t>
      </w:r>
      <w:r w:rsidR="006F15CD">
        <w:rPr>
          <w:noProof/>
        </w:rPr>
        <w:t xml:space="preserve"> a</w:t>
      </w:r>
      <w:r w:rsidRPr="67844295">
        <w:rPr>
          <w:noProof/>
        </w:rPr>
        <w:t xml:space="preserve"> mechanism of action distinctly different to that of any other product already authorised in the EU for</w:t>
      </w:r>
      <w:r w:rsidR="00273661">
        <w:rPr>
          <w:noProof/>
        </w:rPr>
        <w:t xml:space="preserve"> preventi</w:t>
      </w:r>
      <w:r w:rsidR="00744C9C">
        <w:rPr>
          <w:noProof/>
        </w:rPr>
        <w:t>ng</w:t>
      </w:r>
      <w:r w:rsidR="00273661">
        <w:rPr>
          <w:noProof/>
        </w:rPr>
        <w:t xml:space="preserve"> or treat</w:t>
      </w:r>
      <w:r w:rsidR="00744C9C">
        <w:rPr>
          <w:noProof/>
        </w:rPr>
        <w:t>ing</w:t>
      </w:r>
      <w:r w:rsidRPr="67844295">
        <w:rPr>
          <w:noProof/>
        </w:rPr>
        <w:t xml:space="preserve"> the same disease.</w:t>
      </w:r>
      <w:r w:rsidR="006F15CD">
        <w:rPr>
          <w:noProof/>
        </w:rPr>
        <w:t xml:space="preserve"> </w:t>
      </w:r>
      <w:r w:rsidR="0035538A">
        <w:rPr>
          <w:noProof/>
        </w:rPr>
        <w:t>The c</w:t>
      </w:r>
      <w:r w:rsidR="0035538A" w:rsidRPr="67844295">
        <w:rPr>
          <w:noProof/>
        </w:rPr>
        <w:t>linical</w:t>
      </w:r>
      <w:r w:rsidR="0035538A" w:rsidRPr="0085005C">
        <w:rPr>
          <w:noProof/>
        </w:rPr>
        <w:t xml:space="preserve"> trials </w:t>
      </w:r>
      <w:r w:rsidR="003D0EEA">
        <w:rPr>
          <w:noProof/>
        </w:rPr>
        <w:t>evaluating the efficacy</w:t>
      </w:r>
      <w:r w:rsidR="0035538A" w:rsidRPr="0085005C">
        <w:rPr>
          <w:noProof/>
        </w:rPr>
        <w:t xml:space="preserve"> </w:t>
      </w:r>
      <w:r w:rsidR="00BC5DFD">
        <w:rPr>
          <w:noProof/>
        </w:rPr>
        <w:t xml:space="preserve">of the product and </w:t>
      </w:r>
      <w:r w:rsidR="0035538A" w:rsidRPr="0085005C">
        <w:rPr>
          <w:noProof/>
        </w:rPr>
        <w:t xml:space="preserve">supporting </w:t>
      </w:r>
      <w:r w:rsidR="00BC5DFD">
        <w:t>its</w:t>
      </w:r>
      <w:r w:rsidR="005C779F">
        <w:rPr>
          <w:noProof/>
        </w:rPr>
        <w:t xml:space="preserve"> </w:t>
      </w:r>
      <w:r w:rsidR="0035538A" w:rsidRPr="00EA3404">
        <w:t xml:space="preserve">marketing </w:t>
      </w:r>
      <w:r w:rsidR="0035538A" w:rsidRPr="0085005C">
        <w:rPr>
          <w:noProof/>
        </w:rPr>
        <w:t xml:space="preserve">authorisation </w:t>
      </w:r>
      <w:r w:rsidR="00ED5C19">
        <w:rPr>
          <w:noProof/>
        </w:rPr>
        <w:t xml:space="preserve">would </w:t>
      </w:r>
      <w:r w:rsidR="0035538A">
        <w:rPr>
          <w:noProof/>
        </w:rPr>
        <w:t xml:space="preserve">need </w:t>
      </w:r>
      <w:r w:rsidR="007E7A8B">
        <w:rPr>
          <w:rFonts w:eastAsia="Times New Roman"/>
          <w:noProof/>
          <w:color w:val="000000" w:themeColor="text1"/>
        </w:rPr>
        <w:t>to</w:t>
      </w:r>
      <w:r w:rsidR="0035538A">
        <w:rPr>
          <w:noProof/>
        </w:rPr>
        <w:t xml:space="preserve"> </w:t>
      </w:r>
      <w:r w:rsidR="00CD12B3">
        <w:rPr>
          <w:noProof/>
        </w:rPr>
        <w:t xml:space="preserve">have </w:t>
      </w:r>
      <w:r w:rsidR="0035538A">
        <w:rPr>
          <w:noProof/>
        </w:rPr>
        <w:t>be</w:t>
      </w:r>
      <w:r w:rsidR="00CD12B3">
        <w:rPr>
          <w:noProof/>
        </w:rPr>
        <w:t>en</w:t>
      </w:r>
      <w:r w:rsidR="0035538A" w:rsidRPr="0085005C">
        <w:rPr>
          <w:noProof/>
        </w:rPr>
        <w:t xml:space="preserve"> conducted in</w:t>
      </w:r>
      <w:r w:rsidR="00CD12B3">
        <w:rPr>
          <w:noProof/>
        </w:rPr>
        <w:t xml:space="preserve"> </w:t>
      </w:r>
      <w:r w:rsidR="0035538A" w:rsidRPr="0085005C">
        <w:rPr>
          <w:noProof/>
        </w:rPr>
        <w:t xml:space="preserve">more than two </w:t>
      </w:r>
      <w:r w:rsidR="0058173F">
        <w:rPr>
          <w:noProof/>
        </w:rPr>
        <w:t>M</w:t>
      </w:r>
      <w:r w:rsidR="0035538A" w:rsidRPr="0085005C">
        <w:rPr>
          <w:noProof/>
        </w:rPr>
        <w:t xml:space="preserve">ember </w:t>
      </w:r>
      <w:r w:rsidR="0058173F">
        <w:rPr>
          <w:noProof/>
        </w:rPr>
        <w:t>S</w:t>
      </w:r>
      <w:r w:rsidR="0035538A" w:rsidRPr="0085005C">
        <w:rPr>
          <w:noProof/>
        </w:rPr>
        <w:t>tates</w:t>
      </w:r>
      <w:r w:rsidR="0035538A">
        <w:rPr>
          <w:noProof/>
        </w:rPr>
        <w:t xml:space="preserve"> </w:t>
      </w:r>
      <w:r w:rsidR="0035538A" w:rsidRPr="0085005C">
        <w:rPr>
          <w:noProof/>
        </w:rPr>
        <w:t>and at least one manufacturing step, excluding packaging, quality and testing certification</w:t>
      </w:r>
      <w:r w:rsidR="003E5F71">
        <w:rPr>
          <w:noProof/>
        </w:rPr>
        <w:t>,</w:t>
      </w:r>
      <w:r w:rsidR="0035538A" w:rsidRPr="0085005C">
        <w:rPr>
          <w:noProof/>
        </w:rPr>
        <w:t xml:space="preserve"> </w:t>
      </w:r>
      <w:r w:rsidR="00DC22DD">
        <w:rPr>
          <w:noProof/>
        </w:rPr>
        <w:t xml:space="preserve">would </w:t>
      </w:r>
      <w:r w:rsidR="0035538A">
        <w:rPr>
          <w:noProof/>
        </w:rPr>
        <w:t>need</w:t>
      </w:r>
      <w:r w:rsidR="00DC22DD">
        <w:rPr>
          <w:noProof/>
        </w:rPr>
        <w:t xml:space="preserve"> </w:t>
      </w:r>
      <w:r w:rsidR="0035538A">
        <w:rPr>
          <w:noProof/>
        </w:rPr>
        <w:t xml:space="preserve">to be </w:t>
      </w:r>
      <w:r w:rsidR="0035538A" w:rsidRPr="0085005C">
        <w:rPr>
          <w:noProof/>
        </w:rPr>
        <w:t>performed in the</w:t>
      </w:r>
      <w:r w:rsidR="007B2448">
        <w:rPr>
          <w:noProof/>
        </w:rPr>
        <w:t xml:space="preserve"> </w:t>
      </w:r>
      <w:r w:rsidR="0035538A" w:rsidRPr="0085005C">
        <w:rPr>
          <w:noProof/>
        </w:rPr>
        <w:t>Union</w:t>
      </w:r>
      <w:r w:rsidR="0035538A" w:rsidRPr="00B146B0">
        <w:t>.</w:t>
      </w:r>
    </w:p>
    <w:p w14:paraId="3FBF6907" w14:textId="2A42EA06" w:rsidR="00931B00" w:rsidRDefault="000F3479" w:rsidP="000B14A8">
      <w:r w:rsidRPr="00DD0CE5" w:rsidDel="00CF3BA2">
        <w:t>This provision is intended to target highly innovative biotechnology-based products that are expected to deliver significant therapeutic advantage</w:t>
      </w:r>
      <w:r w:rsidR="00052398">
        <w:t>s</w:t>
      </w:r>
      <w:r w:rsidRPr="00DD0CE5" w:rsidDel="00CF3BA2">
        <w:t xml:space="preserve"> to patients, particularly those who currently have limited or no treatment options</w:t>
      </w:r>
      <w:r w:rsidR="00DA5125" w:rsidRPr="00700390">
        <w:t>.</w:t>
      </w:r>
      <w:r w:rsidR="00DA5125">
        <w:t xml:space="preserve"> </w:t>
      </w:r>
    </w:p>
    <w:p w14:paraId="29A46FC7" w14:textId="7AA717B7" w:rsidR="00736FC0" w:rsidRDefault="00736FC0" w:rsidP="000B14A8">
      <w:r w:rsidRPr="005F2DF4">
        <w:rPr>
          <w:rFonts w:eastAsia="Times New Roman"/>
          <w:noProof/>
          <w:color w:val="000000" w:themeColor="text1"/>
        </w:rPr>
        <w:t xml:space="preserve">The proposed SPC extension does not affect in any respect the existing legal framework in Regulation </w:t>
      </w:r>
      <w:r w:rsidRPr="00941795">
        <w:rPr>
          <w:rFonts w:eastAsia="Times New Roman"/>
          <w:noProof/>
          <w:color w:val="000000" w:themeColor="text1"/>
        </w:rPr>
        <w:t>(EC) No</w:t>
      </w:r>
      <w:r w:rsidRPr="005F2DF4">
        <w:rPr>
          <w:rFonts w:eastAsia="Times New Roman"/>
          <w:noProof/>
          <w:color w:val="000000" w:themeColor="text1"/>
        </w:rPr>
        <w:t xml:space="preserve"> 469/2009</w:t>
      </w:r>
      <w:r>
        <w:rPr>
          <w:rStyle w:val="FootnoteReference"/>
          <w:rFonts w:eastAsia="Times New Roman"/>
          <w:noProof/>
          <w:color w:val="000000" w:themeColor="text1"/>
        </w:rPr>
        <w:footnoteReference w:id="240"/>
      </w:r>
      <w:r w:rsidRPr="005F2DF4">
        <w:rPr>
          <w:rFonts w:eastAsia="Times New Roman"/>
          <w:noProof/>
          <w:color w:val="000000" w:themeColor="text1"/>
        </w:rPr>
        <w:t xml:space="preserve"> </w:t>
      </w:r>
      <w:r w:rsidR="00DC22DD">
        <w:rPr>
          <w:rFonts w:eastAsia="Times New Roman"/>
          <w:noProof/>
          <w:color w:val="000000" w:themeColor="text1"/>
        </w:rPr>
        <w:t>or</w:t>
      </w:r>
      <w:r w:rsidRPr="005F2DF4">
        <w:rPr>
          <w:rFonts w:eastAsia="Times New Roman"/>
          <w:noProof/>
          <w:color w:val="000000" w:themeColor="text1"/>
        </w:rPr>
        <w:t xml:space="preserve"> related measures</w:t>
      </w:r>
      <w:r w:rsidR="00DC22DD">
        <w:rPr>
          <w:rFonts w:eastAsia="Times New Roman"/>
          <w:noProof/>
          <w:color w:val="000000" w:themeColor="text1"/>
        </w:rPr>
        <w:t xml:space="preserve">, nor </w:t>
      </w:r>
      <w:r w:rsidRPr="005F2DF4">
        <w:rPr>
          <w:rFonts w:eastAsia="Times New Roman"/>
          <w:noProof/>
          <w:color w:val="000000" w:themeColor="text1"/>
        </w:rPr>
        <w:t>the ongoing reform of that framework</w:t>
      </w:r>
      <w:r w:rsidR="00DC22DD">
        <w:rPr>
          <w:rFonts w:eastAsia="Times New Roman"/>
          <w:noProof/>
          <w:color w:val="000000" w:themeColor="text1"/>
        </w:rPr>
        <w:t>.</w:t>
      </w:r>
      <w:r w:rsidRPr="005F2DF4">
        <w:rPr>
          <w:rFonts w:eastAsia="Times New Roman"/>
          <w:noProof/>
          <w:color w:val="000000" w:themeColor="text1"/>
        </w:rPr>
        <w:t xml:space="preserve">  In accordance with the principle of legal certainty, this includes how the SPC extension will be applied in the future. The SPC extension </w:t>
      </w:r>
      <w:r w:rsidR="00AC41D8">
        <w:rPr>
          <w:rFonts w:eastAsia="Times New Roman"/>
          <w:noProof/>
          <w:color w:val="000000" w:themeColor="text1"/>
        </w:rPr>
        <w:t>has</w:t>
      </w:r>
      <w:r w:rsidRPr="005F2DF4">
        <w:rPr>
          <w:rFonts w:eastAsia="Times New Roman"/>
          <w:noProof/>
          <w:color w:val="000000" w:themeColor="text1"/>
        </w:rPr>
        <w:t xml:space="preserve"> a different scope</w:t>
      </w:r>
      <w:r w:rsidR="000312F4">
        <w:rPr>
          <w:rFonts w:eastAsia="Times New Roman"/>
          <w:noProof/>
          <w:color w:val="000000" w:themeColor="text1"/>
        </w:rPr>
        <w:t>. I</w:t>
      </w:r>
      <w:r w:rsidRPr="005F2DF4">
        <w:rPr>
          <w:rFonts w:eastAsia="Times New Roman"/>
          <w:noProof/>
          <w:color w:val="000000" w:themeColor="text1"/>
        </w:rPr>
        <w:t>ts p</w:t>
      </w:r>
      <w:r w:rsidR="00DC22DD">
        <w:rPr>
          <w:rFonts w:eastAsia="Times New Roman"/>
          <w:noProof/>
          <w:color w:val="000000" w:themeColor="text1"/>
        </w:rPr>
        <w:t>ur</w:t>
      </w:r>
      <w:r w:rsidRPr="005F2DF4">
        <w:rPr>
          <w:rFonts w:eastAsia="Times New Roman"/>
          <w:noProof/>
          <w:color w:val="000000" w:themeColor="text1"/>
        </w:rPr>
        <w:t xml:space="preserve">pose is not to replace the existing </w:t>
      </w:r>
      <w:r w:rsidR="00895226" w:rsidRPr="005F2DF4">
        <w:rPr>
          <w:rFonts w:eastAsia="Times New Roman"/>
          <w:noProof/>
          <w:color w:val="000000" w:themeColor="text1"/>
        </w:rPr>
        <w:t xml:space="preserve">SPC </w:t>
      </w:r>
      <w:r w:rsidRPr="005F2DF4">
        <w:rPr>
          <w:rFonts w:eastAsia="Times New Roman"/>
          <w:noProof/>
          <w:color w:val="000000" w:themeColor="text1"/>
        </w:rPr>
        <w:t>legal framework but to complement it</w:t>
      </w:r>
      <w:r w:rsidR="00DC22DD">
        <w:rPr>
          <w:rFonts w:eastAsia="Times New Roman"/>
          <w:noProof/>
          <w:color w:val="000000" w:themeColor="text1"/>
        </w:rPr>
        <w:t>.</w:t>
      </w:r>
    </w:p>
    <w:p w14:paraId="1DF8E73C" w14:textId="77777777" w:rsidR="009D5540" w:rsidRPr="00266937" w:rsidRDefault="009D5540" w:rsidP="009D5540">
      <w:pPr>
        <w:rPr>
          <w:u w:val="single"/>
        </w:rPr>
      </w:pPr>
      <w:r w:rsidRPr="00266937">
        <w:rPr>
          <w:u w:val="single"/>
        </w:rPr>
        <w:t>Intended objective</w:t>
      </w:r>
      <w:r>
        <w:rPr>
          <w:u w:val="single"/>
        </w:rPr>
        <w:t>:</w:t>
      </w:r>
    </w:p>
    <w:p w14:paraId="70CBB5AC" w14:textId="0FDABF82" w:rsidR="009D5540" w:rsidRDefault="009D5540" w:rsidP="009D5540">
      <w:pPr>
        <w:rPr>
          <w:rFonts w:eastAsia="Times New Roman"/>
          <w:color w:val="1F1F1F"/>
        </w:rPr>
      </w:pPr>
      <w:r>
        <w:rPr>
          <w:rFonts w:eastAsia="Times New Roman"/>
          <w:color w:val="1F1F1F"/>
        </w:rPr>
        <w:t xml:space="preserve">The </w:t>
      </w:r>
      <w:r w:rsidRPr="004C0BDB">
        <w:rPr>
          <w:rFonts w:eastAsia="Times New Roman"/>
          <w:color w:val="1F1F1F"/>
        </w:rPr>
        <w:t>SP</w:t>
      </w:r>
      <w:r>
        <w:rPr>
          <w:rFonts w:eastAsia="Times New Roman"/>
          <w:color w:val="1F1F1F"/>
        </w:rPr>
        <w:t xml:space="preserve">C, by prolonging IP protection, </w:t>
      </w:r>
      <w:r>
        <w:t>provides a very robust shield</w:t>
      </w:r>
      <w:r w:rsidRPr="00ED1252">
        <w:t xml:space="preserve"> from competition</w:t>
      </w:r>
      <w:r>
        <w:t xml:space="preserve"> for the relevant product</w:t>
      </w:r>
      <w:r>
        <w:rPr>
          <w:rStyle w:val="FootnoteReference"/>
        </w:rPr>
        <w:footnoteReference w:id="241"/>
      </w:r>
      <w:r w:rsidR="008524C7">
        <w:t>.</w:t>
      </w:r>
      <w:r>
        <w:t xml:space="preserve"> Additionally, </w:t>
      </w:r>
      <w:r w:rsidRPr="00514904">
        <w:rPr>
          <w:rFonts w:eastAsia="Times New Roman"/>
          <w:color w:val="1F1F1F"/>
        </w:rPr>
        <w:t>on average, products for which SPC is the last form of protection to expire have higher revenues than medicines that rely on regulatory protection (RP) or patent</w:t>
      </w:r>
      <w:r w:rsidR="00F206C1">
        <w:rPr>
          <w:rFonts w:eastAsia="Times New Roman"/>
          <w:color w:val="1F1F1F"/>
        </w:rPr>
        <w:t xml:space="preserve"> </w:t>
      </w:r>
      <w:r w:rsidR="00783D9D">
        <w:rPr>
          <w:rFonts w:eastAsia="Times New Roman"/>
          <w:color w:val="1F1F1F"/>
        </w:rPr>
        <w:t>(see Annex 7 for</w:t>
      </w:r>
      <w:r w:rsidR="00AB02E1">
        <w:rPr>
          <w:rFonts w:eastAsia="Times New Roman"/>
          <w:color w:val="1F1F1F"/>
        </w:rPr>
        <w:t xml:space="preserve"> details on protection length)</w:t>
      </w:r>
      <w:r w:rsidRPr="006AFD62">
        <w:rPr>
          <w:rFonts w:eastAsia="Times New Roman"/>
          <w:color w:val="1F1F1F"/>
        </w:rPr>
        <w:t>.</w:t>
      </w:r>
      <w:r>
        <w:rPr>
          <w:rFonts w:eastAsia="Times New Roman"/>
          <w:color w:val="1F1F1F"/>
        </w:rPr>
        <w:t xml:space="preserve"> </w:t>
      </w:r>
      <w:r w:rsidRPr="00514904">
        <w:rPr>
          <w:rFonts w:eastAsia="Times New Roman"/>
          <w:color w:val="1F1F1F"/>
        </w:rPr>
        <w:t>This further underscores the attractiveness and effectiveness of this incentive.</w:t>
      </w:r>
      <w:r w:rsidRPr="00514904">
        <w:rPr>
          <w:rStyle w:val="FootnoteReference"/>
          <w:rFonts w:eastAsia="Times New Roman"/>
          <w:color w:val="1F1F1F"/>
        </w:rPr>
        <w:footnoteReference w:id="242"/>
      </w:r>
      <w:r w:rsidRPr="004F48D9">
        <w:rPr>
          <w:rFonts w:eastAsia="Times New Roman"/>
          <w:color w:val="1F1F1F"/>
        </w:rPr>
        <w:t xml:space="preserve"> </w:t>
      </w:r>
      <w:r>
        <w:rPr>
          <w:rFonts w:eastAsia="Times New Roman"/>
          <w:color w:val="1F1F1F"/>
        </w:rPr>
        <w:t xml:space="preserve"> </w:t>
      </w:r>
    </w:p>
    <w:p w14:paraId="52056F42" w14:textId="5018646E" w:rsidR="009D5540" w:rsidRDefault="009D5540" w:rsidP="009D5540">
      <w:pPr>
        <w:rPr>
          <w:rFonts w:eastAsia="Times New Roman"/>
          <w:color w:val="1F1F1F"/>
        </w:rPr>
      </w:pPr>
      <w:r w:rsidRPr="00893ABD">
        <w:t xml:space="preserve">Innovation and patenting behaviour in biotechnology are closely linked to firms’ expectations </w:t>
      </w:r>
      <w:r w:rsidR="00F61487">
        <w:t>around</w:t>
      </w:r>
      <w:r w:rsidRPr="00893ABD">
        <w:t xml:space="preserve"> the future commercial value and appropriability of inventions</w:t>
      </w:r>
      <w:r>
        <w:t xml:space="preserve">. However, intellectual property is just one part of innovators’ investment decisions. </w:t>
      </w:r>
      <w:r w:rsidR="00D86A18">
        <w:t>T</w:t>
      </w:r>
      <w:r>
        <w:t>he Biotech Act proposal</w:t>
      </w:r>
      <w:r w:rsidR="00D86A18">
        <w:t xml:space="preserve"> </w:t>
      </w:r>
      <w:r>
        <w:t>include</w:t>
      </w:r>
      <w:r w:rsidR="00D86A18">
        <w:t>s</w:t>
      </w:r>
      <w:r>
        <w:t xml:space="preserve"> explicit conditions to link the SPC extension to conducting late-stage clinical trials and manufacturing in Europe,</w:t>
      </w:r>
      <w:r>
        <w:rPr>
          <w:lang w:val="en-US"/>
        </w:rPr>
        <w:t xml:space="preserve"> because the incentive is precisely</w:t>
      </w:r>
      <w:r>
        <w:rPr>
          <w:rFonts w:eastAsia="Times New Roman"/>
          <w:noProof/>
          <w:color w:val="000000" w:themeColor="text1"/>
        </w:rPr>
        <w:t xml:space="preserve"> </w:t>
      </w:r>
      <w:r w:rsidR="00A7302D">
        <w:rPr>
          <w:rFonts w:eastAsia="Times New Roman"/>
          <w:color w:val="000000" w:themeColor="text1"/>
        </w:rPr>
        <w:t>meant as</w:t>
      </w:r>
      <w:r w:rsidRPr="00514904">
        <w:rPr>
          <w:rFonts w:eastAsia="Times New Roman"/>
          <w:color w:val="000000" w:themeColor="text1"/>
        </w:rPr>
        <w:t xml:space="preserve"> a stimulus</w:t>
      </w:r>
      <w:r>
        <w:rPr>
          <w:rFonts w:eastAsia="Times New Roman"/>
          <w:noProof/>
          <w:color w:val="000000" w:themeColor="text1"/>
        </w:rPr>
        <w:t xml:space="preserve"> to modify sponsors’ behaviour at the margin, thereby </w:t>
      </w:r>
      <w:r w:rsidR="00A7302D">
        <w:rPr>
          <w:rFonts w:eastAsia="Times New Roman"/>
          <w:noProof/>
          <w:color w:val="000000" w:themeColor="text1"/>
        </w:rPr>
        <w:t>helping</w:t>
      </w:r>
      <w:r>
        <w:rPr>
          <w:rFonts w:eastAsia="Times New Roman"/>
          <w:noProof/>
          <w:color w:val="000000" w:themeColor="text1"/>
        </w:rPr>
        <w:t xml:space="preserve"> generat</w:t>
      </w:r>
      <w:r w:rsidRPr="006AFD62">
        <w:rPr>
          <w:rFonts w:eastAsia="Times New Roman"/>
          <w:noProof/>
          <w:color w:val="000000" w:themeColor="text1"/>
        </w:rPr>
        <w:t>e</w:t>
      </w:r>
      <w:r>
        <w:rPr>
          <w:rFonts w:eastAsia="Times New Roman"/>
          <w:noProof/>
          <w:color w:val="000000" w:themeColor="text1"/>
        </w:rPr>
        <w:t xml:space="preserve"> economic and societal gains for Europe.</w:t>
      </w:r>
    </w:p>
    <w:p w14:paraId="3ED54B70" w14:textId="54B982C7" w:rsidR="009F35D4" w:rsidRPr="00443C31" w:rsidRDefault="006B3322" w:rsidP="000B14A8">
      <w:pPr>
        <w:rPr>
          <w:u w:val="single"/>
        </w:rPr>
      </w:pPr>
      <w:r w:rsidRPr="00443C31">
        <w:rPr>
          <w:u w:val="single"/>
        </w:rPr>
        <w:t>Analysis</w:t>
      </w:r>
      <w:r w:rsidR="00D0277C" w:rsidRPr="00443C31">
        <w:rPr>
          <w:u w:val="single"/>
        </w:rPr>
        <w:t xml:space="preserve"> and </w:t>
      </w:r>
      <w:r w:rsidR="7E75F71F" w:rsidRPr="00443C31">
        <w:rPr>
          <w:u w:val="single"/>
        </w:rPr>
        <w:t>limitation</w:t>
      </w:r>
      <w:r w:rsidR="00DA2A1B" w:rsidRPr="00443C31">
        <w:rPr>
          <w:u w:val="single"/>
        </w:rPr>
        <w:t>s</w:t>
      </w:r>
      <w:r w:rsidR="7E75F71F" w:rsidRPr="00443C31">
        <w:rPr>
          <w:u w:val="single"/>
        </w:rPr>
        <w:t>:</w:t>
      </w:r>
    </w:p>
    <w:p w14:paraId="42171921" w14:textId="419C1F05" w:rsidR="006E2C08" w:rsidRPr="00443C31" w:rsidRDefault="008422E5" w:rsidP="00443C31">
      <w:pPr>
        <w:rPr>
          <w:rFonts w:eastAsia="Times New Roman"/>
        </w:rPr>
      </w:pPr>
      <w:r>
        <w:rPr>
          <w:rFonts w:eastAsia="Times New Roman"/>
          <w:noProof/>
          <w:color w:val="000000" w:themeColor="text1"/>
        </w:rPr>
        <w:t>It is</w:t>
      </w:r>
      <w:r w:rsidR="005C2E5E" w:rsidRPr="488421B7" w:rsidDel="001F13B4">
        <w:rPr>
          <w:rFonts w:eastAsia="Times New Roman"/>
          <w:noProof/>
          <w:color w:val="000000" w:themeColor="text1"/>
        </w:rPr>
        <w:t xml:space="preserve"> </w:t>
      </w:r>
      <w:r w:rsidR="005C2E5E" w:rsidRPr="488421B7">
        <w:rPr>
          <w:rFonts w:eastAsia="Times New Roman"/>
          <w:noProof/>
          <w:color w:val="000000" w:themeColor="text1"/>
        </w:rPr>
        <w:t>acknowledge</w:t>
      </w:r>
      <w:r>
        <w:rPr>
          <w:rFonts w:eastAsia="Times New Roman"/>
          <w:noProof/>
          <w:color w:val="000000" w:themeColor="text1"/>
        </w:rPr>
        <w:t>d</w:t>
      </w:r>
      <w:r w:rsidR="005C2E5E" w:rsidRPr="488421B7">
        <w:rPr>
          <w:rFonts w:eastAsia="Times New Roman"/>
          <w:noProof/>
          <w:color w:val="000000" w:themeColor="text1"/>
        </w:rPr>
        <w:t xml:space="preserve"> that mode</w:t>
      </w:r>
      <w:r w:rsidR="00183A86" w:rsidRPr="488421B7">
        <w:rPr>
          <w:rFonts w:eastAsia="Times New Roman"/>
          <w:noProof/>
          <w:color w:val="000000" w:themeColor="text1"/>
        </w:rPr>
        <w:t>l</w:t>
      </w:r>
      <w:r w:rsidR="005C2E5E" w:rsidRPr="488421B7">
        <w:rPr>
          <w:rFonts w:eastAsia="Times New Roman"/>
          <w:noProof/>
          <w:color w:val="000000" w:themeColor="text1"/>
        </w:rPr>
        <w:t xml:space="preserve">ling the costs and benefits of this measure necessitates certain assumptions and </w:t>
      </w:r>
      <w:r w:rsidR="00313C2C">
        <w:rPr>
          <w:rFonts w:eastAsia="Times New Roman"/>
          <w:noProof/>
          <w:color w:val="000000" w:themeColor="text1"/>
        </w:rPr>
        <w:t xml:space="preserve">it </w:t>
      </w:r>
      <w:r w:rsidR="005C2E5E" w:rsidRPr="488421B7">
        <w:rPr>
          <w:rFonts w:eastAsia="Times New Roman"/>
          <w:noProof/>
          <w:color w:val="000000" w:themeColor="text1"/>
        </w:rPr>
        <w:t xml:space="preserve">is subject to </w:t>
      </w:r>
      <w:r w:rsidR="00F71EDC" w:rsidRPr="488421B7">
        <w:rPr>
          <w:rFonts w:eastAsia="Times New Roman"/>
          <w:noProof/>
          <w:color w:val="000000" w:themeColor="text1"/>
        </w:rPr>
        <w:t xml:space="preserve">inherent </w:t>
      </w:r>
      <w:r w:rsidR="005C2E5E" w:rsidRPr="488421B7">
        <w:rPr>
          <w:rFonts w:eastAsia="Times New Roman"/>
          <w:noProof/>
          <w:color w:val="000000" w:themeColor="text1"/>
        </w:rPr>
        <w:t>limitations</w:t>
      </w:r>
      <w:r w:rsidR="00183A86" w:rsidRPr="488421B7">
        <w:rPr>
          <w:rFonts w:eastAsia="Times New Roman"/>
          <w:noProof/>
          <w:color w:val="000000" w:themeColor="text1"/>
        </w:rPr>
        <w:t>,</w:t>
      </w:r>
      <w:r w:rsidR="005C2E5E" w:rsidRPr="488421B7">
        <w:rPr>
          <w:rFonts w:eastAsia="Times New Roman"/>
          <w:noProof/>
          <w:color w:val="000000" w:themeColor="text1"/>
        </w:rPr>
        <w:t xml:space="preserve"> </w:t>
      </w:r>
      <w:r w:rsidR="00665449" w:rsidRPr="488421B7">
        <w:rPr>
          <w:rFonts w:eastAsia="Times New Roman"/>
          <w:noProof/>
          <w:color w:val="000000" w:themeColor="text1"/>
        </w:rPr>
        <w:t>such as</w:t>
      </w:r>
      <w:r w:rsidR="005C2E5E" w:rsidRPr="488421B7">
        <w:rPr>
          <w:rFonts w:eastAsia="Times New Roman"/>
          <w:noProof/>
          <w:color w:val="000000" w:themeColor="text1"/>
        </w:rPr>
        <w:t xml:space="preserve"> </w:t>
      </w:r>
      <w:r w:rsidR="0090285D" w:rsidRPr="488421B7">
        <w:rPr>
          <w:rFonts w:eastAsia="Times New Roman"/>
          <w:noProof/>
          <w:color w:val="000000" w:themeColor="text1"/>
        </w:rPr>
        <w:t>the need to</w:t>
      </w:r>
      <w:r w:rsidR="00665449" w:rsidRPr="488421B7">
        <w:rPr>
          <w:rFonts w:eastAsia="Times New Roman"/>
          <w:noProof/>
          <w:color w:val="000000" w:themeColor="text1"/>
        </w:rPr>
        <w:t xml:space="preserve"> </w:t>
      </w:r>
      <w:r w:rsidR="00F71EDC" w:rsidRPr="488421B7">
        <w:rPr>
          <w:rFonts w:eastAsia="Times New Roman"/>
          <w:noProof/>
          <w:color w:val="000000" w:themeColor="text1"/>
        </w:rPr>
        <w:t xml:space="preserve">work with small </w:t>
      </w:r>
      <w:r w:rsidR="0090285D" w:rsidRPr="488421B7">
        <w:rPr>
          <w:rFonts w:eastAsia="Times New Roman"/>
          <w:noProof/>
          <w:color w:val="000000" w:themeColor="text1"/>
        </w:rPr>
        <w:t>samples of medicines</w:t>
      </w:r>
      <w:r w:rsidR="00F71EDC" w:rsidRPr="488421B7">
        <w:rPr>
          <w:rFonts w:eastAsia="Times New Roman"/>
          <w:noProof/>
          <w:color w:val="000000" w:themeColor="text1"/>
        </w:rPr>
        <w:t xml:space="preserve"> </w:t>
      </w:r>
      <w:r w:rsidR="00263599" w:rsidRPr="00134C5B">
        <w:rPr>
          <w:rFonts w:eastAsia="Times New Roman"/>
          <w:color w:val="000000" w:themeColor="text1"/>
        </w:rPr>
        <w:t>given the medicine characteristics being studied</w:t>
      </w:r>
      <w:r w:rsidR="00C045A7">
        <w:rPr>
          <w:rFonts w:eastAsia="Times New Roman"/>
          <w:color w:val="000000" w:themeColor="text1"/>
        </w:rPr>
        <w:t>,</w:t>
      </w:r>
      <w:r w:rsidR="00F71EDC" w:rsidRPr="488421B7">
        <w:rPr>
          <w:rFonts w:eastAsia="Times New Roman"/>
          <w:noProof/>
          <w:color w:val="000000" w:themeColor="text1"/>
        </w:rPr>
        <w:t xml:space="preserve"> and simplified representations of </w:t>
      </w:r>
      <w:r w:rsidR="005C2E5E" w:rsidRPr="488421B7">
        <w:rPr>
          <w:rFonts w:eastAsia="Times New Roman"/>
          <w:noProof/>
          <w:color w:val="000000" w:themeColor="text1"/>
        </w:rPr>
        <w:t xml:space="preserve">complex </w:t>
      </w:r>
      <w:r w:rsidR="00236CEE" w:rsidRPr="488421B7">
        <w:rPr>
          <w:rFonts w:eastAsia="Times New Roman"/>
          <w:noProof/>
          <w:color w:val="000000" w:themeColor="text1"/>
        </w:rPr>
        <w:t>real-</w:t>
      </w:r>
      <w:r w:rsidR="00F71EDC" w:rsidRPr="488421B7">
        <w:rPr>
          <w:rFonts w:eastAsia="Times New Roman"/>
          <w:noProof/>
          <w:color w:val="000000" w:themeColor="text1"/>
        </w:rPr>
        <w:t xml:space="preserve">world </w:t>
      </w:r>
      <w:r w:rsidR="00AC35ED" w:rsidRPr="488421B7">
        <w:rPr>
          <w:rFonts w:eastAsia="Times New Roman"/>
          <w:noProof/>
          <w:color w:val="000000" w:themeColor="text1"/>
        </w:rPr>
        <w:t>health b</w:t>
      </w:r>
      <w:r w:rsidR="00606F28" w:rsidRPr="488421B7">
        <w:rPr>
          <w:rFonts w:eastAsia="Times New Roman"/>
          <w:noProof/>
          <w:color w:val="000000" w:themeColor="text1"/>
        </w:rPr>
        <w:t>iotech</w:t>
      </w:r>
      <w:r w:rsidR="00F71EDC" w:rsidRPr="488421B7">
        <w:rPr>
          <w:rFonts w:eastAsia="Times New Roman"/>
          <w:noProof/>
          <w:color w:val="000000" w:themeColor="text1"/>
        </w:rPr>
        <w:t xml:space="preserve"> </w:t>
      </w:r>
      <w:r w:rsidR="009164A1" w:rsidRPr="488421B7">
        <w:rPr>
          <w:rFonts w:eastAsia="Times New Roman"/>
          <w:noProof/>
          <w:color w:val="000000" w:themeColor="text1"/>
        </w:rPr>
        <w:t>innovators</w:t>
      </w:r>
      <w:r w:rsidR="0073212D" w:rsidRPr="488421B7">
        <w:rPr>
          <w:rFonts w:eastAsia="Times New Roman"/>
          <w:noProof/>
          <w:color w:val="000000" w:themeColor="text1"/>
        </w:rPr>
        <w:t>’</w:t>
      </w:r>
      <w:r w:rsidR="00C045A7">
        <w:rPr>
          <w:rFonts w:eastAsia="Times New Roman"/>
          <w:noProof/>
          <w:color w:val="000000" w:themeColor="text1"/>
        </w:rPr>
        <w:t xml:space="preserve"> </w:t>
      </w:r>
      <w:r w:rsidR="006E2C08" w:rsidRPr="488421B7">
        <w:rPr>
          <w:rFonts w:eastAsia="Times New Roman"/>
          <w:noProof/>
          <w:color w:val="000000" w:themeColor="text1"/>
        </w:rPr>
        <w:t>behaviour</w:t>
      </w:r>
      <w:r w:rsidR="00606F28" w:rsidRPr="488421B7">
        <w:rPr>
          <w:rFonts w:eastAsia="Times New Roman"/>
          <w:noProof/>
          <w:color w:val="000000" w:themeColor="text1"/>
        </w:rPr>
        <w:t>.</w:t>
      </w:r>
      <w:r w:rsidR="006E2C08" w:rsidRPr="488421B7">
        <w:rPr>
          <w:rFonts w:eastAsia="Times New Roman"/>
          <w:noProof/>
          <w:color w:val="000000" w:themeColor="text1"/>
        </w:rPr>
        <w:t xml:space="preserve"> </w:t>
      </w:r>
      <w:r w:rsidR="00E4634E">
        <w:rPr>
          <w:rFonts w:eastAsia="Times New Roman"/>
          <w:color w:val="000000" w:themeColor="text1"/>
        </w:rPr>
        <w:t>T</w:t>
      </w:r>
      <w:r w:rsidR="006E2C08" w:rsidRPr="00CB7796">
        <w:rPr>
          <w:rFonts w:eastAsia="Times New Roman"/>
          <w:color w:val="000000" w:themeColor="text1"/>
        </w:rPr>
        <w:t>hese limitations</w:t>
      </w:r>
      <w:r w:rsidR="006E2C08" w:rsidRPr="488421B7">
        <w:rPr>
          <w:rFonts w:eastAsia="Times New Roman"/>
          <w:color w:val="000000" w:themeColor="text1"/>
        </w:rPr>
        <w:t xml:space="preserve"> </w:t>
      </w:r>
      <w:r w:rsidR="00E4634E">
        <w:rPr>
          <w:rFonts w:eastAsia="Times New Roman"/>
          <w:color w:val="000000" w:themeColor="text1"/>
        </w:rPr>
        <w:t xml:space="preserve">have been </w:t>
      </w:r>
      <w:r w:rsidR="004C3724">
        <w:rPr>
          <w:rFonts w:eastAsia="Times New Roman"/>
          <w:color w:val="000000" w:themeColor="text1"/>
        </w:rPr>
        <w:t>mitigated</w:t>
      </w:r>
      <w:r w:rsidR="006E2C08" w:rsidRPr="00CB7796">
        <w:rPr>
          <w:rFonts w:eastAsia="Times New Roman"/>
          <w:color w:val="000000" w:themeColor="text1"/>
        </w:rPr>
        <w:t xml:space="preserve"> by </w:t>
      </w:r>
      <w:r w:rsidR="009902D5" w:rsidRPr="00CB7796">
        <w:rPr>
          <w:rFonts w:eastAsia="Times New Roman"/>
          <w:color w:val="000000" w:themeColor="text1"/>
        </w:rPr>
        <w:t xml:space="preserve">using </w:t>
      </w:r>
      <w:r w:rsidR="59BDEBC2" w:rsidRPr="00CB7796">
        <w:rPr>
          <w:rFonts w:eastAsia="Times New Roman"/>
          <w:color w:val="000000" w:themeColor="text1"/>
        </w:rPr>
        <w:t xml:space="preserve">robust data sets </w:t>
      </w:r>
      <w:r w:rsidR="00BA3C21" w:rsidRPr="00CB7796">
        <w:rPr>
          <w:rFonts w:eastAsia="Times New Roman"/>
          <w:color w:val="000000" w:themeColor="text1"/>
        </w:rPr>
        <w:t>reflecting observations of actual product lifecycles and market entry patterns</w:t>
      </w:r>
      <w:r w:rsidR="59BDEBC2" w:rsidRPr="00CB7796">
        <w:rPr>
          <w:rFonts w:eastAsia="Times New Roman"/>
          <w:color w:val="000000" w:themeColor="text1"/>
        </w:rPr>
        <w:t xml:space="preserve"> (</w:t>
      </w:r>
      <w:r w:rsidR="00135738" w:rsidRPr="00CB7796">
        <w:rPr>
          <w:rFonts w:eastAsia="Times New Roman"/>
          <w:color w:val="000000" w:themeColor="text1"/>
        </w:rPr>
        <w:t>market data</w:t>
      </w:r>
      <w:r w:rsidR="006E2C08" w:rsidRPr="00CB7796">
        <w:rPr>
          <w:rFonts w:eastAsia="Times New Roman"/>
          <w:color w:val="000000" w:themeColor="text1"/>
        </w:rPr>
        <w:t xml:space="preserve"> from </w:t>
      </w:r>
      <w:r w:rsidR="00135738" w:rsidRPr="00CB7796">
        <w:rPr>
          <w:rFonts w:eastAsia="Times New Roman"/>
          <w:color w:val="000000" w:themeColor="text1"/>
        </w:rPr>
        <w:t xml:space="preserve">the </w:t>
      </w:r>
      <w:r w:rsidR="006E2C08" w:rsidRPr="00CB7796">
        <w:rPr>
          <w:rFonts w:eastAsia="Times New Roman"/>
          <w:color w:val="000000" w:themeColor="text1"/>
        </w:rPr>
        <w:t>IQVIA</w:t>
      </w:r>
      <w:r w:rsidR="003F0F22" w:rsidRPr="00CB7796">
        <w:rPr>
          <w:rFonts w:eastAsia="Times New Roman"/>
          <w:color w:val="000000" w:themeColor="text1"/>
        </w:rPr>
        <w:t xml:space="preserve"> </w:t>
      </w:r>
      <w:r w:rsidR="0008629D" w:rsidRPr="00CB7796">
        <w:rPr>
          <w:rFonts w:eastAsia="Times New Roman"/>
          <w:color w:val="000000" w:themeColor="text1"/>
        </w:rPr>
        <w:t>MIDAS</w:t>
      </w:r>
      <w:r w:rsidR="00616061" w:rsidRPr="00CB7796">
        <w:rPr>
          <w:rFonts w:eastAsia="Times New Roman"/>
          <w:color w:val="000000" w:themeColor="text1"/>
          <w:vertAlign w:val="superscript"/>
        </w:rPr>
        <w:t>®</w:t>
      </w:r>
      <w:r w:rsidR="003F0F22" w:rsidRPr="00CB7796">
        <w:rPr>
          <w:rFonts w:eastAsia="Times New Roman"/>
          <w:b/>
          <w:color w:val="000000" w:themeColor="text1"/>
        </w:rPr>
        <w:t xml:space="preserve"> </w:t>
      </w:r>
      <w:r w:rsidR="00135738" w:rsidRPr="00CB7796">
        <w:rPr>
          <w:rFonts w:eastAsia="Times New Roman"/>
          <w:color w:val="000000" w:themeColor="text1"/>
        </w:rPr>
        <w:t>databases</w:t>
      </w:r>
      <w:r w:rsidR="001C48D4" w:rsidRPr="00CB7796">
        <w:rPr>
          <w:rFonts w:eastAsia="Times New Roman"/>
          <w:color w:val="000000" w:themeColor="text1"/>
        </w:rPr>
        <w:t>)</w:t>
      </w:r>
      <w:r w:rsidR="00135738" w:rsidRPr="00CB7796">
        <w:rPr>
          <w:rFonts w:eastAsia="Times New Roman"/>
          <w:color w:val="000000" w:themeColor="text1"/>
        </w:rPr>
        <w:t xml:space="preserve"> </w:t>
      </w:r>
      <w:r w:rsidR="07FB28D5" w:rsidRPr="00CB7796">
        <w:rPr>
          <w:rFonts w:eastAsia="Times New Roman"/>
          <w:color w:val="000000" w:themeColor="text1"/>
        </w:rPr>
        <w:t>and</w:t>
      </w:r>
      <w:r w:rsidR="00135738" w:rsidRPr="00CB7796">
        <w:rPr>
          <w:rFonts w:eastAsia="Times New Roman"/>
          <w:color w:val="000000" w:themeColor="text1"/>
        </w:rPr>
        <w:t xml:space="preserve"> </w:t>
      </w:r>
      <w:r w:rsidR="00F76440" w:rsidRPr="00CB7796">
        <w:rPr>
          <w:rFonts w:eastAsia="Times New Roman"/>
          <w:color w:val="000000" w:themeColor="text1"/>
        </w:rPr>
        <w:t>assessment</w:t>
      </w:r>
      <w:r w:rsidR="00206E67" w:rsidRPr="00CB7796">
        <w:rPr>
          <w:rFonts w:eastAsia="Times New Roman"/>
          <w:color w:val="000000" w:themeColor="text1"/>
        </w:rPr>
        <w:t>s</w:t>
      </w:r>
      <w:r w:rsidR="00F76440" w:rsidRPr="00CB7796">
        <w:rPr>
          <w:rFonts w:eastAsia="Times New Roman"/>
          <w:color w:val="000000" w:themeColor="text1"/>
        </w:rPr>
        <w:t xml:space="preserve"> </w:t>
      </w:r>
      <w:r w:rsidR="00841C0B" w:rsidRPr="00CB7796">
        <w:rPr>
          <w:rFonts w:eastAsia="Times New Roman"/>
          <w:color w:val="000000" w:themeColor="text1"/>
        </w:rPr>
        <w:t>on product</w:t>
      </w:r>
      <w:r w:rsidR="00206E67" w:rsidRPr="00CB7796">
        <w:rPr>
          <w:rFonts w:eastAsia="Times New Roman"/>
          <w:color w:val="000000" w:themeColor="text1"/>
        </w:rPr>
        <w:t>s el</w:t>
      </w:r>
      <w:r w:rsidR="00052398" w:rsidRPr="00265C90">
        <w:rPr>
          <w:rFonts w:eastAsia="Times New Roman"/>
          <w:color w:val="000000" w:themeColor="text1"/>
        </w:rPr>
        <w:t>i</w:t>
      </w:r>
      <w:r w:rsidR="00206E67" w:rsidRPr="00CB7796">
        <w:rPr>
          <w:rFonts w:eastAsia="Times New Roman"/>
          <w:color w:val="000000" w:themeColor="text1"/>
        </w:rPr>
        <w:t>gibility</w:t>
      </w:r>
      <w:r w:rsidR="0069561C" w:rsidRPr="00CB7796">
        <w:rPr>
          <w:rFonts w:eastAsia="Times New Roman"/>
          <w:color w:val="000000" w:themeColor="text1"/>
        </w:rPr>
        <w:t xml:space="preserve"> </w:t>
      </w:r>
      <w:r w:rsidR="00206E67" w:rsidRPr="00CB7796">
        <w:rPr>
          <w:rFonts w:eastAsia="Times New Roman"/>
          <w:color w:val="000000" w:themeColor="text1"/>
        </w:rPr>
        <w:t>(</w:t>
      </w:r>
      <w:r w:rsidR="00FE12B2" w:rsidRPr="00CB7796">
        <w:rPr>
          <w:rFonts w:eastAsia="Times New Roman"/>
          <w:color w:val="000000" w:themeColor="text1"/>
        </w:rPr>
        <w:t>data</w:t>
      </w:r>
      <w:r w:rsidR="00243C3F" w:rsidRPr="00443C31">
        <w:rPr>
          <w:rFonts w:eastAsia="Times New Roman"/>
          <w:color w:val="000000" w:themeColor="text1"/>
        </w:rPr>
        <w:t xml:space="preserve"> </w:t>
      </w:r>
      <w:r w:rsidR="006C23AB" w:rsidRPr="00443C31">
        <w:rPr>
          <w:rFonts w:eastAsia="Times New Roman"/>
          <w:color w:val="000000" w:themeColor="text1"/>
        </w:rPr>
        <w:t>provided by</w:t>
      </w:r>
      <w:r w:rsidR="00243C3F" w:rsidRPr="00CB7796">
        <w:rPr>
          <w:rFonts w:eastAsia="Times New Roman"/>
          <w:color w:val="000000" w:themeColor="text1"/>
        </w:rPr>
        <w:t xml:space="preserve"> the European Medicines Agency</w:t>
      </w:r>
      <w:r w:rsidR="006B35A3" w:rsidRPr="00443C31">
        <w:rPr>
          <w:rFonts w:eastAsia="Times New Roman"/>
          <w:color w:val="000000" w:themeColor="text1"/>
        </w:rPr>
        <w:t xml:space="preserve"> which will be in charge of assess</w:t>
      </w:r>
      <w:r w:rsidR="003F57C4" w:rsidRPr="00443C31">
        <w:rPr>
          <w:rFonts w:eastAsia="Times New Roman"/>
          <w:color w:val="000000" w:themeColor="text1"/>
        </w:rPr>
        <w:t>ing</w:t>
      </w:r>
      <w:r w:rsidR="006B35A3" w:rsidRPr="00443C31">
        <w:rPr>
          <w:rFonts w:eastAsia="Times New Roman"/>
          <w:color w:val="000000" w:themeColor="text1"/>
        </w:rPr>
        <w:t xml:space="preserve"> </w:t>
      </w:r>
      <w:r w:rsidR="005D41B9" w:rsidRPr="005D41B9">
        <w:rPr>
          <w:rFonts w:eastAsia="Times New Roman"/>
          <w:color w:val="000000" w:themeColor="text1"/>
        </w:rPr>
        <w:t>eligibility</w:t>
      </w:r>
      <w:r w:rsidR="61B580F2" w:rsidRPr="00CB7796">
        <w:rPr>
          <w:rFonts w:eastAsia="Times New Roman"/>
          <w:color w:val="000000" w:themeColor="text1"/>
        </w:rPr>
        <w:t>)</w:t>
      </w:r>
      <w:r w:rsidR="007F63D9">
        <w:rPr>
          <w:rFonts w:eastAsia="Times New Roman"/>
          <w:color w:val="000000" w:themeColor="text1"/>
        </w:rPr>
        <w:t>,</w:t>
      </w:r>
      <w:r w:rsidR="00FE12B2" w:rsidRPr="00CB7796">
        <w:rPr>
          <w:rFonts w:eastAsia="Times New Roman"/>
          <w:color w:val="000000" w:themeColor="text1"/>
        </w:rPr>
        <w:t xml:space="preserve"> </w:t>
      </w:r>
      <w:r w:rsidR="003F0F22" w:rsidRPr="00CB7796">
        <w:rPr>
          <w:rFonts w:eastAsia="Times New Roman"/>
          <w:color w:val="000000" w:themeColor="text1"/>
        </w:rPr>
        <w:t>to ensure</w:t>
      </w:r>
      <w:r w:rsidR="006E2C08" w:rsidRPr="00CB7796">
        <w:rPr>
          <w:rFonts w:eastAsia="Times New Roman"/>
          <w:color w:val="000000" w:themeColor="text1"/>
        </w:rPr>
        <w:t xml:space="preserve"> that the resulting estimates of the measure's potential remain grounded and </w:t>
      </w:r>
      <w:r w:rsidR="006E2C08" w:rsidRPr="00443C31">
        <w:rPr>
          <w:rFonts w:eastAsia="Times New Roman"/>
        </w:rPr>
        <w:t>reliable</w:t>
      </w:r>
      <w:r w:rsidR="00AE6D86" w:rsidRPr="00443C31">
        <w:rPr>
          <w:rFonts w:eastAsia="Times New Roman"/>
        </w:rPr>
        <w:t xml:space="preserve"> rather than being based on a </w:t>
      </w:r>
      <w:r w:rsidR="406599E9" w:rsidRPr="20A51076">
        <w:rPr>
          <w:rFonts w:eastAsia="Times New Roman"/>
        </w:rPr>
        <w:t xml:space="preserve">more </w:t>
      </w:r>
      <w:r w:rsidR="00AE6D86" w:rsidRPr="00443C31">
        <w:rPr>
          <w:rFonts w:eastAsia="Times New Roman"/>
        </w:rPr>
        <w:t>theoretical model</w:t>
      </w:r>
      <w:r w:rsidR="00FE12B2" w:rsidRPr="00443C31">
        <w:rPr>
          <w:rFonts w:eastAsia="Times New Roman"/>
        </w:rPr>
        <w:t>.</w:t>
      </w:r>
    </w:p>
    <w:p w14:paraId="407CB300" w14:textId="7C9F9479" w:rsidR="001D6653" w:rsidRDefault="67677CD3" w:rsidP="000B14A8">
      <w:r>
        <w:t>To make an estimation of the costs of the SPC extension</w:t>
      </w:r>
      <w:r w:rsidR="2C7ACF74">
        <w:t>,</w:t>
      </w:r>
      <w:r>
        <w:t xml:space="preserve"> </w:t>
      </w:r>
      <w:r w:rsidR="00790DE1">
        <w:t>an analysis was</w:t>
      </w:r>
      <w:r w:rsidR="003C0D73">
        <w:t xml:space="preserve"> </w:t>
      </w:r>
      <w:r w:rsidR="00910060">
        <w:t>performed</w:t>
      </w:r>
      <w:r w:rsidR="003C0D73">
        <w:t xml:space="preserve"> of </w:t>
      </w:r>
      <w:r w:rsidR="00CD5794">
        <w:t>the</w:t>
      </w:r>
      <w:r w:rsidR="417F029A">
        <w:t xml:space="preserve"> </w:t>
      </w:r>
      <w:r w:rsidR="07EDE1F1" w:rsidRPr="00DD4265">
        <w:t xml:space="preserve">198 innovative medicines </w:t>
      </w:r>
      <w:r w:rsidR="729B5D17">
        <w:t xml:space="preserve">which </w:t>
      </w:r>
      <w:r w:rsidR="07EDE1F1">
        <w:t>lo</w:t>
      </w:r>
      <w:r w:rsidR="08D9CD76">
        <w:t>st patent or regulatory</w:t>
      </w:r>
      <w:r w:rsidR="07EDE1F1" w:rsidRPr="00DD4265">
        <w:t xml:space="preserve"> protection between 2016 and 2024</w:t>
      </w:r>
      <w:r w:rsidR="2697F26E" w:rsidRPr="00F3014D">
        <w:t xml:space="preserve"> </w:t>
      </w:r>
      <w:r w:rsidR="769E1F20">
        <w:t>and</w:t>
      </w:r>
      <w:r w:rsidR="2697F26E" w:rsidRPr="00F3014D">
        <w:t xml:space="preserve"> </w:t>
      </w:r>
      <w:r w:rsidR="2697F26E" w:rsidRPr="00DD4265">
        <w:t>that have not so far been withdrawn from the market</w:t>
      </w:r>
      <w:r w:rsidR="22FD8D55">
        <w:t xml:space="preserve">. </w:t>
      </w:r>
      <w:r w:rsidR="00956D3B">
        <w:t>Of</w:t>
      </w:r>
      <w:r w:rsidR="00C953A2">
        <w:t xml:space="preserve"> </w:t>
      </w:r>
      <w:r w:rsidR="22FD8D55">
        <w:t xml:space="preserve">those </w:t>
      </w:r>
      <w:r w:rsidR="6C5224FE">
        <w:t>medicines</w:t>
      </w:r>
      <w:r w:rsidR="22FD8D55">
        <w:t xml:space="preserve"> </w:t>
      </w:r>
      <w:r w:rsidR="0B63CF11">
        <w:t>31</w:t>
      </w:r>
      <w:r w:rsidR="3525346D">
        <w:t xml:space="preserve"> </w:t>
      </w:r>
      <w:r w:rsidR="00823C80">
        <w:t xml:space="preserve">were </w:t>
      </w:r>
      <w:r w:rsidR="00C100E9">
        <w:t xml:space="preserve">found to be </w:t>
      </w:r>
      <w:r w:rsidR="3525346D">
        <w:t>biologic</w:t>
      </w:r>
      <w:r w:rsidR="598CA460">
        <w:t>s</w:t>
      </w:r>
      <w:r w:rsidR="27EF0DD0">
        <w:t xml:space="preserve">, </w:t>
      </w:r>
      <w:r w:rsidR="3525346D">
        <w:t>12</w:t>
      </w:r>
      <w:r w:rsidR="5E718DDF">
        <w:t xml:space="preserve"> </w:t>
      </w:r>
      <w:r w:rsidR="27EF0DD0">
        <w:t>of which</w:t>
      </w:r>
      <w:r w:rsidR="000A5D3F">
        <w:t xml:space="preserve"> rely on SPC as </w:t>
      </w:r>
      <w:r w:rsidR="2B12F679">
        <w:t xml:space="preserve">the </w:t>
      </w:r>
      <w:r w:rsidR="000A5D3F">
        <w:t>last protection to expire</w:t>
      </w:r>
      <w:r w:rsidR="27EF0DD0">
        <w:t xml:space="preserve"> (40%)</w:t>
      </w:r>
      <w:r w:rsidR="4980F625">
        <w:t>.</w:t>
      </w:r>
      <w:r w:rsidR="3525346D">
        <w:t xml:space="preserve"> </w:t>
      </w:r>
      <w:r w:rsidR="00962EC0">
        <w:t>Of the</w:t>
      </w:r>
      <w:r w:rsidR="00083E07">
        <w:t>se</w:t>
      </w:r>
      <w:r w:rsidR="00962EC0">
        <w:t xml:space="preserve"> 12, 10 fulfil the proposed </w:t>
      </w:r>
      <w:r w:rsidR="00157F7B">
        <w:t>Regulation</w:t>
      </w:r>
      <w:r w:rsidR="00962EC0">
        <w:t xml:space="preserve">’s SPC eligibility criterion of being a medicine developed with a biotechnology process. </w:t>
      </w:r>
      <w:r w:rsidR="00CC20E7">
        <w:t>I</w:t>
      </w:r>
      <w:r w:rsidR="00712F7A">
        <w:t>n order n</w:t>
      </w:r>
      <w:r w:rsidR="00962EC0">
        <w:t>ot to limit the sample size unduly, the other SPC eligibility criteria have not been used to exclude medicines from the sample as they should not a priori affect the market characteristics of the medicine</w:t>
      </w:r>
      <w:r w:rsidR="4980F625">
        <w:t>.</w:t>
      </w:r>
      <w:r w:rsidR="3525346D">
        <w:t xml:space="preserve"> </w:t>
      </w:r>
      <w:r w:rsidR="14649F87" w:rsidRPr="00DD4265">
        <w:t>The sample</w:t>
      </w:r>
      <w:r w:rsidR="00F47B61">
        <w:t xml:space="preserve"> studied</w:t>
      </w:r>
      <w:r w:rsidR="0052644B">
        <w:t xml:space="preserve"> </w:t>
      </w:r>
      <w:r w:rsidR="14649F87" w:rsidRPr="00DD4265">
        <w:t xml:space="preserve">was restricted to these </w:t>
      </w:r>
      <w:r w:rsidR="14649F87">
        <w:t>12</w:t>
      </w:r>
      <w:r w:rsidR="14649F87" w:rsidRPr="00DD4265">
        <w:t xml:space="preserve"> products in order to ensure that the medicines considered are representative of those </w:t>
      </w:r>
      <w:r w:rsidR="00CB5DC4">
        <w:t>for which the</w:t>
      </w:r>
      <w:r w:rsidR="14649F87" w:rsidRPr="00DD4265">
        <w:t xml:space="preserve"> SPC extension</w:t>
      </w:r>
      <w:r w:rsidR="008A2629">
        <w:t xml:space="preserve"> </w:t>
      </w:r>
      <w:r w:rsidR="00CB5DC4">
        <w:t>would be relevant</w:t>
      </w:r>
      <w:r w:rsidR="00A9235B">
        <w:rPr>
          <w:rStyle w:val="FootnoteReference"/>
        </w:rPr>
        <w:footnoteReference w:id="243"/>
      </w:r>
      <w:r w:rsidR="29F3FBA6">
        <w:t>.</w:t>
      </w:r>
      <w:r w:rsidR="14649F87">
        <w:t xml:space="preserve"> </w:t>
      </w:r>
      <w:r w:rsidR="6CA470BA" w:rsidRPr="00121AFD">
        <w:t xml:space="preserve">The model specifically looked at how sales volumes and prices shift when a </w:t>
      </w:r>
      <w:r w:rsidR="6CA470BA">
        <w:t xml:space="preserve">product loses patent protection and </w:t>
      </w:r>
      <w:r w:rsidR="6CA470BA" w:rsidRPr="00121AFD">
        <w:t xml:space="preserve">biosimilar versions enter the market. </w:t>
      </w:r>
      <w:r w:rsidR="6CA470BA">
        <w:t xml:space="preserve">On this basis, the model </w:t>
      </w:r>
      <w:r w:rsidR="5E718DDF">
        <w:t>made it possible</w:t>
      </w:r>
      <w:r w:rsidR="79861C31">
        <w:t xml:space="preserve"> to </w:t>
      </w:r>
      <w:r w:rsidR="6CA470BA" w:rsidRPr="00121AFD">
        <w:t xml:space="preserve">calculate how much </w:t>
      </w:r>
      <w:r w:rsidR="6CA470BA">
        <w:t xml:space="preserve">additional </w:t>
      </w:r>
      <w:r w:rsidR="6CA470BA" w:rsidRPr="00121AFD">
        <w:t xml:space="preserve">profit </w:t>
      </w:r>
      <w:r w:rsidR="6CA470BA">
        <w:t xml:space="preserve">accrues to </w:t>
      </w:r>
      <w:r w:rsidR="6CA470BA" w:rsidRPr="00121AFD">
        <w:t xml:space="preserve">the </w:t>
      </w:r>
      <w:r w:rsidR="6CA470BA">
        <w:t>originator</w:t>
      </w:r>
      <w:r w:rsidR="6CA470BA" w:rsidRPr="00121AFD">
        <w:t xml:space="preserve"> </w:t>
      </w:r>
      <w:r w:rsidR="6CA470BA">
        <w:t>and</w:t>
      </w:r>
      <w:r w:rsidR="6CA470BA" w:rsidRPr="00121AFD">
        <w:t xml:space="preserve"> how much additional cost is borne by the healthcare system</w:t>
      </w:r>
      <w:r w:rsidR="6CA470BA">
        <w:t xml:space="preserve"> and patients</w:t>
      </w:r>
      <w:r w:rsidR="6CA470BA" w:rsidRPr="00121AFD">
        <w:t xml:space="preserve"> </w:t>
      </w:r>
      <w:r w:rsidR="6CA470BA">
        <w:t>when an</w:t>
      </w:r>
      <w:r w:rsidR="6CA470BA" w:rsidRPr="00121AFD">
        <w:t xml:space="preserve"> extra year of protection</w:t>
      </w:r>
      <w:r w:rsidR="6CA470BA">
        <w:t xml:space="preserve"> is added</w:t>
      </w:r>
      <w:r w:rsidR="6CA470BA" w:rsidRPr="00121AFD">
        <w:t>.</w:t>
      </w:r>
      <w:r w:rsidR="18B69C6E">
        <w:t xml:space="preserve"> </w:t>
      </w:r>
    </w:p>
    <w:p w14:paraId="75FDC454" w14:textId="267D7331" w:rsidR="00A23D89" w:rsidRDefault="00110623" w:rsidP="00CD6D61">
      <w:pPr>
        <w:rPr>
          <w:u w:val="single"/>
        </w:rPr>
      </w:pPr>
      <w:r w:rsidRPr="00443C31">
        <w:rPr>
          <w:u w:val="single"/>
        </w:rPr>
        <w:t>Expected impacts:</w:t>
      </w:r>
    </w:p>
    <w:p w14:paraId="2FA7793F" w14:textId="77777777" w:rsidR="00272E01" w:rsidRDefault="002207D0" w:rsidP="00CD6D61">
      <w:r>
        <w:t>Figure 1</w:t>
      </w:r>
      <w:r w:rsidR="00E3378C">
        <w:t>0</w:t>
      </w:r>
      <w:r>
        <w:t xml:space="preserve"> charts the course of revenue and volume for the average medicine in the sample across 20 years: 15 years before expiry of protection and 5 years after expiry. This represents our baseline in the absence of SPC extension. </w:t>
      </w:r>
      <w:r w:rsidR="00BB0F54" w:rsidRPr="00BB0F54">
        <w:t xml:space="preserve">As </w:t>
      </w:r>
      <w:r w:rsidR="6799A69F">
        <w:t>biosimilar</w:t>
      </w:r>
      <w:r w:rsidR="00BB0F54" w:rsidRPr="00BB0F54">
        <w:t xml:space="preserve"> entry drives prices down, it is associated with a</w:t>
      </w:r>
      <w:r w:rsidR="00AA0BA2">
        <w:t>n</w:t>
      </w:r>
      <w:r w:rsidR="00BB0F54" w:rsidRPr="00BB0F54">
        <w:t xml:space="preserve"> </w:t>
      </w:r>
      <w:r w:rsidR="00AA0BA2">
        <w:t>accelerated</w:t>
      </w:r>
      <w:r w:rsidR="00BB0F54" w:rsidRPr="00BB0F54">
        <w:t xml:space="preserve"> </w:t>
      </w:r>
      <w:r w:rsidR="00BB0F54" w:rsidRPr="00443C31">
        <w:t>increase in volume</w:t>
      </w:r>
      <w:r w:rsidR="00BB0F54" w:rsidRPr="00BB0F54">
        <w:t xml:space="preserve">, effectively allowing for a </w:t>
      </w:r>
      <w:r w:rsidR="00BB0F54" w:rsidRPr="00443C31">
        <w:t>higher number of patients to be treated</w:t>
      </w:r>
      <w:r w:rsidR="006C6598">
        <w:t xml:space="preserve"> (green line)</w:t>
      </w:r>
      <w:r>
        <w:t xml:space="preserve">. </w:t>
      </w:r>
      <w:r w:rsidR="00612269">
        <w:t>Because prices are lower, overall</w:t>
      </w:r>
      <w:r w:rsidR="003923BA">
        <w:t xml:space="preserve"> revenues fall, despite the </w:t>
      </w:r>
      <w:r w:rsidR="00467DB9">
        <w:t>higher volume</w:t>
      </w:r>
      <w:r w:rsidR="00A316E6">
        <w:t>s</w:t>
      </w:r>
      <w:r>
        <w:t xml:space="preserve">. This </w:t>
      </w:r>
      <w:r w:rsidR="007E5781">
        <w:t>process</w:t>
      </w:r>
      <w:r>
        <w:t xml:space="preserve"> </w:t>
      </w:r>
      <w:r w:rsidR="00EF2384">
        <w:t xml:space="preserve">is </w:t>
      </w:r>
      <w:r w:rsidR="00524109">
        <w:t xml:space="preserve">somewhat restrained in the case of biologics </w:t>
      </w:r>
      <w:r w:rsidR="009E6133">
        <w:t>by</w:t>
      </w:r>
      <w:r>
        <w:t xml:space="preserve"> the higher barriers to entry for biosimilars as compared to generics for small molecules, including due to stricter regulatory pathways and </w:t>
      </w:r>
      <w:r w:rsidR="56A75B62">
        <w:t xml:space="preserve">more </w:t>
      </w:r>
      <w:r>
        <w:t>complex production processes</w:t>
      </w:r>
      <w:r w:rsidR="00265C90">
        <w:t>, resulting in a rel</w:t>
      </w:r>
      <w:r w:rsidR="000F04E0">
        <w:t xml:space="preserve">atively </w:t>
      </w:r>
      <w:r w:rsidR="006D2B6B">
        <w:t>shallow decrease in overall re</w:t>
      </w:r>
      <w:r w:rsidR="00204B74">
        <w:t>venue</w:t>
      </w:r>
      <w:r>
        <w:t>.</w:t>
      </w:r>
      <w:r w:rsidRPr="00DD4265">
        <w:rPr>
          <w:rStyle w:val="FootnoteReference"/>
        </w:rPr>
        <w:footnoteReference w:id="244"/>
      </w:r>
    </w:p>
    <w:p w14:paraId="18ACC062" w14:textId="418E9A97" w:rsidR="00C63B0D" w:rsidRPr="00443C31" w:rsidRDefault="002207D0" w:rsidP="002E5C2B">
      <w:pPr>
        <w:rPr>
          <w:b/>
          <w:bCs/>
        </w:rPr>
      </w:pPr>
      <w:r>
        <w:t xml:space="preserve"> </w:t>
      </w:r>
      <w:r w:rsidR="00E7141D" w:rsidRPr="00443C31">
        <w:rPr>
          <w:b/>
        </w:rPr>
        <w:t xml:space="preserve">Figure </w:t>
      </w:r>
      <w:r w:rsidR="00E7141D" w:rsidRPr="2EBB2FB1">
        <w:rPr>
          <w:b/>
        </w:rPr>
        <w:fldChar w:fldCharType="begin"/>
      </w:r>
      <w:r w:rsidR="00E7141D" w:rsidRPr="2EBB2FB1">
        <w:rPr>
          <w:b/>
        </w:rPr>
        <w:instrText xml:space="preserve"> SEQ Figure \* ARABIC </w:instrText>
      </w:r>
      <w:r w:rsidR="00E7141D" w:rsidRPr="2EBB2FB1">
        <w:rPr>
          <w:b/>
        </w:rPr>
        <w:fldChar w:fldCharType="separate"/>
      </w:r>
      <w:r w:rsidR="00E7141D" w:rsidRPr="00443C31">
        <w:rPr>
          <w:b/>
        </w:rPr>
        <w:t>1</w:t>
      </w:r>
      <w:r w:rsidR="00E7141D" w:rsidRPr="2EBB2FB1">
        <w:rPr>
          <w:b/>
        </w:rPr>
        <w:fldChar w:fldCharType="end"/>
      </w:r>
      <w:r w:rsidR="00E7141D" w:rsidRPr="00443C31">
        <w:rPr>
          <w:b/>
        </w:rPr>
        <w:t xml:space="preserve">0. Normalised sales and volume for </w:t>
      </w:r>
      <w:r w:rsidR="00F51EB8" w:rsidRPr="00443C31">
        <w:rPr>
          <w:b/>
        </w:rPr>
        <w:t>SPC-reliant biological medicines with current duration of SPC</w:t>
      </w:r>
    </w:p>
    <w:p w14:paraId="62F4F757" w14:textId="77777777" w:rsidR="00EE4436" w:rsidRDefault="00E7141D" w:rsidP="00CD6D61">
      <w:r>
        <w:rPr>
          <w:noProof/>
        </w:rPr>
        <w:drawing>
          <wp:inline distT="0" distB="0" distL="0" distR="0" wp14:anchorId="0883506E" wp14:editId="1636B9CD">
            <wp:extent cx="4295775" cy="3614110"/>
            <wp:effectExtent l="0" t="0" r="0" b="5715"/>
            <wp:docPr id="101179244" name="Picture 2" descr="A graph with numbers and line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2" descr="A graph with numbers and lines&#10;&#10;AI-generated content may be incorrect."/>
                    <pic:cNvPicPr>
                      <a:picLocks noChangeAspect="1"/>
                    </pic:cNvPicPr>
                  </pic:nvPicPr>
                  <pic:blipFill>
                    <a:blip r:embed="rId27" cstate="print">
                      <a:extLst>
                        <a:ext uri="{28A0092B-C50C-407E-A947-70E740481C1C}">
                          <a14:useLocalDpi xmlns:a14="http://schemas.microsoft.com/office/drawing/2010/main" val="0"/>
                        </a:ext>
                      </a:extLst>
                    </a:blip>
                    <a:srcRect/>
                    <a:stretch>
                      <a:fillRect/>
                    </a:stretch>
                  </pic:blipFill>
                  <pic:spPr bwMode="auto">
                    <a:xfrm>
                      <a:off x="0" y="0"/>
                      <a:ext cx="4304106" cy="3621119"/>
                    </a:xfrm>
                    <a:prstGeom prst="rect">
                      <a:avLst/>
                    </a:prstGeom>
                    <a:noFill/>
                    <a:ln>
                      <a:noFill/>
                    </a:ln>
                  </pic:spPr>
                </pic:pic>
              </a:graphicData>
            </a:graphic>
          </wp:inline>
        </w:drawing>
      </w:r>
    </w:p>
    <w:p w14:paraId="3CF57B50" w14:textId="5F43FB7F" w:rsidR="00C63B0D" w:rsidRDefault="004541D7" w:rsidP="00CD6D61">
      <w:pPr>
        <w:rPr>
          <w:sz w:val="16"/>
          <w:szCs w:val="16"/>
          <w:lang w:val="en-US"/>
        </w:rPr>
      </w:pPr>
      <w:r w:rsidRPr="07D93A14">
        <w:rPr>
          <w:sz w:val="16"/>
          <w:szCs w:val="16"/>
          <w:lang w:val="en-US"/>
        </w:rPr>
        <w:t xml:space="preserve">Author analysis based on IQVIA MIDAS </w:t>
      </w:r>
      <w:r w:rsidRPr="2EBB2FB1">
        <w:rPr>
          <w:sz w:val="16"/>
          <w:szCs w:val="16"/>
          <w:lang w:val="en-US"/>
        </w:rPr>
        <w:t>data</w:t>
      </w:r>
    </w:p>
    <w:p w14:paraId="1114AFA0" w14:textId="0A56C631" w:rsidR="002E5C2B" w:rsidRDefault="008E1B05" w:rsidP="00CD6D61">
      <w:r>
        <w:t>To assess the impact of an additional year of protection, the same twenty-year reference period was maintained, but with an additional year of uncontested sales with revenues and volumes equal to those in the year before expiry and one year fewer of contested sales. The effect is depicted in Figure 11 (light blue bar).</w:t>
      </w:r>
      <w:r w:rsidR="00D03FFD">
        <w:t xml:space="preserve"> The result is a fall in the number of patients treated accompanied by an increase in spending.</w:t>
      </w:r>
    </w:p>
    <w:p w14:paraId="59998CBC" w14:textId="77777777" w:rsidR="005C6A9D" w:rsidRDefault="005C6A9D" w:rsidP="00CD6D61"/>
    <w:p w14:paraId="4C229785" w14:textId="77777777" w:rsidR="005C6A9D" w:rsidRDefault="005C6A9D" w:rsidP="00CD6D61"/>
    <w:p w14:paraId="7363D0FE" w14:textId="77777777" w:rsidR="005C6A9D" w:rsidRDefault="005C6A9D" w:rsidP="00CD6D61"/>
    <w:p w14:paraId="02E975C6" w14:textId="248834B8" w:rsidR="00C63B0D" w:rsidRPr="00443C31" w:rsidRDefault="00E7141D" w:rsidP="00443C31">
      <w:pPr>
        <w:spacing w:after="0"/>
        <w:rPr>
          <w:b/>
          <w:bCs/>
        </w:rPr>
      </w:pPr>
      <w:r w:rsidRPr="00443C31">
        <w:rPr>
          <w:b/>
        </w:rPr>
        <w:t xml:space="preserve">Figure 11. Normalised sales and volume for </w:t>
      </w:r>
      <w:r w:rsidR="0012797D" w:rsidRPr="00443C31">
        <w:rPr>
          <w:b/>
        </w:rPr>
        <w:t>SPC-reliant biological medicines products with a 12- months SPC extension</w:t>
      </w:r>
    </w:p>
    <w:p w14:paraId="0562C987" w14:textId="77777777" w:rsidR="002E5C2B" w:rsidRPr="00443C31" w:rsidRDefault="002E5C2B" w:rsidP="00443C31">
      <w:pPr>
        <w:spacing w:after="0"/>
        <w:rPr>
          <w:b/>
          <w:bCs/>
        </w:rPr>
      </w:pPr>
    </w:p>
    <w:p w14:paraId="700E3A6C" w14:textId="6B1D8113" w:rsidR="00890ACF" w:rsidRDefault="79ED1AAF" w:rsidP="00CD6D61">
      <w:r>
        <w:rPr>
          <w:noProof/>
        </w:rPr>
        <w:drawing>
          <wp:inline distT="0" distB="0" distL="0" distR="0" wp14:anchorId="0F175CF1" wp14:editId="0AB293C8">
            <wp:extent cx="4433479" cy="3581400"/>
            <wp:effectExtent l="0" t="0" r="5715" b="0"/>
            <wp:docPr id="1160661803" name="Picture 1" descr="A graph with different colored line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60661803" name="Picture 1" descr="A graph with different colored lines&#10;&#10;AI-generated content may be incorrect."/>
                    <pic:cNvPicPr>
                      <a:picLocks noChangeAspect="1"/>
                    </pic:cNvPicPr>
                  </pic:nvPicPr>
                  <pic:blipFill>
                    <a:blip r:embed="rId28" cstate="print">
                      <a:extLst>
                        <a:ext uri="{28A0092B-C50C-407E-A947-70E740481C1C}">
                          <a14:useLocalDpi xmlns:a14="http://schemas.microsoft.com/office/drawing/2010/main"/>
                        </a:ext>
                      </a:extLst>
                    </a:blip>
                    <a:srcRect/>
                    <a:stretch>
                      <a:fillRect/>
                    </a:stretch>
                  </pic:blipFill>
                  <pic:spPr bwMode="auto">
                    <a:xfrm>
                      <a:off x="0" y="0"/>
                      <a:ext cx="4438201" cy="3585214"/>
                    </a:xfrm>
                    <a:prstGeom prst="rect">
                      <a:avLst/>
                    </a:prstGeom>
                    <a:noFill/>
                    <a:ln>
                      <a:noFill/>
                    </a:ln>
                  </pic:spPr>
                </pic:pic>
              </a:graphicData>
            </a:graphic>
          </wp:inline>
        </w:drawing>
      </w:r>
    </w:p>
    <w:p w14:paraId="61959749" w14:textId="4A6F94D4" w:rsidR="00C63B0D" w:rsidRDefault="004541D7" w:rsidP="00CD6D61">
      <w:pPr>
        <w:rPr>
          <w:sz w:val="16"/>
          <w:szCs w:val="16"/>
          <w:lang w:val="en-US"/>
        </w:rPr>
      </w:pPr>
      <w:r w:rsidRPr="4F921753">
        <w:rPr>
          <w:sz w:val="16"/>
          <w:szCs w:val="16"/>
          <w:lang w:val="en-US"/>
        </w:rPr>
        <w:t xml:space="preserve">Author analysis based on IQVIA MIDAS </w:t>
      </w:r>
      <w:r w:rsidRPr="2EBB2FB1">
        <w:rPr>
          <w:sz w:val="16"/>
          <w:szCs w:val="16"/>
          <w:lang w:val="en-US"/>
        </w:rPr>
        <w:t>data</w:t>
      </w:r>
    </w:p>
    <w:p w14:paraId="723FF928" w14:textId="58866CD7" w:rsidR="005746CC" w:rsidRDefault="00387BAB" w:rsidP="00CD6D61">
      <w:r>
        <w:t>T</w:t>
      </w:r>
      <w:r w:rsidR="008671C4">
        <w:t xml:space="preserve">o assess how many products per year would be eligible for the measure, </w:t>
      </w:r>
      <w:r w:rsidR="00CC456C">
        <w:t>data</w:t>
      </w:r>
      <w:r w:rsidR="00F036A6">
        <w:t xml:space="preserve"> </w:t>
      </w:r>
      <w:r w:rsidR="003A69A5">
        <w:t xml:space="preserve">from </w:t>
      </w:r>
      <w:r w:rsidR="00F036A6">
        <w:t xml:space="preserve">EMA </w:t>
      </w:r>
      <w:r w:rsidR="00DB2B91">
        <w:t xml:space="preserve">was analysed </w:t>
      </w:r>
      <w:r w:rsidR="00F036A6">
        <w:t>covering the period</w:t>
      </w:r>
      <w:r w:rsidR="00200763">
        <w:t xml:space="preserve"> </w:t>
      </w:r>
      <w:r w:rsidR="003A69A5">
        <w:t>from 2011 to 2025</w:t>
      </w:r>
      <w:r w:rsidR="00200763">
        <w:t>.</w:t>
      </w:r>
      <w:r w:rsidR="00CC456C">
        <w:t xml:space="preserve"> </w:t>
      </w:r>
      <w:r w:rsidR="00646888">
        <w:t>I</w:t>
      </w:r>
      <w:r w:rsidR="0010235E">
        <w:t>f the SPC extension existed</w:t>
      </w:r>
      <w:r w:rsidR="0061661E" w:rsidRPr="00DD4265">
        <w:t xml:space="preserve">, </w:t>
      </w:r>
      <w:r w:rsidR="00190EEF">
        <w:t xml:space="preserve">over the past ten years, </w:t>
      </w:r>
      <w:r w:rsidR="0061661E" w:rsidRPr="00DD4265">
        <w:t xml:space="preserve">there </w:t>
      </w:r>
      <w:r w:rsidR="00CC456C">
        <w:t>would</w:t>
      </w:r>
      <w:r w:rsidR="0061661E" w:rsidRPr="00DD4265">
        <w:t xml:space="preserve"> have been </w:t>
      </w:r>
      <w:r w:rsidR="00A6025F">
        <w:t>on average</w:t>
      </w:r>
      <w:r w:rsidR="0061661E" w:rsidRPr="00DD4265">
        <w:t xml:space="preserve"> </w:t>
      </w:r>
      <w:r w:rsidR="00D94134" w:rsidRPr="00443C31">
        <w:rPr>
          <w:b/>
        </w:rPr>
        <w:t>5</w:t>
      </w:r>
      <w:r w:rsidR="0061661E" w:rsidRPr="4E26AC25">
        <w:rPr>
          <w:b/>
        </w:rPr>
        <w:t xml:space="preserve"> </w:t>
      </w:r>
      <w:r w:rsidR="00233B1D" w:rsidRPr="4E26AC25">
        <w:rPr>
          <w:b/>
        </w:rPr>
        <w:t>products</w:t>
      </w:r>
      <w:r w:rsidR="0061661E" w:rsidRPr="4E26AC25">
        <w:rPr>
          <w:b/>
        </w:rPr>
        <w:t xml:space="preserve"> </w:t>
      </w:r>
      <w:r w:rsidR="00A6025F">
        <w:rPr>
          <w:b/>
        </w:rPr>
        <w:t xml:space="preserve">per year </w:t>
      </w:r>
      <w:r w:rsidR="00971A64">
        <w:t>among all those centrally authorised</w:t>
      </w:r>
      <w:r w:rsidR="0061661E" w:rsidRPr="4E26AC25">
        <w:rPr>
          <w:b/>
        </w:rPr>
        <w:t xml:space="preserve"> </w:t>
      </w:r>
      <w:r w:rsidR="00A6025F">
        <w:t>that fulfil all the criteria to obtain the SPC extension</w:t>
      </w:r>
      <w:r w:rsidR="007A6FAD">
        <w:t>,</w:t>
      </w:r>
      <w:r w:rsidR="00ED5A56">
        <w:t xml:space="preserve"> and </w:t>
      </w:r>
      <w:r w:rsidR="00ED5A56" w:rsidRPr="4E26AC25">
        <w:rPr>
          <w:b/>
        </w:rPr>
        <w:t>6</w:t>
      </w:r>
      <w:r w:rsidR="00ED5A56">
        <w:t xml:space="preserve"> </w:t>
      </w:r>
      <w:r w:rsidR="00135F56">
        <w:t xml:space="preserve">per year </w:t>
      </w:r>
      <w:r w:rsidR="00ED5A56">
        <w:t>over the past 5 years</w:t>
      </w:r>
      <w:r w:rsidR="0061661E" w:rsidRPr="00DD4265">
        <w:t>, albeit with considerable variation per year.</w:t>
      </w:r>
      <w:r w:rsidR="00402D49">
        <w:t xml:space="preserve"> </w:t>
      </w:r>
      <w:r w:rsidR="00FE4054">
        <w:t>As</w:t>
      </w:r>
      <w:r w:rsidR="001206C9">
        <w:t xml:space="preserve"> stated above</w:t>
      </w:r>
      <w:r w:rsidR="00F3282C">
        <w:t>,</w:t>
      </w:r>
      <w:r w:rsidR="001206C9">
        <w:t xml:space="preserve"> out of the 31 biologics we analysed</w:t>
      </w:r>
      <w:r w:rsidR="004A0511">
        <w:t>,</w:t>
      </w:r>
      <w:r w:rsidR="001206C9">
        <w:t xml:space="preserve"> 40%</w:t>
      </w:r>
      <w:r w:rsidR="004B2D21">
        <w:t xml:space="preserve"> </w:t>
      </w:r>
      <w:r w:rsidR="00213A78">
        <w:t>(</w:t>
      </w:r>
      <w:r w:rsidR="004B2D21">
        <w:t>i.e. 12 products</w:t>
      </w:r>
      <w:r w:rsidR="00213A78">
        <w:t>)</w:t>
      </w:r>
      <w:r w:rsidR="004B2D21">
        <w:t>,</w:t>
      </w:r>
      <w:r w:rsidR="001206C9">
        <w:t xml:space="preserve"> relied on SPC as </w:t>
      </w:r>
      <w:r w:rsidR="008F6D3B">
        <w:t xml:space="preserve">their </w:t>
      </w:r>
      <w:r w:rsidR="001206C9">
        <w:t>last effective protection</w:t>
      </w:r>
      <w:r w:rsidR="00D81BB8">
        <w:rPr>
          <w:rStyle w:val="FootnoteReference"/>
        </w:rPr>
        <w:footnoteReference w:id="245"/>
      </w:r>
      <w:r w:rsidR="009E2903">
        <w:t>.</w:t>
      </w:r>
      <w:r w:rsidR="008162F7">
        <w:t xml:space="preserve"> </w:t>
      </w:r>
      <w:r w:rsidR="00B01EA7">
        <w:t>Thus, assuming</w:t>
      </w:r>
      <w:r w:rsidR="0060484E">
        <w:t xml:space="preserve"> th</w:t>
      </w:r>
      <w:r w:rsidR="00EC369A">
        <w:t>e</w:t>
      </w:r>
      <w:r w:rsidR="0060484E">
        <w:t xml:space="preserve"> proportion of </w:t>
      </w:r>
      <w:r w:rsidR="009E2903">
        <w:t>products relying on</w:t>
      </w:r>
      <w:r w:rsidR="0060484E">
        <w:t xml:space="preserve"> </w:t>
      </w:r>
      <w:r w:rsidR="009E2903">
        <w:t>SPC</w:t>
      </w:r>
      <w:r w:rsidR="0060484E">
        <w:t xml:space="preserve"> remain</w:t>
      </w:r>
      <w:r w:rsidR="004A0511">
        <w:t>s</w:t>
      </w:r>
      <w:r w:rsidR="0060484E">
        <w:t xml:space="preserve"> constant</w:t>
      </w:r>
      <w:r w:rsidR="00EC369A">
        <w:t>,</w:t>
      </w:r>
      <w:r w:rsidR="00FE4054">
        <w:t xml:space="preserve"> </w:t>
      </w:r>
      <w:r w:rsidR="00A612A3">
        <w:t>the</w:t>
      </w:r>
      <w:r w:rsidR="00B86965">
        <w:t xml:space="preserve"> SPC extension would </w:t>
      </w:r>
      <w:r w:rsidR="00D23120">
        <w:t>have a</w:t>
      </w:r>
      <w:r w:rsidR="00A610EC">
        <w:t xml:space="preserve">n </w:t>
      </w:r>
      <w:r w:rsidR="00D23120">
        <w:t>economic</w:t>
      </w:r>
      <w:r w:rsidR="00B86965">
        <w:t xml:space="preserve"> </w:t>
      </w:r>
      <w:r w:rsidR="00D23120">
        <w:t>impact on</w:t>
      </w:r>
      <w:r w:rsidR="00B86965">
        <w:t xml:space="preserve"> </w:t>
      </w:r>
      <w:r w:rsidR="000138C4" w:rsidRPr="004F48D9">
        <w:rPr>
          <w:b/>
        </w:rPr>
        <w:t>2</w:t>
      </w:r>
      <w:r w:rsidR="000138C4">
        <w:t>-</w:t>
      </w:r>
      <w:r w:rsidR="00B86965" w:rsidRPr="004F48D9">
        <w:rPr>
          <w:b/>
        </w:rPr>
        <w:t>3 products per year</w:t>
      </w:r>
      <w:r w:rsidR="00B86965">
        <w:t>.</w:t>
      </w:r>
      <w:r w:rsidR="0061661E" w:rsidRPr="00DD4265">
        <w:t xml:space="preserve"> </w:t>
      </w:r>
    </w:p>
    <w:p w14:paraId="503358DF" w14:textId="7D999760" w:rsidR="005746CC" w:rsidRDefault="009E541D" w:rsidP="00CD6D61">
      <w:r w:rsidRPr="00443C31">
        <w:rPr>
          <w:b/>
          <w:bCs/>
        </w:rPr>
        <w:t>Conduct of business:</w:t>
      </w:r>
      <w:r w:rsidR="0041620F">
        <w:rPr>
          <w:b/>
          <w:bCs/>
        </w:rPr>
        <w:t xml:space="preserve"> </w:t>
      </w:r>
      <w:r w:rsidR="0061661E" w:rsidRPr="00E11BC6">
        <w:t>The average revenue</w:t>
      </w:r>
      <w:r w:rsidR="008F6D3B" w:rsidRPr="00E11BC6">
        <w:t xml:space="preserve"> of a product</w:t>
      </w:r>
      <w:r w:rsidR="0061661E" w:rsidRPr="00E11BC6">
        <w:t xml:space="preserve"> in the sample in the year prior to protection expiry is </w:t>
      </w:r>
      <w:r w:rsidR="002F768B" w:rsidRPr="00E11BC6">
        <w:t xml:space="preserve">EUR </w:t>
      </w:r>
      <w:r w:rsidR="0061661E" w:rsidRPr="00E11BC6">
        <w:t>74</w:t>
      </w:r>
      <w:r w:rsidR="00676417" w:rsidRPr="00E11BC6">
        <w:t>0</w:t>
      </w:r>
      <w:r w:rsidR="00426DD6" w:rsidRPr="00E11BC6">
        <w:t xml:space="preserve"> </w:t>
      </w:r>
      <w:r w:rsidR="0061661E" w:rsidRPr="00E11BC6">
        <w:t>million.</w:t>
      </w:r>
      <w:r w:rsidR="00CA34E2" w:rsidRPr="00DD512D">
        <w:t xml:space="preserve"> </w:t>
      </w:r>
      <w:r w:rsidR="003830DD" w:rsidRPr="00DD512D">
        <w:t>Impacts in the model are calculated as a percentage of revenues in this last protected year.</w:t>
      </w:r>
      <w:r w:rsidR="00D85ED2" w:rsidRPr="00E11BC6">
        <w:rPr>
          <w:rFonts w:ascii="Segoe UI" w:hAnsi="Segoe UI" w:cs="Segoe UI"/>
          <w:sz w:val="18"/>
          <w:szCs w:val="18"/>
        </w:rPr>
        <w:t xml:space="preserve"> </w:t>
      </w:r>
      <w:r w:rsidR="00D85ED2" w:rsidRPr="00E11BC6">
        <w:t xml:space="preserve">Taking into account the expected impact of the measure, as shown in </w:t>
      </w:r>
      <w:r w:rsidR="00CD6D61">
        <w:t>F</w:t>
      </w:r>
      <w:r w:rsidR="00750E05">
        <w:t>igure</w:t>
      </w:r>
      <w:r w:rsidR="00D85ED2" w:rsidRPr="00E11BC6">
        <w:t xml:space="preserve"> </w:t>
      </w:r>
      <w:r w:rsidR="00E3378C">
        <w:t>11</w:t>
      </w:r>
      <w:r w:rsidR="00D85ED2" w:rsidRPr="00E11BC6">
        <w:t>, a</w:t>
      </w:r>
      <w:r w:rsidR="00CA34E2" w:rsidRPr="00E11BC6">
        <w:t xml:space="preserve">n additional year of protection results in an additional direct cost to public payers </w:t>
      </w:r>
      <w:r w:rsidR="01E44BC7">
        <w:t xml:space="preserve">in the EU </w:t>
      </w:r>
      <w:r w:rsidR="00CA34E2" w:rsidRPr="00E11BC6">
        <w:t>of approximately EUR 7</w:t>
      </w:r>
      <w:r w:rsidR="00676417" w:rsidRPr="00E11BC6">
        <w:t>0</w:t>
      </w:r>
      <w:r w:rsidR="00CA34E2" w:rsidRPr="00E11BC6">
        <w:t xml:space="preserve"> million per medicine, corresponding to approximately EUR 21</w:t>
      </w:r>
      <w:r w:rsidR="00676417" w:rsidRPr="00E11BC6">
        <w:t>0</w:t>
      </w:r>
      <w:r w:rsidR="00CA34E2" w:rsidRPr="00E11BC6">
        <w:t xml:space="preserve"> million annually at aggregate level (</w:t>
      </w:r>
      <w:r w:rsidR="00A9539A">
        <w:t xml:space="preserve">considering </w:t>
      </w:r>
      <w:r w:rsidR="00CA34E2" w:rsidRPr="00E11BC6">
        <w:t xml:space="preserve">three medicines per year). </w:t>
      </w:r>
      <w:r w:rsidR="00C34727" w:rsidRPr="7E7CBB17">
        <w:t xml:space="preserve">The relatively </w:t>
      </w:r>
      <w:r w:rsidR="00172AE2" w:rsidRPr="006AFD62">
        <w:rPr>
          <w:b/>
          <w:bCs/>
        </w:rPr>
        <w:t>moderate</w:t>
      </w:r>
      <w:r w:rsidR="00172AE2">
        <w:rPr>
          <w:b/>
          <w:bCs/>
        </w:rPr>
        <w:t xml:space="preserve"> increase in spending</w:t>
      </w:r>
      <w:r w:rsidR="00C34727" w:rsidRPr="4E26AC25">
        <w:rPr>
          <w:b/>
          <w:bCs/>
        </w:rPr>
        <w:t xml:space="preserve"> </w:t>
      </w:r>
      <w:r w:rsidR="00C34727" w:rsidRPr="7E7CBB17">
        <w:t xml:space="preserve">reflects the shallow post-expiry revenue decline characteristic of SPC-reliant biologicals. </w:t>
      </w:r>
    </w:p>
    <w:p w14:paraId="178AAAEA" w14:textId="6FBC7A4B" w:rsidR="00ED218E" w:rsidRDefault="001C15B9" w:rsidP="00CD6D61">
      <w:r w:rsidRPr="5B19824B">
        <w:rPr>
          <w:b/>
          <w:bCs/>
          <w:lang w:val="en-IE"/>
        </w:rPr>
        <w:t xml:space="preserve">Functioning of the internal market and competition: </w:t>
      </w:r>
      <w:r w:rsidR="00D20B9D" w:rsidRPr="7E7CBB17">
        <w:t>For the reasons set out above, b</w:t>
      </w:r>
      <w:r w:rsidR="00C34727" w:rsidRPr="7E7CBB17">
        <w:t xml:space="preserve">iosimilar competition produces </w:t>
      </w:r>
      <w:r w:rsidR="0006341C">
        <w:t>slower</w:t>
      </w:r>
      <w:r w:rsidR="00C34727" w:rsidRPr="7E7CBB17">
        <w:t xml:space="preserve"> price reductions than generic competition, limiting the price differential between the extension scenario and the baseline. </w:t>
      </w:r>
      <w:r w:rsidR="00F43BB9">
        <w:t>Instead, the main effect of the extension relative to the baseline is the temporary postponement of additional product entry, implying fewer available treatment options and delayed expansion of supply for patients during the extension period.</w:t>
      </w:r>
      <w:r w:rsidR="009235E2">
        <w:t xml:space="preserve"> </w:t>
      </w:r>
      <w:r w:rsidR="00F43BB9">
        <w:t xml:space="preserve">By postponing competitive entry, the extension maintains higher average prices for an additional year and delays the expansion of supply associated with follow-on products. </w:t>
      </w:r>
    </w:p>
    <w:p w14:paraId="6DE73BFE" w14:textId="4C208971" w:rsidR="00CA34E2" w:rsidRPr="00514904" w:rsidRDefault="00CE2CA3" w:rsidP="00200763">
      <w:r w:rsidRPr="00443C31">
        <w:rPr>
          <w:b/>
          <w:bCs/>
        </w:rPr>
        <w:t>Public health</w:t>
      </w:r>
      <w:r>
        <w:t>:</w:t>
      </w:r>
      <w:r w:rsidR="00B148AD">
        <w:t xml:space="preserve"> </w:t>
      </w:r>
      <w:r w:rsidR="00524CD1">
        <w:t>In addition to th</w:t>
      </w:r>
      <w:r w:rsidR="005705A4">
        <w:t xml:space="preserve">e </w:t>
      </w:r>
      <w:r w:rsidR="00524CD1">
        <w:t>direct cost impact</w:t>
      </w:r>
      <w:r w:rsidR="00FE117C">
        <w:t xml:space="preserve"> of approximately EUR 70 million per medicine</w:t>
      </w:r>
      <w:r w:rsidR="00524CD1">
        <w:t xml:space="preserve">, there is a delay in the expansion of coverage (the upward pivot of the green line is delayed by a year). </w:t>
      </w:r>
      <w:r w:rsidR="00C34727" w:rsidRPr="7E7CBB17">
        <w:t>This is expressed in a patient monetised loss</w:t>
      </w:r>
      <w:r w:rsidR="00302BAE" w:rsidRPr="00302BAE">
        <w:t xml:space="preserve"> </w:t>
      </w:r>
      <w:r w:rsidR="00302BAE" w:rsidRPr="7E7CBB17">
        <w:t>of</w:t>
      </w:r>
      <w:r w:rsidR="00C34727" w:rsidRPr="7E7CBB17">
        <w:t xml:space="preserve"> EUR 13</w:t>
      </w:r>
      <w:r w:rsidR="007A781D" w:rsidRPr="7E7CBB17">
        <w:t>5</w:t>
      </w:r>
      <w:r w:rsidR="00C34727" w:rsidRPr="7E7CBB17">
        <w:t xml:space="preserve"> million per </w:t>
      </w:r>
      <w:r w:rsidR="00C34727" w:rsidRPr="00514904">
        <w:t>product and EUR 40</w:t>
      </w:r>
      <w:r w:rsidR="007A781D" w:rsidRPr="00514904">
        <w:t>5</w:t>
      </w:r>
      <w:r w:rsidR="00C34727" w:rsidRPr="00514904">
        <w:t xml:space="preserve"> million </w:t>
      </w:r>
      <w:r w:rsidR="00FE243C" w:rsidRPr="00514904">
        <w:t>for</w:t>
      </w:r>
      <w:r w:rsidR="00C34727" w:rsidRPr="00514904">
        <w:t xml:space="preserve"> three products </w:t>
      </w:r>
      <w:r w:rsidR="00CA34E2" w:rsidRPr="00514904">
        <w:t>(see table below</w:t>
      </w:r>
      <w:r w:rsidR="00302BAE" w:rsidRPr="00514904">
        <w:t>)</w:t>
      </w:r>
      <w:r w:rsidR="00A074E0">
        <w:t xml:space="preserve"> </w:t>
      </w:r>
      <w:r w:rsidR="00B7095F">
        <w:t>c</w:t>
      </w:r>
      <w:r w:rsidR="00B7095F" w:rsidRPr="00B7095F">
        <w:t xml:space="preserve">alculated as the additional spending required to achieve baseline coverage at policy scenario prices. Additional details in </w:t>
      </w:r>
      <w:r w:rsidR="00B7095F">
        <w:t>Annex 7</w:t>
      </w:r>
      <w:r w:rsidR="00B7095F" w:rsidRPr="00B7095F">
        <w:t>.</w:t>
      </w:r>
      <w:r w:rsidR="00C34727" w:rsidRPr="7E7CBB17">
        <w:t xml:space="preserve"> </w:t>
      </w:r>
      <w:r w:rsidR="0060417D">
        <w:t>A</w:t>
      </w:r>
      <w:r w:rsidR="00AA62FE">
        <w:t>dditional protection</w:t>
      </w:r>
      <w:r w:rsidR="00491939" w:rsidRPr="00491939">
        <w:t xml:space="preserve"> </w:t>
      </w:r>
      <w:r w:rsidR="00572BFA">
        <w:t xml:space="preserve">for originators </w:t>
      </w:r>
      <w:r w:rsidR="00491939" w:rsidRPr="00491939">
        <w:t>results in a transfer of</w:t>
      </w:r>
      <w:r w:rsidR="00240548">
        <w:t xml:space="preserve"> revenue and profit from </w:t>
      </w:r>
      <w:r w:rsidR="0057415D">
        <w:t>biosimilar</w:t>
      </w:r>
      <w:r w:rsidR="00240548">
        <w:t xml:space="preserve"> makers</w:t>
      </w:r>
      <w:r w:rsidR="0060417D">
        <w:t xml:space="preserve"> to originators as well as a transfer of</w:t>
      </w:r>
      <w:r w:rsidR="00491939" w:rsidRPr="00491939">
        <w:t xml:space="preserve"> economic surplus from payers and patients to </w:t>
      </w:r>
      <w:r w:rsidR="009B4E75">
        <w:t>the pharma industry</w:t>
      </w:r>
      <w:r w:rsidR="00491939" w:rsidRPr="00491939">
        <w:t xml:space="preserve">, </w:t>
      </w:r>
      <w:r w:rsidR="00265748">
        <w:t>as set out in the table below</w:t>
      </w:r>
      <w:r w:rsidR="00265748">
        <w:rPr>
          <w:rStyle w:val="FootnoteReference"/>
        </w:rPr>
        <w:footnoteReference w:id="246"/>
      </w:r>
      <w:r w:rsidR="002A4FC5">
        <w:t>.</w:t>
      </w:r>
      <w:r w:rsidR="00C34727" w:rsidRPr="7E7CBB17">
        <w:t xml:space="preserve"> </w:t>
      </w:r>
    </w:p>
    <w:p w14:paraId="5BF73AF2" w14:textId="574BB804" w:rsidR="007754EE" w:rsidRDefault="003327A4" w:rsidP="00304A59">
      <w:pPr>
        <w:spacing w:after="0"/>
        <w:rPr>
          <w:b/>
        </w:rPr>
      </w:pPr>
      <w:r w:rsidRPr="00514904">
        <w:rPr>
          <w:b/>
        </w:rPr>
        <w:t xml:space="preserve">Table </w:t>
      </w:r>
      <w:r w:rsidR="009F5B4E" w:rsidRPr="00514904">
        <w:rPr>
          <w:b/>
          <w:bCs/>
        </w:rPr>
        <w:t>1</w:t>
      </w:r>
      <w:r w:rsidR="00F37494">
        <w:rPr>
          <w:b/>
          <w:bCs/>
        </w:rPr>
        <w:t>3</w:t>
      </w:r>
      <w:r w:rsidR="00111884">
        <w:rPr>
          <w:b/>
        </w:rPr>
        <w:t>.</w:t>
      </w:r>
      <w:r w:rsidRPr="00514904">
        <w:rPr>
          <w:b/>
        </w:rPr>
        <w:t xml:space="preserve"> Impact</w:t>
      </w:r>
      <w:r w:rsidRPr="00592B81">
        <w:rPr>
          <w:b/>
        </w:rPr>
        <w:t xml:space="preserve"> of change of +1 SPC extension for biotechnology medicines</w:t>
      </w:r>
      <w:r w:rsidR="004F28AA">
        <w:rPr>
          <w:b/>
        </w:rPr>
        <w:t xml:space="preserve"> </w:t>
      </w:r>
    </w:p>
    <w:tbl>
      <w:tblPr>
        <w:tblStyle w:val="TableGrid"/>
        <w:tblpPr w:leftFromText="180" w:rightFromText="180" w:vertAnchor="text" w:horzAnchor="margin" w:tblpY="185"/>
        <w:tblW w:w="8617" w:type="dxa"/>
        <w:tblLook w:val="04A0" w:firstRow="1" w:lastRow="0" w:firstColumn="1" w:lastColumn="0" w:noHBand="0" w:noVBand="1"/>
      </w:tblPr>
      <w:tblGrid>
        <w:gridCol w:w="3969"/>
        <w:gridCol w:w="2324"/>
        <w:gridCol w:w="2324"/>
      </w:tblGrid>
      <w:tr w:rsidR="007754EE" w:rsidRPr="00E546AF" w14:paraId="22C371D0" w14:textId="77777777">
        <w:trPr>
          <w:trHeight w:val="290"/>
        </w:trPr>
        <w:tc>
          <w:tcPr>
            <w:tcW w:w="3969" w:type="dxa"/>
            <w:noWrap/>
            <w:hideMark/>
          </w:tcPr>
          <w:p w14:paraId="41947A2C" w14:textId="77777777" w:rsidR="007754EE" w:rsidRPr="00443C31" w:rsidRDefault="007754EE" w:rsidP="006E6745">
            <w:pPr>
              <w:pStyle w:val="TABLEFONT"/>
              <w:framePr w:hSpace="0" w:wrap="auto" w:vAnchor="margin" w:hAnchor="text" w:yAlign="inline"/>
            </w:pPr>
            <w:r w:rsidRPr="00443C31">
              <w:t>1 year increase in protection</w:t>
            </w:r>
          </w:p>
        </w:tc>
        <w:tc>
          <w:tcPr>
            <w:tcW w:w="2324" w:type="dxa"/>
            <w:noWrap/>
            <w:hideMark/>
          </w:tcPr>
          <w:p w14:paraId="781FBAD4" w14:textId="6E6FB08D" w:rsidR="007754EE" w:rsidRPr="00443C31" w:rsidRDefault="007754EE" w:rsidP="006E6745">
            <w:pPr>
              <w:pStyle w:val="TABLEFONT"/>
              <w:framePr w:hSpace="0" w:wrap="auto" w:vAnchor="margin" w:hAnchor="text" w:yAlign="inline"/>
            </w:pPr>
            <w:r w:rsidRPr="00443C31">
              <w:t xml:space="preserve">Per medicine </w:t>
            </w:r>
          </w:p>
        </w:tc>
        <w:tc>
          <w:tcPr>
            <w:tcW w:w="2324" w:type="dxa"/>
          </w:tcPr>
          <w:p w14:paraId="744F56D7" w14:textId="77777777" w:rsidR="007754EE" w:rsidRPr="00443C31" w:rsidRDefault="007754EE" w:rsidP="006E6745">
            <w:pPr>
              <w:pStyle w:val="TABLEFONT"/>
              <w:framePr w:hSpace="0" w:wrap="auto" w:vAnchor="margin" w:hAnchor="text" w:yAlign="inline"/>
            </w:pPr>
            <w:r w:rsidRPr="00443C31">
              <w:t>Annual (3 meds)</w:t>
            </w:r>
          </w:p>
        </w:tc>
      </w:tr>
      <w:tr w:rsidR="007754EE" w:rsidRPr="00E546AF" w14:paraId="757B8441" w14:textId="77777777">
        <w:trPr>
          <w:trHeight w:val="290"/>
        </w:trPr>
        <w:tc>
          <w:tcPr>
            <w:tcW w:w="3969" w:type="dxa"/>
            <w:noWrap/>
            <w:hideMark/>
          </w:tcPr>
          <w:p w14:paraId="3EF20E35" w14:textId="77777777" w:rsidR="007754EE" w:rsidRPr="00383D48" w:rsidRDefault="007754EE" w:rsidP="006E6745">
            <w:pPr>
              <w:pStyle w:val="TABLEFONT"/>
              <w:framePr w:hSpace="0" w:wrap="auto" w:vAnchor="margin" w:hAnchor="text" w:yAlign="inline"/>
              <w:rPr>
                <w:color w:val="00B050"/>
              </w:rPr>
            </w:pPr>
            <w:r w:rsidRPr="00383D48">
              <w:rPr>
                <w:color w:val="00B050"/>
              </w:rPr>
              <w:t>Originator gross profit</w:t>
            </w:r>
          </w:p>
        </w:tc>
        <w:tc>
          <w:tcPr>
            <w:tcW w:w="2324" w:type="dxa"/>
            <w:noWrap/>
            <w:hideMark/>
          </w:tcPr>
          <w:p w14:paraId="6717D254" w14:textId="13DF9A7A" w:rsidR="007754EE" w:rsidRPr="00383D48" w:rsidRDefault="00C61BF2" w:rsidP="006E6745">
            <w:pPr>
              <w:pStyle w:val="TABLEFONT"/>
              <w:framePr w:hSpace="0" w:wrap="auto" w:vAnchor="margin" w:hAnchor="text" w:yAlign="inline"/>
              <w:rPr>
                <w:color w:val="00B050"/>
              </w:rPr>
            </w:pPr>
            <w:r w:rsidRPr="00383D48">
              <w:rPr>
                <w:color w:val="00B050"/>
              </w:rPr>
              <w:t>2</w:t>
            </w:r>
            <w:r>
              <w:rPr>
                <w:color w:val="00B050"/>
              </w:rPr>
              <w:t>30</w:t>
            </w:r>
            <w:r w:rsidRPr="7B06585C">
              <w:rPr>
                <w:color w:val="00B050"/>
              </w:rPr>
              <w:t xml:space="preserve"> </w:t>
            </w:r>
            <w:r w:rsidR="746707A8" w:rsidRPr="7B06585C">
              <w:rPr>
                <w:color w:val="00B050"/>
              </w:rPr>
              <w:t>m</w:t>
            </w:r>
          </w:p>
        </w:tc>
        <w:tc>
          <w:tcPr>
            <w:tcW w:w="2324" w:type="dxa"/>
          </w:tcPr>
          <w:p w14:paraId="17ECE0DF" w14:textId="4D547C49" w:rsidR="007754EE" w:rsidRPr="00383D48" w:rsidRDefault="007754EE" w:rsidP="006E6745">
            <w:pPr>
              <w:pStyle w:val="TABLEFONT"/>
              <w:framePr w:hSpace="0" w:wrap="auto" w:vAnchor="margin" w:hAnchor="text" w:yAlign="inline"/>
              <w:rPr>
                <w:color w:val="00B050"/>
              </w:rPr>
            </w:pPr>
            <w:r w:rsidRPr="00383D48">
              <w:rPr>
                <w:color w:val="00B050"/>
              </w:rPr>
              <w:t>690</w:t>
            </w:r>
            <w:r w:rsidR="62CC69F9" w:rsidRPr="4FF9BA28">
              <w:rPr>
                <w:color w:val="00B050"/>
              </w:rPr>
              <w:t xml:space="preserve"> m</w:t>
            </w:r>
          </w:p>
        </w:tc>
      </w:tr>
      <w:tr w:rsidR="007754EE" w:rsidRPr="00E546AF" w14:paraId="6CD20F0D" w14:textId="77777777">
        <w:trPr>
          <w:trHeight w:val="290"/>
        </w:trPr>
        <w:tc>
          <w:tcPr>
            <w:tcW w:w="3969" w:type="dxa"/>
            <w:noWrap/>
            <w:hideMark/>
          </w:tcPr>
          <w:p w14:paraId="1E8DA920" w14:textId="32DD2556" w:rsidR="007754EE" w:rsidRPr="00383D48" w:rsidRDefault="007754EE" w:rsidP="006E6745">
            <w:pPr>
              <w:pStyle w:val="TABLEFONT"/>
              <w:framePr w:hSpace="0" w:wrap="auto" w:vAnchor="margin" w:hAnchor="text" w:yAlign="inline"/>
              <w:rPr>
                <w:color w:val="FF0000"/>
              </w:rPr>
            </w:pPr>
            <w:r w:rsidRPr="00383D48">
              <w:rPr>
                <w:color w:val="FF0000"/>
              </w:rPr>
              <w:t>Biosimilar gross profit</w:t>
            </w:r>
          </w:p>
        </w:tc>
        <w:tc>
          <w:tcPr>
            <w:tcW w:w="2324" w:type="dxa"/>
            <w:noWrap/>
            <w:hideMark/>
          </w:tcPr>
          <w:p w14:paraId="3B9DFFAD" w14:textId="26047299" w:rsidR="007754EE" w:rsidRPr="00383D48" w:rsidRDefault="007754EE" w:rsidP="006E6745">
            <w:pPr>
              <w:pStyle w:val="TABLEFONT"/>
              <w:framePr w:hSpace="0" w:wrap="auto" w:vAnchor="margin" w:hAnchor="text" w:yAlign="inline"/>
              <w:rPr>
                <w:color w:val="FF0000"/>
              </w:rPr>
            </w:pPr>
            <w:r w:rsidRPr="00383D48">
              <w:rPr>
                <w:color w:val="FF0000"/>
              </w:rPr>
              <w:t>-80</w:t>
            </w:r>
            <w:r w:rsidR="4C3F0009" w:rsidRPr="4FF9BA28">
              <w:rPr>
                <w:color w:val="FF0000"/>
              </w:rPr>
              <w:t xml:space="preserve"> m</w:t>
            </w:r>
          </w:p>
        </w:tc>
        <w:tc>
          <w:tcPr>
            <w:tcW w:w="2324" w:type="dxa"/>
          </w:tcPr>
          <w:p w14:paraId="37665B87" w14:textId="1849E5A7" w:rsidR="007754EE" w:rsidRPr="00383D48" w:rsidRDefault="007754EE" w:rsidP="006E6745">
            <w:pPr>
              <w:pStyle w:val="TABLEFONT"/>
              <w:framePr w:hSpace="0" w:wrap="auto" w:vAnchor="margin" w:hAnchor="text" w:yAlign="inline"/>
              <w:rPr>
                <w:color w:val="FF0000"/>
              </w:rPr>
            </w:pPr>
            <w:r w:rsidRPr="00383D48">
              <w:rPr>
                <w:color w:val="FF0000"/>
              </w:rPr>
              <w:t>-240</w:t>
            </w:r>
            <w:r w:rsidR="54B93967" w:rsidRPr="4FF9BA28">
              <w:rPr>
                <w:color w:val="FF0000"/>
              </w:rPr>
              <w:t xml:space="preserve"> m</w:t>
            </w:r>
          </w:p>
        </w:tc>
      </w:tr>
      <w:tr w:rsidR="007754EE" w:rsidRPr="00E546AF" w14:paraId="6EE9A79F" w14:textId="77777777">
        <w:trPr>
          <w:trHeight w:val="290"/>
        </w:trPr>
        <w:tc>
          <w:tcPr>
            <w:tcW w:w="3969" w:type="dxa"/>
            <w:noWrap/>
            <w:hideMark/>
          </w:tcPr>
          <w:p w14:paraId="51984ABA" w14:textId="77777777" w:rsidR="007754EE" w:rsidRPr="00383D48" w:rsidRDefault="007754EE" w:rsidP="006E6745">
            <w:pPr>
              <w:pStyle w:val="TABLEFONT"/>
              <w:framePr w:hSpace="0" w:wrap="auto" w:vAnchor="margin" w:hAnchor="text" w:yAlign="inline"/>
              <w:rPr>
                <w:color w:val="FF0000"/>
              </w:rPr>
            </w:pPr>
            <w:r w:rsidRPr="00383D48">
              <w:rPr>
                <w:color w:val="FF0000"/>
              </w:rPr>
              <w:t>Cost to public payer</w:t>
            </w:r>
          </w:p>
        </w:tc>
        <w:tc>
          <w:tcPr>
            <w:tcW w:w="2324" w:type="dxa"/>
            <w:noWrap/>
            <w:hideMark/>
          </w:tcPr>
          <w:p w14:paraId="5A7795B7" w14:textId="4460C2E4" w:rsidR="007754EE" w:rsidRPr="00383D48" w:rsidRDefault="007754EE" w:rsidP="006E6745">
            <w:pPr>
              <w:pStyle w:val="TABLEFONT"/>
              <w:framePr w:hSpace="0" w:wrap="auto" w:vAnchor="margin" w:hAnchor="text" w:yAlign="inline"/>
              <w:rPr>
                <w:color w:val="FF0000"/>
              </w:rPr>
            </w:pPr>
            <w:r w:rsidRPr="00383D48">
              <w:rPr>
                <w:color w:val="FF0000"/>
              </w:rPr>
              <w:t>70</w:t>
            </w:r>
            <w:r w:rsidR="53F7CF73" w:rsidRPr="4FF9BA28">
              <w:rPr>
                <w:color w:val="FF0000"/>
              </w:rPr>
              <w:t xml:space="preserve"> m</w:t>
            </w:r>
          </w:p>
        </w:tc>
        <w:tc>
          <w:tcPr>
            <w:tcW w:w="2324" w:type="dxa"/>
          </w:tcPr>
          <w:p w14:paraId="38B766A5" w14:textId="2242F0CD" w:rsidR="007754EE" w:rsidRPr="00383D48" w:rsidRDefault="007754EE" w:rsidP="006E6745">
            <w:pPr>
              <w:pStyle w:val="TABLEFONT"/>
              <w:framePr w:hSpace="0" w:wrap="auto" w:vAnchor="margin" w:hAnchor="text" w:yAlign="inline"/>
              <w:rPr>
                <w:color w:val="FF0000"/>
              </w:rPr>
            </w:pPr>
            <w:r w:rsidRPr="00383D48">
              <w:rPr>
                <w:color w:val="FF0000"/>
              </w:rPr>
              <w:t>210</w:t>
            </w:r>
            <w:r w:rsidR="4A0E1953" w:rsidRPr="4FF9BA28">
              <w:rPr>
                <w:color w:val="FF0000"/>
              </w:rPr>
              <w:t xml:space="preserve"> m</w:t>
            </w:r>
          </w:p>
        </w:tc>
      </w:tr>
      <w:tr w:rsidR="007754EE" w:rsidRPr="00E546AF" w14:paraId="0F2A79C4" w14:textId="77777777">
        <w:trPr>
          <w:trHeight w:val="290"/>
        </w:trPr>
        <w:tc>
          <w:tcPr>
            <w:tcW w:w="3969" w:type="dxa"/>
            <w:noWrap/>
            <w:hideMark/>
          </w:tcPr>
          <w:p w14:paraId="14D07D3E" w14:textId="77777777" w:rsidR="007754EE" w:rsidRPr="00383D48" w:rsidRDefault="007754EE" w:rsidP="006E6745">
            <w:pPr>
              <w:pStyle w:val="TABLEFONT"/>
              <w:framePr w:hSpace="0" w:wrap="auto" w:vAnchor="margin" w:hAnchor="text" w:yAlign="inline"/>
              <w:rPr>
                <w:color w:val="FF0000"/>
              </w:rPr>
            </w:pPr>
            <w:r w:rsidRPr="00383D48">
              <w:rPr>
                <w:color w:val="FF0000"/>
              </w:rPr>
              <w:t>Patients monetised gains/losses</w:t>
            </w:r>
          </w:p>
        </w:tc>
        <w:tc>
          <w:tcPr>
            <w:tcW w:w="2324" w:type="dxa"/>
            <w:noWrap/>
            <w:hideMark/>
          </w:tcPr>
          <w:p w14:paraId="1D617E61" w14:textId="79D6FB25" w:rsidR="007754EE" w:rsidRPr="00383D48" w:rsidRDefault="007754EE" w:rsidP="006E6745">
            <w:pPr>
              <w:pStyle w:val="TABLEFONT"/>
              <w:framePr w:hSpace="0" w:wrap="auto" w:vAnchor="margin" w:hAnchor="text" w:yAlign="inline"/>
              <w:rPr>
                <w:color w:val="FF0000"/>
              </w:rPr>
            </w:pPr>
            <w:r w:rsidRPr="00383D48">
              <w:rPr>
                <w:color w:val="FF0000"/>
              </w:rPr>
              <w:t>135</w:t>
            </w:r>
            <w:r w:rsidR="165EDA65" w:rsidRPr="4FF9BA28">
              <w:rPr>
                <w:color w:val="FF0000"/>
              </w:rPr>
              <w:t xml:space="preserve"> m</w:t>
            </w:r>
          </w:p>
        </w:tc>
        <w:tc>
          <w:tcPr>
            <w:tcW w:w="2324" w:type="dxa"/>
          </w:tcPr>
          <w:p w14:paraId="403A1453" w14:textId="0C089DEF" w:rsidR="007754EE" w:rsidRPr="00383D48" w:rsidRDefault="007754EE" w:rsidP="006E6745">
            <w:pPr>
              <w:pStyle w:val="TABLEFONT"/>
              <w:framePr w:hSpace="0" w:wrap="auto" w:vAnchor="margin" w:hAnchor="text" w:yAlign="inline"/>
              <w:rPr>
                <w:color w:val="FF0000"/>
              </w:rPr>
            </w:pPr>
            <w:r w:rsidRPr="00383D48">
              <w:rPr>
                <w:color w:val="FF0000"/>
              </w:rPr>
              <w:t>405</w:t>
            </w:r>
            <w:r w:rsidR="02C5A8A6" w:rsidRPr="4FF9BA28">
              <w:rPr>
                <w:color w:val="FF0000"/>
              </w:rPr>
              <w:t xml:space="preserve"> m</w:t>
            </w:r>
          </w:p>
        </w:tc>
      </w:tr>
      <w:tr w:rsidR="007754EE" w:rsidRPr="00E546AF" w14:paraId="3253274F" w14:textId="77777777">
        <w:trPr>
          <w:trHeight w:val="290"/>
        </w:trPr>
        <w:tc>
          <w:tcPr>
            <w:tcW w:w="3969" w:type="dxa"/>
            <w:noWrap/>
            <w:hideMark/>
          </w:tcPr>
          <w:p w14:paraId="6B8DFDDC" w14:textId="77777777" w:rsidR="007754EE" w:rsidRPr="00383D48" w:rsidRDefault="007754EE" w:rsidP="006E6745">
            <w:pPr>
              <w:pStyle w:val="TABLEFONT"/>
              <w:framePr w:hSpace="0" w:wrap="auto" w:vAnchor="margin" w:hAnchor="text" w:yAlign="inline"/>
              <w:rPr>
                <w:color w:val="FF0000"/>
              </w:rPr>
            </w:pPr>
            <w:r w:rsidRPr="00383D48">
              <w:rPr>
                <w:color w:val="FF0000"/>
              </w:rPr>
              <w:t>Patients + payer monetised gain/loss</w:t>
            </w:r>
          </w:p>
        </w:tc>
        <w:tc>
          <w:tcPr>
            <w:tcW w:w="2324" w:type="dxa"/>
            <w:noWrap/>
            <w:hideMark/>
          </w:tcPr>
          <w:p w14:paraId="4150E0D3" w14:textId="6D6AB32C" w:rsidR="007754EE" w:rsidRPr="00383D48" w:rsidRDefault="007754EE" w:rsidP="006E6745">
            <w:pPr>
              <w:pStyle w:val="TABLEFONT"/>
              <w:framePr w:hSpace="0" w:wrap="auto" w:vAnchor="margin" w:hAnchor="text" w:yAlign="inline"/>
              <w:rPr>
                <w:color w:val="FF0000"/>
              </w:rPr>
            </w:pPr>
            <w:r w:rsidRPr="00383D48">
              <w:rPr>
                <w:color w:val="FF0000"/>
              </w:rPr>
              <w:t>205</w:t>
            </w:r>
            <w:r w:rsidR="4CD7D8B7" w:rsidRPr="4FF9BA28">
              <w:rPr>
                <w:color w:val="FF0000"/>
              </w:rPr>
              <w:t xml:space="preserve"> m</w:t>
            </w:r>
          </w:p>
        </w:tc>
        <w:tc>
          <w:tcPr>
            <w:tcW w:w="2324" w:type="dxa"/>
          </w:tcPr>
          <w:p w14:paraId="56CDDAE3" w14:textId="636798AF" w:rsidR="007754EE" w:rsidRPr="00383D48" w:rsidRDefault="007754EE" w:rsidP="006E6745">
            <w:pPr>
              <w:pStyle w:val="TABLEFONT"/>
              <w:framePr w:hSpace="0" w:wrap="auto" w:vAnchor="margin" w:hAnchor="text" w:yAlign="inline"/>
              <w:rPr>
                <w:color w:val="FF0000"/>
              </w:rPr>
            </w:pPr>
            <w:r w:rsidRPr="00383D48">
              <w:rPr>
                <w:color w:val="FF0000"/>
              </w:rPr>
              <w:t>615</w:t>
            </w:r>
            <w:r w:rsidR="2BC89DDD" w:rsidRPr="148794B3">
              <w:rPr>
                <w:color w:val="FF0000"/>
              </w:rPr>
              <w:t xml:space="preserve"> m</w:t>
            </w:r>
          </w:p>
        </w:tc>
      </w:tr>
    </w:tbl>
    <w:p w14:paraId="5AE51AE1" w14:textId="77777777" w:rsidR="007754EE" w:rsidRDefault="007754EE" w:rsidP="00304A59">
      <w:pPr>
        <w:spacing w:after="0"/>
        <w:rPr>
          <w:b/>
        </w:rPr>
      </w:pPr>
    </w:p>
    <w:p w14:paraId="55153AF6" w14:textId="0C6C4DE1" w:rsidR="0061661E" w:rsidRDefault="00525804" w:rsidP="00304A59">
      <w:pPr>
        <w:spacing w:after="0"/>
        <w:rPr>
          <w:i/>
          <w:sz w:val="20"/>
          <w:szCs w:val="20"/>
        </w:rPr>
      </w:pPr>
      <w:r w:rsidRPr="009F210A">
        <w:rPr>
          <w:b/>
          <w:i/>
          <w:sz w:val="20"/>
          <w:szCs w:val="20"/>
        </w:rPr>
        <w:t>Source</w:t>
      </w:r>
      <w:r w:rsidRPr="009F210A">
        <w:rPr>
          <w:i/>
          <w:sz w:val="20"/>
          <w:szCs w:val="20"/>
        </w:rPr>
        <w:t xml:space="preserve">: Author </w:t>
      </w:r>
      <w:r w:rsidR="00B46742" w:rsidRPr="009F210A">
        <w:rPr>
          <w:i/>
          <w:sz w:val="20"/>
          <w:szCs w:val="20"/>
        </w:rPr>
        <w:t>analysis</w:t>
      </w:r>
      <w:r w:rsidRPr="009F210A">
        <w:rPr>
          <w:i/>
          <w:sz w:val="20"/>
          <w:szCs w:val="20"/>
        </w:rPr>
        <w:t xml:space="preserve"> based on IQVIA MIDAS data</w:t>
      </w:r>
      <w:r w:rsidR="0008629D" w:rsidRPr="009F210A">
        <w:rPr>
          <w:rStyle w:val="FootnoteReference"/>
          <w:i/>
          <w:sz w:val="20"/>
          <w:szCs w:val="20"/>
        </w:rPr>
        <w:footnoteReference w:id="247"/>
      </w:r>
    </w:p>
    <w:p w14:paraId="7F95ACE2" w14:textId="77777777" w:rsidR="002E5C2B" w:rsidRPr="00685EDE" w:rsidRDefault="002E5C2B" w:rsidP="00304A59">
      <w:pPr>
        <w:spacing w:after="0"/>
        <w:rPr>
          <w:i/>
          <w:sz w:val="20"/>
          <w:szCs w:val="16"/>
        </w:rPr>
      </w:pPr>
    </w:p>
    <w:p w14:paraId="56A9B90E" w14:textId="6BE84B59" w:rsidR="003A2ED7" w:rsidRPr="00407507" w:rsidRDefault="00491D0B" w:rsidP="00443C31">
      <w:pPr>
        <w:rPr>
          <w:rFonts w:eastAsia="Times New Roman"/>
          <w:color w:val="000000" w:themeColor="text1"/>
        </w:rPr>
      </w:pPr>
      <w:r>
        <w:rPr>
          <w:rFonts w:eastAsia="Times New Roman"/>
          <w:noProof/>
          <w:color w:val="000000" w:themeColor="text1"/>
          <w:lang w:val="en-IE"/>
        </w:rPr>
        <w:t>Due</w:t>
      </w:r>
      <w:r w:rsidR="00166330">
        <w:t xml:space="preserve"> to data availability and confidentiality </w:t>
      </w:r>
      <w:r w:rsidR="004C26B6">
        <w:t xml:space="preserve">around </w:t>
      </w:r>
      <w:r w:rsidR="00166330">
        <w:t>price negotiation, this calculation is based on list prices and cannot capture discount</w:t>
      </w:r>
      <w:r w:rsidR="003B60A7">
        <w:t>s</w:t>
      </w:r>
      <w:r w:rsidR="00166330">
        <w:t xml:space="preserve"> and clawback mechanism</w:t>
      </w:r>
      <w:r w:rsidR="0055649A">
        <w:t>s</w:t>
      </w:r>
      <w:r w:rsidR="00166330">
        <w:t xml:space="preserve"> that apply at </w:t>
      </w:r>
      <w:r w:rsidR="005D62F5">
        <w:t xml:space="preserve">national </w:t>
      </w:r>
      <w:r w:rsidR="00166330">
        <w:t xml:space="preserve">pricing and reimbursement stage. </w:t>
      </w:r>
      <w:r w:rsidR="0085635D">
        <w:t xml:space="preserve">If it were possible to use net prices, the </w:t>
      </w:r>
      <w:r w:rsidR="00854CDF">
        <w:t>cost calculation</w:t>
      </w:r>
      <w:r w:rsidR="0085635D">
        <w:t xml:space="preserve"> would </w:t>
      </w:r>
      <w:r w:rsidR="00854CDF">
        <w:t>be lower</w:t>
      </w:r>
      <w:r w:rsidR="00166330">
        <w:t>.</w:t>
      </w:r>
      <w:r w:rsidR="007526B7">
        <w:t xml:space="preserve"> </w:t>
      </w:r>
    </w:p>
    <w:p w14:paraId="7AA9970C" w14:textId="1FE488CE" w:rsidR="00D02EAD" w:rsidRPr="00443C31" w:rsidRDefault="008B1DDA" w:rsidP="00443C31">
      <w:pPr>
        <w:rPr>
          <w:b/>
        </w:rPr>
      </w:pPr>
      <w:r w:rsidRPr="00E51FA7">
        <w:rPr>
          <w:b/>
          <w:bCs/>
        </w:rPr>
        <w:t>Competitiveness, trade and investment flows</w:t>
      </w:r>
      <w:r>
        <w:rPr>
          <w:b/>
          <w:bCs/>
        </w:rPr>
        <w:t xml:space="preserve">: </w:t>
      </w:r>
      <w:r w:rsidR="00A73614">
        <w:rPr>
          <w:rFonts w:eastAsia="Times New Roman"/>
          <w:noProof/>
          <w:color w:val="000000" w:themeColor="text1"/>
        </w:rPr>
        <w:t>According to EMA data</w:t>
      </w:r>
      <w:r w:rsidR="002A1C27">
        <w:rPr>
          <w:rFonts w:eastAsia="Times New Roman"/>
          <w:noProof/>
          <w:color w:val="000000" w:themeColor="text1"/>
        </w:rPr>
        <w:t xml:space="preserve"> from </w:t>
      </w:r>
      <w:r w:rsidR="00192218">
        <w:rPr>
          <w:rFonts w:eastAsia="Times New Roman"/>
          <w:noProof/>
          <w:color w:val="000000" w:themeColor="text1"/>
        </w:rPr>
        <w:t>201</w:t>
      </w:r>
      <w:r w:rsidR="00A7203E">
        <w:rPr>
          <w:rFonts w:eastAsia="Times New Roman"/>
          <w:noProof/>
          <w:color w:val="000000" w:themeColor="text1"/>
        </w:rPr>
        <w:t>6</w:t>
      </w:r>
      <w:r w:rsidR="00192218">
        <w:rPr>
          <w:rFonts w:eastAsia="Times New Roman"/>
          <w:noProof/>
          <w:color w:val="000000" w:themeColor="text1"/>
        </w:rPr>
        <w:t xml:space="preserve"> to 2025</w:t>
      </w:r>
      <w:r w:rsidR="004F51F8">
        <w:rPr>
          <w:rFonts w:eastAsia="Times New Roman"/>
          <w:noProof/>
          <w:color w:val="000000" w:themeColor="text1"/>
        </w:rPr>
        <w:t xml:space="preserve">, in </w:t>
      </w:r>
      <w:r w:rsidR="006B73EC">
        <w:rPr>
          <w:rFonts w:eastAsia="Times New Roman"/>
          <w:noProof/>
          <w:color w:val="000000" w:themeColor="text1"/>
        </w:rPr>
        <w:t xml:space="preserve">addition to </w:t>
      </w:r>
      <w:r w:rsidR="004F51F8">
        <w:rPr>
          <w:rFonts w:eastAsia="Times New Roman"/>
          <w:noProof/>
          <w:color w:val="000000" w:themeColor="text1"/>
        </w:rPr>
        <w:t xml:space="preserve">the </w:t>
      </w:r>
      <w:r w:rsidR="00F91C8A">
        <w:rPr>
          <w:rFonts w:eastAsia="Times New Roman"/>
          <w:noProof/>
          <w:color w:val="000000" w:themeColor="text1"/>
        </w:rPr>
        <w:t>5-</w:t>
      </w:r>
      <w:r w:rsidR="00FE6173">
        <w:rPr>
          <w:rFonts w:eastAsia="Times New Roman"/>
          <w:noProof/>
          <w:color w:val="000000" w:themeColor="text1"/>
        </w:rPr>
        <w:t xml:space="preserve">6 products </w:t>
      </w:r>
      <w:r w:rsidR="006B73EC">
        <w:rPr>
          <w:rFonts w:eastAsia="Times New Roman"/>
          <w:noProof/>
          <w:color w:val="000000" w:themeColor="text1"/>
        </w:rPr>
        <w:t>that</w:t>
      </w:r>
      <w:r w:rsidR="00FE6173">
        <w:rPr>
          <w:rFonts w:eastAsia="Times New Roman"/>
          <w:noProof/>
          <w:color w:val="000000" w:themeColor="text1"/>
        </w:rPr>
        <w:t xml:space="preserve"> </w:t>
      </w:r>
      <w:r w:rsidR="00920178">
        <w:rPr>
          <w:rFonts w:eastAsia="Times New Roman"/>
          <w:noProof/>
          <w:color w:val="000000" w:themeColor="text1"/>
        </w:rPr>
        <w:t>w</w:t>
      </w:r>
      <w:r w:rsidR="00A73614">
        <w:rPr>
          <w:rFonts w:eastAsia="Times New Roman"/>
          <w:noProof/>
          <w:color w:val="000000" w:themeColor="text1"/>
        </w:rPr>
        <w:t xml:space="preserve">ould have </w:t>
      </w:r>
      <w:r w:rsidR="00FE6173">
        <w:rPr>
          <w:rFonts w:eastAsia="Times New Roman"/>
          <w:noProof/>
          <w:color w:val="000000" w:themeColor="text1"/>
        </w:rPr>
        <w:t>met all the criteria</w:t>
      </w:r>
      <w:r w:rsidR="00F91C8A">
        <w:rPr>
          <w:rFonts w:eastAsia="Times New Roman"/>
          <w:noProof/>
          <w:color w:val="000000" w:themeColor="text1"/>
        </w:rPr>
        <w:t xml:space="preserve"> each year</w:t>
      </w:r>
      <w:r w:rsidR="006B73EC">
        <w:rPr>
          <w:rFonts w:eastAsia="Times New Roman"/>
          <w:noProof/>
          <w:color w:val="000000" w:themeColor="text1"/>
        </w:rPr>
        <w:t>, a</w:t>
      </w:r>
      <w:r w:rsidR="00B94CAF" w:rsidRPr="00B94CAF">
        <w:rPr>
          <w:rFonts w:eastAsia="Times New Roman"/>
          <w:noProof/>
          <w:color w:val="000000" w:themeColor="text1"/>
        </w:rPr>
        <w:t xml:space="preserve"> further five </w:t>
      </w:r>
      <w:r w:rsidR="008F3DAF">
        <w:rPr>
          <w:rFonts w:eastAsia="Times New Roman"/>
          <w:noProof/>
          <w:color w:val="000000" w:themeColor="text1"/>
        </w:rPr>
        <w:t>products</w:t>
      </w:r>
      <w:r w:rsidR="00B94CAF" w:rsidRPr="00B94CAF">
        <w:rPr>
          <w:rFonts w:eastAsia="Times New Roman"/>
          <w:noProof/>
          <w:color w:val="000000" w:themeColor="text1"/>
        </w:rPr>
        <w:t xml:space="preserve"> </w:t>
      </w:r>
      <w:r w:rsidR="00C65656">
        <w:rPr>
          <w:rFonts w:eastAsia="Times New Roman"/>
          <w:noProof/>
          <w:color w:val="000000" w:themeColor="text1"/>
        </w:rPr>
        <w:t>would have met</w:t>
      </w:r>
      <w:r w:rsidR="00B94CAF" w:rsidRPr="00B94CAF">
        <w:rPr>
          <w:rFonts w:eastAsia="Times New Roman"/>
          <w:noProof/>
          <w:color w:val="000000" w:themeColor="text1"/>
        </w:rPr>
        <w:t xml:space="preserve"> </w:t>
      </w:r>
      <w:r w:rsidR="00BD44C1">
        <w:rPr>
          <w:rFonts w:eastAsia="Times New Roman"/>
          <w:noProof/>
          <w:color w:val="000000" w:themeColor="text1"/>
        </w:rPr>
        <w:t xml:space="preserve">all </w:t>
      </w:r>
      <w:r w:rsidR="00B94CAF" w:rsidRPr="00B94CAF">
        <w:rPr>
          <w:rFonts w:eastAsia="Times New Roman"/>
          <w:noProof/>
          <w:color w:val="000000" w:themeColor="text1"/>
        </w:rPr>
        <w:t xml:space="preserve">the criteria </w:t>
      </w:r>
      <w:r w:rsidR="00BD44C1">
        <w:rPr>
          <w:rFonts w:eastAsia="Times New Roman"/>
          <w:noProof/>
          <w:color w:val="000000" w:themeColor="text1"/>
        </w:rPr>
        <w:t>except</w:t>
      </w:r>
      <w:r w:rsidR="00102E60">
        <w:rPr>
          <w:rFonts w:eastAsia="Times New Roman"/>
          <w:noProof/>
          <w:color w:val="000000" w:themeColor="text1"/>
        </w:rPr>
        <w:t xml:space="preserve"> </w:t>
      </w:r>
      <w:r w:rsidR="00A82B00">
        <w:rPr>
          <w:rFonts w:eastAsia="Times New Roman"/>
          <w:noProof/>
          <w:color w:val="000000" w:themeColor="text1"/>
        </w:rPr>
        <w:t>the “</w:t>
      </w:r>
      <w:r w:rsidR="00102E60">
        <w:rPr>
          <w:rFonts w:eastAsia="Times New Roman"/>
          <w:noProof/>
          <w:color w:val="000000" w:themeColor="text1"/>
        </w:rPr>
        <w:t>geo</w:t>
      </w:r>
      <w:r w:rsidR="00A7228E">
        <w:rPr>
          <w:rFonts w:eastAsia="Times New Roman"/>
          <w:noProof/>
          <w:color w:val="000000" w:themeColor="text1"/>
        </w:rPr>
        <w:t>g</w:t>
      </w:r>
      <w:r w:rsidR="00102E60">
        <w:rPr>
          <w:rFonts w:eastAsia="Times New Roman"/>
          <w:noProof/>
          <w:color w:val="000000" w:themeColor="text1"/>
        </w:rPr>
        <w:t>raphic</w:t>
      </w:r>
      <w:r w:rsidR="00A82B00">
        <w:rPr>
          <w:rFonts w:eastAsia="Times New Roman"/>
          <w:noProof/>
          <w:color w:val="000000" w:themeColor="text1"/>
        </w:rPr>
        <w:t xml:space="preserve">” </w:t>
      </w:r>
      <w:r w:rsidR="00BD44C1">
        <w:rPr>
          <w:rFonts w:eastAsia="Times New Roman"/>
          <w:noProof/>
          <w:color w:val="000000" w:themeColor="text1"/>
        </w:rPr>
        <w:t>ones, i.e.</w:t>
      </w:r>
      <w:r w:rsidR="00592B81">
        <w:rPr>
          <w:rFonts w:eastAsia="Times New Roman"/>
          <w:noProof/>
          <w:color w:val="000000" w:themeColor="text1"/>
        </w:rPr>
        <w:t xml:space="preserve"> </w:t>
      </w:r>
      <w:r w:rsidR="00B94CAF" w:rsidRPr="00B94CAF">
        <w:rPr>
          <w:rFonts w:eastAsia="Times New Roman"/>
          <w:noProof/>
          <w:color w:val="000000" w:themeColor="text1"/>
        </w:rPr>
        <w:t>conduct</w:t>
      </w:r>
      <w:r w:rsidR="00102E60">
        <w:rPr>
          <w:rFonts w:eastAsia="Times New Roman"/>
          <w:noProof/>
          <w:color w:val="000000" w:themeColor="text1"/>
        </w:rPr>
        <w:t>ing</w:t>
      </w:r>
      <w:r w:rsidR="00592B81">
        <w:rPr>
          <w:rFonts w:eastAsia="Times New Roman"/>
          <w:noProof/>
          <w:color w:val="000000" w:themeColor="text1"/>
        </w:rPr>
        <w:t xml:space="preserve"> </w:t>
      </w:r>
      <w:r w:rsidR="00B94CAF" w:rsidRPr="00B94CAF">
        <w:rPr>
          <w:rFonts w:eastAsia="Times New Roman"/>
          <w:noProof/>
          <w:color w:val="000000" w:themeColor="text1"/>
        </w:rPr>
        <w:t xml:space="preserve">trials in more than </w:t>
      </w:r>
      <w:r w:rsidR="00267683">
        <w:rPr>
          <w:rFonts w:eastAsia="Times New Roman"/>
          <w:noProof/>
          <w:color w:val="000000" w:themeColor="text1"/>
        </w:rPr>
        <w:t>two</w:t>
      </w:r>
      <w:r w:rsidR="00592B81">
        <w:rPr>
          <w:rFonts w:eastAsia="Times New Roman"/>
          <w:noProof/>
          <w:color w:val="000000" w:themeColor="text1"/>
        </w:rPr>
        <w:t xml:space="preserve"> </w:t>
      </w:r>
      <w:r w:rsidR="00B94CAF" w:rsidRPr="00B94CAF">
        <w:rPr>
          <w:rFonts w:eastAsia="Times New Roman"/>
          <w:noProof/>
          <w:color w:val="000000" w:themeColor="text1"/>
        </w:rPr>
        <w:t>Member</w:t>
      </w:r>
      <w:r w:rsidR="000B6407">
        <w:rPr>
          <w:rFonts w:eastAsia="Times New Roman"/>
          <w:noProof/>
          <w:color w:val="000000" w:themeColor="text1"/>
        </w:rPr>
        <w:t xml:space="preserve"> </w:t>
      </w:r>
      <w:r w:rsidR="00B94CAF" w:rsidRPr="00B94CAF">
        <w:rPr>
          <w:rFonts w:eastAsia="Times New Roman"/>
          <w:noProof/>
          <w:color w:val="000000" w:themeColor="text1"/>
        </w:rPr>
        <w:t xml:space="preserve">States and </w:t>
      </w:r>
      <w:r w:rsidR="00631375">
        <w:rPr>
          <w:rFonts w:eastAsia="Times New Roman"/>
          <w:noProof/>
          <w:color w:val="000000" w:themeColor="text1"/>
        </w:rPr>
        <w:t>having</w:t>
      </w:r>
      <w:r w:rsidR="00B94CAF" w:rsidRPr="00B94CAF">
        <w:rPr>
          <w:rFonts w:eastAsia="Times New Roman"/>
          <w:noProof/>
          <w:color w:val="000000" w:themeColor="text1"/>
        </w:rPr>
        <w:t xml:space="preserve"> part of their manufacturing in</w:t>
      </w:r>
      <w:r w:rsidR="008D6D95">
        <w:rPr>
          <w:rFonts w:eastAsia="Times New Roman"/>
          <w:noProof/>
          <w:color w:val="000000" w:themeColor="text1"/>
        </w:rPr>
        <w:t xml:space="preserve"> </w:t>
      </w:r>
      <w:r w:rsidR="00B94CAF" w:rsidRPr="00B94CAF">
        <w:rPr>
          <w:rFonts w:eastAsia="Times New Roman"/>
          <w:noProof/>
          <w:color w:val="000000" w:themeColor="text1"/>
        </w:rPr>
        <w:t>the EU.</w:t>
      </w:r>
      <w:r w:rsidR="008D6D95">
        <w:rPr>
          <w:rFonts w:eastAsia="Times New Roman"/>
          <w:noProof/>
          <w:color w:val="000000" w:themeColor="text1"/>
        </w:rPr>
        <w:t xml:space="preserve"> </w:t>
      </w:r>
      <w:r w:rsidR="00875D71">
        <w:rPr>
          <w:rFonts w:eastAsia="Times New Roman"/>
          <w:noProof/>
          <w:color w:val="000000" w:themeColor="text1"/>
        </w:rPr>
        <w:t xml:space="preserve">It was </w:t>
      </w:r>
      <w:r w:rsidR="00053B67">
        <w:rPr>
          <w:rFonts w:eastAsia="Times New Roman"/>
          <w:noProof/>
          <w:color w:val="000000" w:themeColor="text1"/>
        </w:rPr>
        <w:t xml:space="preserve"> assume</w:t>
      </w:r>
      <w:r w:rsidR="000926A3">
        <w:rPr>
          <w:rFonts w:eastAsia="Times New Roman"/>
          <w:noProof/>
          <w:color w:val="000000" w:themeColor="text1"/>
        </w:rPr>
        <w:t>d</w:t>
      </w:r>
      <w:r w:rsidR="00053B67">
        <w:rPr>
          <w:rFonts w:eastAsia="Times New Roman"/>
          <w:noProof/>
          <w:color w:val="000000" w:themeColor="text1"/>
        </w:rPr>
        <w:t xml:space="preserve"> again that about</w:t>
      </w:r>
      <w:r w:rsidR="00886EC4">
        <w:rPr>
          <w:rFonts w:eastAsia="Times New Roman"/>
          <w:noProof/>
          <w:color w:val="000000" w:themeColor="text1"/>
        </w:rPr>
        <w:t xml:space="preserve"> </w:t>
      </w:r>
      <w:r w:rsidR="00053B67">
        <w:rPr>
          <w:rFonts w:eastAsia="Times New Roman"/>
          <w:noProof/>
          <w:color w:val="000000" w:themeColor="text1"/>
        </w:rPr>
        <w:t>40</w:t>
      </w:r>
      <w:r w:rsidR="00405618">
        <w:rPr>
          <w:rFonts w:eastAsia="Times New Roman"/>
          <w:noProof/>
          <w:color w:val="000000" w:themeColor="text1"/>
        </w:rPr>
        <w:t>%</w:t>
      </w:r>
      <w:r w:rsidR="00B94CAF" w:rsidRPr="00B94CAF">
        <w:rPr>
          <w:rFonts w:eastAsia="Times New Roman"/>
          <w:noProof/>
          <w:color w:val="000000" w:themeColor="text1"/>
        </w:rPr>
        <w:t xml:space="preserve"> </w:t>
      </w:r>
      <w:r w:rsidR="00CA55A5">
        <w:rPr>
          <w:rFonts w:eastAsia="Times New Roman"/>
          <w:noProof/>
          <w:color w:val="000000" w:themeColor="text1"/>
        </w:rPr>
        <w:t>of the</w:t>
      </w:r>
      <w:r w:rsidR="00B94CAF" w:rsidRPr="00B94CAF">
        <w:rPr>
          <w:rFonts w:eastAsia="Times New Roman"/>
          <w:noProof/>
          <w:color w:val="000000" w:themeColor="text1"/>
        </w:rPr>
        <w:t xml:space="preserve"> products</w:t>
      </w:r>
      <w:r w:rsidR="00592B81">
        <w:rPr>
          <w:rFonts w:eastAsia="Times New Roman"/>
          <w:noProof/>
          <w:color w:val="000000" w:themeColor="text1"/>
        </w:rPr>
        <w:t xml:space="preserve"> </w:t>
      </w:r>
      <w:r w:rsidR="00B94CAF" w:rsidRPr="00B94CAF">
        <w:rPr>
          <w:rFonts w:eastAsia="Times New Roman"/>
          <w:noProof/>
          <w:color w:val="000000" w:themeColor="text1"/>
        </w:rPr>
        <w:t>are SPC-reliant.</w:t>
      </w:r>
      <w:r w:rsidR="00592B81">
        <w:rPr>
          <w:rFonts w:eastAsia="Times New Roman"/>
          <w:noProof/>
          <w:color w:val="000000" w:themeColor="text1"/>
        </w:rPr>
        <w:t xml:space="preserve"> </w:t>
      </w:r>
      <w:r w:rsidR="00B94CAF" w:rsidRPr="00B94CAF">
        <w:rPr>
          <w:rFonts w:eastAsia="Times New Roman"/>
          <w:noProof/>
          <w:color w:val="000000" w:themeColor="text1"/>
        </w:rPr>
        <w:t xml:space="preserve">Thus, the </w:t>
      </w:r>
      <w:r w:rsidR="00764526">
        <w:rPr>
          <w:rFonts w:eastAsia="Times New Roman"/>
          <w:noProof/>
          <w:color w:val="000000" w:themeColor="text1"/>
        </w:rPr>
        <w:t xml:space="preserve">SPC </w:t>
      </w:r>
      <w:r w:rsidR="00B94CAF" w:rsidRPr="00B94CAF">
        <w:rPr>
          <w:rFonts w:eastAsia="Times New Roman"/>
          <w:noProof/>
          <w:color w:val="000000" w:themeColor="text1"/>
        </w:rPr>
        <w:t xml:space="preserve">extension could potentially be awarded to </w:t>
      </w:r>
      <w:r w:rsidR="00E66430">
        <w:rPr>
          <w:rFonts w:eastAsia="Times New Roman"/>
          <w:noProof/>
          <w:color w:val="000000" w:themeColor="text1"/>
        </w:rPr>
        <w:t>4-</w:t>
      </w:r>
      <w:r w:rsidR="00B94CAF" w:rsidRPr="00B94CAF">
        <w:rPr>
          <w:rFonts w:eastAsia="Times New Roman"/>
          <w:noProof/>
          <w:color w:val="000000" w:themeColor="text1"/>
        </w:rPr>
        <w:t>5</w:t>
      </w:r>
      <w:r w:rsidR="00592B81">
        <w:rPr>
          <w:rFonts w:eastAsia="Times New Roman"/>
          <w:noProof/>
          <w:color w:val="000000" w:themeColor="text1"/>
        </w:rPr>
        <w:t xml:space="preserve"> </w:t>
      </w:r>
      <w:r w:rsidR="00B94CAF" w:rsidRPr="00B94CAF">
        <w:rPr>
          <w:rFonts w:eastAsia="Times New Roman"/>
          <w:noProof/>
          <w:color w:val="000000" w:themeColor="text1"/>
        </w:rPr>
        <w:t>products</w:t>
      </w:r>
      <w:r w:rsidR="00592B81">
        <w:rPr>
          <w:rFonts w:eastAsia="Times New Roman"/>
          <w:noProof/>
          <w:color w:val="000000" w:themeColor="text1"/>
        </w:rPr>
        <w:t xml:space="preserve"> </w:t>
      </w:r>
      <w:r w:rsidR="00B94CAF" w:rsidRPr="00B94CAF">
        <w:rPr>
          <w:rFonts w:eastAsia="Times New Roman"/>
          <w:noProof/>
          <w:color w:val="000000" w:themeColor="text1"/>
        </w:rPr>
        <w:t>annually (rather than 2-3)</w:t>
      </w:r>
      <w:r w:rsidR="00592B81">
        <w:rPr>
          <w:rFonts w:eastAsia="Times New Roman"/>
          <w:noProof/>
          <w:color w:val="000000" w:themeColor="text1"/>
        </w:rPr>
        <w:t xml:space="preserve"> </w:t>
      </w:r>
      <w:r w:rsidR="00B94CAF" w:rsidRPr="00B94CAF">
        <w:rPr>
          <w:rFonts w:eastAsia="Times New Roman"/>
          <w:noProof/>
          <w:color w:val="000000" w:themeColor="text1"/>
        </w:rPr>
        <w:t>if developers change</w:t>
      </w:r>
      <w:r w:rsidR="00764526">
        <w:rPr>
          <w:rFonts w:eastAsia="Times New Roman"/>
          <w:noProof/>
          <w:color w:val="000000" w:themeColor="text1"/>
        </w:rPr>
        <w:t>d</w:t>
      </w:r>
      <w:r w:rsidR="00B94CAF" w:rsidRPr="00B94CAF">
        <w:rPr>
          <w:rFonts w:eastAsia="Times New Roman"/>
          <w:noProof/>
          <w:color w:val="000000" w:themeColor="text1"/>
        </w:rPr>
        <w:t xml:space="preserve"> </w:t>
      </w:r>
      <w:r w:rsidR="00E271F1">
        <w:rPr>
          <w:rFonts w:eastAsia="Times New Roman"/>
          <w:noProof/>
          <w:color w:val="000000" w:themeColor="text1"/>
        </w:rPr>
        <w:t xml:space="preserve">their </w:t>
      </w:r>
      <w:r w:rsidR="00B94CAF" w:rsidRPr="00B94CAF">
        <w:rPr>
          <w:rFonts w:eastAsia="Times New Roman"/>
          <w:noProof/>
          <w:color w:val="000000" w:themeColor="text1"/>
        </w:rPr>
        <w:t>behaviour in response to the incentive</w:t>
      </w:r>
      <w:r w:rsidR="0037798E">
        <w:rPr>
          <w:rFonts w:eastAsia="Times New Roman"/>
          <w:noProof/>
          <w:color w:val="000000" w:themeColor="text1"/>
        </w:rPr>
        <w:t xml:space="preserve"> </w:t>
      </w:r>
      <w:r w:rsidR="0037798E" w:rsidRPr="00D92C97">
        <w:rPr>
          <w:rFonts w:eastAsia="Times New Roman"/>
          <w:noProof/>
          <w:color w:val="000000" w:themeColor="text1"/>
        </w:rPr>
        <w:t xml:space="preserve">i.e. </w:t>
      </w:r>
      <w:r w:rsidR="00AE1C48">
        <w:rPr>
          <w:rFonts w:eastAsia="Times New Roman"/>
          <w:noProof/>
          <w:color w:val="000000" w:themeColor="text1"/>
        </w:rPr>
        <w:t>conduct</w:t>
      </w:r>
      <w:r w:rsidR="0037798E" w:rsidRPr="00D92C97">
        <w:rPr>
          <w:rFonts w:eastAsia="Times New Roman"/>
          <w:noProof/>
          <w:color w:val="000000" w:themeColor="text1"/>
        </w:rPr>
        <w:t xml:space="preserve"> </w:t>
      </w:r>
      <w:r w:rsidR="00213E1E">
        <w:rPr>
          <w:rFonts w:eastAsia="Times New Roman"/>
          <w:noProof/>
          <w:color w:val="000000" w:themeColor="text1"/>
        </w:rPr>
        <w:t>clinical trials</w:t>
      </w:r>
      <w:r w:rsidR="0037798E" w:rsidRPr="00D92C97">
        <w:rPr>
          <w:rFonts w:eastAsia="Times New Roman"/>
          <w:noProof/>
          <w:color w:val="000000" w:themeColor="text1"/>
        </w:rPr>
        <w:t xml:space="preserve"> in more than one Member State and </w:t>
      </w:r>
      <w:r w:rsidR="00067192">
        <w:rPr>
          <w:rFonts w:eastAsia="Times New Roman"/>
          <w:noProof/>
          <w:color w:val="000000" w:themeColor="text1"/>
        </w:rPr>
        <w:t>part of</w:t>
      </w:r>
      <w:r w:rsidR="00067192" w:rsidRPr="00D92C97">
        <w:rPr>
          <w:rFonts w:eastAsia="Times New Roman"/>
          <w:noProof/>
          <w:color w:val="000000" w:themeColor="text1"/>
        </w:rPr>
        <w:t xml:space="preserve"> </w:t>
      </w:r>
      <w:r w:rsidR="0037798E" w:rsidRPr="00D92C97">
        <w:rPr>
          <w:rFonts w:eastAsia="Times New Roman"/>
          <w:noProof/>
          <w:color w:val="000000" w:themeColor="text1"/>
        </w:rPr>
        <w:t>the production of the medicinal product in the EU. </w:t>
      </w:r>
      <w:r w:rsidR="00B94CAF" w:rsidRPr="00B94CAF">
        <w:rPr>
          <w:rFonts w:eastAsia="Times New Roman"/>
          <w:noProof/>
          <w:color w:val="000000" w:themeColor="text1"/>
        </w:rPr>
        <w:t> </w:t>
      </w:r>
    </w:p>
    <w:p w14:paraId="60838728" w14:textId="73C3B6DF" w:rsidR="00BB15E9" w:rsidRDefault="4A6FAF23" w:rsidP="00CD6D61">
      <w:r w:rsidRPr="00CA6FB5">
        <w:rPr>
          <w:rFonts w:eastAsia="Times New Roman"/>
          <w:noProof/>
          <w:color w:val="000000" w:themeColor="text1"/>
        </w:rPr>
        <w:t>This measure is designed to incentiv</w:t>
      </w:r>
      <w:r>
        <w:rPr>
          <w:rFonts w:eastAsia="Times New Roman"/>
          <w:noProof/>
          <w:color w:val="000000" w:themeColor="text1"/>
        </w:rPr>
        <w:t>is</w:t>
      </w:r>
      <w:r w:rsidRPr="00CA6FB5">
        <w:rPr>
          <w:rFonts w:eastAsia="Times New Roman"/>
          <w:noProof/>
          <w:color w:val="000000" w:themeColor="text1"/>
        </w:rPr>
        <w:t>e late-stage clinical trials</w:t>
      </w:r>
      <w:r w:rsidR="7B35B06D">
        <w:rPr>
          <w:rFonts w:eastAsia="Times New Roman"/>
          <w:noProof/>
          <w:color w:val="000000" w:themeColor="text1"/>
        </w:rPr>
        <w:t xml:space="preserve"> as part of the</w:t>
      </w:r>
      <w:r w:rsidR="4D7F4284">
        <w:rPr>
          <w:rFonts w:eastAsia="Times New Roman"/>
          <w:noProof/>
          <w:color w:val="000000" w:themeColor="text1"/>
        </w:rPr>
        <w:t xml:space="preserve"> product’s </w:t>
      </w:r>
      <w:r w:rsidR="4D7F4284" w:rsidRPr="0085005C">
        <w:rPr>
          <w:rFonts w:eastAsia="Times New Roman"/>
          <w:noProof/>
          <w:color w:val="000000" w:themeColor="text1"/>
        </w:rPr>
        <w:t>marketing authorisation</w:t>
      </w:r>
      <w:r w:rsidR="327C8E55">
        <w:rPr>
          <w:rFonts w:eastAsia="Times New Roman"/>
          <w:noProof/>
          <w:color w:val="000000" w:themeColor="text1"/>
          <w:lang w:val="en-IE"/>
        </w:rPr>
        <w:t xml:space="preserve">. </w:t>
      </w:r>
      <w:r w:rsidR="5FE25917">
        <w:rPr>
          <w:rFonts w:eastAsia="Times New Roman"/>
          <w:noProof/>
          <w:color w:val="000000" w:themeColor="text1"/>
          <w:lang w:val="en-IE"/>
        </w:rPr>
        <w:t>C</w:t>
      </w:r>
      <w:r w:rsidR="57F4E05F" w:rsidRPr="00FE28B5">
        <w:rPr>
          <w:rFonts w:eastAsia="Times New Roman"/>
          <w:noProof/>
          <w:color w:val="000000" w:themeColor="text1"/>
          <w:lang w:val="en-IE"/>
        </w:rPr>
        <w:t>linical trials generate</w:t>
      </w:r>
      <w:r w:rsidR="00D90628" w:rsidRPr="4E26AC25">
        <w:rPr>
          <w:rFonts w:eastAsia="Times New Roman"/>
          <w:noProof/>
          <w:color w:val="000000" w:themeColor="text1"/>
          <w:lang w:val="en-IE"/>
        </w:rPr>
        <w:t xml:space="preserve"> </w:t>
      </w:r>
      <w:r w:rsidR="00D90628" w:rsidRPr="006AFD62">
        <w:rPr>
          <w:rFonts w:eastAsia="Times New Roman"/>
          <w:noProof/>
          <w:color w:val="000000" w:themeColor="text1"/>
          <w:lang w:val="en-IE"/>
        </w:rPr>
        <w:t>sizeable</w:t>
      </w:r>
      <w:r w:rsidR="57F4E05F" w:rsidRPr="00FE28B5">
        <w:rPr>
          <w:rFonts w:eastAsia="Times New Roman"/>
          <w:noProof/>
          <w:color w:val="000000" w:themeColor="text1"/>
          <w:lang w:val="en-IE"/>
        </w:rPr>
        <w:t xml:space="preserve"> economic benefits </w:t>
      </w:r>
      <w:r w:rsidR="30C8C720">
        <w:rPr>
          <w:rFonts w:eastAsia="Times New Roman"/>
          <w:noProof/>
          <w:color w:val="000000" w:themeColor="text1"/>
          <w:lang w:val="en-IE"/>
        </w:rPr>
        <w:t>in</w:t>
      </w:r>
      <w:r w:rsidR="30C8C720" w:rsidRPr="00FE28B5">
        <w:rPr>
          <w:rFonts w:eastAsia="Times New Roman"/>
          <w:noProof/>
          <w:color w:val="000000" w:themeColor="text1"/>
          <w:lang w:val="en-IE"/>
        </w:rPr>
        <w:t xml:space="preserve"> </w:t>
      </w:r>
      <w:r w:rsidR="57F4E05F" w:rsidRPr="00FE28B5">
        <w:rPr>
          <w:rFonts w:eastAsia="Times New Roman"/>
          <w:noProof/>
          <w:color w:val="000000" w:themeColor="text1"/>
          <w:lang w:val="en-IE"/>
        </w:rPr>
        <w:t xml:space="preserve">several </w:t>
      </w:r>
      <w:r w:rsidR="30C8C720">
        <w:rPr>
          <w:rFonts w:eastAsia="Times New Roman"/>
          <w:noProof/>
          <w:color w:val="000000" w:themeColor="text1"/>
          <w:lang w:val="en-IE"/>
        </w:rPr>
        <w:t>ways</w:t>
      </w:r>
      <w:r w:rsidR="00D40D20">
        <w:t xml:space="preserve"> </w:t>
      </w:r>
      <w:r w:rsidR="002A23D6">
        <w:t>a</w:t>
      </w:r>
      <w:r w:rsidR="00D40D20">
        <w:t xml:space="preserve">s </w:t>
      </w:r>
      <w:r w:rsidR="00A179F0">
        <w:t xml:space="preserve">outlined in the economic impact section of </w:t>
      </w:r>
      <w:r w:rsidR="00A179F0" w:rsidRPr="00443C31">
        <w:t xml:space="preserve">intervention </w:t>
      </w:r>
      <w:r w:rsidR="45D83347" w:rsidRPr="00443C31">
        <w:t>n°4</w:t>
      </w:r>
      <w:r w:rsidR="00550C29">
        <w:t xml:space="preserve"> (Clinical Trial Regulation Revision)</w:t>
      </w:r>
      <w:r w:rsidR="00372AB9">
        <w:t xml:space="preserve">. </w:t>
      </w:r>
      <w:r w:rsidR="3C4C509C" w:rsidRPr="00405524">
        <w:t xml:space="preserve">A further potential benefit of </w:t>
      </w:r>
      <w:r w:rsidR="16280733" w:rsidRPr="00405524">
        <w:t>more</w:t>
      </w:r>
      <w:r w:rsidR="3C4C509C" w:rsidRPr="00405524">
        <w:t xml:space="preserve"> clinical trials is</w:t>
      </w:r>
      <w:r w:rsidR="12A363A3" w:rsidRPr="00405524">
        <w:t xml:space="preserve"> avoiding</w:t>
      </w:r>
      <w:r w:rsidR="3C4C509C" w:rsidRPr="00405524">
        <w:t xml:space="preserve"> the healthcare expenditure </w:t>
      </w:r>
      <w:r w:rsidR="12A363A3" w:rsidRPr="00405524">
        <w:t xml:space="preserve">which would normally be </w:t>
      </w:r>
      <w:r w:rsidR="3C4C509C" w:rsidRPr="00405524">
        <w:t>associated with sponsor-funded medicines, diagnostics and monitoring. As an illustrative benchmark, Polignano et al. (2022)</w:t>
      </w:r>
      <w:r w:rsidR="00121829">
        <w:rPr>
          <w:rStyle w:val="FootnoteReference"/>
        </w:rPr>
        <w:footnoteReference w:id="248"/>
      </w:r>
      <w:r w:rsidR="3C4C509C" w:rsidRPr="00405524">
        <w:rPr>
          <w:rStyle w:val="FootnoteReference"/>
          <w:rFonts w:ascii="Palatino Linotype" w:hAnsi="Palatino Linotype"/>
          <w:b/>
        </w:rPr>
        <w:t xml:space="preserve"> </w:t>
      </w:r>
      <w:r w:rsidR="217C656F" w:rsidRPr="00405524">
        <w:t xml:space="preserve">estimate </w:t>
      </w:r>
      <w:r w:rsidR="3C4C509C" w:rsidRPr="00405524">
        <w:t xml:space="preserve">a leverage ratio of </w:t>
      </w:r>
      <w:r w:rsidR="3C4C509C" w:rsidRPr="00405524">
        <w:rPr>
          <w:rStyle w:val="Strong"/>
        </w:rPr>
        <w:t>3.67</w:t>
      </w:r>
      <w:r w:rsidR="3C4C509C" w:rsidRPr="00405524">
        <w:t xml:space="preserve">, implying </w:t>
      </w:r>
      <w:r w:rsidR="203E6A5E" w:rsidRPr="00405524">
        <w:rPr>
          <w:rStyle w:val="Strong"/>
        </w:rPr>
        <w:t xml:space="preserve">EUR </w:t>
      </w:r>
      <w:r w:rsidR="3C4C509C" w:rsidRPr="00405524">
        <w:rPr>
          <w:rStyle w:val="Strong"/>
        </w:rPr>
        <w:t xml:space="preserve">3.67 of avoided healthcare expenditure for </w:t>
      </w:r>
      <w:r w:rsidR="203E6A5E" w:rsidRPr="00405524">
        <w:rPr>
          <w:rStyle w:val="Strong"/>
        </w:rPr>
        <w:t>every euro</w:t>
      </w:r>
      <w:r w:rsidR="3C4C509C" w:rsidRPr="00405524">
        <w:rPr>
          <w:rStyle w:val="Strong"/>
        </w:rPr>
        <w:t xml:space="preserve"> of sponsor investment</w:t>
      </w:r>
      <w:r w:rsidR="3C4C509C" w:rsidRPr="00405524">
        <w:t xml:space="preserve"> in industry-sponsored clinical trials</w:t>
      </w:r>
      <w:r w:rsidR="73ED0779">
        <w:t>.</w:t>
      </w:r>
      <w:r w:rsidR="00C63B0D">
        <w:t xml:space="preserve"> </w:t>
      </w:r>
      <w:r w:rsidR="00144A65" w:rsidRPr="00514904">
        <w:t>While the SPC extension conditionality of conducting clinical trial</w:t>
      </w:r>
      <w:r w:rsidR="00317B1A" w:rsidRPr="00514904">
        <w:t>s</w:t>
      </w:r>
      <w:r w:rsidR="00144A65" w:rsidRPr="00514904">
        <w:t xml:space="preserve"> in the EU can only impact behaviour at the margin of a limited set of product</w:t>
      </w:r>
      <w:r w:rsidR="00C14331" w:rsidRPr="00514904">
        <w:t>s</w:t>
      </w:r>
      <w:r w:rsidR="00144A65" w:rsidRPr="00514904">
        <w:t>,</w:t>
      </w:r>
      <w:r w:rsidR="00405524">
        <w:t xml:space="preserve"> the </w:t>
      </w:r>
      <w:r w:rsidR="00FD6216">
        <w:t>combined</w:t>
      </w:r>
      <w:r w:rsidR="00405524">
        <w:t xml:space="preserve"> impact with measures proposed </w:t>
      </w:r>
      <w:r w:rsidR="00B810E1">
        <w:t>in</w:t>
      </w:r>
      <w:r w:rsidR="00405524">
        <w:t xml:space="preserve"> the </w:t>
      </w:r>
      <w:r w:rsidR="00780364">
        <w:t xml:space="preserve">Biotech </w:t>
      </w:r>
      <w:r w:rsidR="00405524">
        <w:t xml:space="preserve">Act on </w:t>
      </w:r>
      <w:r w:rsidR="00612660">
        <w:t xml:space="preserve">streamlining clinical </w:t>
      </w:r>
      <w:r w:rsidR="006D2905">
        <w:t>trials can be non negligeable</w:t>
      </w:r>
      <w:r w:rsidR="00EE63A2" w:rsidRPr="00514904">
        <w:rPr>
          <w:rStyle w:val="FootnoteReference"/>
        </w:rPr>
        <w:footnoteReference w:id="249"/>
      </w:r>
      <w:r w:rsidR="000E0CA1">
        <w:t>.</w:t>
      </w:r>
    </w:p>
    <w:p w14:paraId="776792D6" w14:textId="58D3A8C9" w:rsidR="00EB517D" w:rsidRPr="00893ABD" w:rsidRDefault="00CE06EF" w:rsidP="00443C31">
      <w:r>
        <w:t>The measure is also designed to</w:t>
      </w:r>
      <w:r w:rsidR="00F41923">
        <w:t xml:space="preserve"> </w:t>
      </w:r>
      <w:r w:rsidR="00EB517D" w:rsidRPr="00893ABD">
        <w:t xml:space="preserve">encourage </w:t>
      </w:r>
      <w:r w:rsidR="00C81AC8">
        <w:t>sponsors to</w:t>
      </w:r>
      <w:r w:rsidR="00EB517D" w:rsidRPr="00893ABD">
        <w:t xml:space="preserve"> incorporat</w:t>
      </w:r>
      <w:r w:rsidR="00C81AC8">
        <w:t>e</w:t>
      </w:r>
      <w:r w:rsidR="00EB517D" w:rsidRPr="00893ABD">
        <w:t xml:space="preserve"> an EU-based manufacturing step as part of their manufacturing and scale-up strategies</w:t>
      </w:r>
      <w:r w:rsidR="00EB517D">
        <w:t>.</w:t>
      </w:r>
      <w:r w:rsidR="00CA06A9">
        <w:t xml:space="preserve"> </w:t>
      </w:r>
      <w:r w:rsidR="00CA06A9" w:rsidRPr="00700390">
        <w:t>As underscored by public consultations, literature and empirical evidence</w:t>
      </w:r>
      <w:r w:rsidR="00566140" w:rsidRPr="004F48D9">
        <w:t>, intellectual property</w:t>
      </w:r>
      <w:r w:rsidR="000F12F0">
        <w:t>,</w:t>
      </w:r>
      <w:r w:rsidR="00566140" w:rsidRPr="004F48D9">
        <w:t xml:space="preserve"> including SPC extension,</w:t>
      </w:r>
      <w:r w:rsidR="00CA06A9" w:rsidRPr="004F48D9">
        <w:t xml:space="preserve"> </w:t>
      </w:r>
      <w:r w:rsidR="00CA06A9" w:rsidRPr="00700390">
        <w:t xml:space="preserve">is an important </w:t>
      </w:r>
      <w:r w:rsidR="009577F5">
        <w:t>part of</w:t>
      </w:r>
      <w:r w:rsidR="00CA06A9" w:rsidRPr="00700390">
        <w:t xml:space="preserve"> the broader </w:t>
      </w:r>
      <w:r w:rsidR="00125C3C" w:rsidRPr="004F48D9">
        <w:t>set</w:t>
      </w:r>
      <w:r w:rsidR="00CA06A9" w:rsidRPr="00700390">
        <w:t xml:space="preserve"> of </w:t>
      </w:r>
      <w:r w:rsidR="00B4464A" w:rsidRPr="004F48D9">
        <w:t>elements</w:t>
      </w:r>
      <w:r w:rsidR="009831F2" w:rsidRPr="00700390">
        <w:t xml:space="preserve"> that drive </w:t>
      </w:r>
      <w:r w:rsidR="00700390" w:rsidRPr="00700390">
        <w:t>biotechnology</w:t>
      </w:r>
      <w:r w:rsidR="009831F2" w:rsidRPr="00700390">
        <w:t xml:space="preserve"> investment decisions</w:t>
      </w:r>
      <w:r w:rsidR="00341AA9">
        <w:t>.</w:t>
      </w:r>
      <w:r w:rsidR="000D541A" w:rsidRPr="000D541A">
        <w:t xml:space="preserve"> </w:t>
      </w:r>
      <w:r w:rsidR="00C0270D" w:rsidRPr="00893ABD">
        <w:t xml:space="preserve">While the decision to invest in a biotechnology manufacturing facility cannot be attributed to any single product or regulatory incentive, </w:t>
      </w:r>
      <w:r w:rsidR="00860642" w:rsidRPr="00514904">
        <w:t>similarly to the conditionality concerning the conduct of clinical trials in the EU</w:t>
      </w:r>
      <w:r w:rsidR="00860642">
        <w:t xml:space="preserve">, </w:t>
      </w:r>
      <w:r w:rsidR="00C0270D" w:rsidRPr="00893ABD">
        <w:t xml:space="preserve">the positive impulse created by the SPC extension </w:t>
      </w:r>
      <w:r w:rsidR="00CB5115">
        <w:t>could</w:t>
      </w:r>
      <w:r w:rsidR="00CB5115" w:rsidRPr="00893ABD">
        <w:t xml:space="preserve"> </w:t>
      </w:r>
      <w:r w:rsidR="00C0270D" w:rsidRPr="00893ABD">
        <w:t>contribute to broader investment and employment effects at the margin.</w:t>
      </w:r>
    </w:p>
    <w:p w14:paraId="5BDF0201" w14:textId="3AD1A115" w:rsidR="00D05649" w:rsidRDefault="003B78BF" w:rsidP="00443C31">
      <w:pPr>
        <w:rPr>
          <w:rFonts w:eastAsia="Times New Roman"/>
          <w:noProof/>
          <w:color w:val="000000" w:themeColor="text1"/>
        </w:rPr>
      </w:pPr>
      <w:r>
        <w:rPr>
          <w:rFonts w:eastAsia="Times New Roman"/>
          <w:noProof/>
          <w:color w:val="000000" w:themeColor="text1"/>
        </w:rPr>
        <w:t xml:space="preserve">The effect of these measures </w:t>
      </w:r>
      <w:r w:rsidR="00ED7603">
        <w:rPr>
          <w:rFonts w:eastAsia="Times New Roman"/>
          <w:noProof/>
          <w:color w:val="000000" w:themeColor="text1"/>
        </w:rPr>
        <w:t xml:space="preserve">is </w:t>
      </w:r>
      <w:r w:rsidR="00C85DDF">
        <w:rPr>
          <w:rFonts w:eastAsia="Times New Roman"/>
          <w:noProof/>
          <w:color w:val="000000" w:themeColor="text1"/>
        </w:rPr>
        <w:t>expected to be</w:t>
      </w:r>
      <w:r w:rsidR="00DD2C1B">
        <w:rPr>
          <w:rFonts w:eastAsia="Times New Roman"/>
          <w:noProof/>
          <w:color w:val="000000" w:themeColor="text1"/>
        </w:rPr>
        <w:t xml:space="preserve"> </w:t>
      </w:r>
      <w:r w:rsidR="00DD2C1B" w:rsidRPr="004F48D9">
        <w:rPr>
          <w:rFonts w:eastAsia="Times New Roman"/>
          <w:b/>
          <w:bCs/>
          <w:noProof/>
          <w:color w:val="000000" w:themeColor="text1"/>
        </w:rPr>
        <w:t xml:space="preserve">amplified and </w:t>
      </w:r>
      <w:r w:rsidR="00044F87" w:rsidRPr="00044F87">
        <w:rPr>
          <w:rFonts w:eastAsia="Times New Roman"/>
          <w:b/>
          <w:color w:val="000000" w:themeColor="text1"/>
        </w:rPr>
        <w:t>completed</w:t>
      </w:r>
      <w:r w:rsidR="00DD2C1B" w:rsidRPr="004F48D9">
        <w:rPr>
          <w:rFonts w:eastAsia="Times New Roman"/>
          <w:b/>
          <w:bCs/>
          <w:noProof/>
          <w:color w:val="000000" w:themeColor="text1"/>
        </w:rPr>
        <w:t xml:space="preserve"> by </w:t>
      </w:r>
      <w:r w:rsidR="00E03F86" w:rsidRPr="004F48D9">
        <w:rPr>
          <w:rFonts w:eastAsia="Times New Roman"/>
          <w:b/>
          <w:bCs/>
          <w:noProof/>
          <w:color w:val="000000" w:themeColor="text1"/>
        </w:rPr>
        <w:t>other measures</w:t>
      </w:r>
      <w:r w:rsidR="00E03F86">
        <w:rPr>
          <w:rFonts w:eastAsia="Times New Roman"/>
          <w:noProof/>
          <w:color w:val="000000" w:themeColor="text1"/>
        </w:rPr>
        <w:t xml:space="preserve"> </w:t>
      </w:r>
      <w:r w:rsidR="00ED7603">
        <w:rPr>
          <w:rFonts w:eastAsia="Times New Roman"/>
          <w:noProof/>
          <w:color w:val="000000" w:themeColor="text1"/>
        </w:rPr>
        <w:t>set out in</w:t>
      </w:r>
      <w:r w:rsidR="00E03F86">
        <w:rPr>
          <w:rFonts w:eastAsia="Times New Roman"/>
          <w:noProof/>
          <w:color w:val="000000" w:themeColor="text1"/>
        </w:rPr>
        <w:t xml:space="preserve"> the </w:t>
      </w:r>
      <w:r w:rsidR="00D77AE7">
        <w:rPr>
          <w:rFonts w:eastAsia="Times New Roman"/>
          <w:noProof/>
          <w:color w:val="000000" w:themeColor="text1"/>
        </w:rPr>
        <w:t>B</w:t>
      </w:r>
      <w:r w:rsidR="00E03F86">
        <w:rPr>
          <w:rFonts w:eastAsia="Times New Roman"/>
          <w:noProof/>
          <w:color w:val="000000" w:themeColor="text1"/>
        </w:rPr>
        <w:t xml:space="preserve">iotech </w:t>
      </w:r>
      <w:r w:rsidR="00ED7603">
        <w:rPr>
          <w:rFonts w:eastAsia="Times New Roman"/>
          <w:noProof/>
          <w:color w:val="000000" w:themeColor="text1"/>
        </w:rPr>
        <w:t>A</w:t>
      </w:r>
      <w:r w:rsidR="00E03F86">
        <w:rPr>
          <w:rFonts w:eastAsia="Times New Roman"/>
          <w:noProof/>
          <w:color w:val="000000" w:themeColor="text1"/>
        </w:rPr>
        <w:t>ct</w:t>
      </w:r>
      <w:r w:rsidR="00D77AE7">
        <w:rPr>
          <w:rFonts w:eastAsia="Times New Roman"/>
          <w:noProof/>
          <w:color w:val="000000" w:themeColor="text1"/>
        </w:rPr>
        <w:t>, especially those aimed at</w:t>
      </w:r>
      <w:r w:rsidR="00E03F86">
        <w:rPr>
          <w:rFonts w:eastAsia="Times New Roman"/>
          <w:noProof/>
          <w:color w:val="000000" w:themeColor="text1"/>
        </w:rPr>
        <w:t xml:space="preserve"> supporting and deris</w:t>
      </w:r>
      <w:r w:rsidR="006229EB">
        <w:rPr>
          <w:rFonts w:eastAsia="Times New Roman"/>
          <w:noProof/>
          <w:color w:val="000000" w:themeColor="text1"/>
        </w:rPr>
        <w:t>ki</w:t>
      </w:r>
      <w:r w:rsidR="00E03F86">
        <w:rPr>
          <w:rFonts w:eastAsia="Times New Roman"/>
          <w:noProof/>
          <w:color w:val="000000" w:themeColor="text1"/>
        </w:rPr>
        <w:t>ng</w:t>
      </w:r>
      <w:r w:rsidR="006229EB">
        <w:rPr>
          <w:rFonts w:eastAsia="Times New Roman"/>
          <w:noProof/>
          <w:color w:val="000000" w:themeColor="text1"/>
        </w:rPr>
        <w:t xml:space="preserve"> investment in</w:t>
      </w:r>
      <w:r w:rsidR="00E03F86">
        <w:rPr>
          <w:rFonts w:eastAsia="Times New Roman"/>
          <w:noProof/>
          <w:color w:val="000000" w:themeColor="text1"/>
        </w:rPr>
        <w:t xml:space="preserve"> manufacturing in </w:t>
      </w:r>
      <w:r w:rsidR="009B3CB9">
        <w:rPr>
          <w:rFonts w:eastAsia="Times New Roman"/>
          <w:noProof/>
          <w:color w:val="000000" w:themeColor="text1"/>
        </w:rPr>
        <w:t>the EU</w:t>
      </w:r>
      <w:r w:rsidR="00E03F86">
        <w:rPr>
          <w:rFonts w:eastAsia="Times New Roman"/>
          <w:noProof/>
          <w:color w:val="000000" w:themeColor="text1"/>
        </w:rPr>
        <w:t xml:space="preserve"> (e.g. high impact biotechnology </w:t>
      </w:r>
      <w:r w:rsidR="00294A4E">
        <w:rPr>
          <w:rFonts w:eastAsia="Times New Roman"/>
          <w:noProof/>
          <w:color w:val="000000" w:themeColor="text1"/>
        </w:rPr>
        <w:t xml:space="preserve">health </w:t>
      </w:r>
      <w:r w:rsidR="00E03F86">
        <w:rPr>
          <w:rFonts w:eastAsia="Times New Roman"/>
          <w:noProof/>
          <w:color w:val="000000" w:themeColor="text1"/>
        </w:rPr>
        <w:t xml:space="preserve">strategic projects and </w:t>
      </w:r>
      <w:r w:rsidR="00294A4E">
        <w:rPr>
          <w:rFonts w:eastAsia="Times New Roman"/>
          <w:noProof/>
          <w:color w:val="000000" w:themeColor="text1"/>
        </w:rPr>
        <w:t xml:space="preserve">biotechnology health </w:t>
      </w:r>
      <w:r w:rsidR="00E03F86">
        <w:rPr>
          <w:rFonts w:eastAsia="Times New Roman"/>
          <w:noProof/>
          <w:color w:val="000000" w:themeColor="text1"/>
        </w:rPr>
        <w:t>st</w:t>
      </w:r>
      <w:r w:rsidR="00B12DBB">
        <w:rPr>
          <w:rFonts w:eastAsia="Times New Roman"/>
          <w:noProof/>
          <w:color w:val="000000" w:themeColor="text1"/>
        </w:rPr>
        <w:t>r</w:t>
      </w:r>
      <w:r w:rsidR="00E03F86">
        <w:rPr>
          <w:rFonts w:eastAsia="Times New Roman"/>
          <w:noProof/>
          <w:color w:val="000000" w:themeColor="text1"/>
        </w:rPr>
        <w:t xml:space="preserve">ategic projects) and </w:t>
      </w:r>
      <w:r w:rsidR="00526FC3">
        <w:rPr>
          <w:rFonts w:eastAsia="Times New Roman"/>
          <w:noProof/>
          <w:color w:val="000000" w:themeColor="text1"/>
        </w:rPr>
        <w:t>the</w:t>
      </w:r>
      <w:r w:rsidR="00E03F86">
        <w:rPr>
          <w:rFonts w:eastAsia="Times New Roman"/>
          <w:noProof/>
          <w:color w:val="000000" w:themeColor="text1"/>
        </w:rPr>
        <w:t xml:space="preserve"> amendment to the Clinical Trial</w:t>
      </w:r>
      <w:r w:rsidR="004C0DE3">
        <w:rPr>
          <w:rFonts w:eastAsia="Times New Roman"/>
          <w:noProof/>
          <w:color w:val="000000" w:themeColor="text1"/>
        </w:rPr>
        <w:t>s</w:t>
      </w:r>
      <w:r w:rsidR="00E03F86">
        <w:rPr>
          <w:rFonts w:eastAsia="Times New Roman"/>
          <w:noProof/>
          <w:color w:val="000000" w:themeColor="text1"/>
        </w:rPr>
        <w:t xml:space="preserve"> </w:t>
      </w:r>
      <w:r w:rsidR="009B3CB9">
        <w:rPr>
          <w:rFonts w:eastAsia="Times New Roman"/>
          <w:noProof/>
          <w:color w:val="000000" w:themeColor="text1"/>
        </w:rPr>
        <w:t>R</w:t>
      </w:r>
      <w:r w:rsidR="00E03F86">
        <w:rPr>
          <w:rFonts w:eastAsia="Times New Roman"/>
          <w:noProof/>
          <w:color w:val="000000" w:themeColor="text1"/>
        </w:rPr>
        <w:t xml:space="preserve">egulation </w:t>
      </w:r>
      <w:r w:rsidR="009B3CB9">
        <w:rPr>
          <w:rFonts w:eastAsia="Times New Roman"/>
          <w:noProof/>
          <w:color w:val="000000" w:themeColor="text1"/>
        </w:rPr>
        <w:t>to facilitate</w:t>
      </w:r>
      <w:r w:rsidR="00F0101F">
        <w:rPr>
          <w:rFonts w:eastAsia="Times New Roman"/>
          <w:noProof/>
          <w:color w:val="000000" w:themeColor="text1"/>
        </w:rPr>
        <w:t xml:space="preserve"> the conduct of mult</w:t>
      </w:r>
      <w:r w:rsidR="00947859">
        <w:rPr>
          <w:rFonts w:eastAsia="Times New Roman"/>
          <w:noProof/>
          <w:color w:val="000000" w:themeColor="text1"/>
        </w:rPr>
        <w:t>i</w:t>
      </w:r>
      <w:r w:rsidR="009B3CB9">
        <w:rPr>
          <w:rFonts w:eastAsia="Times New Roman"/>
          <w:noProof/>
          <w:color w:val="000000" w:themeColor="text1"/>
        </w:rPr>
        <w:t>-</w:t>
      </w:r>
      <w:r w:rsidR="00863CFB">
        <w:rPr>
          <w:rFonts w:eastAsia="Times New Roman"/>
          <w:noProof/>
          <w:color w:val="000000" w:themeColor="text1"/>
        </w:rPr>
        <w:t>national</w:t>
      </w:r>
      <w:r w:rsidR="00F0101F">
        <w:rPr>
          <w:rFonts w:eastAsia="Times New Roman"/>
          <w:noProof/>
          <w:color w:val="000000" w:themeColor="text1"/>
        </w:rPr>
        <w:t xml:space="preserve"> clin</w:t>
      </w:r>
      <w:r w:rsidR="00947859">
        <w:rPr>
          <w:rFonts w:eastAsia="Times New Roman"/>
          <w:noProof/>
          <w:color w:val="000000" w:themeColor="text1"/>
        </w:rPr>
        <w:t>i</w:t>
      </w:r>
      <w:r w:rsidR="00F0101F">
        <w:rPr>
          <w:rFonts w:eastAsia="Times New Roman"/>
          <w:noProof/>
          <w:color w:val="000000" w:themeColor="text1"/>
        </w:rPr>
        <w:t>cal t</w:t>
      </w:r>
      <w:r w:rsidR="00947859">
        <w:rPr>
          <w:rFonts w:eastAsia="Times New Roman"/>
          <w:noProof/>
          <w:color w:val="000000" w:themeColor="text1"/>
        </w:rPr>
        <w:t>r</w:t>
      </w:r>
      <w:r w:rsidR="00F0101F">
        <w:rPr>
          <w:rFonts w:eastAsia="Times New Roman"/>
          <w:noProof/>
          <w:color w:val="000000" w:themeColor="text1"/>
        </w:rPr>
        <w:t xml:space="preserve">ials in </w:t>
      </w:r>
      <w:r w:rsidR="009B3CB9">
        <w:rPr>
          <w:rFonts w:eastAsia="Times New Roman"/>
          <w:noProof/>
          <w:color w:val="000000" w:themeColor="text1"/>
        </w:rPr>
        <w:t>the EU</w:t>
      </w:r>
      <w:r w:rsidR="006E0A04">
        <w:rPr>
          <w:rFonts w:eastAsia="Times New Roman"/>
          <w:noProof/>
          <w:color w:val="000000" w:themeColor="text1"/>
        </w:rPr>
        <w:t>.</w:t>
      </w:r>
      <w:r w:rsidR="009F50C2">
        <w:rPr>
          <w:rFonts w:eastAsia="Times New Roman"/>
          <w:noProof/>
          <w:color w:val="000000" w:themeColor="text1"/>
        </w:rPr>
        <w:t xml:space="preserve"> </w:t>
      </w:r>
      <w:r w:rsidR="00947859">
        <w:rPr>
          <w:rFonts w:eastAsia="Times New Roman"/>
          <w:noProof/>
          <w:color w:val="000000" w:themeColor="text1"/>
        </w:rPr>
        <w:t>T</w:t>
      </w:r>
      <w:r w:rsidR="009F50C2">
        <w:rPr>
          <w:rFonts w:eastAsia="Times New Roman"/>
          <w:noProof/>
          <w:color w:val="000000" w:themeColor="text1"/>
        </w:rPr>
        <w:t xml:space="preserve">hese changes will make the incentive to </w:t>
      </w:r>
      <w:r w:rsidR="00E278FC">
        <w:rPr>
          <w:rFonts w:eastAsia="Times New Roman"/>
          <w:noProof/>
          <w:color w:val="000000" w:themeColor="text1"/>
        </w:rPr>
        <w:t xml:space="preserve">conduct </w:t>
      </w:r>
      <w:r w:rsidR="00505F7E">
        <w:rPr>
          <w:rFonts w:eastAsia="Times New Roman"/>
          <w:noProof/>
          <w:color w:val="000000" w:themeColor="text1"/>
        </w:rPr>
        <w:t xml:space="preserve">clinical trial </w:t>
      </w:r>
      <w:r w:rsidR="00E278FC">
        <w:rPr>
          <w:rFonts w:eastAsia="Times New Roman"/>
          <w:noProof/>
          <w:color w:val="000000" w:themeColor="text1"/>
        </w:rPr>
        <w:t xml:space="preserve">and manufacturing </w:t>
      </w:r>
      <w:r w:rsidR="00505F7E">
        <w:rPr>
          <w:rFonts w:eastAsia="Times New Roman"/>
          <w:noProof/>
          <w:color w:val="000000" w:themeColor="text1"/>
        </w:rPr>
        <w:t>activity to Europe introduced by the SPC extension more effective.</w:t>
      </w:r>
      <w:r w:rsidR="00A10C64">
        <w:rPr>
          <w:rFonts w:eastAsia="Times New Roman"/>
          <w:noProof/>
          <w:color w:val="000000" w:themeColor="text1"/>
        </w:rPr>
        <w:t xml:space="preserve"> </w:t>
      </w:r>
      <w:r w:rsidR="00D05649" w:rsidRPr="00D05649">
        <w:rPr>
          <w:rFonts w:eastAsia="Times New Roman"/>
          <w:noProof/>
          <w:color w:val="000000" w:themeColor="text1"/>
        </w:rPr>
        <w:t xml:space="preserve">It must also be noted that the SPC extension </w:t>
      </w:r>
      <w:r w:rsidR="003E1DBE">
        <w:rPr>
          <w:rFonts w:eastAsia="Times New Roman"/>
          <w:noProof/>
          <w:color w:val="000000" w:themeColor="text1"/>
        </w:rPr>
        <w:t xml:space="preserve">complements </w:t>
      </w:r>
      <w:r w:rsidR="00FF6083">
        <w:rPr>
          <w:rFonts w:eastAsia="Times New Roman"/>
          <w:noProof/>
          <w:color w:val="000000" w:themeColor="text1"/>
        </w:rPr>
        <w:t xml:space="preserve">other </w:t>
      </w:r>
      <w:r w:rsidR="00D05649" w:rsidRPr="00D05649">
        <w:rPr>
          <w:rFonts w:eastAsia="Times New Roman"/>
          <w:noProof/>
          <w:color w:val="000000" w:themeColor="text1"/>
        </w:rPr>
        <w:t xml:space="preserve">measures in the </w:t>
      </w:r>
      <w:r w:rsidR="00347D01">
        <w:rPr>
          <w:rFonts w:eastAsia="Times New Roman"/>
          <w:noProof/>
          <w:color w:val="000000" w:themeColor="text1"/>
        </w:rPr>
        <w:t xml:space="preserve"> Regulation proposal </w:t>
      </w:r>
      <w:r w:rsidR="00D05649" w:rsidRPr="00D05649">
        <w:rPr>
          <w:rFonts w:eastAsia="Times New Roman"/>
          <w:noProof/>
          <w:color w:val="000000" w:themeColor="text1"/>
        </w:rPr>
        <w:t xml:space="preserve">and in the </w:t>
      </w:r>
      <w:r w:rsidR="006A7BD6">
        <w:rPr>
          <w:rFonts w:eastAsia="Times New Roman"/>
          <w:noProof/>
          <w:color w:val="000000" w:themeColor="text1"/>
        </w:rPr>
        <w:t xml:space="preserve">reform </w:t>
      </w:r>
      <w:r w:rsidR="00D05649" w:rsidRPr="00D05649">
        <w:rPr>
          <w:rFonts w:eastAsia="Times New Roman"/>
          <w:noProof/>
          <w:color w:val="000000" w:themeColor="text1"/>
        </w:rPr>
        <w:t xml:space="preserve">of the </w:t>
      </w:r>
      <w:r w:rsidR="0097523C">
        <w:rPr>
          <w:rFonts w:eastAsia="Times New Roman"/>
          <w:noProof/>
          <w:color w:val="000000" w:themeColor="text1"/>
        </w:rPr>
        <w:t xml:space="preserve">general </w:t>
      </w:r>
      <w:r w:rsidR="00D05649" w:rsidRPr="00D05649">
        <w:rPr>
          <w:rFonts w:eastAsia="Times New Roman"/>
          <w:noProof/>
          <w:color w:val="000000" w:themeColor="text1"/>
        </w:rPr>
        <w:t>pharmaceutical legislation</w:t>
      </w:r>
      <w:r w:rsidR="0097523C">
        <w:rPr>
          <w:rStyle w:val="FootnoteReference"/>
          <w:rFonts w:eastAsia="Times New Roman"/>
          <w:noProof/>
          <w:color w:val="000000" w:themeColor="text1"/>
        </w:rPr>
        <w:footnoteReference w:id="250"/>
      </w:r>
      <w:r w:rsidR="00D05649" w:rsidRPr="00D05649">
        <w:rPr>
          <w:rFonts w:eastAsia="Times New Roman"/>
          <w:noProof/>
          <w:color w:val="000000" w:themeColor="text1"/>
        </w:rPr>
        <w:t xml:space="preserve"> that are aimed at facilitating development of innovative products and reducing time to market (e.g. use of AI and regulatory sandboxes, combined trials and shortening marketing authorisation timelines).</w:t>
      </w:r>
      <w:r w:rsidR="005F2DF4" w:rsidRPr="005F2DF4">
        <w:t xml:space="preserve"> </w:t>
      </w:r>
    </w:p>
    <w:p w14:paraId="623CAD6E" w14:textId="609D3873" w:rsidR="005B2198" w:rsidRDefault="005207FA" w:rsidP="00CD6D61">
      <w:pPr>
        <w:rPr>
          <w:rFonts w:eastAsia="Times New Roman"/>
          <w:color w:val="000000" w:themeColor="text1"/>
        </w:rPr>
      </w:pPr>
      <w:r w:rsidRPr="00443C31">
        <w:rPr>
          <w:rFonts w:eastAsia="Times New Roman"/>
          <w:b/>
          <w:bCs/>
          <w:noProof/>
          <w:color w:val="000000" w:themeColor="text1"/>
        </w:rPr>
        <w:t>Research &amp; Innovation:</w:t>
      </w:r>
      <w:r>
        <w:rPr>
          <w:rFonts w:eastAsia="Times New Roman"/>
          <w:noProof/>
          <w:color w:val="000000" w:themeColor="text1"/>
        </w:rPr>
        <w:t xml:space="preserve"> </w:t>
      </w:r>
      <w:r w:rsidR="00BC630E">
        <w:rPr>
          <w:rFonts w:eastAsia="Times New Roman"/>
          <w:noProof/>
          <w:color w:val="000000" w:themeColor="text1"/>
        </w:rPr>
        <w:t>Between 2004 and 2011</w:t>
      </w:r>
      <w:r w:rsidR="009B3CB9">
        <w:rPr>
          <w:rFonts w:eastAsia="Times New Roman"/>
          <w:noProof/>
          <w:color w:val="000000" w:themeColor="text1"/>
        </w:rPr>
        <w:t>,</w:t>
      </w:r>
      <w:r w:rsidR="00BC630E">
        <w:rPr>
          <w:rFonts w:eastAsia="Times New Roman"/>
          <w:noProof/>
          <w:color w:val="000000" w:themeColor="text1"/>
        </w:rPr>
        <w:t xml:space="preserve"> </w:t>
      </w:r>
      <w:r w:rsidR="00977499">
        <w:rPr>
          <w:rFonts w:eastAsia="Times New Roman"/>
          <w:noProof/>
          <w:color w:val="000000" w:themeColor="text1"/>
        </w:rPr>
        <w:t xml:space="preserve">just over one product per year </w:t>
      </w:r>
      <w:r w:rsidR="003838FF">
        <w:rPr>
          <w:rFonts w:eastAsia="Times New Roman"/>
          <w:noProof/>
          <w:color w:val="000000" w:themeColor="text1"/>
        </w:rPr>
        <w:t>would have been</w:t>
      </w:r>
      <w:r w:rsidR="00977499">
        <w:rPr>
          <w:rFonts w:eastAsia="Times New Roman"/>
          <w:noProof/>
          <w:color w:val="000000" w:themeColor="text1"/>
        </w:rPr>
        <w:t xml:space="preserve"> el</w:t>
      </w:r>
      <w:r w:rsidR="00947859">
        <w:rPr>
          <w:rFonts w:eastAsia="Times New Roman"/>
          <w:noProof/>
          <w:color w:val="000000" w:themeColor="text1"/>
        </w:rPr>
        <w:t>i</w:t>
      </w:r>
      <w:r w:rsidR="00977499">
        <w:rPr>
          <w:rFonts w:eastAsia="Times New Roman"/>
          <w:noProof/>
          <w:color w:val="000000" w:themeColor="text1"/>
        </w:rPr>
        <w:t>gible for the SPC extension</w:t>
      </w:r>
      <w:r w:rsidR="00947859">
        <w:rPr>
          <w:rFonts w:eastAsia="Times New Roman"/>
          <w:noProof/>
          <w:color w:val="000000" w:themeColor="text1"/>
        </w:rPr>
        <w:t>,</w:t>
      </w:r>
      <w:r w:rsidR="00977499">
        <w:rPr>
          <w:rFonts w:eastAsia="Times New Roman"/>
          <w:noProof/>
          <w:color w:val="000000" w:themeColor="text1"/>
        </w:rPr>
        <w:t xml:space="preserve"> according to EMA</w:t>
      </w:r>
      <w:r w:rsidR="00F35F63">
        <w:rPr>
          <w:rFonts w:eastAsia="Times New Roman"/>
          <w:noProof/>
          <w:color w:val="000000" w:themeColor="text1"/>
        </w:rPr>
        <w:t xml:space="preserve">’s </w:t>
      </w:r>
      <w:r w:rsidR="00977499">
        <w:rPr>
          <w:rFonts w:eastAsia="Times New Roman"/>
          <w:noProof/>
          <w:color w:val="000000" w:themeColor="text1"/>
        </w:rPr>
        <w:t xml:space="preserve">data. This number grew to </w:t>
      </w:r>
      <w:r w:rsidR="00A87562">
        <w:rPr>
          <w:rFonts w:eastAsia="Times New Roman"/>
          <w:noProof/>
          <w:color w:val="000000" w:themeColor="text1"/>
        </w:rPr>
        <w:t>five</w:t>
      </w:r>
      <w:r w:rsidR="00291839">
        <w:rPr>
          <w:rFonts w:eastAsia="Times New Roman"/>
          <w:noProof/>
          <w:color w:val="000000" w:themeColor="text1"/>
        </w:rPr>
        <w:t xml:space="preserve"> in the last decade and </w:t>
      </w:r>
      <w:r w:rsidR="0011490D">
        <w:rPr>
          <w:rFonts w:eastAsia="Times New Roman"/>
          <w:noProof/>
          <w:color w:val="000000" w:themeColor="text1"/>
        </w:rPr>
        <w:t xml:space="preserve">to </w:t>
      </w:r>
      <w:r w:rsidR="00291839">
        <w:rPr>
          <w:rFonts w:eastAsia="Times New Roman"/>
          <w:noProof/>
          <w:color w:val="000000" w:themeColor="text1"/>
        </w:rPr>
        <w:t>six in the last 5 years</w:t>
      </w:r>
      <w:r w:rsidR="00E178F8">
        <w:rPr>
          <w:rFonts w:eastAsia="Times New Roman"/>
          <w:noProof/>
          <w:color w:val="000000" w:themeColor="text1"/>
        </w:rPr>
        <w:t xml:space="preserve">. </w:t>
      </w:r>
      <w:r w:rsidR="00E178F8" w:rsidRPr="00E178F8">
        <w:rPr>
          <w:rFonts w:eastAsia="Times New Roman"/>
          <w:noProof/>
          <w:color w:val="000000" w:themeColor="text1"/>
        </w:rPr>
        <w:t>While the long-term trend reflects a growing health biotech pipeline, we observed high variability in product eligibility year-over-year, reflecting the unique risk profile of the health biotech sector</w:t>
      </w:r>
      <w:r w:rsidR="00E43863">
        <w:rPr>
          <w:rFonts w:eastAsia="Times New Roman"/>
          <w:noProof/>
          <w:color w:val="000000" w:themeColor="text1"/>
        </w:rPr>
        <w:t>.</w:t>
      </w:r>
      <w:r w:rsidR="00291839">
        <w:rPr>
          <w:rFonts w:eastAsia="Times New Roman"/>
          <w:noProof/>
          <w:color w:val="000000" w:themeColor="text1"/>
        </w:rPr>
        <w:t xml:space="preserve"> </w:t>
      </w:r>
      <w:r w:rsidR="00174D6A">
        <w:rPr>
          <w:rFonts w:eastAsia="Times New Roman"/>
          <w:noProof/>
          <w:color w:val="000000" w:themeColor="text1"/>
        </w:rPr>
        <w:t>W</w:t>
      </w:r>
      <w:r w:rsidR="00D50E92">
        <w:rPr>
          <w:rFonts w:eastAsia="Times New Roman"/>
          <w:noProof/>
          <w:color w:val="000000" w:themeColor="text1"/>
        </w:rPr>
        <w:t xml:space="preserve">ith the </w:t>
      </w:r>
      <w:r w:rsidR="00C167E1" w:rsidRPr="4E26AC25">
        <w:rPr>
          <w:rFonts w:eastAsia="Times New Roman"/>
          <w:b/>
          <w:bCs/>
          <w:color w:val="000000" w:themeColor="text1"/>
        </w:rPr>
        <w:t>development</w:t>
      </w:r>
      <w:r w:rsidR="00D50E92" w:rsidRPr="4E26AC25">
        <w:rPr>
          <w:rFonts w:eastAsia="Times New Roman"/>
          <w:b/>
          <w:bCs/>
          <w:color w:val="000000" w:themeColor="text1"/>
        </w:rPr>
        <w:t xml:space="preserve"> of biotechnol</w:t>
      </w:r>
      <w:r w:rsidR="000A1FBB" w:rsidRPr="4E26AC25">
        <w:rPr>
          <w:rFonts w:eastAsia="Times New Roman"/>
          <w:b/>
          <w:bCs/>
          <w:color w:val="000000" w:themeColor="text1"/>
        </w:rPr>
        <w:t>o</w:t>
      </w:r>
      <w:r w:rsidR="00D50E92" w:rsidRPr="4E26AC25">
        <w:rPr>
          <w:rFonts w:eastAsia="Times New Roman"/>
          <w:b/>
          <w:bCs/>
          <w:color w:val="000000" w:themeColor="text1"/>
        </w:rPr>
        <w:t>gy pipelines</w:t>
      </w:r>
      <w:r w:rsidR="00D50E92">
        <w:rPr>
          <w:rFonts w:eastAsia="Times New Roman"/>
          <w:noProof/>
          <w:color w:val="000000" w:themeColor="text1"/>
        </w:rPr>
        <w:t xml:space="preserve"> and scientific advances</w:t>
      </w:r>
      <w:r w:rsidR="003477C8">
        <w:rPr>
          <w:rFonts w:eastAsia="Times New Roman"/>
          <w:noProof/>
          <w:color w:val="000000" w:themeColor="text1"/>
        </w:rPr>
        <w:t xml:space="preserve">, we can expect </w:t>
      </w:r>
      <w:r w:rsidR="003477C8" w:rsidRPr="00514904">
        <w:rPr>
          <w:rFonts w:eastAsia="Times New Roman"/>
          <w:color w:val="000000" w:themeColor="text1"/>
        </w:rPr>
        <w:t>th</w:t>
      </w:r>
      <w:r w:rsidR="00947859" w:rsidRPr="00514904">
        <w:rPr>
          <w:rFonts w:eastAsia="Times New Roman"/>
          <w:color w:val="000000" w:themeColor="text1"/>
        </w:rPr>
        <w:t>is</w:t>
      </w:r>
      <w:r w:rsidR="003477C8" w:rsidRPr="00514904">
        <w:rPr>
          <w:rFonts w:eastAsia="Times New Roman"/>
          <w:color w:val="000000" w:themeColor="text1"/>
        </w:rPr>
        <w:t xml:space="preserve"> measure</w:t>
      </w:r>
      <w:r w:rsidR="00215E58" w:rsidRPr="00514904">
        <w:rPr>
          <w:rFonts w:eastAsia="Times New Roman"/>
          <w:color w:val="000000" w:themeColor="text1"/>
        </w:rPr>
        <w:t>’s</w:t>
      </w:r>
      <w:r w:rsidR="003477C8" w:rsidRPr="00514904">
        <w:rPr>
          <w:rFonts w:eastAsia="Times New Roman"/>
          <w:color w:val="000000" w:themeColor="text1"/>
        </w:rPr>
        <w:t xml:space="preserve"> </w:t>
      </w:r>
      <w:r w:rsidR="00B3462D" w:rsidRPr="00514904">
        <w:rPr>
          <w:rFonts w:eastAsia="Times New Roman"/>
          <w:color w:val="000000" w:themeColor="text1"/>
        </w:rPr>
        <w:t>economic impact to increase</w:t>
      </w:r>
      <w:r w:rsidR="00AF468D" w:rsidRPr="00514904">
        <w:rPr>
          <w:rFonts w:eastAsia="Times New Roman"/>
          <w:color w:val="000000" w:themeColor="text1"/>
        </w:rPr>
        <w:t xml:space="preserve">, but in parallel it </w:t>
      </w:r>
      <w:r w:rsidR="00F37BDE" w:rsidRPr="00514904">
        <w:rPr>
          <w:rFonts w:eastAsia="Times New Roman"/>
          <w:color w:val="000000" w:themeColor="text1"/>
        </w:rPr>
        <w:t>is als</w:t>
      </w:r>
      <w:r w:rsidR="00204075" w:rsidRPr="00514904">
        <w:rPr>
          <w:rFonts w:eastAsia="Times New Roman"/>
          <w:color w:val="000000" w:themeColor="text1"/>
        </w:rPr>
        <w:t>o</w:t>
      </w:r>
      <w:r w:rsidR="00F37BDE" w:rsidRPr="00514904">
        <w:rPr>
          <w:rFonts w:eastAsia="Times New Roman"/>
          <w:color w:val="000000" w:themeColor="text1"/>
        </w:rPr>
        <w:t xml:space="preserve"> expected to bring</w:t>
      </w:r>
      <w:r w:rsidR="00BC630E" w:rsidRPr="00514904" w:rsidDel="003477C8">
        <w:rPr>
          <w:rFonts w:eastAsia="Times New Roman"/>
          <w:color w:val="000000" w:themeColor="text1"/>
        </w:rPr>
        <w:t xml:space="preserve"> </w:t>
      </w:r>
      <w:r w:rsidR="00D50E92" w:rsidRPr="00514904">
        <w:rPr>
          <w:rFonts w:eastAsia="Times New Roman"/>
          <w:color w:val="000000" w:themeColor="text1"/>
        </w:rPr>
        <w:t>new tran</w:t>
      </w:r>
      <w:r w:rsidR="00D2713D" w:rsidRPr="00514904">
        <w:rPr>
          <w:rFonts w:eastAsia="Times New Roman"/>
          <w:color w:val="000000" w:themeColor="text1"/>
        </w:rPr>
        <w:t>s</w:t>
      </w:r>
      <w:r w:rsidR="00D50E92" w:rsidRPr="00514904">
        <w:rPr>
          <w:rFonts w:eastAsia="Times New Roman"/>
          <w:color w:val="000000" w:themeColor="text1"/>
        </w:rPr>
        <w:t>formative</w:t>
      </w:r>
      <w:r w:rsidR="00D50E92">
        <w:rPr>
          <w:rFonts w:eastAsia="Times New Roman"/>
          <w:noProof/>
          <w:color w:val="000000" w:themeColor="text1"/>
        </w:rPr>
        <w:t xml:space="preserve"> products to the market</w:t>
      </w:r>
      <w:r w:rsidR="00BC630E" w:rsidRPr="4E26AC25" w:rsidDel="00D50E92">
        <w:rPr>
          <w:rFonts w:eastAsia="Times New Roman"/>
          <w:noProof/>
          <w:color w:val="000000" w:themeColor="text1"/>
        </w:rPr>
        <w:t>.</w:t>
      </w:r>
      <w:r w:rsidR="00D50E92">
        <w:rPr>
          <w:rFonts w:eastAsia="Times New Roman"/>
          <w:noProof/>
          <w:color w:val="000000" w:themeColor="text1"/>
        </w:rPr>
        <w:t xml:space="preserve"> </w:t>
      </w:r>
    </w:p>
    <w:p w14:paraId="1828AE77" w14:textId="120B9932" w:rsidR="009C2FC0" w:rsidRPr="00337033" w:rsidRDefault="008917AF" w:rsidP="00CD6D61">
      <w:r w:rsidRPr="00893ABD">
        <w:rPr>
          <w:b/>
          <w:bCs/>
        </w:rPr>
        <w:t>Administrative costs on businesses, including SMEs</w:t>
      </w:r>
      <w:r>
        <w:t xml:space="preserve">: </w:t>
      </w:r>
      <w:r w:rsidR="236A2E6D" w:rsidRPr="00337033">
        <w:t xml:space="preserve">Under the current regulatory framework, </w:t>
      </w:r>
      <w:r w:rsidR="5E1FFDEB">
        <w:t>companies</w:t>
      </w:r>
      <w:r w:rsidR="236A2E6D" w:rsidRPr="00337033">
        <w:t xml:space="preserve"> applying for SPCs incur </w:t>
      </w:r>
      <w:r w:rsidR="236A2E6D" w:rsidRPr="018D401F">
        <w:rPr>
          <w:b/>
          <w:bCs/>
        </w:rPr>
        <w:t>administrative costs</w:t>
      </w:r>
      <w:r w:rsidR="236A2E6D" w:rsidRPr="00337033">
        <w:t xml:space="preserve"> associated with preparing and submitting applications, assessing eligibility, and interacting with patent and regulatory authorities. </w:t>
      </w:r>
      <w:r w:rsidR="236A2E6D">
        <w:t>SPC</w:t>
      </w:r>
      <w:r w:rsidR="236A2E6D" w:rsidRPr="00337033">
        <w:t xml:space="preserve"> applications require legal interpretation of patent </w:t>
      </w:r>
      <w:r w:rsidR="00F92FF8">
        <w:t xml:space="preserve">and </w:t>
      </w:r>
      <w:r w:rsidR="236A2E6D" w:rsidRPr="00337033">
        <w:t xml:space="preserve">marketing authorisation </w:t>
      </w:r>
      <w:r w:rsidR="00F92FF8">
        <w:t>scope</w:t>
      </w:r>
      <w:r w:rsidR="236A2E6D" w:rsidRPr="00337033">
        <w:t xml:space="preserve"> </w:t>
      </w:r>
      <w:r w:rsidR="007702A6" w:rsidRPr="007702A6">
        <w:t>and prior use of products protected by the patent and the medicinal product which has been authorised.</w:t>
      </w:r>
      <w:r w:rsidR="1E525160">
        <w:t xml:space="preserve"> They</w:t>
      </w:r>
      <w:r w:rsidR="236A2E6D" w:rsidRPr="00337033">
        <w:t xml:space="preserve"> </w:t>
      </w:r>
      <w:r w:rsidR="29BADB7A">
        <w:t>require</w:t>
      </w:r>
      <w:r w:rsidR="236A2E6D" w:rsidRPr="00337033">
        <w:t xml:space="preserve"> internal legal and regulatory staff time and, in many cases, recourse to external legal advisors.</w:t>
      </w:r>
      <w:r w:rsidR="6D1ED610">
        <w:t xml:space="preserve"> </w:t>
      </w:r>
      <w:r w:rsidR="236A2E6D" w:rsidRPr="00337033">
        <w:t>For SMEs</w:t>
      </w:r>
      <w:r w:rsidR="29BADB7A">
        <w:t>,</w:t>
      </w:r>
      <w:r w:rsidR="236A2E6D">
        <w:t xml:space="preserve"> </w:t>
      </w:r>
      <w:r w:rsidR="236A2E6D" w:rsidRPr="00337033">
        <w:t>SPC-related administrative and advisory costs can weigh more heavily, given their more limited in-house legal and regulatory resources and greater dependence on outsourced expertise</w:t>
      </w:r>
      <w:r w:rsidR="009C2FC0" w:rsidRPr="00337033">
        <w:rPr>
          <w:vertAlign w:val="superscript"/>
        </w:rPr>
        <w:footnoteReference w:id="251"/>
      </w:r>
      <w:r w:rsidR="0091418C">
        <w:t>.</w:t>
      </w:r>
      <w:r w:rsidR="49BBE0DF">
        <w:t xml:space="preserve"> </w:t>
      </w:r>
      <w:r w:rsidR="236A2E6D" w:rsidRPr="00337033">
        <w:t xml:space="preserve">Evidence from the impact assessment of the </w:t>
      </w:r>
      <w:r w:rsidR="236A2E6D">
        <w:t xml:space="preserve">Commission proposals for a </w:t>
      </w:r>
      <w:r w:rsidR="236A2E6D" w:rsidRPr="00337033">
        <w:t>unitary SPC</w:t>
      </w:r>
      <w:r w:rsidR="009C2FC0" w:rsidRPr="00337033">
        <w:rPr>
          <w:vertAlign w:val="superscript"/>
        </w:rPr>
        <w:footnoteReference w:id="252"/>
      </w:r>
      <w:r w:rsidR="236A2E6D" w:rsidRPr="00337033">
        <w:t xml:space="preserve"> </w:t>
      </w:r>
      <w:r w:rsidR="48A371E5">
        <w:t>shows</w:t>
      </w:r>
      <w:r w:rsidR="48A371E5" w:rsidRPr="00337033">
        <w:t xml:space="preserve"> </w:t>
      </w:r>
      <w:r w:rsidR="236A2E6D" w:rsidRPr="00337033">
        <w:t>that overall administrative and advisory costs for filing SPC extensions across multiple Member States typically range between approximately EUR 80</w:t>
      </w:r>
      <w:r w:rsidR="7D5413AD" w:rsidRPr="00337033">
        <w:t>,</w:t>
      </w:r>
      <w:r w:rsidR="236A2E6D" w:rsidRPr="00337033">
        <w:t>000 and EUR 150</w:t>
      </w:r>
      <w:r w:rsidR="7B58420D" w:rsidRPr="00337033">
        <w:t>,</w:t>
      </w:r>
      <w:r w:rsidR="236A2E6D" w:rsidRPr="00337033">
        <w:t>000 per product.</w:t>
      </w:r>
    </w:p>
    <w:p w14:paraId="6BB9DA47" w14:textId="79760F1B" w:rsidR="009C2FC0" w:rsidRDefault="00473F1C" w:rsidP="00CD6D61">
      <w:r w:rsidRPr="00443C31">
        <w:rPr>
          <w:b/>
          <w:bCs/>
        </w:rPr>
        <w:t>Public Authorities:</w:t>
      </w:r>
      <w:r>
        <w:t xml:space="preserve"> </w:t>
      </w:r>
      <w:r w:rsidR="009C2FC0" w:rsidRPr="00893ABD">
        <w:t>The proposed SPC extension does not introduce new standalone administrative procedures beyond those already required for obtaining SPC protection under the baseline framework</w:t>
      </w:r>
      <w:r w:rsidR="009C2FC0">
        <w:t>. Companies</w:t>
      </w:r>
      <w:r w:rsidR="009C2FC0" w:rsidRPr="00893ABD">
        <w:t xml:space="preserve"> seeking to benefit from the </w:t>
      </w:r>
      <w:r w:rsidR="009C2FC0">
        <w:t xml:space="preserve">SPC </w:t>
      </w:r>
      <w:r w:rsidR="009C2FC0" w:rsidRPr="00893ABD">
        <w:t xml:space="preserve">extension would follow the same application process as for a standard SPC, with the addition of </w:t>
      </w:r>
      <w:r w:rsidR="00B20DB8">
        <w:t xml:space="preserve">the </w:t>
      </w:r>
      <w:r w:rsidR="009C2FC0" w:rsidRPr="00893ABD">
        <w:t xml:space="preserve">documentation </w:t>
      </w:r>
      <w:r w:rsidR="009C2FC0">
        <w:t xml:space="preserve">provided by EMA </w:t>
      </w:r>
      <w:r w:rsidR="009C2FC0" w:rsidRPr="00893ABD">
        <w:t xml:space="preserve">demonstrating that the eligibility criteria for the extension are fulfilled. As these elements are largely based on information already </w:t>
      </w:r>
      <w:r w:rsidR="00B20DB8">
        <w:t>provided</w:t>
      </w:r>
      <w:r w:rsidR="009C2FC0" w:rsidRPr="00893ABD">
        <w:t xml:space="preserve"> during the marketing authorisation process and associated regulatory documentation</w:t>
      </w:r>
      <w:r w:rsidR="00380034">
        <w:t xml:space="preserve">, </w:t>
      </w:r>
      <w:r w:rsidR="009C2FC0" w:rsidRPr="00893ABD">
        <w:t xml:space="preserve">the additional administrative effort required from </w:t>
      </w:r>
      <w:r w:rsidR="009C2FC0">
        <w:t>companies</w:t>
      </w:r>
      <w:r w:rsidR="009C2FC0" w:rsidRPr="00893ABD">
        <w:t xml:space="preserve"> is expected to remain </w:t>
      </w:r>
      <w:r w:rsidR="009C2FC0">
        <w:t>negligible</w:t>
      </w:r>
      <w:r w:rsidR="008444D3">
        <w:t>. There</w:t>
      </w:r>
      <w:r w:rsidR="00930429">
        <w:t xml:space="preserve">fore, overall costs would </w:t>
      </w:r>
      <w:r w:rsidR="009C2FC0">
        <w:t xml:space="preserve">remain </w:t>
      </w:r>
      <w:r w:rsidR="00CA4434">
        <w:t>between</w:t>
      </w:r>
      <w:r w:rsidR="009C2FC0">
        <w:t xml:space="preserve"> </w:t>
      </w:r>
      <w:r w:rsidR="009C2FC0" w:rsidRPr="00893ABD">
        <w:t>EUR 80</w:t>
      </w:r>
      <w:r w:rsidR="7C4D3438">
        <w:t>,</w:t>
      </w:r>
      <w:r w:rsidR="009C2FC0" w:rsidRPr="00893ABD">
        <w:t>000</w:t>
      </w:r>
      <w:r w:rsidR="00AB7868">
        <w:t xml:space="preserve"> </w:t>
      </w:r>
      <w:r w:rsidR="00CA4434">
        <w:t>and</w:t>
      </w:r>
      <w:r w:rsidR="00AB7868">
        <w:t xml:space="preserve"> </w:t>
      </w:r>
      <w:r w:rsidR="009C2FC0" w:rsidRPr="00893ABD">
        <w:t>150</w:t>
      </w:r>
      <w:r w:rsidR="7956D8B2">
        <w:t>,</w:t>
      </w:r>
      <w:r w:rsidR="009C2FC0" w:rsidRPr="00893ABD">
        <w:t>000 per product.</w:t>
      </w:r>
    </w:p>
    <w:p w14:paraId="350D0358" w14:textId="3E7FCBE9" w:rsidR="003E7541" w:rsidRPr="00D92C97" w:rsidRDefault="236A2E6D" w:rsidP="00CD6D61">
      <w:r>
        <w:t>The SPC system is subject to</w:t>
      </w:r>
      <w:r w:rsidRPr="00893ABD">
        <w:rPr>
          <w:rStyle w:val="Strong"/>
        </w:rPr>
        <w:t xml:space="preserve"> disputes over eligibility, duration and scope</w:t>
      </w:r>
      <w:r w:rsidRPr="00893ABD">
        <w:t xml:space="preserve">, which generate administrative and legal costs for </w:t>
      </w:r>
      <w:r>
        <w:t xml:space="preserve">companies, </w:t>
      </w:r>
      <w:r w:rsidRPr="00893ABD">
        <w:t>public authorities and courts</w:t>
      </w:r>
      <w:r w:rsidR="00AD37BD">
        <w:rPr>
          <w:rStyle w:val="FootnoteReference"/>
        </w:rPr>
        <w:footnoteReference w:id="253"/>
      </w:r>
      <w:r w:rsidRPr="00893ABD">
        <w:t>.</w:t>
      </w:r>
      <w:r>
        <w:t xml:space="preserve"> </w:t>
      </w:r>
    </w:p>
    <w:p w14:paraId="10085458" w14:textId="691D5B31" w:rsidR="003E7541" w:rsidRPr="00D92C97" w:rsidRDefault="003E7541" w:rsidP="00CD6D61">
      <w:r w:rsidRPr="00D92C97">
        <w:t xml:space="preserve">The proposed SPC extension, by introducing novel eligibility criteria, especially in the early years of application might </w:t>
      </w:r>
      <w:r w:rsidR="005B3AF5">
        <w:t xml:space="preserve">also </w:t>
      </w:r>
      <w:r w:rsidRPr="00D92C97">
        <w:t xml:space="preserve">entail </w:t>
      </w:r>
      <w:r w:rsidR="0018005C">
        <w:t>the same</w:t>
      </w:r>
      <w:r w:rsidRPr="00D92C97">
        <w:t xml:space="preserve"> litigation risk</w:t>
      </w:r>
      <w:r w:rsidR="0018005C">
        <w:t>s</w:t>
      </w:r>
      <w:r w:rsidRPr="00D92C97">
        <w:t xml:space="preserve"> </w:t>
      </w:r>
      <w:r w:rsidR="00335AC3" w:rsidRPr="00335AC3">
        <w:t>which currently characterise the existing legal framework</w:t>
      </w:r>
      <w:r w:rsidRPr="00D92C97">
        <w:t xml:space="preserve"> with increased risk of administrative costs and burdens.</w:t>
      </w:r>
      <w:r w:rsidR="00371ECE" w:rsidRPr="00371ECE">
        <w:t xml:space="preserve"> This is because the generics manufacturers are well placed to contest any form of SPC extension. In addition, the Court of Justice interprets the conditions for grant narrowly as it considers that all the interests at stake, including those of public health, in a sector as complex and sensitive as the pharmaceutical sector should be </w:t>
      </w:r>
      <w:r w:rsidR="00374CEB" w:rsidRPr="00371ECE">
        <w:t>considered</w:t>
      </w:r>
      <w:r w:rsidR="00371ECE" w:rsidRPr="00371ECE">
        <w:t xml:space="preserve">.  </w:t>
      </w:r>
    </w:p>
    <w:p w14:paraId="7F70AA1D" w14:textId="0271955C" w:rsidR="00D03404" w:rsidRPr="00443C31" w:rsidRDefault="00D03404" w:rsidP="00CD6D61">
      <w:pPr>
        <w:rPr>
          <w:u w:val="single"/>
        </w:rPr>
      </w:pPr>
      <w:r w:rsidRPr="00443C31">
        <w:rPr>
          <w:u w:val="single"/>
        </w:rPr>
        <w:t>Conclusions</w:t>
      </w:r>
    </w:p>
    <w:p w14:paraId="3EA76D11" w14:textId="210D2D37" w:rsidR="001B08A8" w:rsidRDefault="001B08A8" w:rsidP="00CD6D61">
      <w:r w:rsidRPr="00676417">
        <w:t xml:space="preserve">Providing an additional year of protection for innovative biotech medicines </w:t>
      </w:r>
      <w:r w:rsidR="00BE412C" w:rsidRPr="00BE412C">
        <w:t xml:space="preserve">rewards the </w:t>
      </w:r>
      <w:r w:rsidR="00BE412C" w:rsidRPr="00443C31">
        <w:rPr>
          <w:b/>
          <w:bCs/>
        </w:rPr>
        <w:t>delivery of transformative treatments</w:t>
      </w:r>
      <w:r w:rsidR="00BE412C" w:rsidRPr="00BE412C">
        <w:t xml:space="preserve"> for high-burden conditions, </w:t>
      </w:r>
      <w:r w:rsidR="00BE412C">
        <w:t>ranging from</w:t>
      </w:r>
      <w:r w:rsidR="00BE412C" w:rsidRPr="00BE412C">
        <w:t xml:space="preserve"> oncology </w:t>
      </w:r>
      <w:r w:rsidR="00BE412C">
        <w:t>to metabolic and</w:t>
      </w:r>
      <w:r w:rsidR="00BE412C" w:rsidRPr="00BE412C">
        <w:t xml:space="preserve"> neurological disorders</w:t>
      </w:r>
      <w:r w:rsidRPr="00676417">
        <w:t xml:space="preserve">, </w:t>
      </w:r>
      <w:r w:rsidR="00680B0C">
        <w:t>while</w:t>
      </w:r>
      <w:r w:rsidRPr="00676417">
        <w:t xml:space="preserve"> sending an important </w:t>
      </w:r>
      <w:r w:rsidRPr="4E26AC25">
        <w:rPr>
          <w:b/>
          <w:bCs/>
        </w:rPr>
        <w:t>signal to companies</w:t>
      </w:r>
      <w:r w:rsidRPr="00676417">
        <w:t xml:space="preserve"> regarding investment priorities. The geographical conditions ensure that this additional incentive also favours investment in the EU and helps strengthen the EU’s health biotech sector, which is crucial </w:t>
      </w:r>
      <w:r w:rsidR="00342CAE">
        <w:t>both</w:t>
      </w:r>
      <w:r w:rsidRPr="00676417">
        <w:t xml:space="preserve"> for </w:t>
      </w:r>
      <w:r w:rsidR="001C3EF6">
        <w:t xml:space="preserve">European </w:t>
      </w:r>
      <w:r w:rsidRPr="00676417">
        <w:t xml:space="preserve">patients and for the competitiveness of one of Europe’s </w:t>
      </w:r>
      <w:r w:rsidR="007233B6">
        <w:t>most valuable</w:t>
      </w:r>
      <w:r w:rsidRPr="00676417">
        <w:t xml:space="preserve"> industries.</w:t>
      </w:r>
    </w:p>
    <w:p w14:paraId="18C7E2FC" w14:textId="118C60A3" w:rsidR="00824671" w:rsidRPr="00960345" w:rsidRDefault="00824671" w:rsidP="00824671">
      <w:pPr>
        <w:spacing w:after="160" w:line="259" w:lineRule="auto"/>
        <w:rPr>
          <w:bCs/>
          <w:lang w:val="en-IE"/>
        </w:rPr>
      </w:pPr>
      <w:bookmarkStart w:id="241" w:name="_Toc221617234"/>
      <w:r w:rsidRPr="00960345">
        <w:rPr>
          <w:b/>
          <w:bCs/>
          <w:lang w:val="en-IE"/>
        </w:rPr>
        <w:t xml:space="preserve">Table </w:t>
      </w:r>
      <w:r w:rsidR="003539A8">
        <w:rPr>
          <w:b/>
          <w:bCs/>
          <w:lang w:val="en-IE"/>
        </w:rPr>
        <w:t>1</w:t>
      </w:r>
      <w:r w:rsidR="00F37494">
        <w:rPr>
          <w:b/>
          <w:bCs/>
          <w:lang w:val="en-IE"/>
        </w:rPr>
        <w:t>4</w:t>
      </w:r>
      <w:r w:rsidRPr="00960345">
        <w:rPr>
          <w:b/>
          <w:bCs/>
          <w:lang w:val="en-IE"/>
        </w:rPr>
        <w:t>. Summary assessment of the effects due to the policy measure</w:t>
      </w:r>
      <w:bookmarkEnd w:id="241"/>
    </w:p>
    <w:tbl>
      <w:tblPr>
        <w:tblStyle w:val="TableGrid"/>
        <w:tblW w:w="0" w:type="auto"/>
        <w:tblLook w:val="04A0" w:firstRow="1" w:lastRow="0" w:firstColumn="1" w:lastColumn="0" w:noHBand="0" w:noVBand="1"/>
      </w:tblPr>
      <w:tblGrid>
        <w:gridCol w:w="1261"/>
        <w:gridCol w:w="1194"/>
        <w:gridCol w:w="1076"/>
        <w:gridCol w:w="1078"/>
        <w:gridCol w:w="925"/>
        <w:gridCol w:w="1066"/>
        <w:gridCol w:w="1079"/>
        <w:gridCol w:w="929"/>
      </w:tblGrid>
      <w:tr w:rsidR="00824671" w:rsidRPr="00F37494" w14:paraId="3E51782C" w14:textId="77777777" w:rsidTr="0003093B">
        <w:tc>
          <w:tcPr>
            <w:tcW w:w="1172" w:type="dxa"/>
          </w:tcPr>
          <w:p w14:paraId="475B8CD4" w14:textId="77777777" w:rsidR="00824671" w:rsidRPr="00443C31" w:rsidRDefault="00824671">
            <w:pPr>
              <w:rPr>
                <w:sz w:val="20"/>
                <w:szCs w:val="20"/>
              </w:rPr>
            </w:pPr>
            <w:r w:rsidRPr="00443C31">
              <w:rPr>
                <w:sz w:val="20"/>
                <w:szCs w:val="20"/>
              </w:rPr>
              <w:t>Policy interventions</w:t>
            </w:r>
          </w:p>
        </w:tc>
        <w:tc>
          <w:tcPr>
            <w:tcW w:w="1210" w:type="dxa"/>
          </w:tcPr>
          <w:p w14:paraId="1E366C19" w14:textId="77777777" w:rsidR="00824671" w:rsidRPr="00443C31" w:rsidRDefault="00824671">
            <w:pPr>
              <w:rPr>
                <w:sz w:val="20"/>
                <w:szCs w:val="20"/>
              </w:rPr>
            </w:pPr>
            <w:r w:rsidRPr="00443C31">
              <w:rPr>
                <w:sz w:val="20"/>
                <w:szCs w:val="20"/>
              </w:rPr>
              <w:t>COB</w:t>
            </w:r>
          </w:p>
        </w:tc>
        <w:tc>
          <w:tcPr>
            <w:tcW w:w="1085" w:type="dxa"/>
          </w:tcPr>
          <w:p w14:paraId="28DDAEB6" w14:textId="77777777" w:rsidR="00824671" w:rsidRPr="00443C31" w:rsidRDefault="00824671">
            <w:pPr>
              <w:rPr>
                <w:sz w:val="20"/>
                <w:szCs w:val="20"/>
              </w:rPr>
            </w:pPr>
            <w:r w:rsidRPr="00443C31">
              <w:rPr>
                <w:sz w:val="20"/>
                <w:szCs w:val="20"/>
              </w:rPr>
              <w:t>Admin</w:t>
            </w:r>
          </w:p>
        </w:tc>
        <w:tc>
          <w:tcPr>
            <w:tcW w:w="1093" w:type="dxa"/>
          </w:tcPr>
          <w:p w14:paraId="5B84355C" w14:textId="77777777" w:rsidR="00824671" w:rsidRPr="00443C31" w:rsidRDefault="00824671">
            <w:pPr>
              <w:rPr>
                <w:sz w:val="20"/>
                <w:szCs w:val="20"/>
              </w:rPr>
            </w:pPr>
            <w:r w:rsidRPr="00443C31">
              <w:rPr>
                <w:sz w:val="20"/>
                <w:szCs w:val="20"/>
              </w:rPr>
              <w:t>CTI</w:t>
            </w:r>
          </w:p>
        </w:tc>
        <w:tc>
          <w:tcPr>
            <w:tcW w:w="935" w:type="dxa"/>
          </w:tcPr>
          <w:p w14:paraId="7A0001EE" w14:textId="77777777" w:rsidR="00824671" w:rsidRPr="00443C31" w:rsidRDefault="00824671">
            <w:pPr>
              <w:rPr>
                <w:sz w:val="20"/>
                <w:szCs w:val="20"/>
              </w:rPr>
            </w:pPr>
            <w:r w:rsidRPr="00443C31">
              <w:rPr>
                <w:sz w:val="20"/>
                <w:szCs w:val="20"/>
              </w:rPr>
              <w:t>Int Mar</w:t>
            </w:r>
          </w:p>
        </w:tc>
        <w:tc>
          <w:tcPr>
            <w:tcW w:w="1080" w:type="dxa"/>
          </w:tcPr>
          <w:p w14:paraId="6D56FCCC" w14:textId="77777777" w:rsidR="00824671" w:rsidRPr="00443C31" w:rsidRDefault="00824671">
            <w:pPr>
              <w:rPr>
                <w:sz w:val="20"/>
                <w:szCs w:val="20"/>
                <w:lang w:val="en-US"/>
              </w:rPr>
            </w:pPr>
            <w:r w:rsidRPr="00443C31">
              <w:rPr>
                <w:sz w:val="20"/>
                <w:szCs w:val="20"/>
              </w:rPr>
              <w:t>I</w:t>
            </w:r>
            <w:r w:rsidRPr="00443C31">
              <w:rPr>
                <w:sz w:val="20"/>
                <w:szCs w:val="20"/>
                <w:lang w:val="en-US"/>
              </w:rPr>
              <w:t>&amp;R</w:t>
            </w:r>
          </w:p>
        </w:tc>
        <w:tc>
          <w:tcPr>
            <w:tcW w:w="1096" w:type="dxa"/>
          </w:tcPr>
          <w:p w14:paraId="3D2D0955" w14:textId="77777777" w:rsidR="00824671" w:rsidRPr="00443C31" w:rsidRDefault="00824671">
            <w:pPr>
              <w:rPr>
                <w:sz w:val="20"/>
                <w:szCs w:val="20"/>
              </w:rPr>
            </w:pPr>
            <w:r w:rsidRPr="00443C31">
              <w:rPr>
                <w:sz w:val="20"/>
                <w:szCs w:val="20"/>
              </w:rPr>
              <w:t>PA</w:t>
            </w:r>
          </w:p>
        </w:tc>
        <w:tc>
          <w:tcPr>
            <w:tcW w:w="937" w:type="dxa"/>
          </w:tcPr>
          <w:p w14:paraId="03CBD906" w14:textId="77777777" w:rsidR="00824671" w:rsidRPr="00443C31" w:rsidRDefault="00824671">
            <w:pPr>
              <w:rPr>
                <w:sz w:val="20"/>
                <w:szCs w:val="20"/>
              </w:rPr>
            </w:pPr>
            <w:r w:rsidRPr="00443C31">
              <w:rPr>
                <w:sz w:val="20"/>
                <w:szCs w:val="20"/>
              </w:rPr>
              <w:t>H&amp;S</w:t>
            </w:r>
          </w:p>
        </w:tc>
      </w:tr>
      <w:tr w:rsidR="00824671" w:rsidRPr="00F37494" w14:paraId="35D67066" w14:textId="77777777" w:rsidTr="0003093B">
        <w:tc>
          <w:tcPr>
            <w:tcW w:w="1172" w:type="dxa"/>
          </w:tcPr>
          <w:p w14:paraId="567C0447" w14:textId="1198C4F3" w:rsidR="00824671" w:rsidRPr="00443C31" w:rsidRDefault="0011007B">
            <w:pPr>
              <w:rPr>
                <w:sz w:val="20"/>
                <w:szCs w:val="20"/>
              </w:rPr>
            </w:pPr>
            <w:r w:rsidRPr="00443C31">
              <w:rPr>
                <w:sz w:val="20"/>
                <w:szCs w:val="20"/>
              </w:rPr>
              <w:t>SPC exten</w:t>
            </w:r>
            <w:r w:rsidR="005023B5" w:rsidRPr="00443C31">
              <w:rPr>
                <w:sz w:val="20"/>
                <w:szCs w:val="20"/>
              </w:rPr>
              <w:t>s</w:t>
            </w:r>
            <w:r w:rsidRPr="00443C31">
              <w:rPr>
                <w:sz w:val="20"/>
                <w:szCs w:val="20"/>
              </w:rPr>
              <w:t>ion</w:t>
            </w:r>
          </w:p>
        </w:tc>
        <w:tc>
          <w:tcPr>
            <w:tcW w:w="1210" w:type="dxa"/>
          </w:tcPr>
          <w:p w14:paraId="6EBCFEE4" w14:textId="77777777" w:rsidR="00824671" w:rsidRPr="00443C31" w:rsidRDefault="00824671">
            <w:pPr>
              <w:rPr>
                <w:sz w:val="20"/>
                <w:szCs w:val="20"/>
              </w:rPr>
            </w:pPr>
            <w:r w:rsidRPr="00443C31">
              <w:rPr>
                <w:sz w:val="20"/>
                <w:szCs w:val="20"/>
              </w:rPr>
              <w:t>++</w:t>
            </w:r>
          </w:p>
        </w:tc>
        <w:tc>
          <w:tcPr>
            <w:tcW w:w="1085" w:type="dxa"/>
          </w:tcPr>
          <w:p w14:paraId="638B6EA2" w14:textId="77777777" w:rsidR="00824671" w:rsidRPr="00443C31" w:rsidRDefault="00824671">
            <w:pPr>
              <w:rPr>
                <w:sz w:val="20"/>
                <w:szCs w:val="20"/>
              </w:rPr>
            </w:pPr>
            <w:r w:rsidRPr="00443C31">
              <w:rPr>
                <w:sz w:val="20"/>
                <w:szCs w:val="20"/>
              </w:rPr>
              <w:t>0/-</w:t>
            </w:r>
          </w:p>
        </w:tc>
        <w:tc>
          <w:tcPr>
            <w:tcW w:w="1093" w:type="dxa"/>
          </w:tcPr>
          <w:p w14:paraId="772015CA" w14:textId="77777777" w:rsidR="00824671" w:rsidRPr="00443C31" w:rsidRDefault="00824671">
            <w:pPr>
              <w:rPr>
                <w:sz w:val="20"/>
                <w:szCs w:val="20"/>
              </w:rPr>
            </w:pPr>
            <w:r w:rsidRPr="00443C31">
              <w:rPr>
                <w:sz w:val="20"/>
                <w:szCs w:val="20"/>
              </w:rPr>
              <w:t>+</w:t>
            </w:r>
          </w:p>
        </w:tc>
        <w:tc>
          <w:tcPr>
            <w:tcW w:w="935" w:type="dxa"/>
          </w:tcPr>
          <w:p w14:paraId="24F0D787" w14:textId="77777777" w:rsidR="00824671" w:rsidRPr="00443C31" w:rsidRDefault="00824671">
            <w:pPr>
              <w:rPr>
                <w:sz w:val="20"/>
                <w:szCs w:val="20"/>
              </w:rPr>
            </w:pPr>
            <w:r w:rsidRPr="00443C31">
              <w:rPr>
                <w:sz w:val="20"/>
                <w:szCs w:val="20"/>
              </w:rPr>
              <w:t>-</w:t>
            </w:r>
          </w:p>
        </w:tc>
        <w:tc>
          <w:tcPr>
            <w:tcW w:w="1080" w:type="dxa"/>
          </w:tcPr>
          <w:p w14:paraId="4689144F" w14:textId="77777777" w:rsidR="00824671" w:rsidRPr="00443C31" w:rsidRDefault="00824671">
            <w:pPr>
              <w:rPr>
                <w:sz w:val="20"/>
                <w:szCs w:val="20"/>
              </w:rPr>
            </w:pPr>
            <w:r w:rsidRPr="00443C31">
              <w:rPr>
                <w:sz w:val="20"/>
                <w:szCs w:val="20"/>
              </w:rPr>
              <w:t>+</w:t>
            </w:r>
          </w:p>
        </w:tc>
        <w:tc>
          <w:tcPr>
            <w:tcW w:w="1096" w:type="dxa"/>
          </w:tcPr>
          <w:p w14:paraId="13DCF25E" w14:textId="77777777" w:rsidR="00824671" w:rsidRPr="00443C31" w:rsidRDefault="00824671">
            <w:pPr>
              <w:rPr>
                <w:sz w:val="20"/>
                <w:szCs w:val="20"/>
              </w:rPr>
            </w:pPr>
            <w:r w:rsidRPr="00443C31">
              <w:rPr>
                <w:sz w:val="20"/>
                <w:szCs w:val="20"/>
              </w:rPr>
              <w:t>0</w:t>
            </w:r>
          </w:p>
        </w:tc>
        <w:tc>
          <w:tcPr>
            <w:tcW w:w="937" w:type="dxa"/>
          </w:tcPr>
          <w:p w14:paraId="1E4AC78F" w14:textId="77777777" w:rsidR="00824671" w:rsidRPr="00443C31" w:rsidRDefault="00824671">
            <w:pPr>
              <w:rPr>
                <w:sz w:val="20"/>
                <w:szCs w:val="20"/>
              </w:rPr>
            </w:pPr>
            <w:r w:rsidRPr="00443C31">
              <w:rPr>
                <w:sz w:val="20"/>
                <w:szCs w:val="20"/>
              </w:rPr>
              <w:t>-</w:t>
            </w:r>
          </w:p>
        </w:tc>
      </w:tr>
    </w:tbl>
    <w:p w14:paraId="2C11663F" w14:textId="77777777" w:rsidR="00824671" w:rsidRDefault="00824671" w:rsidP="00CD6D61"/>
    <w:p w14:paraId="1A05EFF2" w14:textId="76913A47" w:rsidR="000F3479" w:rsidRPr="00DD0CE5" w:rsidRDefault="000F3479" w:rsidP="00574D27">
      <w:pPr>
        <w:pStyle w:val="Heading3"/>
        <w:rPr>
          <w:color w:val="000000" w:themeColor="text1"/>
          <w:u w:val="single"/>
          <w:lang w:eastAsia="en-GB"/>
        </w:rPr>
      </w:pPr>
      <w:bookmarkStart w:id="242" w:name="_Toc224747233"/>
      <w:bookmarkStart w:id="243" w:name="_Toc224749703"/>
      <w:bookmarkStart w:id="244" w:name="_Toc225974581"/>
      <w:bookmarkStart w:id="245" w:name="_Toc225975254"/>
      <w:bookmarkStart w:id="246" w:name="_Toc225975311"/>
      <w:r w:rsidRPr="00DD0CE5">
        <w:t>Intervention n°14: Facilitating Access to Funding</w:t>
      </w:r>
      <w:bookmarkEnd w:id="242"/>
      <w:bookmarkEnd w:id="243"/>
      <w:bookmarkEnd w:id="244"/>
      <w:bookmarkEnd w:id="245"/>
      <w:bookmarkEnd w:id="246"/>
    </w:p>
    <w:p w14:paraId="4A9215BB" w14:textId="27C997D9" w:rsidR="00C77E01" w:rsidRPr="00DD0CE5" w:rsidRDefault="00C77E01" w:rsidP="00C77E01">
      <w:pPr>
        <w:rPr>
          <w:noProof/>
        </w:rPr>
      </w:pPr>
      <w:r w:rsidRPr="00DD0CE5">
        <w:rPr>
          <w:noProof/>
        </w:rPr>
        <w:t xml:space="preserve">The </w:t>
      </w:r>
      <w:r w:rsidR="001E1692">
        <w:rPr>
          <w:noProof/>
        </w:rPr>
        <w:t xml:space="preserve">proposed </w:t>
      </w:r>
      <w:r w:rsidR="00DA3DF4">
        <w:rPr>
          <w:noProof/>
        </w:rPr>
        <w:t xml:space="preserve">Regulation </w:t>
      </w:r>
      <w:r w:rsidRPr="00DD0CE5">
        <w:rPr>
          <w:noProof/>
        </w:rPr>
        <w:t xml:space="preserve">establishes an </w:t>
      </w:r>
      <w:r w:rsidRPr="00DD0CE5">
        <w:rPr>
          <w:b/>
          <w:bCs/>
          <w:noProof/>
        </w:rPr>
        <w:t xml:space="preserve">EU </w:t>
      </w:r>
      <w:r w:rsidR="00DA3DF4">
        <w:rPr>
          <w:b/>
          <w:bCs/>
          <w:noProof/>
        </w:rPr>
        <w:t>H</w:t>
      </w:r>
      <w:r w:rsidR="000F3479" w:rsidRPr="00DD0CE5">
        <w:rPr>
          <w:b/>
          <w:bCs/>
          <w:noProof/>
        </w:rPr>
        <w:t xml:space="preserve">ealth </w:t>
      </w:r>
      <w:r w:rsidR="00DA3DF4">
        <w:rPr>
          <w:b/>
          <w:bCs/>
          <w:noProof/>
        </w:rPr>
        <w:t>B</w:t>
      </w:r>
      <w:r w:rsidR="000F3479" w:rsidRPr="00DD0CE5">
        <w:rPr>
          <w:b/>
          <w:bCs/>
          <w:noProof/>
        </w:rPr>
        <w:t xml:space="preserve">iotechnology </w:t>
      </w:r>
      <w:r w:rsidR="00DA3DF4">
        <w:rPr>
          <w:b/>
          <w:bCs/>
          <w:noProof/>
        </w:rPr>
        <w:t>I</w:t>
      </w:r>
      <w:r w:rsidR="000F3479" w:rsidRPr="00DD0CE5">
        <w:rPr>
          <w:b/>
          <w:bCs/>
          <w:noProof/>
        </w:rPr>
        <w:t xml:space="preserve">nvestment </w:t>
      </w:r>
      <w:r w:rsidR="00DA3DF4">
        <w:rPr>
          <w:b/>
          <w:bCs/>
          <w:noProof/>
        </w:rPr>
        <w:t>P</w:t>
      </w:r>
      <w:r w:rsidRPr="00DD0CE5">
        <w:rPr>
          <w:b/>
          <w:bCs/>
          <w:noProof/>
        </w:rPr>
        <w:t>ilot</w:t>
      </w:r>
      <w:r w:rsidRPr="00DD0CE5">
        <w:rPr>
          <w:noProof/>
        </w:rPr>
        <w:t xml:space="preserve"> in order to mobilise substantial private investment into the sector</w:t>
      </w:r>
      <w:r>
        <w:rPr>
          <w:noProof/>
        </w:rPr>
        <w:t>. This is a</w:t>
      </w:r>
      <w:r w:rsidRPr="00DD0CE5">
        <w:rPr>
          <w:noProof/>
        </w:rPr>
        <w:t xml:space="preserve"> partnership with the European Investment Bank </w:t>
      </w:r>
      <w:r w:rsidRPr="6EDF2CCC">
        <w:rPr>
          <w:noProof/>
        </w:rPr>
        <w:t>and European Investment Funds (together the “</w:t>
      </w:r>
      <w:r w:rsidRPr="0BDE8248">
        <w:rPr>
          <w:noProof/>
        </w:rPr>
        <w:t>EIB</w:t>
      </w:r>
      <w:r w:rsidRPr="2E678860">
        <w:rPr>
          <w:noProof/>
        </w:rPr>
        <w:t xml:space="preserve"> </w:t>
      </w:r>
      <w:r w:rsidRPr="00DD0CE5">
        <w:rPr>
          <w:noProof/>
        </w:rPr>
        <w:t>Group</w:t>
      </w:r>
      <w:r w:rsidRPr="6EDF2CCC">
        <w:rPr>
          <w:noProof/>
        </w:rPr>
        <w:t>”)</w:t>
      </w:r>
      <w:r w:rsidRPr="00DD0CE5">
        <w:rPr>
          <w:noProof/>
        </w:rPr>
        <w:t xml:space="preserve"> and other implementing partners, </w:t>
      </w:r>
      <w:r w:rsidRPr="7673601B">
        <w:rPr>
          <w:noProof/>
        </w:rPr>
        <w:t>bringing</w:t>
      </w:r>
      <w:r w:rsidRPr="00DD0CE5">
        <w:rPr>
          <w:noProof/>
        </w:rPr>
        <w:t xml:space="preserve"> together equity instruments and venture-style debt tailored to biotechnology-specific risk profiles. </w:t>
      </w:r>
      <w:r>
        <w:rPr>
          <w:noProof/>
        </w:rPr>
        <w:t>In synergy with existing EU investment initiatives, t</w:t>
      </w:r>
      <w:r w:rsidRPr="00DD0CE5">
        <w:rPr>
          <w:noProof/>
        </w:rPr>
        <w:t>he Pilot would support the full lifecycle of health biotechnology companies and projects.</w:t>
      </w:r>
      <w:r>
        <w:rPr>
          <w:noProof/>
        </w:rPr>
        <w:t xml:space="preserve"> As early as 2026 and 2027, the EIB Group will aim to mobilise EUR 10 billion of total investment into the sector through the BioTechEU initiative.</w:t>
      </w:r>
      <w:r w:rsidDel="00C859D5">
        <w:rPr>
          <w:noProof/>
        </w:rPr>
        <w:t xml:space="preserve"> </w:t>
      </w:r>
    </w:p>
    <w:p w14:paraId="615877B4" w14:textId="77777777" w:rsidR="00C77E01" w:rsidRPr="00DD0CE5" w:rsidRDefault="00C77E01" w:rsidP="00C77E01">
      <w:r w:rsidRPr="6EDF2CCC">
        <w:rPr>
          <w:noProof/>
        </w:rPr>
        <w:t xml:space="preserve">Projects that contribute to an </w:t>
      </w:r>
      <w:r w:rsidRPr="6EDF2CCC">
        <w:rPr>
          <w:b/>
          <w:bCs/>
          <w:noProof/>
        </w:rPr>
        <w:t>EU late-stage Capital Booster Pilot</w:t>
      </w:r>
      <w:r w:rsidRPr="6EDF2CCC">
        <w:rPr>
          <w:noProof/>
        </w:rPr>
        <w:t xml:space="preserve"> will be recognised by the Commission as high-impact health biotechnology strategic projects. These projects are expected to strengthen cross-border investment, mobilise long-term and institutional capital, improve investor access and issuer visibility, and enhance biotechnology-specific investment expertise. </w:t>
      </w:r>
    </w:p>
    <w:p w14:paraId="19F52D41" w14:textId="77777777" w:rsidR="00C77E01" w:rsidRPr="00DD0CE5" w:rsidRDefault="00C77E01" w:rsidP="00C77E01">
      <w:pPr>
        <w:rPr>
          <w:noProof/>
          <w:lang w:eastAsia="en-GB"/>
        </w:rPr>
      </w:pPr>
      <w:r w:rsidRPr="00DD0CE5">
        <w:rPr>
          <w:noProof/>
          <w:lang w:eastAsia="en-GB"/>
        </w:rPr>
        <w:t>More broadly, health biotechnology is recognised as a strategic technology eligible for Union and national financial support</w:t>
      </w:r>
      <w:r w:rsidRPr="43E0CBA7">
        <w:rPr>
          <w:noProof/>
          <w:lang w:eastAsia="en-GB"/>
        </w:rPr>
        <w:t xml:space="preserve"> in line with applicable rules, including State aid rules</w:t>
      </w:r>
      <w:r w:rsidRPr="00DD0CE5">
        <w:rPr>
          <w:noProof/>
          <w:lang w:eastAsia="en-GB"/>
        </w:rPr>
        <w:t>. High-impact health biotechnology strategic projects may receive particular consideration under relevant Union programmes and may combine Union funding with financing from the EIB Group, national promotional banks and private investors, in line with applicable rules</w:t>
      </w:r>
      <w:r>
        <w:rPr>
          <w:rStyle w:val="FootnoteReference"/>
          <w:rFonts w:eastAsia="Times New Roman"/>
          <w:noProof/>
          <w:color w:val="000000" w:themeColor="text1"/>
          <w:lang w:eastAsia="en-GB"/>
        </w:rPr>
        <w:footnoteReference w:id="254"/>
      </w:r>
      <w:r w:rsidRPr="00DD0CE5">
        <w:rPr>
          <w:noProof/>
          <w:lang w:eastAsia="en-GB"/>
        </w:rPr>
        <w:t>. These measures aim to address structural financing gaps, particularly at late development stages, and to crowd in private capital.</w:t>
      </w:r>
    </w:p>
    <w:p w14:paraId="6DD5C990" w14:textId="77777777" w:rsidR="00C77E01" w:rsidRPr="00115ECA" w:rsidRDefault="00C77E01" w:rsidP="00C77E01">
      <w:pPr>
        <w:rPr>
          <w:noProof/>
          <w:u w:val="single"/>
          <w:lang w:val="en-IE"/>
        </w:rPr>
      </w:pPr>
      <w:r w:rsidRPr="00115ECA">
        <w:rPr>
          <w:noProof/>
          <w:u w:val="single"/>
          <w:lang w:val="en-IE"/>
        </w:rPr>
        <w:t>Expected impacts</w:t>
      </w:r>
      <w:r>
        <w:rPr>
          <w:noProof/>
          <w:u w:val="single"/>
          <w:lang w:val="en-IE"/>
        </w:rPr>
        <w:t>:</w:t>
      </w:r>
    </w:p>
    <w:p w14:paraId="3DA286EF" w14:textId="76799CBA" w:rsidR="00C77E01" w:rsidRPr="001B6075" w:rsidRDefault="00C77E01" w:rsidP="00C77E01">
      <w:pPr>
        <w:rPr>
          <w:lang w:val="en-IE"/>
        </w:rPr>
      </w:pPr>
      <w:r w:rsidRPr="001B6075">
        <w:rPr>
          <w:lang w:val="en-IE"/>
        </w:rPr>
        <w:t xml:space="preserve">Over the last 10 years, </w:t>
      </w:r>
      <w:r w:rsidR="00614158">
        <w:rPr>
          <w:lang w:val="en-IE"/>
        </w:rPr>
        <w:t>h</w:t>
      </w:r>
      <w:r w:rsidRPr="001B6075">
        <w:rPr>
          <w:lang w:val="en-IE"/>
        </w:rPr>
        <w:t xml:space="preserve">ealth biotechnology </w:t>
      </w:r>
      <w:r>
        <w:rPr>
          <w:lang w:val="en-IE"/>
        </w:rPr>
        <w:t>was</w:t>
      </w:r>
      <w:r w:rsidRPr="001B6075">
        <w:rPr>
          <w:lang w:val="en-IE"/>
        </w:rPr>
        <w:t xml:space="preserve"> a strategic financing priority for the EIB Group, underpinned by close cooperation with the European Commission through EU budgetary</w:t>
      </w:r>
      <w:r w:rsidRPr="6EDF2CCC">
        <w:rPr>
          <w:lang w:val="en-IE"/>
        </w:rPr>
        <w:t xml:space="preserve"> resources</w:t>
      </w:r>
      <w:r>
        <w:rPr>
          <w:rStyle w:val="FootnoteReference"/>
          <w:lang w:val="en-IE"/>
        </w:rPr>
        <w:footnoteReference w:id="255"/>
      </w:r>
      <w:r w:rsidRPr="001B6075">
        <w:rPr>
          <w:lang w:val="en-IE"/>
        </w:rPr>
        <w:t xml:space="preserve"> and complementary EIB Group </w:t>
      </w:r>
      <w:r>
        <w:rPr>
          <w:lang w:val="en-IE"/>
        </w:rPr>
        <w:t xml:space="preserve">own </w:t>
      </w:r>
      <w:r w:rsidRPr="001B6075">
        <w:rPr>
          <w:lang w:val="en-IE"/>
        </w:rPr>
        <w:t xml:space="preserve">resources. Over the period 2015-2025, the Group has scaled its activity across the full financing chain, combining </w:t>
      </w:r>
      <w:r w:rsidRPr="6EDF2CCC">
        <w:rPr>
          <w:lang w:val="en-IE"/>
        </w:rPr>
        <w:t xml:space="preserve">(i) </w:t>
      </w:r>
      <w:r w:rsidRPr="001B6075">
        <w:rPr>
          <w:lang w:val="en-IE"/>
        </w:rPr>
        <w:t xml:space="preserve">EIF-backed investments into specialised venture capital and </w:t>
      </w:r>
      <w:r w:rsidRPr="6EDF2CCC">
        <w:rPr>
          <w:lang w:val="en-IE"/>
        </w:rPr>
        <w:t xml:space="preserve">growth equity </w:t>
      </w:r>
      <w:r w:rsidRPr="001B6075">
        <w:rPr>
          <w:lang w:val="en-IE"/>
        </w:rPr>
        <w:t xml:space="preserve">funds ('fund of funds' approach) to support </w:t>
      </w:r>
      <w:r w:rsidRPr="6EDF2CCC">
        <w:rPr>
          <w:lang w:val="en-IE"/>
        </w:rPr>
        <w:t xml:space="preserve">more than 1000 health biotechnology projects and emerging </w:t>
      </w:r>
      <w:r w:rsidRPr="001B6075">
        <w:rPr>
          <w:lang w:val="en-IE"/>
        </w:rPr>
        <w:t xml:space="preserve"> startups with </w:t>
      </w:r>
      <w:r w:rsidRPr="6EDF2CCC">
        <w:rPr>
          <w:lang w:val="en-IE"/>
        </w:rPr>
        <w:t xml:space="preserve">(ii) </w:t>
      </w:r>
      <w:r w:rsidRPr="001B6075">
        <w:rPr>
          <w:lang w:val="en-IE"/>
        </w:rPr>
        <w:t xml:space="preserve">direct EIB loans to more than 145 later-stage innovative SMEs and midcaps ('venture loans') or </w:t>
      </w:r>
      <w:r w:rsidRPr="6EDF2CCC">
        <w:rPr>
          <w:lang w:val="en-IE"/>
        </w:rPr>
        <w:t xml:space="preserve">(iii) </w:t>
      </w:r>
      <w:r w:rsidRPr="001B6075">
        <w:rPr>
          <w:lang w:val="en-IE"/>
        </w:rPr>
        <w:t>established pharma companies ('corporate loans').</w:t>
      </w:r>
    </w:p>
    <w:p w14:paraId="1F1F4EC6" w14:textId="22D61FBA" w:rsidR="00C77E01" w:rsidRPr="001B6075" w:rsidRDefault="00C77E01" w:rsidP="00C77E01">
      <w:pPr>
        <w:rPr>
          <w:lang w:val="en-IE"/>
        </w:rPr>
      </w:pPr>
      <w:r w:rsidRPr="6EDF2CCC">
        <w:rPr>
          <w:lang w:val="en-IE"/>
        </w:rPr>
        <w:t>With all these investments</w:t>
      </w:r>
      <w:r>
        <w:rPr>
          <w:lang w:val="en-IE"/>
        </w:rPr>
        <w:t xml:space="preserve">, the </w:t>
      </w:r>
      <w:r w:rsidRPr="6EDF2CCC">
        <w:rPr>
          <w:lang w:val="en-IE"/>
        </w:rPr>
        <w:t>EIB Group mobili</w:t>
      </w:r>
      <w:r>
        <w:rPr>
          <w:lang w:val="en-IE"/>
        </w:rPr>
        <w:t>s</w:t>
      </w:r>
      <w:r w:rsidRPr="6EDF2CCC">
        <w:rPr>
          <w:lang w:val="en-IE"/>
        </w:rPr>
        <w:t>ed more than EUR 100 billion</w:t>
      </w:r>
      <w:r>
        <w:rPr>
          <w:lang w:val="en-IE"/>
        </w:rPr>
        <w:t xml:space="preserve"> </w:t>
      </w:r>
      <w:r w:rsidRPr="6EDF2CCC">
        <w:rPr>
          <w:lang w:val="en-IE"/>
        </w:rPr>
        <w:t xml:space="preserve">for the benefit of the health biotech sector over this period. Table </w:t>
      </w:r>
      <w:r w:rsidR="00C516E6" w:rsidRPr="6EDF2CCC">
        <w:rPr>
          <w:lang w:val="en-IE"/>
        </w:rPr>
        <w:t>1</w:t>
      </w:r>
      <w:r w:rsidR="00C516E6">
        <w:rPr>
          <w:lang w:val="en-IE"/>
        </w:rPr>
        <w:t>5</w:t>
      </w:r>
      <w:r w:rsidR="00C516E6" w:rsidRPr="6EDF2CCC">
        <w:rPr>
          <w:lang w:val="en-IE"/>
        </w:rPr>
        <w:t xml:space="preserve"> </w:t>
      </w:r>
      <w:r w:rsidRPr="6EDF2CCC">
        <w:rPr>
          <w:lang w:val="en-IE"/>
        </w:rPr>
        <w:t xml:space="preserve">summarises this activity across instruments, including the EU budget guarantee backing those investments and how much funding the original EIB Group investment mobilised by crowding in private capital. Figures are reported as annualised run rates over the 2015-2025 period. </w:t>
      </w:r>
      <w:r w:rsidRPr="6EDF2CCC">
        <w:rPr>
          <w:b/>
          <w:bCs/>
          <w:lang w:val="en-IE"/>
        </w:rPr>
        <w:t>These are indicative averages only and should be interpreted with caution: actual annual volumes vary significantly from year to year, driven by market conditions, pipeline timing and the availability of EU budgetary guarantees.</w:t>
      </w:r>
    </w:p>
    <w:p w14:paraId="0F1DD481" w14:textId="475E9AFC" w:rsidR="00C77E01" w:rsidRPr="00DD1B1E" w:rsidRDefault="00C77E01" w:rsidP="00C77E01">
      <w:pPr>
        <w:rPr>
          <w:b/>
          <w:bCs/>
          <w:lang w:val="en-IE"/>
        </w:rPr>
      </w:pPr>
      <w:r w:rsidRPr="00DD1B1E">
        <w:rPr>
          <w:b/>
          <w:bCs/>
          <w:lang w:val="en-IE"/>
        </w:rPr>
        <w:t xml:space="preserve">Table </w:t>
      </w:r>
      <w:r>
        <w:rPr>
          <w:b/>
          <w:bCs/>
          <w:lang w:val="en-IE"/>
        </w:rPr>
        <w:t>1</w:t>
      </w:r>
      <w:r w:rsidR="00F37494">
        <w:rPr>
          <w:b/>
          <w:bCs/>
          <w:lang w:val="en-IE"/>
        </w:rPr>
        <w:t>5</w:t>
      </w:r>
      <w:r w:rsidRPr="00DD1B1E">
        <w:rPr>
          <w:b/>
          <w:bCs/>
          <w:lang w:val="en-IE"/>
        </w:rPr>
        <w:t>. Average annual EIB Group contribution to health biotech financing and investment mobilisation (2015–2025)</w:t>
      </w:r>
    </w:p>
    <w:tbl>
      <w:tblPr>
        <w:tblStyle w:val="TableGrid"/>
        <w:tblW w:w="8616" w:type="dxa"/>
        <w:tblLook w:val="04A0" w:firstRow="1" w:lastRow="0" w:firstColumn="1" w:lastColumn="0" w:noHBand="0" w:noVBand="1"/>
      </w:tblPr>
      <w:tblGrid>
        <w:gridCol w:w="2154"/>
        <w:gridCol w:w="2154"/>
        <w:gridCol w:w="2154"/>
        <w:gridCol w:w="2154"/>
      </w:tblGrid>
      <w:tr w:rsidR="00C77E01" w:rsidRPr="00F16324" w14:paraId="3F8BBC76" w14:textId="77777777">
        <w:tc>
          <w:tcPr>
            <w:tcW w:w="2154" w:type="dxa"/>
            <w:hideMark/>
          </w:tcPr>
          <w:p w14:paraId="066E12C9" w14:textId="77777777" w:rsidR="00C77E01" w:rsidRPr="00115ECA" w:rsidRDefault="00C77E01">
            <w:pPr>
              <w:jc w:val="left"/>
              <w:rPr>
                <w:b/>
                <w:bCs/>
                <w:sz w:val="20"/>
                <w:szCs w:val="20"/>
                <w:lang w:val="en-IE"/>
              </w:rPr>
            </w:pPr>
            <w:r w:rsidRPr="00115ECA">
              <w:rPr>
                <w:b/>
                <w:bCs/>
                <w:sz w:val="20"/>
                <w:szCs w:val="20"/>
                <w:lang w:val="en-IE"/>
              </w:rPr>
              <w:t>Instrument</w:t>
            </w:r>
          </w:p>
        </w:tc>
        <w:tc>
          <w:tcPr>
            <w:tcW w:w="2154" w:type="dxa"/>
            <w:hideMark/>
          </w:tcPr>
          <w:p w14:paraId="47D36C28" w14:textId="1EC42326" w:rsidR="00C77E01" w:rsidRPr="00115ECA" w:rsidRDefault="0048104F">
            <w:pPr>
              <w:jc w:val="left"/>
              <w:rPr>
                <w:b/>
                <w:bCs/>
                <w:sz w:val="20"/>
                <w:szCs w:val="20"/>
                <w:lang w:val="en-IE"/>
              </w:rPr>
            </w:pPr>
            <w:r>
              <w:rPr>
                <w:b/>
                <w:bCs/>
                <w:sz w:val="20"/>
                <w:szCs w:val="20"/>
                <w:lang w:val="en-IE"/>
              </w:rPr>
              <w:t>EU guarantee</w:t>
            </w:r>
            <w:r w:rsidR="00C77E01" w:rsidRPr="00115ECA">
              <w:rPr>
                <w:b/>
                <w:bCs/>
                <w:sz w:val="20"/>
                <w:szCs w:val="20"/>
                <w:lang w:val="en-IE"/>
              </w:rPr>
              <w:t>/year</w:t>
            </w:r>
          </w:p>
        </w:tc>
        <w:tc>
          <w:tcPr>
            <w:tcW w:w="2154" w:type="dxa"/>
            <w:hideMark/>
          </w:tcPr>
          <w:p w14:paraId="14E90AC8" w14:textId="77777777" w:rsidR="00C77E01" w:rsidRPr="00115ECA" w:rsidRDefault="00C77E01">
            <w:pPr>
              <w:jc w:val="left"/>
              <w:rPr>
                <w:b/>
                <w:bCs/>
                <w:sz w:val="20"/>
                <w:szCs w:val="20"/>
                <w:lang w:val="en-IE"/>
              </w:rPr>
            </w:pPr>
            <w:r w:rsidRPr="00115ECA">
              <w:rPr>
                <w:b/>
                <w:bCs/>
                <w:sz w:val="20"/>
                <w:szCs w:val="20"/>
                <w:lang w:val="en-IE"/>
              </w:rPr>
              <w:t>EIB Group Investment/year</w:t>
            </w:r>
          </w:p>
        </w:tc>
        <w:tc>
          <w:tcPr>
            <w:tcW w:w="2154" w:type="dxa"/>
            <w:hideMark/>
          </w:tcPr>
          <w:p w14:paraId="4B4F62BD" w14:textId="77777777" w:rsidR="00C77E01" w:rsidRPr="00115ECA" w:rsidRDefault="00C77E01">
            <w:pPr>
              <w:jc w:val="left"/>
              <w:rPr>
                <w:b/>
                <w:bCs/>
                <w:sz w:val="20"/>
                <w:szCs w:val="20"/>
                <w:lang w:val="en-IE"/>
              </w:rPr>
            </w:pPr>
            <w:r w:rsidRPr="00115ECA">
              <w:rPr>
                <w:b/>
                <w:bCs/>
                <w:sz w:val="20"/>
                <w:szCs w:val="20"/>
                <w:lang w:val="en-IE"/>
              </w:rPr>
              <w:t>Total Investment mobilised/year</w:t>
            </w:r>
          </w:p>
        </w:tc>
      </w:tr>
      <w:tr w:rsidR="00C77E01" w:rsidRPr="00F16324" w14:paraId="4B481DEF" w14:textId="77777777">
        <w:tc>
          <w:tcPr>
            <w:tcW w:w="2154" w:type="dxa"/>
            <w:hideMark/>
          </w:tcPr>
          <w:p w14:paraId="6EC9BF80" w14:textId="77777777" w:rsidR="00C77E01" w:rsidRPr="00115ECA" w:rsidRDefault="00C77E01">
            <w:pPr>
              <w:jc w:val="left"/>
              <w:rPr>
                <w:b/>
                <w:bCs/>
                <w:sz w:val="20"/>
                <w:szCs w:val="20"/>
                <w:lang w:val="en-IE"/>
              </w:rPr>
            </w:pPr>
            <w:r w:rsidRPr="00115ECA">
              <w:rPr>
                <w:b/>
                <w:bCs/>
                <w:sz w:val="20"/>
                <w:szCs w:val="20"/>
                <w:lang w:val="en-IE"/>
              </w:rPr>
              <w:t>Venture debt</w:t>
            </w:r>
          </w:p>
        </w:tc>
        <w:tc>
          <w:tcPr>
            <w:tcW w:w="2154" w:type="dxa"/>
            <w:hideMark/>
          </w:tcPr>
          <w:p w14:paraId="4CC47A06" w14:textId="77777777" w:rsidR="00C77E01" w:rsidRPr="00115ECA" w:rsidRDefault="00C77E01">
            <w:pPr>
              <w:jc w:val="left"/>
              <w:rPr>
                <w:sz w:val="20"/>
                <w:szCs w:val="20"/>
                <w:lang w:val="en-IE"/>
              </w:rPr>
            </w:pPr>
            <w:r w:rsidRPr="00115ECA">
              <w:rPr>
                <w:sz w:val="20"/>
                <w:szCs w:val="20"/>
                <w:lang w:val="en-IE"/>
              </w:rPr>
              <w:t>EUR ~150 million/yr</w:t>
            </w:r>
          </w:p>
        </w:tc>
        <w:tc>
          <w:tcPr>
            <w:tcW w:w="2154" w:type="dxa"/>
            <w:hideMark/>
          </w:tcPr>
          <w:p w14:paraId="288A2102" w14:textId="56596D1F" w:rsidR="00C77E01" w:rsidRPr="00115ECA" w:rsidRDefault="00C77E01">
            <w:pPr>
              <w:jc w:val="left"/>
              <w:rPr>
                <w:sz w:val="20"/>
                <w:szCs w:val="20"/>
                <w:lang w:val="en-IE"/>
              </w:rPr>
            </w:pPr>
            <w:r w:rsidRPr="00115ECA">
              <w:rPr>
                <w:sz w:val="20"/>
                <w:szCs w:val="20"/>
                <w:lang w:val="en-IE"/>
              </w:rPr>
              <w:t xml:space="preserve">EUR </w:t>
            </w:r>
            <w:r w:rsidR="00626DE5" w:rsidRPr="00115ECA">
              <w:rPr>
                <w:sz w:val="20"/>
                <w:szCs w:val="20"/>
                <w:lang w:val="en-IE"/>
              </w:rPr>
              <w:t>~</w:t>
            </w:r>
            <w:r w:rsidRPr="00115ECA">
              <w:rPr>
                <w:sz w:val="20"/>
                <w:szCs w:val="20"/>
                <w:lang w:val="en-IE"/>
              </w:rPr>
              <w:t>350-400 million</w:t>
            </w:r>
          </w:p>
        </w:tc>
        <w:tc>
          <w:tcPr>
            <w:tcW w:w="2154" w:type="dxa"/>
            <w:hideMark/>
          </w:tcPr>
          <w:p w14:paraId="5621019F" w14:textId="77777777" w:rsidR="00C77E01" w:rsidRPr="00115ECA" w:rsidRDefault="00C77E01">
            <w:pPr>
              <w:jc w:val="left"/>
              <w:rPr>
                <w:sz w:val="20"/>
                <w:szCs w:val="20"/>
                <w:lang w:val="en-IE"/>
              </w:rPr>
            </w:pPr>
            <w:r w:rsidRPr="00115ECA">
              <w:rPr>
                <w:sz w:val="20"/>
                <w:szCs w:val="20"/>
                <w:lang w:val="en-IE"/>
              </w:rPr>
              <w:t>EUR ~3.1-3.5 billion</w:t>
            </w:r>
          </w:p>
        </w:tc>
      </w:tr>
      <w:tr w:rsidR="00C77E01" w:rsidRPr="00F16324" w14:paraId="3C924B70" w14:textId="77777777">
        <w:tc>
          <w:tcPr>
            <w:tcW w:w="2154" w:type="dxa"/>
            <w:hideMark/>
          </w:tcPr>
          <w:p w14:paraId="28B12641" w14:textId="77777777" w:rsidR="00C77E01" w:rsidRPr="00115ECA" w:rsidRDefault="00C77E01">
            <w:pPr>
              <w:jc w:val="left"/>
              <w:rPr>
                <w:b/>
                <w:bCs/>
                <w:sz w:val="20"/>
                <w:szCs w:val="20"/>
                <w:lang w:val="en-IE"/>
              </w:rPr>
            </w:pPr>
            <w:r w:rsidRPr="00115ECA">
              <w:rPr>
                <w:b/>
                <w:bCs/>
                <w:sz w:val="20"/>
                <w:szCs w:val="20"/>
                <w:lang w:val="en-IE"/>
              </w:rPr>
              <w:t>Corporate loans</w:t>
            </w:r>
          </w:p>
        </w:tc>
        <w:tc>
          <w:tcPr>
            <w:tcW w:w="2154" w:type="dxa"/>
            <w:hideMark/>
          </w:tcPr>
          <w:p w14:paraId="2F154995" w14:textId="77777777" w:rsidR="00C77E01" w:rsidRPr="00115ECA" w:rsidRDefault="00C77E01">
            <w:pPr>
              <w:jc w:val="left"/>
              <w:rPr>
                <w:sz w:val="20"/>
                <w:szCs w:val="20"/>
                <w:lang w:val="en-IE"/>
              </w:rPr>
            </w:pPr>
            <w:r w:rsidRPr="00115ECA">
              <w:rPr>
                <w:sz w:val="20"/>
                <w:szCs w:val="20"/>
                <w:lang w:val="en-IE"/>
              </w:rPr>
              <w:t>EUR ~70 million/yr</w:t>
            </w:r>
            <w:r w:rsidRPr="00F16324">
              <w:rPr>
                <w:rStyle w:val="FootnoteReference"/>
                <w:sz w:val="20"/>
                <w:szCs w:val="20"/>
                <w:lang w:val="en-IE"/>
              </w:rPr>
              <w:footnoteReference w:id="256"/>
            </w:r>
          </w:p>
        </w:tc>
        <w:tc>
          <w:tcPr>
            <w:tcW w:w="2154" w:type="dxa"/>
            <w:hideMark/>
          </w:tcPr>
          <w:p w14:paraId="5EB494EC" w14:textId="77777777" w:rsidR="00C77E01" w:rsidRPr="00115ECA" w:rsidRDefault="00C77E01">
            <w:pPr>
              <w:jc w:val="left"/>
              <w:rPr>
                <w:sz w:val="20"/>
                <w:szCs w:val="20"/>
                <w:lang w:val="en-IE"/>
              </w:rPr>
            </w:pPr>
            <w:r w:rsidRPr="00115ECA">
              <w:rPr>
                <w:sz w:val="20"/>
                <w:szCs w:val="20"/>
                <w:lang w:val="en-IE"/>
              </w:rPr>
              <w:t>EUR ~730 million</w:t>
            </w:r>
          </w:p>
        </w:tc>
        <w:tc>
          <w:tcPr>
            <w:tcW w:w="2154" w:type="dxa"/>
            <w:hideMark/>
          </w:tcPr>
          <w:p w14:paraId="50C1F9A0" w14:textId="77777777" w:rsidR="00C77E01" w:rsidRPr="00115ECA" w:rsidRDefault="00C77E01">
            <w:pPr>
              <w:jc w:val="left"/>
              <w:rPr>
                <w:sz w:val="20"/>
                <w:szCs w:val="20"/>
                <w:lang w:val="en-IE"/>
              </w:rPr>
            </w:pPr>
            <w:r w:rsidRPr="00115ECA">
              <w:rPr>
                <w:sz w:val="20"/>
                <w:szCs w:val="20"/>
                <w:lang w:val="en-IE"/>
              </w:rPr>
              <w:t>EUR ~1.9 billion</w:t>
            </w:r>
          </w:p>
        </w:tc>
      </w:tr>
      <w:tr w:rsidR="00C77E01" w:rsidRPr="00F16324" w14:paraId="026F8597" w14:textId="77777777">
        <w:tc>
          <w:tcPr>
            <w:tcW w:w="2154" w:type="dxa"/>
            <w:hideMark/>
          </w:tcPr>
          <w:p w14:paraId="5364D922" w14:textId="77777777" w:rsidR="00C77E01" w:rsidRPr="00115ECA" w:rsidRDefault="00C77E01">
            <w:pPr>
              <w:jc w:val="left"/>
              <w:rPr>
                <w:b/>
                <w:bCs/>
                <w:sz w:val="20"/>
                <w:szCs w:val="20"/>
                <w:lang w:val="en-IE"/>
              </w:rPr>
            </w:pPr>
            <w:r w:rsidRPr="00115ECA">
              <w:rPr>
                <w:b/>
                <w:bCs/>
                <w:sz w:val="20"/>
                <w:szCs w:val="20"/>
                <w:lang w:val="en-IE"/>
              </w:rPr>
              <w:t>EIF fund investments</w:t>
            </w:r>
          </w:p>
        </w:tc>
        <w:tc>
          <w:tcPr>
            <w:tcW w:w="2154" w:type="dxa"/>
            <w:hideMark/>
          </w:tcPr>
          <w:p w14:paraId="5EEAD833" w14:textId="77777777" w:rsidR="00C77E01" w:rsidRPr="00115ECA" w:rsidRDefault="00C77E01">
            <w:pPr>
              <w:jc w:val="left"/>
              <w:rPr>
                <w:sz w:val="20"/>
                <w:szCs w:val="20"/>
                <w:lang w:val="en-IE"/>
              </w:rPr>
            </w:pPr>
            <w:r w:rsidRPr="00115ECA">
              <w:rPr>
                <w:sz w:val="20"/>
                <w:szCs w:val="20"/>
                <w:lang w:val="en-IE"/>
              </w:rPr>
              <w:t>EUR ~100 million/yr</w:t>
            </w:r>
          </w:p>
        </w:tc>
        <w:tc>
          <w:tcPr>
            <w:tcW w:w="2154" w:type="dxa"/>
            <w:hideMark/>
          </w:tcPr>
          <w:p w14:paraId="7274F71D" w14:textId="77777777" w:rsidR="00C77E01" w:rsidRPr="00115ECA" w:rsidRDefault="00C77E01">
            <w:pPr>
              <w:jc w:val="left"/>
              <w:rPr>
                <w:sz w:val="20"/>
                <w:szCs w:val="20"/>
                <w:lang w:val="en-IE"/>
              </w:rPr>
            </w:pPr>
            <w:r w:rsidRPr="00115ECA">
              <w:rPr>
                <w:sz w:val="20"/>
                <w:szCs w:val="20"/>
                <w:lang w:val="en-IE"/>
              </w:rPr>
              <w:t>EUR ~520 million</w:t>
            </w:r>
          </w:p>
        </w:tc>
        <w:tc>
          <w:tcPr>
            <w:tcW w:w="2154" w:type="dxa"/>
            <w:hideMark/>
          </w:tcPr>
          <w:p w14:paraId="0C390488" w14:textId="77777777" w:rsidR="00C77E01" w:rsidRPr="00115ECA" w:rsidRDefault="00C77E01">
            <w:pPr>
              <w:jc w:val="left"/>
              <w:rPr>
                <w:sz w:val="20"/>
                <w:szCs w:val="20"/>
                <w:lang w:val="en-IE"/>
              </w:rPr>
            </w:pPr>
            <w:r w:rsidRPr="00115ECA">
              <w:rPr>
                <w:sz w:val="20"/>
                <w:szCs w:val="20"/>
                <w:lang w:val="en-IE"/>
              </w:rPr>
              <w:t>EUR ~5.5 billion</w:t>
            </w:r>
          </w:p>
        </w:tc>
      </w:tr>
      <w:tr w:rsidR="00C77E01" w:rsidRPr="00F16324" w14:paraId="31D4B191" w14:textId="77777777">
        <w:trPr>
          <w:trHeight w:val="435"/>
        </w:trPr>
        <w:tc>
          <w:tcPr>
            <w:tcW w:w="2154" w:type="dxa"/>
            <w:hideMark/>
          </w:tcPr>
          <w:p w14:paraId="0B649D78" w14:textId="77777777" w:rsidR="00C77E01" w:rsidRPr="00115ECA" w:rsidRDefault="00C77E01">
            <w:pPr>
              <w:jc w:val="left"/>
              <w:rPr>
                <w:b/>
                <w:bCs/>
                <w:sz w:val="20"/>
                <w:szCs w:val="20"/>
                <w:lang w:val="en-IE"/>
              </w:rPr>
            </w:pPr>
            <w:r w:rsidRPr="00115ECA">
              <w:rPr>
                <w:b/>
                <w:bCs/>
                <w:sz w:val="20"/>
                <w:szCs w:val="20"/>
                <w:lang w:val="en-IE"/>
              </w:rPr>
              <w:t>Total EIB Group</w:t>
            </w:r>
          </w:p>
        </w:tc>
        <w:tc>
          <w:tcPr>
            <w:tcW w:w="2154" w:type="dxa"/>
            <w:hideMark/>
          </w:tcPr>
          <w:p w14:paraId="2DF9AD22" w14:textId="77777777" w:rsidR="00C77E01" w:rsidRPr="00115ECA" w:rsidRDefault="00C77E01">
            <w:pPr>
              <w:jc w:val="left"/>
              <w:rPr>
                <w:sz w:val="20"/>
                <w:szCs w:val="20"/>
                <w:lang w:val="en-IE"/>
              </w:rPr>
            </w:pPr>
            <w:r w:rsidRPr="00115ECA">
              <w:rPr>
                <w:sz w:val="20"/>
                <w:szCs w:val="20"/>
                <w:lang w:val="en-IE"/>
              </w:rPr>
              <w:t>EUR ~320 million/yr</w:t>
            </w:r>
          </w:p>
        </w:tc>
        <w:tc>
          <w:tcPr>
            <w:tcW w:w="2154" w:type="dxa"/>
            <w:hideMark/>
          </w:tcPr>
          <w:p w14:paraId="5E73C616" w14:textId="77777777" w:rsidR="00C77E01" w:rsidRPr="00115ECA" w:rsidRDefault="00C77E01">
            <w:pPr>
              <w:jc w:val="left"/>
              <w:rPr>
                <w:sz w:val="20"/>
                <w:szCs w:val="20"/>
                <w:lang w:val="en-IE"/>
              </w:rPr>
            </w:pPr>
            <w:r w:rsidRPr="00115ECA">
              <w:rPr>
                <w:sz w:val="20"/>
                <w:szCs w:val="20"/>
                <w:lang w:val="en-IE"/>
              </w:rPr>
              <w:t>EUR ~1.6 billion</w:t>
            </w:r>
          </w:p>
        </w:tc>
        <w:tc>
          <w:tcPr>
            <w:tcW w:w="2154" w:type="dxa"/>
            <w:hideMark/>
          </w:tcPr>
          <w:p w14:paraId="1A83154C" w14:textId="77777777" w:rsidR="00C77E01" w:rsidRPr="00115ECA" w:rsidRDefault="00C77E01">
            <w:pPr>
              <w:jc w:val="left"/>
              <w:rPr>
                <w:sz w:val="20"/>
                <w:szCs w:val="20"/>
                <w:lang w:val="en-IE"/>
              </w:rPr>
            </w:pPr>
            <w:r w:rsidRPr="00115ECA">
              <w:rPr>
                <w:sz w:val="20"/>
                <w:szCs w:val="20"/>
                <w:lang w:val="en-IE"/>
              </w:rPr>
              <w:t>EUR ~10.8 billion</w:t>
            </w:r>
          </w:p>
        </w:tc>
      </w:tr>
    </w:tbl>
    <w:p w14:paraId="47ACE0EA" w14:textId="77777777" w:rsidR="00C77E01" w:rsidRDefault="00C77E01" w:rsidP="00C77E01">
      <w:pPr>
        <w:rPr>
          <w:lang w:val="en-IE"/>
        </w:rPr>
      </w:pPr>
    </w:p>
    <w:p w14:paraId="4E3D57A9" w14:textId="05515A71" w:rsidR="00C77E01" w:rsidRPr="001B6075" w:rsidRDefault="00C77E01" w:rsidP="00C77E01">
      <w:pPr>
        <w:rPr>
          <w:lang w:val="en-IE"/>
        </w:rPr>
      </w:pPr>
      <w:r w:rsidRPr="001B6075">
        <w:rPr>
          <w:lang w:val="en-IE"/>
        </w:rPr>
        <w:t xml:space="preserve">However, the EIB estimates that an </w:t>
      </w:r>
      <w:r w:rsidRPr="6EDF2CCC">
        <w:rPr>
          <w:lang w:val="en-IE"/>
        </w:rPr>
        <w:t xml:space="preserve">annual </w:t>
      </w:r>
      <w:r w:rsidRPr="001B6075">
        <w:rPr>
          <w:lang w:val="en-IE"/>
        </w:rPr>
        <w:t>investment gap of EUR 40 billion remains between the EU and US Biotech sectors</w:t>
      </w:r>
      <w:r>
        <w:rPr>
          <w:rStyle w:val="FootnoteReference"/>
          <w:lang w:val="en-IE"/>
        </w:rPr>
        <w:footnoteReference w:id="257"/>
      </w:r>
      <w:r w:rsidRPr="001B6075">
        <w:rPr>
          <w:lang w:val="en-IE"/>
        </w:rPr>
        <w:t xml:space="preserve">. To address this gap, the </w:t>
      </w:r>
      <w:r>
        <w:rPr>
          <w:lang w:val="en-IE"/>
        </w:rPr>
        <w:t xml:space="preserve">Biotech Act </w:t>
      </w:r>
      <w:r w:rsidRPr="001B6075">
        <w:rPr>
          <w:lang w:val="en-IE"/>
        </w:rPr>
        <w:t xml:space="preserve">proposes </w:t>
      </w:r>
      <w:r w:rsidRPr="6EDF2CCC">
        <w:rPr>
          <w:lang w:val="en-IE"/>
        </w:rPr>
        <w:t xml:space="preserve">the creation of </w:t>
      </w:r>
      <w:r w:rsidRPr="001B6075">
        <w:rPr>
          <w:lang w:val="en-IE"/>
        </w:rPr>
        <w:t xml:space="preserve">a dedicated </w:t>
      </w:r>
      <w:r w:rsidR="00CC1039">
        <w:rPr>
          <w:lang w:val="en-IE"/>
        </w:rPr>
        <w:t xml:space="preserve">EU </w:t>
      </w:r>
      <w:r w:rsidRPr="001B6075">
        <w:rPr>
          <w:lang w:val="en-IE"/>
        </w:rPr>
        <w:t xml:space="preserve">Health Biotech Investment </w:t>
      </w:r>
      <w:r w:rsidRPr="6EDF2CCC">
        <w:rPr>
          <w:lang w:val="en-IE"/>
        </w:rPr>
        <w:t>Pilot</w:t>
      </w:r>
      <w:r w:rsidRPr="001B6075">
        <w:rPr>
          <w:lang w:val="en-IE"/>
        </w:rPr>
        <w:t>.</w:t>
      </w:r>
      <w:r>
        <w:rPr>
          <w:lang w:val="en-IE"/>
        </w:rPr>
        <w:t xml:space="preserve"> </w:t>
      </w:r>
      <w:r w:rsidRPr="001B6075">
        <w:rPr>
          <w:lang w:val="en-IE"/>
        </w:rPr>
        <w:t xml:space="preserve">The </w:t>
      </w:r>
      <w:r w:rsidRPr="6EDF2CCC">
        <w:rPr>
          <w:lang w:val="en-IE"/>
        </w:rPr>
        <w:t xml:space="preserve">pilot </w:t>
      </w:r>
      <w:r w:rsidRPr="001B6075">
        <w:rPr>
          <w:lang w:val="en-IE"/>
        </w:rPr>
        <w:t xml:space="preserve">would deploy a toolbox of financial instruments, tailored to the specific risk and maturity profile of health biotech companies. With the support of these instruments, the </w:t>
      </w:r>
      <w:r w:rsidRPr="6EDF2CCC">
        <w:rPr>
          <w:lang w:val="en-IE"/>
        </w:rPr>
        <w:t>pilot</w:t>
      </w:r>
      <w:r w:rsidRPr="001B6075">
        <w:rPr>
          <w:lang w:val="en-IE"/>
        </w:rPr>
        <w:t xml:space="preserve"> aims to crowd in substantially more private capital and respond more effectively to unmet market needs across the financing chain.</w:t>
      </w:r>
    </w:p>
    <w:p w14:paraId="2258C264" w14:textId="11E99624" w:rsidR="00C77E01" w:rsidRPr="001B6075" w:rsidRDefault="00C77E01" w:rsidP="00C77E01">
      <w:pPr>
        <w:rPr>
          <w:lang w:val="en-IE"/>
        </w:rPr>
      </w:pPr>
      <w:r w:rsidRPr="1C0E334A">
        <w:rPr>
          <w:lang w:val="en-IE"/>
        </w:rPr>
        <w:t xml:space="preserve">Table </w:t>
      </w:r>
      <w:r w:rsidR="00146F09">
        <w:rPr>
          <w:lang w:val="en-IE"/>
        </w:rPr>
        <w:t>16</w:t>
      </w:r>
      <w:r w:rsidR="00146F09" w:rsidRPr="1C0E334A">
        <w:rPr>
          <w:lang w:val="en-IE"/>
        </w:rPr>
        <w:t xml:space="preserve"> </w:t>
      </w:r>
      <w:r w:rsidRPr="1C0E334A">
        <w:rPr>
          <w:lang w:val="en-IE"/>
        </w:rPr>
        <w:t xml:space="preserve">outlines three scenarios for the pilot across different ambition levels. The scenarios assume a positive review after an initial two-year pilot period, and initial evaluation of crowd-in ratios, after which </w:t>
      </w:r>
      <w:r>
        <w:rPr>
          <w:lang w:val="en-IE"/>
        </w:rPr>
        <w:t xml:space="preserve">it </w:t>
      </w:r>
      <w:r w:rsidRPr="1C0E334A">
        <w:rPr>
          <w:lang w:val="en-IE"/>
        </w:rPr>
        <w:t xml:space="preserve">will continue for a total of seven years. A longer time horizon </w:t>
      </w:r>
      <w:r>
        <w:rPr>
          <w:lang w:val="en-IE"/>
        </w:rPr>
        <w:t>helps with</w:t>
      </w:r>
      <w:r w:rsidRPr="1C0E334A">
        <w:rPr>
          <w:lang w:val="en-IE"/>
        </w:rPr>
        <w:t xml:space="preserve"> attract</w:t>
      </w:r>
      <w:r>
        <w:rPr>
          <w:lang w:val="en-IE"/>
        </w:rPr>
        <w:t>ing</w:t>
      </w:r>
      <w:r w:rsidRPr="1C0E334A">
        <w:rPr>
          <w:lang w:val="en-IE"/>
        </w:rPr>
        <w:t xml:space="preserve"> substantial private investment, particularly from institutional investors such as pension funds, insurers and corporates, </w:t>
      </w:r>
      <w:r>
        <w:rPr>
          <w:lang w:val="en-IE"/>
        </w:rPr>
        <w:t xml:space="preserve">and </w:t>
      </w:r>
      <w:r w:rsidRPr="1C0E334A">
        <w:rPr>
          <w:lang w:val="en-IE"/>
        </w:rPr>
        <w:t>reflect</w:t>
      </w:r>
      <w:r>
        <w:rPr>
          <w:lang w:val="en-IE"/>
        </w:rPr>
        <w:t>s</w:t>
      </w:r>
      <w:r w:rsidRPr="1C0E334A">
        <w:rPr>
          <w:lang w:val="en-IE"/>
        </w:rPr>
        <w:t xml:space="preserve"> the long investment and value-creation cycles characteristic</w:t>
      </w:r>
      <w:r w:rsidRPr="1C0E334A" w:rsidDel="007F77BB">
        <w:rPr>
          <w:lang w:val="en-IE"/>
        </w:rPr>
        <w:t>s</w:t>
      </w:r>
      <w:r w:rsidRPr="1C0E334A">
        <w:rPr>
          <w:lang w:val="en-IE"/>
        </w:rPr>
        <w:t xml:space="preserve"> of the health biotechnology sector. In addition, sustained and predictable public support is critical for investor confidence, while sufficient time is needed to deploy and test the different instruments in the toolbox and adjust the mix in response to market uptake, geopolitical shifts and observed outcomes. The first scenario assumes a continuation of the level of EIB Group's average investment level over the last 10 years, with the second and third illustrating the additional level of EC guarantees and investment by the pilot needed to mobilise sufficient investment to close, respectively, 25</w:t>
      </w:r>
      <w:r w:rsidR="00405618">
        <w:rPr>
          <w:lang w:val="en-IE"/>
        </w:rPr>
        <w:t>%</w:t>
      </w:r>
      <w:r w:rsidRPr="1C0E334A">
        <w:rPr>
          <w:lang w:val="en-IE"/>
        </w:rPr>
        <w:t xml:space="preserve"> or 50</w:t>
      </w:r>
      <w:r w:rsidR="00405618">
        <w:rPr>
          <w:lang w:val="en-IE"/>
        </w:rPr>
        <w:t>%</w:t>
      </w:r>
      <w:r w:rsidRPr="1C0E334A">
        <w:rPr>
          <w:lang w:val="en-IE"/>
        </w:rPr>
        <w:t xml:space="preserve"> of the EUR 40 billion annual investment gap in the Health Biotech sector.</w:t>
      </w:r>
    </w:p>
    <w:p w14:paraId="4226418E" w14:textId="77777777" w:rsidR="00C77E01" w:rsidRPr="001B6075" w:rsidRDefault="00C77E01" w:rsidP="00C77E01">
      <w:pPr>
        <w:rPr>
          <w:lang w:val="en-IE"/>
        </w:rPr>
      </w:pPr>
      <w:r w:rsidRPr="6C5D7259">
        <w:rPr>
          <w:lang w:val="en-IE"/>
        </w:rPr>
        <w:t>These scenarios are illustrative sensitivity cases rather than forecasts and depend on strong assumptions: linear scalability of deployment by the investment pilot over seven years, with the same distribution of investment across instruments as the EIB Group over the last 10 years, sufficient absorption capacity in the EU health biotech pipeline, no material displacement of private finance and no binding implementation constraints (including risk appetite, deal flow, administrative throughput and the availability of EU budgetary guarantees).</w:t>
      </w:r>
    </w:p>
    <w:p w14:paraId="50ADCC83" w14:textId="08088EF2" w:rsidR="00C77E01" w:rsidRPr="00DD1B1E" w:rsidRDefault="00C77E01" w:rsidP="00C77E01">
      <w:pPr>
        <w:rPr>
          <w:b/>
          <w:bCs/>
          <w:lang w:val="en-IE"/>
        </w:rPr>
      </w:pPr>
      <w:r w:rsidRPr="00DD1B1E">
        <w:rPr>
          <w:b/>
          <w:bCs/>
          <w:lang w:val="en-IE"/>
        </w:rPr>
        <w:t xml:space="preserve">Table </w:t>
      </w:r>
      <w:r>
        <w:rPr>
          <w:b/>
          <w:bCs/>
          <w:lang w:val="en-IE"/>
        </w:rPr>
        <w:t>1</w:t>
      </w:r>
      <w:r w:rsidR="00F37494">
        <w:rPr>
          <w:b/>
          <w:bCs/>
          <w:lang w:val="en-IE"/>
        </w:rPr>
        <w:t>6</w:t>
      </w:r>
      <w:r>
        <w:rPr>
          <w:b/>
          <w:bCs/>
          <w:lang w:val="en-IE"/>
        </w:rPr>
        <w:t xml:space="preserve">. </w:t>
      </w:r>
      <w:r w:rsidRPr="00DD1B1E">
        <w:rPr>
          <w:b/>
          <w:bCs/>
          <w:lang w:val="en-IE"/>
        </w:rPr>
        <w:t xml:space="preserve">Scenarios for the </w:t>
      </w:r>
      <w:r w:rsidR="007F1795">
        <w:rPr>
          <w:b/>
          <w:bCs/>
          <w:lang w:val="en-IE"/>
        </w:rPr>
        <w:t xml:space="preserve">EU </w:t>
      </w:r>
      <w:r w:rsidRPr="00DD1B1E">
        <w:rPr>
          <w:b/>
          <w:bCs/>
          <w:lang w:val="en-IE"/>
        </w:rPr>
        <w:t xml:space="preserve">Health </w:t>
      </w:r>
      <w:r w:rsidR="00A3161C" w:rsidRPr="00DD1B1E">
        <w:rPr>
          <w:b/>
          <w:bCs/>
          <w:lang w:val="en-IE"/>
        </w:rPr>
        <w:t>Biotech</w:t>
      </w:r>
      <w:r w:rsidR="007F1795">
        <w:rPr>
          <w:b/>
          <w:bCs/>
          <w:lang w:val="en-IE"/>
        </w:rPr>
        <w:t>nology</w:t>
      </w:r>
      <w:r w:rsidRPr="00DD1B1E">
        <w:rPr>
          <w:b/>
          <w:bCs/>
          <w:lang w:val="en-IE"/>
        </w:rPr>
        <w:t xml:space="preserve"> Investment Pilot</w:t>
      </w:r>
    </w:p>
    <w:tbl>
      <w:tblPr>
        <w:tblStyle w:val="TableGrid"/>
        <w:tblW w:w="8616" w:type="dxa"/>
        <w:tblLook w:val="04A0" w:firstRow="1" w:lastRow="0" w:firstColumn="1" w:lastColumn="0" w:noHBand="0" w:noVBand="1"/>
      </w:tblPr>
      <w:tblGrid>
        <w:gridCol w:w="2154"/>
        <w:gridCol w:w="2154"/>
        <w:gridCol w:w="2154"/>
        <w:gridCol w:w="2154"/>
      </w:tblGrid>
      <w:tr w:rsidR="00C77E01" w:rsidRPr="001B6075" w14:paraId="6C3C6E53" w14:textId="77777777">
        <w:tc>
          <w:tcPr>
            <w:tcW w:w="2154" w:type="dxa"/>
            <w:hideMark/>
          </w:tcPr>
          <w:p w14:paraId="368B94F5" w14:textId="77777777" w:rsidR="00C77E01" w:rsidRPr="00115ECA" w:rsidRDefault="00C77E01">
            <w:pPr>
              <w:rPr>
                <w:b/>
                <w:bCs/>
                <w:sz w:val="20"/>
                <w:szCs w:val="20"/>
                <w:lang w:val="en-IE"/>
              </w:rPr>
            </w:pPr>
            <w:r w:rsidRPr="00115ECA">
              <w:rPr>
                <w:b/>
                <w:bCs/>
                <w:sz w:val="20"/>
                <w:szCs w:val="20"/>
                <w:lang w:val="en-IE"/>
              </w:rPr>
              <w:t>Scenario</w:t>
            </w:r>
          </w:p>
        </w:tc>
        <w:tc>
          <w:tcPr>
            <w:tcW w:w="2154" w:type="dxa"/>
            <w:hideMark/>
          </w:tcPr>
          <w:p w14:paraId="23DE4CE7" w14:textId="77777777" w:rsidR="00C77E01" w:rsidRPr="00115ECA" w:rsidRDefault="00C77E01">
            <w:pPr>
              <w:rPr>
                <w:b/>
                <w:bCs/>
                <w:sz w:val="20"/>
                <w:szCs w:val="20"/>
                <w:lang w:val="en-IE"/>
              </w:rPr>
            </w:pPr>
            <w:r w:rsidRPr="00115ECA">
              <w:rPr>
                <w:b/>
                <w:bCs/>
                <w:sz w:val="20"/>
                <w:szCs w:val="20"/>
                <w:lang w:val="en-IE"/>
              </w:rPr>
              <w:t>EC guarantee over 7 years</w:t>
            </w:r>
          </w:p>
        </w:tc>
        <w:tc>
          <w:tcPr>
            <w:tcW w:w="2154" w:type="dxa"/>
            <w:hideMark/>
          </w:tcPr>
          <w:p w14:paraId="223901DA" w14:textId="77777777" w:rsidR="00C77E01" w:rsidRPr="00115ECA" w:rsidRDefault="00C77E01">
            <w:pPr>
              <w:rPr>
                <w:b/>
                <w:bCs/>
                <w:sz w:val="20"/>
                <w:szCs w:val="20"/>
                <w:lang w:val="en-IE"/>
              </w:rPr>
            </w:pPr>
            <w:r w:rsidRPr="00115ECA">
              <w:rPr>
                <w:b/>
                <w:bCs/>
                <w:sz w:val="20"/>
                <w:szCs w:val="20"/>
                <w:lang w:val="en-IE"/>
              </w:rPr>
              <w:t>Direct investments by the pilot over 7 years</w:t>
            </w:r>
          </w:p>
        </w:tc>
        <w:tc>
          <w:tcPr>
            <w:tcW w:w="2154" w:type="dxa"/>
            <w:hideMark/>
          </w:tcPr>
          <w:p w14:paraId="0008CA10" w14:textId="77777777" w:rsidR="00C77E01" w:rsidRPr="00115ECA" w:rsidRDefault="00C77E01">
            <w:pPr>
              <w:rPr>
                <w:b/>
                <w:bCs/>
                <w:sz w:val="20"/>
                <w:szCs w:val="20"/>
                <w:lang w:val="en-IE"/>
              </w:rPr>
            </w:pPr>
            <w:r w:rsidRPr="00115ECA">
              <w:rPr>
                <w:b/>
                <w:bCs/>
                <w:sz w:val="20"/>
                <w:szCs w:val="20"/>
                <w:lang w:val="en-IE"/>
              </w:rPr>
              <w:t>Total investment mobilised over 7 years</w:t>
            </w:r>
          </w:p>
        </w:tc>
      </w:tr>
      <w:tr w:rsidR="00C77E01" w:rsidRPr="001B6075" w14:paraId="00A28ECF" w14:textId="77777777">
        <w:tc>
          <w:tcPr>
            <w:tcW w:w="2154" w:type="dxa"/>
            <w:hideMark/>
          </w:tcPr>
          <w:p w14:paraId="65614DED" w14:textId="77777777" w:rsidR="00C77E01" w:rsidRPr="00115ECA" w:rsidRDefault="00C77E01">
            <w:pPr>
              <w:jc w:val="left"/>
              <w:rPr>
                <w:sz w:val="20"/>
                <w:szCs w:val="20"/>
                <w:lang w:val="en-IE"/>
              </w:rPr>
            </w:pPr>
            <w:r w:rsidRPr="00115ECA">
              <w:rPr>
                <w:sz w:val="20"/>
                <w:szCs w:val="20"/>
                <w:lang w:val="en-IE"/>
              </w:rPr>
              <w:t>Continuation scenario</w:t>
            </w:r>
          </w:p>
        </w:tc>
        <w:tc>
          <w:tcPr>
            <w:tcW w:w="2154" w:type="dxa"/>
            <w:hideMark/>
          </w:tcPr>
          <w:p w14:paraId="60F77A9A" w14:textId="77777777" w:rsidR="00C77E01" w:rsidRPr="00115ECA" w:rsidRDefault="00C77E01">
            <w:pPr>
              <w:rPr>
                <w:sz w:val="20"/>
                <w:szCs w:val="20"/>
                <w:lang w:val="en-IE"/>
              </w:rPr>
            </w:pPr>
            <w:r w:rsidRPr="00115ECA">
              <w:rPr>
                <w:sz w:val="20"/>
                <w:szCs w:val="20"/>
                <w:lang w:val="en-IE"/>
              </w:rPr>
              <w:t>EUR 2.2 billion</w:t>
            </w:r>
          </w:p>
        </w:tc>
        <w:tc>
          <w:tcPr>
            <w:tcW w:w="2154" w:type="dxa"/>
            <w:hideMark/>
          </w:tcPr>
          <w:p w14:paraId="1127494E" w14:textId="77777777" w:rsidR="00C77E01" w:rsidRPr="00115ECA" w:rsidRDefault="00C77E01">
            <w:pPr>
              <w:rPr>
                <w:sz w:val="20"/>
                <w:szCs w:val="20"/>
                <w:lang w:val="en-IE"/>
              </w:rPr>
            </w:pPr>
            <w:r w:rsidRPr="00115ECA">
              <w:rPr>
                <w:sz w:val="20"/>
                <w:szCs w:val="20"/>
                <w:lang w:val="en-IE"/>
              </w:rPr>
              <w:t>EUR ~10.4 billion</w:t>
            </w:r>
          </w:p>
        </w:tc>
        <w:tc>
          <w:tcPr>
            <w:tcW w:w="2154" w:type="dxa"/>
            <w:hideMark/>
          </w:tcPr>
          <w:p w14:paraId="2B33E345" w14:textId="77777777" w:rsidR="00C77E01" w:rsidRPr="00115ECA" w:rsidRDefault="00C77E01">
            <w:pPr>
              <w:rPr>
                <w:sz w:val="20"/>
                <w:szCs w:val="20"/>
                <w:lang w:val="en-IE"/>
              </w:rPr>
            </w:pPr>
            <w:r w:rsidRPr="00115ECA">
              <w:rPr>
                <w:sz w:val="20"/>
                <w:szCs w:val="20"/>
                <w:lang w:val="en-IE"/>
              </w:rPr>
              <w:t>EUR ~70 billion</w:t>
            </w:r>
          </w:p>
        </w:tc>
      </w:tr>
      <w:tr w:rsidR="00C77E01" w:rsidRPr="001B6075" w14:paraId="077CCC2A" w14:textId="77777777">
        <w:tc>
          <w:tcPr>
            <w:tcW w:w="2154" w:type="dxa"/>
            <w:hideMark/>
          </w:tcPr>
          <w:p w14:paraId="774D4C46" w14:textId="4B609615" w:rsidR="00C77E01" w:rsidRPr="00115ECA" w:rsidRDefault="00C77E01">
            <w:pPr>
              <w:jc w:val="left"/>
              <w:rPr>
                <w:sz w:val="20"/>
                <w:szCs w:val="20"/>
                <w:lang w:val="en-IE"/>
              </w:rPr>
            </w:pPr>
            <w:r w:rsidRPr="00115ECA">
              <w:rPr>
                <w:sz w:val="20"/>
                <w:szCs w:val="20"/>
                <w:lang w:val="en-IE"/>
              </w:rPr>
              <w:t>Closing 25</w:t>
            </w:r>
            <w:r w:rsidR="00405618">
              <w:rPr>
                <w:sz w:val="20"/>
                <w:szCs w:val="20"/>
                <w:lang w:val="en-IE"/>
              </w:rPr>
              <w:t>%</w:t>
            </w:r>
            <w:r w:rsidRPr="00115ECA">
              <w:rPr>
                <w:sz w:val="20"/>
                <w:szCs w:val="20"/>
                <w:lang w:val="en-IE"/>
              </w:rPr>
              <w:t xml:space="preserve"> of EU-US investment gap</w:t>
            </w:r>
          </w:p>
        </w:tc>
        <w:tc>
          <w:tcPr>
            <w:tcW w:w="2154" w:type="dxa"/>
            <w:hideMark/>
          </w:tcPr>
          <w:p w14:paraId="6B7418A8" w14:textId="77777777" w:rsidR="00C77E01" w:rsidRPr="00115ECA" w:rsidRDefault="00C77E01">
            <w:pPr>
              <w:rPr>
                <w:sz w:val="20"/>
                <w:szCs w:val="20"/>
                <w:lang w:val="en-IE"/>
              </w:rPr>
            </w:pPr>
            <w:r w:rsidRPr="00115ECA">
              <w:rPr>
                <w:sz w:val="20"/>
                <w:szCs w:val="20"/>
                <w:lang w:val="en-IE"/>
              </w:rPr>
              <w:t>EUR 4.5 billion</w:t>
            </w:r>
          </w:p>
        </w:tc>
        <w:tc>
          <w:tcPr>
            <w:tcW w:w="2154" w:type="dxa"/>
            <w:hideMark/>
          </w:tcPr>
          <w:p w14:paraId="5FE2DABE" w14:textId="77777777" w:rsidR="00C77E01" w:rsidRPr="00115ECA" w:rsidRDefault="00C77E01">
            <w:pPr>
              <w:rPr>
                <w:sz w:val="20"/>
                <w:szCs w:val="20"/>
                <w:lang w:val="en-IE"/>
              </w:rPr>
            </w:pPr>
            <w:r w:rsidRPr="00115ECA">
              <w:rPr>
                <w:sz w:val="20"/>
                <w:szCs w:val="20"/>
                <w:lang w:val="en-IE"/>
              </w:rPr>
              <w:t>EUR ~20.7 billion</w:t>
            </w:r>
          </w:p>
        </w:tc>
        <w:tc>
          <w:tcPr>
            <w:tcW w:w="2154" w:type="dxa"/>
            <w:hideMark/>
          </w:tcPr>
          <w:p w14:paraId="1CEE92A7" w14:textId="77777777" w:rsidR="00C77E01" w:rsidRPr="00115ECA" w:rsidRDefault="00C77E01">
            <w:pPr>
              <w:rPr>
                <w:sz w:val="20"/>
                <w:szCs w:val="20"/>
                <w:lang w:val="en-IE"/>
              </w:rPr>
            </w:pPr>
            <w:r w:rsidRPr="00115ECA">
              <w:rPr>
                <w:sz w:val="20"/>
                <w:szCs w:val="20"/>
                <w:lang w:val="en-IE"/>
              </w:rPr>
              <w:t>EUR ~140 billion</w:t>
            </w:r>
          </w:p>
        </w:tc>
      </w:tr>
      <w:tr w:rsidR="00C77E01" w:rsidRPr="001B6075" w14:paraId="64CF8E1E" w14:textId="77777777">
        <w:tc>
          <w:tcPr>
            <w:tcW w:w="2154" w:type="dxa"/>
            <w:hideMark/>
          </w:tcPr>
          <w:p w14:paraId="59B12346" w14:textId="689512BC" w:rsidR="00C77E01" w:rsidRPr="00115ECA" w:rsidRDefault="00C77E01">
            <w:pPr>
              <w:jc w:val="left"/>
              <w:rPr>
                <w:sz w:val="20"/>
                <w:szCs w:val="20"/>
                <w:lang w:val="en-IE"/>
              </w:rPr>
            </w:pPr>
            <w:r w:rsidRPr="00115ECA">
              <w:rPr>
                <w:sz w:val="20"/>
                <w:szCs w:val="20"/>
                <w:lang w:val="en-IE"/>
              </w:rPr>
              <w:t>Closing 50</w:t>
            </w:r>
            <w:r w:rsidR="00405618">
              <w:rPr>
                <w:sz w:val="20"/>
                <w:szCs w:val="20"/>
                <w:lang w:val="en-IE"/>
              </w:rPr>
              <w:t>%</w:t>
            </w:r>
            <w:r w:rsidRPr="00115ECA">
              <w:rPr>
                <w:sz w:val="20"/>
                <w:szCs w:val="20"/>
                <w:lang w:val="en-IE"/>
              </w:rPr>
              <w:t xml:space="preserve"> of EU-US investment gap</w:t>
            </w:r>
          </w:p>
        </w:tc>
        <w:tc>
          <w:tcPr>
            <w:tcW w:w="2154" w:type="dxa"/>
            <w:hideMark/>
          </w:tcPr>
          <w:p w14:paraId="7BA32139" w14:textId="77777777" w:rsidR="00C77E01" w:rsidRPr="00115ECA" w:rsidRDefault="00C77E01">
            <w:pPr>
              <w:rPr>
                <w:sz w:val="20"/>
                <w:szCs w:val="20"/>
                <w:lang w:val="en-IE"/>
              </w:rPr>
            </w:pPr>
            <w:r w:rsidRPr="00115ECA">
              <w:rPr>
                <w:sz w:val="20"/>
                <w:szCs w:val="20"/>
                <w:lang w:val="en-IE"/>
              </w:rPr>
              <w:t>EUR 6.7 billion</w:t>
            </w:r>
          </w:p>
        </w:tc>
        <w:tc>
          <w:tcPr>
            <w:tcW w:w="2154" w:type="dxa"/>
            <w:hideMark/>
          </w:tcPr>
          <w:p w14:paraId="3C3E7E05" w14:textId="77777777" w:rsidR="00C77E01" w:rsidRPr="00115ECA" w:rsidRDefault="00C77E01">
            <w:pPr>
              <w:rPr>
                <w:sz w:val="20"/>
                <w:szCs w:val="20"/>
                <w:lang w:val="en-IE"/>
              </w:rPr>
            </w:pPr>
            <w:r w:rsidRPr="00115ECA">
              <w:rPr>
                <w:sz w:val="20"/>
                <w:szCs w:val="20"/>
                <w:lang w:val="en-IE"/>
              </w:rPr>
              <w:t>EUR ~31.1billion</w:t>
            </w:r>
          </w:p>
        </w:tc>
        <w:tc>
          <w:tcPr>
            <w:tcW w:w="2154" w:type="dxa"/>
            <w:hideMark/>
          </w:tcPr>
          <w:p w14:paraId="44755876" w14:textId="77777777" w:rsidR="00C77E01" w:rsidRPr="00115ECA" w:rsidRDefault="00C77E01">
            <w:pPr>
              <w:rPr>
                <w:sz w:val="20"/>
                <w:szCs w:val="20"/>
                <w:lang w:val="en-IE"/>
              </w:rPr>
            </w:pPr>
            <w:r w:rsidRPr="00115ECA">
              <w:rPr>
                <w:sz w:val="20"/>
                <w:szCs w:val="20"/>
                <w:lang w:val="en-IE"/>
              </w:rPr>
              <w:t>EUR ~210 billion</w:t>
            </w:r>
          </w:p>
        </w:tc>
      </w:tr>
    </w:tbl>
    <w:p w14:paraId="09648D3B" w14:textId="626E32C0" w:rsidR="007B6BCC" w:rsidRPr="001B6075" w:rsidRDefault="007B6BCC" w:rsidP="007B6BCC">
      <w:pPr>
        <w:rPr>
          <w:lang w:val="en-IE"/>
        </w:rPr>
      </w:pPr>
    </w:p>
    <w:p w14:paraId="0696EBB0" w14:textId="1617F550" w:rsidR="000F3479" w:rsidRPr="00DD0CE5" w:rsidRDefault="000F3479" w:rsidP="00574D27">
      <w:pPr>
        <w:pStyle w:val="Heading3"/>
        <w:rPr>
          <w:noProof/>
        </w:rPr>
      </w:pPr>
      <w:bookmarkStart w:id="247" w:name="_Toc224747234"/>
      <w:bookmarkStart w:id="248" w:name="_Toc224749704"/>
      <w:bookmarkStart w:id="249" w:name="_Toc225974582"/>
      <w:bookmarkStart w:id="250" w:name="_Toc225975255"/>
      <w:bookmarkStart w:id="251" w:name="_Toc225975312"/>
      <w:r w:rsidRPr="00DD0CE5">
        <w:t xml:space="preserve">Intervention n°15: </w:t>
      </w:r>
      <w:r w:rsidRPr="00DD0CE5">
        <w:rPr>
          <w:noProof/>
        </w:rPr>
        <w:t>Use of Artificial Intelligence and Data</w:t>
      </w:r>
      <w:bookmarkEnd w:id="247"/>
      <w:bookmarkEnd w:id="248"/>
      <w:bookmarkEnd w:id="249"/>
      <w:bookmarkEnd w:id="250"/>
      <w:bookmarkEnd w:id="251"/>
    </w:p>
    <w:p w14:paraId="1AAC68BF" w14:textId="13A029ED" w:rsidR="00A549AC" w:rsidRDefault="00A549AC" w:rsidP="00443C31">
      <w:pPr>
        <w:rPr>
          <w:rFonts w:eastAsia="Times New Roman"/>
        </w:rPr>
      </w:pPr>
      <w:r w:rsidRPr="00DD0CE5">
        <w:rPr>
          <w:noProof/>
        </w:rPr>
        <w:t xml:space="preserve">The </w:t>
      </w:r>
      <w:r w:rsidR="00FC150F">
        <w:rPr>
          <w:noProof/>
        </w:rPr>
        <w:t>Regulation</w:t>
      </w:r>
      <w:r w:rsidRPr="00DD0CE5">
        <w:rPr>
          <w:noProof/>
        </w:rPr>
        <w:t xml:space="preserve"> proposal provides for the publication and regular update of </w:t>
      </w:r>
      <w:r w:rsidRPr="00DD0CE5">
        <w:rPr>
          <w:b/>
          <w:bCs/>
          <w:noProof/>
        </w:rPr>
        <w:t>EMA guidance</w:t>
      </w:r>
      <w:r w:rsidRPr="3BA7DDAE">
        <w:rPr>
          <w:b/>
          <w:bCs/>
          <w:noProof/>
        </w:rPr>
        <w:t>,</w:t>
      </w:r>
      <w:r w:rsidRPr="4FD4F781">
        <w:rPr>
          <w:b/>
        </w:rPr>
        <w:t xml:space="preserve"> </w:t>
      </w:r>
      <w:r w:rsidRPr="6417DCAA">
        <w:rPr>
          <w:b/>
          <w:bCs/>
          <w:noProof/>
        </w:rPr>
        <w:t>in agreement with the Commission</w:t>
      </w:r>
      <w:r w:rsidR="00F8253A">
        <w:rPr>
          <w:noProof/>
        </w:rPr>
        <w:t>,</w:t>
      </w:r>
      <w:r w:rsidRPr="6417DCAA">
        <w:rPr>
          <w:b/>
          <w:bCs/>
          <w:noProof/>
        </w:rPr>
        <w:t xml:space="preserve"> </w:t>
      </w:r>
      <w:r w:rsidRPr="00DD0CE5">
        <w:rPr>
          <w:noProof/>
        </w:rPr>
        <w:t xml:space="preserve">on </w:t>
      </w:r>
      <w:r w:rsidR="001D6E5A">
        <w:rPr>
          <w:noProof/>
        </w:rPr>
        <w:t xml:space="preserve">the use of </w:t>
      </w:r>
      <w:r w:rsidRPr="00DD0CE5">
        <w:rPr>
          <w:noProof/>
        </w:rPr>
        <w:t>advanced technologies, including  AI, in the lifecycle of medicinal products</w:t>
      </w:r>
      <w:r w:rsidR="002E580F">
        <w:rPr>
          <w:noProof/>
        </w:rPr>
        <w:t xml:space="preserve">. This </w:t>
      </w:r>
      <w:r w:rsidR="00D73E63" w:rsidRPr="00D73E63">
        <w:rPr>
          <w:noProof/>
        </w:rPr>
        <w:t xml:space="preserve">guidance is expected to establish overarching principles </w:t>
      </w:r>
      <w:r w:rsidR="00D869C1">
        <w:rPr>
          <w:noProof/>
        </w:rPr>
        <w:t xml:space="preserve">to enhance clarity </w:t>
      </w:r>
      <w:r w:rsidR="00AA321C">
        <w:rPr>
          <w:noProof/>
        </w:rPr>
        <w:t xml:space="preserve">on the </w:t>
      </w:r>
      <w:r w:rsidR="00D73E63" w:rsidRPr="00D73E63">
        <w:rPr>
          <w:noProof/>
        </w:rPr>
        <w:t xml:space="preserve">use of </w:t>
      </w:r>
      <w:r w:rsidR="001D6E5A">
        <w:rPr>
          <w:noProof/>
        </w:rPr>
        <w:t>advanced technologies</w:t>
      </w:r>
      <w:r w:rsidR="00D73E63" w:rsidRPr="00D73E63">
        <w:rPr>
          <w:noProof/>
        </w:rPr>
        <w:t xml:space="preserve"> across the lifecycle, including</w:t>
      </w:r>
      <w:r w:rsidR="0054440D">
        <w:rPr>
          <w:noProof/>
        </w:rPr>
        <w:t xml:space="preserve"> </w:t>
      </w:r>
      <w:r w:rsidRPr="00DD0CE5">
        <w:rPr>
          <w:noProof/>
        </w:rPr>
        <w:t>development, manufacturing</w:t>
      </w:r>
      <w:r w:rsidR="1359D7AD" w:rsidRPr="7EB8EF4C">
        <w:rPr>
          <w:noProof/>
        </w:rPr>
        <w:t>,</w:t>
      </w:r>
      <w:r w:rsidRPr="00DD0CE5">
        <w:rPr>
          <w:noProof/>
        </w:rPr>
        <w:t xml:space="preserve"> </w:t>
      </w:r>
      <w:r w:rsidR="1359D7AD" w:rsidRPr="6B90CF92">
        <w:rPr>
          <w:rFonts w:eastAsia="Times New Roman"/>
        </w:rPr>
        <w:t>regulatory evaluation and approval</w:t>
      </w:r>
      <w:r w:rsidR="1359D7AD" w:rsidRPr="316A1A59">
        <w:rPr>
          <w:rFonts w:eastAsia="Times New Roman"/>
        </w:rPr>
        <w:t>,</w:t>
      </w:r>
      <w:r w:rsidRPr="316A1A59">
        <w:rPr>
          <w:noProof/>
        </w:rPr>
        <w:t xml:space="preserve"> </w:t>
      </w:r>
      <w:r w:rsidRPr="00DD0CE5">
        <w:rPr>
          <w:noProof/>
        </w:rPr>
        <w:t xml:space="preserve">and post-authorisation monitoring. </w:t>
      </w:r>
      <w:r w:rsidRPr="0CD65D59">
        <w:rPr>
          <w:rFonts w:eastAsia="Times New Roman"/>
        </w:rPr>
        <w:t xml:space="preserve">The proposal also provides for the recognition of high-impact health biotechnology strategic projects in the form of </w:t>
      </w:r>
      <w:r w:rsidRPr="00592B81">
        <w:rPr>
          <w:rFonts w:eastAsia="Times New Roman"/>
          <w:b/>
        </w:rPr>
        <w:t>trusted AI-enabled biotechnology testing environments</w:t>
      </w:r>
      <w:r w:rsidRPr="0CD65D59">
        <w:rPr>
          <w:rFonts w:eastAsia="Times New Roman"/>
        </w:rPr>
        <w:t xml:space="preserve"> </w:t>
      </w:r>
      <w:r w:rsidR="00940143">
        <w:rPr>
          <w:rFonts w:eastAsia="Times New Roman"/>
        </w:rPr>
        <w:t>(</w:t>
      </w:r>
      <w:r w:rsidR="00940143" w:rsidRPr="0CD65D59">
        <w:rPr>
          <w:rFonts w:eastAsia="Times New Roman"/>
        </w:rPr>
        <w:t>to facilitate integrated experimentation and translational validation</w:t>
      </w:r>
      <w:r w:rsidR="00940143">
        <w:rPr>
          <w:rFonts w:eastAsia="Times New Roman"/>
        </w:rPr>
        <w:t>)</w:t>
      </w:r>
      <w:r w:rsidR="00940143" w:rsidRPr="0CD65D59">
        <w:rPr>
          <w:rFonts w:eastAsia="Times New Roman"/>
        </w:rPr>
        <w:t xml:space="preserve"> </w:t>
      </w:r>
      <w:r w:rsidRPr="0CD65D59">
        <w:rPr>
          <w:rFonts w:eastAsia="Times New Roman"/>
        </w:rPr>
        <w:t xml:space="preserve">and </w:t>
      </w:r>
      <w:r w:rsidRPr="00592B81">
        <w:rPr>
          <w:rFonts w:eastAsia="Times New Roman"/>
          <w:b/>
        </w:rPr>
        <w:t>biotechnology data quality accelerators</w:t>
      </w:r>
      <w:r w:rsidR="00940143" w:rsidRPr="00940143">
        <w:rPr>
          <w:rFonts w:eastAsia="Times New Roman"/>
        </w:rPr>
        <w:t xml:space="preserve"> </w:t>
      </w:r>
      <w:r w:rsidR="00940143">
        <w:rPr>
          <w:rFonts w:eastAsia="Times New Roman"/>
        </w:rPr>
        <w:t xml:space="preserve">to </w:t>
      </w:r>
      <w:r w:rsidR="00940143" w:rsidRPr="0CD65D59">
        <w:rPr>
          <w:rFonts w:eastAsia="Times New Roman"/>
        </w:rPr>
        <w:t>support the curation, standardisation and annotation of high-quality datasets required for the training, testing and validation of AI systems used in biotechnology applications</w:t>
      </w:r>
      <w:r w:rsidRPr="0CD65D59">
        <w:rPr>
          <w:rFonts w:eastAsia="Times New Roman"/>
        </w:rPr>
        <w:t>.</w:t>
      </w:r>
    </w:p>
    <w:p w14:paraId="29400462" w14:textId="0F0638CC" w:rsidR="00C136E7" w:rsidRPr="004F48D9" w:rsidRDefault="00C136E7" w:rsidP="00C136E7">
      <w:pPr>
        <w:pBdr>
          <w:top w:val="nil"/>
          <w:left w:val="nil"/>
          <w:bottom w:val="nil"/>
          <w:right w:val="nil"/>
          <w:between w:val="nil"/>
        </w:pBdr>
        <w:jc w:val="left"/>
        <w:rPr>
          <w:rFonts w:eastAsia="Times New Roman"/>
          <w:color w:val="000000" w:themeColor="text1"/>
          <w:u w:val="single"/>
          <w:lang w:val="en-IE"/>
        </w:rPr>
      </w:pPr>
      <w:r w:rsidRPr="004F48D9">
        <w:rPr>
          <w:rFonts w:eastAsia="Times New Roman"/>
          <w:color w:val="000000" w:themeColor="text1"/>
          <w:u w:val="single"/>
          <w:lang w:val="en-IE"/>
        </w:rPr>
        <w:t xml:space="preserve">Expected impacts: </w:t>
      </w:r>
    </w:p>
    <w:p w14:paraId="04FBD07B" w14:textId="532C78E3" w:rsidR="009B333E" w:rsidRPr="00514904" w:rsidRDefault="000D7255" w:rsidP="00514904">
      <w:pPr>
        <w:pBdr>
          <w:top w:val="nil"/>
          <w:left w:val="nil"/>
          <w:bottom w:val="nil"/>
          <w:right w:val="nil"/>
          <w:between w:val="nil"/>
        </w:pBdr>
        <w:jc w:val="left"/>
        <w:rPr>
          <w:rFonts w:eastAsia="Times New Roman"/>
          <w:color w:val="000000" w:themeColor="text1"/>
          <w:lang w:val="en-IE"/>
        </w:rPr>
      </w:pPr>
      <w:r w:rsidRPr="004F48D9">
        <w:rPr>
          <w:rFonts w:eastAsia="Times New Roman"/>
          <w:color w:val="000000" w:themeColor="text1"/>
          <w:lang w:val="en-IE"/>
        </w:rPr>
        <w:t xml:space="preserve">The effects of the </w:t>
      </w:r>
      <w:r w:rsidR="00FC150F">
        <w:rPr>
          <w:rFonts w:eastAsia="Times New Roman"/>
          <w:color w:val="000000" w:themeColor="text1"/>
          <w:lang w:val="en-IE"/>
        </w:rPr>
        <w:t xml:space="preserve">proposed </w:t>
      </w:r>
      <w:r w:rsidRPr="004F48D9">
        <w:rPr>
          <w:rFonts w:eastAsia="Times New Roman"/>
          <w:color w:val="000000" w:themeColor="text1"/>
          <w:lang w:val="en-IE"/>
        </w:rPr>
        <w:t xml:space="preserve">measure are </w:t>
      </w:r>
      <w:r w:rsidR="00A3583A" w:rsidRPr="004F48D9">
        <w:rPr>
          <w:rFonts w:eastAsia="Times New Roman"/>
          <w:color w:val="000000" w:themeColor="text1"/>
          <w:lang w:val="en-IE"/>
        </w:rPr>
        <w:t>driven by</w:t>
      </w:r>
      <w:r w:rsidRPr="004F48D9">
        <w:rPr>
          <w:rFonts w:eastAsia="Times New Roman"/>
          <w:color w:val="000000" w:themeColor="text1"/>
          <w:lang w:val="en-IE"/>
        </w:rPr>
        <w:t xml:space="preserve"> </w:t>
      </w:r>
      <w:r w:rsidR="000B77A2">
        <w:rPr>
          <w:rFonts w:eastAsia="Times New Roman"/>
          <w:color w:val="000000" w:themeColor="text1"/>
          <w:lang w:val="en-IE"/>
        </w:rPr>
        <w:t>several mechanisms:</w:t>
      </w:r>
    </w:p>
    <w:p w14:paraId="4708DDED" w14:textId="37B3865E" w:rsidR="00125708" w:rsidRPr="00592B81" w:rsidRDefault="00125708" w:rsidP="00430713">
      <w:pPr>
        <w:pStyle w:val="ListParagraph"/>
        <w:numPr>
          <w:ilvl w:val="0"/>
          <w:numId w:val="13"/>
        </w:numPr>
        <w:pBdr>
          <w:top w:val="nil"/>
          <w:left w:val="nil"/>
          <w:bottom w:val="nil"/>
          <w:right w:val="nil"/>
          <w:between w:val="nil"/>
        </w:pBdr>
        <w:jc w:val="left"/>
        <w:rPr>
          <w:rFonts w:eastAsia="Times New Roman"/>
          <w:color w:val="000000" w:themeColor="text1"/>
          <w:lang w:val="en-IE"/>
        </w:rPr>
      </w:pPr>
      <w:r w:rsidRPr="488421B7">
        <w:rPr>
          <w:rFonts w:eastAsia="Times New Roman"/>
          <w:color w:val="000000" w:themeColor="text1"/>
        </w:rPr>
        <w:t xml:space="preserve">the establishment of common principles for the </w:t>
      </w:r>
      <w:r w:rsidR="00F24619" w:rsidRPr="488421B7">
        <w:rPr>
          <w:rFonts w:eastAsia="Times New Roman"/>
          <w:color w:val="000000" w:themeColor="text1"/>
        </w:rPr>
        <w:t xml:space="preserve">clarity of </w:t>
      </w:r>
      <w:r w:rsidR="00523DD0" w:rsidRPr="488421B7">
        <w:rPr>
          <w:rFonts w:eastAsia="Times New Roman"/>
          <w:color w:val="000000" w:themeColor="text1"/>
        </w:rPr>
        <w:t>the</w:t>
      </w:r>
      <w:r w:rsidRPr="488421B7">
        <w:rPr>
          <w:rFonts w:eastAsia="Times New Roman"/>
          <w:color w:val="000000" w:themeColor="text1"/>
        </w:rPr>
        <w:t xml:space="preserve"> use of AI across the medicinal product lifecycle, supporting consistent validation approaches and alignment of regulatory expectations;</w:t>
      </w:r>
    </w:p>
    <w:p w14:paraId="11838557" w14:textId="25110598" w:rsidR="00AA68D4" w:rsidRPr="00E71499" w:rsidRDefault="000D7255" w:rsidP="00430713">
      <w:pPr>
        <w:pStyle w:val="ListParagraph"/>
        <w:numPr>
          <w:ilvl w:val="0"/>
          <w:numId w:val="13"/>
        </w:numPr>
        <w:pBdr>
          <w:top w:val="nil"/>
          <w:left w:val="nil"/>
          <w:bottom w:val="nil"/>
          <w:right w:val="nil"/>
          <w:between w:val="nil"/>
        </w:pBdr>
        <w:jc w:val="left"/>
        <w:rPr>
          <w:rFonts w:eastAsia="Times New Roman"/>
          <w:color w:val="000000" w:themeColor="text1"/>
          <w:lang w:val="en-IE"/>
        </w:rPr>
      </w:pPr>
      <w:r w:rsidRPr="00AA68D4">
        <w:rPr>
          <w:rFonts w:eastAsia="Times New Roman"/>
          <w:color w:val="000000" w:themeColor="text1"/>
          <w:lang w:val="en-IE"/>
        </w:rPr>
        <w:t xml:space="preserve">the </w:t>
      </w:r>
      <w:r w:rsidR="007D24FC" w:rsidRPr="007D24FC">
        <w:rPr>
          <w:rFonts w:eastAsia="Times New Roman"/>
          <w:color w:val="000000" w:themeColor="text1"/>
        </w:rPr>
        <w:t>complementing and structuring</w:t>
      </w:r>
      <w:r w:rsidRPr="007D24FC">
        <w:rPr>
          <w:rFonts w:eastAsia="Times New Roman"/>
          <w:color w:val="000000" w:themeColor="text1"/>
        </w:rPr>
        <w:t xml:space="preserve"> </w:t>
      </w:r>
      <w:r w:rsidRPr="00AA68D4">
        <w:rPr>
          <w:rFonts w:eastAsia="Times New Roman"/>
          <w:color w:val="000000" w:themeColor="text1"/>
          <w:lang w:val="en-IE"/>
        </w:rPr>
        <w:t xml:space="preserve">of case-by-case regulatory interactions </w:t>
      </w:r>
      <w:r w:rsidR="007D24FC">
        <w:rPr>
          <w:rFonts w:eastAsia="Times New Roman"/>
          <w:color w:val="000000" w:themeColor="text1"/>
          <w:lang w:val="en-IE"/>
        </w:rPr>
        <w:t>through</w:t>
      </w:r>
      <w:r w:rsidR="007D24FC" w:rsidRPr="00AA68D4">
        <w:rPr>
          <w:rFonts w:eastAsia="Times New Roman"/>
          <w:color w:val="000000" w:themeColor="text1"/>
          <w:lang w:val="en-IE"/>
        </w:rPr>
        <w:t xml:space="preserve"> </w:t>
      </w:r>
      <w:r w:rsidRPr="00AA68D4">
        <w:rPr>
          <w:rFonts w:eastAsia="Times New Roman"/>
          <w:color w:val="000000" w:themeColor="text1"/>
          <w:lang w:val="en-IE"/>
        </w:rPr>
        <w:t xml:space="preserve">publicly available guidance, </w:t>
      </w:r>
      <w:r w:rsidR="00D70A1C" w:rsidRPr="00D70A1C">
        <w:rPr>
          <w:rFonts w:eastAsia="Times New Roman"/>
          <w:color w:val="000000" w:themeColor="text1"/>
          <w:lang w:val="en-IE"/>
        </w:rPr>
        <w:t>improving predictability and supporting the consistent deployment of AI across the medicinal product lifecycle</w:t>
      </w:r>
      <w:r w:rsidR="00B13027">
        <w:rPr>
          <w:rFonts w:eastAsia="Times New Roman"/>
          <w:color w:val="000000" w:themeColor="text1"/>
        </w:rPr>
        <w:t>;</w:t>
      </w:r>
    </w:p>
    <w:p w14:paraId="2F808917" w14:textId="10AEF1C4" w:rsidR="00AA68D4" w:rsidRPr="00E71499" w:rsidRDefault="000D7255" w:rsidP="00430713">
      <w:pPr>
        <w:pStyle w:val="ListParagraph"/>
        <w:numPr>
          <w:ilvl w:val="0"/>
          <w:numId w:val="13"/>
        </w:numPr>
        <w:pBdr>
          <w:top w:val="nil"/>
          <w:left w:val="nil"/>
          <w:bottom w:val="nil"/>
          <w:right w:val="nil"/>
          <w:between w:val="nil"/>
        </w:pBdr>
        <w:jc w:val="left"/>
        <w:rPr>
          <w:rFonts w:eastAsia="Times New Roman"/>
          <w:color w:val="000000" w:themeColor="text1"/>
          <w:lang w:val="en-IE"/>
        </w:rPr>
      </w:pPr>
      <w:r w:rsidRPr="00AA68D4">
        <w:rPr>
          <w:rFonts w:eastAsia="Times New Roman"/>
          <w:color w:val="000000" w:themeColor="text1"/>
          <w:lang w:val="en-IE"/>
        </w:rPr>
        <w:t xml:space="preserve">the provision of shared </w:t>
      </w:r>
      <w:r w:rsidR="00CA575A" w:rsidRPr="00CA575A">
        <w:rPr>
          <w:rFonts w:eastAsia="Times New Roman"/>
          <w:color w:val="000000" w:themeColor="text1"/>
          <w:lang w:val="en-IE"/>
        </w:rPr>
        <w:t>AI-enabled biotechnology testing environments combining experimental, computational and data-driven capabilities, reducing firm-level constraints and facilitating faster validation and scale-up of innovations</w:t>
      </w:r>
      <w:r w:rsidR="00A033B3">
        <w:rPr>
          <w:rFonts w:eastAsia="Times New Roman"/>
          <w:color w:val="000000" w:themeColor="text1"/>
          <w:lang w:val="en-IE"/>
        </w:rPr>
        <w:t>;</w:t>
      </w:r>
      <w:r w:rsidR="00CA575A">
        <w:rPr>
          <w:rFonts w:eastAsia="Times New Roman"/>
          <w:color w:val="000000" w:themeColor="text1"/>
          <w:lang w:val="en-IE"/>
        </w:rPr>
        <w:t xml:space="preserve"> </w:t>
      </w:r>
    </w:p>
    <w:p w14:paraId="1C379D40" w14:textId="0275250B" w:rsidR="0091228B" w:rsidRPr="0091228B" w:rsidRDefault="001A3816" w:rsidP="00430713">
      <w:pPr>
        <w:pStyle w:val="ListParagraph"/>
        <w:numPr>
          <w:ilvl w:val="0"/>
          <w:numId w:val="13"/>
        </w:numPr>
        <w:pBdr>
          <w:top w:val="nil"/>
          <w:left w:val="nil"/>
          <w:bottom w:val="nil"/>
          <w:right w:val="nil"/>
          <w:between w:val="nil"/>
        </w:pBdr>
        <w:jc w:val="left"/>
        <w:rPr>
          <w:rFonts w:eastAsia="Times New Roman"/>
          <w:color w:val="000000" w:themeColor="text1"/>
          <w:lang w:val="en-IE"/>
        </w:rPr>
      </w:pPr>
      <w:r w:rsidRPr="0091228B">
        <w:rPr>
          <w:rFonts w:eastAsia="Times New Roman"/>
          <w:color w:val="000000" w:themeColor="text1"/>
          <w:lang w:val="en-IE"/>
        </w:rPr>
        <w:t xml:space="preserve">the improvement of data quality for AI applications, </w:t>
      </w:r>
      <w:r w:rsidR="002D747A" w:rsidRPr="0091228B">
        <w:rPr>
          <w:rFonts w:eastAsia="Times New Roman"/>
          <w:color w:val="000000" w:themeColor="text1"/>
          <w:lang w:val="en-IE"/>
        </w:rPr>
        <w:t>through</w:t>
      </w:r>
      <w:r w:rsidRPr="0091228B">
        <w:rPr>
          <w:rFonts w:eastAsia="Times New Roman"/>
          <w:color w:val="000000" w:themeColor="text1"/>
          <w:lang w:val="en-IE"/>
        </w:rPr>
        <w:t xml:space="preserve"> the curation, annotation, standardisation and provenance of datasets to support the training, testing and validation of AI systems in biotechnology. </w:t>
      </w:r>
    </w:p>
    <w:p w14:paraId="1D4E694E" w14:textId="7885EE40" w:rsidR="000D7255" w:rsidRPr="00E320BD" w:rsidRDefault="000D7255" w:rsidP="00CD6D61">
      <w:pPr>
        <w:rPr>
          <w:lang w:val="en-IE"/>
        </w:rPr>
      </w:pPr>
      <w:r w:rsidRPr="00E320BD">
        <w:rPr>
          <w:lang w:val="en-IE"/>
        </w:rPr>
        <w:t>These mechanisms are interdependent and reinforce each other, with outcomes scaling with the number and maturity of recognised projects</w:t>
      </w:r>
      <w:r w:rsidR="00B13027">
        <w:rPr>
          <w:lang w:val="en-IE"/>
        </w:rPr>
        <w:t xml:space="preserve"> in the form of testing environments and data quality accelerators.</w:t>
      </w:r>
    </w:p>
    <w:p w14:paraId="48D2C781" w14:textId="18E1DBD7" w:rsidR="003737F2" w:rsidRPr="003737F2" w:rsidRDefault="6596620B" w:rsidP="00CD6D61">
      <w:r w:rsidRPr="00AA68D4">
        <w:t>By combining</w:t>
      </w:r>
      <w:r w:rsidR="007B2E88" w:rsidRPr="00AA68D4">
        <w:t xml:space="preserve"> </w:t>
      </w:r>
      <w:r w:rsidRPr="00AA68D4">
        <w:t xml:space="preserve">improved regulatory clarity, enhanced validation infrastructure and higher-quality datasets, </w:t>
      </w:r>
      <w:r w:rsidRPr="0CD65D59">
        <w:rPr>
          <w:rFonts w:eastAsia="Times New Roman"/>
        </w:rPr>
        <w:t xml:space="preserve">the </w:t>
      </w:r>
      <w:r w:rsidR="25A54081" w:rsidRPr="0CD65D59">
        <w:rPr>
          <w:rFonts w:eastAsia="Times New Roman"/>
          <w:noProof/>
        </w:rPr>
        <w:t xml:space="preserve">measures </w:t>
      </w:r>
      <w:r w:rsidR="25A54081">
        <w:rPr>
          <w:rFonts w:eastAsia="Times New Roman"/>
          <w:noProof/>
        </w:rPr>
        <w:t>are expected</w:t>
      </w:r>
      <w:r w:rsidR="25A54081" w:rsidRPr="0CD65D59">
        <w:rPr>
          <w:rFonts w:eastAsia="Times New Roman"/>
          <w:noProof/>
        </w:rPr>
        <w:t xml:space="preserve"> to</w:t>
      </w:r>
      <w:r w:rsidR="25A54081">
        <w:rPr>
          <w:rFonts w:eastAsia="Times New Roman"/>
          <w:noProof/>
        </w:rPr>
        <w:t xml:space="preserve"> help</w:t>
      </w:r>
      <w:r w:rsidR="25A54081" w:rsidRPr="0CD65D59">
        <w:rPr>
          <w:rFonts w:eastAsia="Times New Roman"/>
          <w:noProof/>
        </w:rPr>
        <w:t xml:space="preserve"> address key structural bottlenecks that currently limit the translation of Europe’s scientific excellence into scalable </w:t>
      </w:r>
      <w:r w:rsidR="00A033B3" w:rsidRPr="0CD65D59">
        <w:rPr>
          <w:rFonts w:eastAsia="Times New Roman"/>
          <w:noProof/>
        </w:rPr>
        <w:t>innovation and</w:t>
      </w:r>
      <w:r w:rsidR="25A54081">
        <w:t xml:space="preserve"> there</w:t>
      </w:r>
      <w:r w:rsidR="20FAEFC4">
        <w:t>b</w:t>
      </w:r>
      <w:r w:rsidR="25A54081">
        <w:t>y</w:t>
      </w:r>
      <w:r w:rsidRPr="00AA68D4">
        <w:t xml:space="preserve"> facilitate the translation of research into scalable innovation and contribute to strengthening the </w:t>
      </w:r>
      <w:r w:rsidR="00073476">
        <w:t>EU’s</w:t>
      </w:r>
      <w:r w:rsidRPr="00AA68D4">
        <w:t xml:space="preserve"> competitiveness in AI-enabled biotechnology</w:t>
      </w:r>
      <w:r w:rsidR="00ED4820" w:rsidRPr="00AA68D4">
        <w:rPr>
          <w:rStyle w:val="FootnoteReference"/>
          <w:rFonts w:eastAsia="Times New Roman"/>
          <w:color w:val="000000" w:themeColor="text1"/>
        </w:rPr>
        <w:footnoteReference w:id="258"/>
      </w:r>
      <w:r w:rsidR="00E05CD8">
        <w:t>.</w:t>
      </w:r>
      <w:r w:rsidRPr="003737F2">
        <w:t xml:space="preserve"> </w:t>
      </w:r>
    </w:p>
    <w:p w14:paraId="32CF63C4" w14:textId="4CF35A9D" w:rsidR="003D189F" w:rsidRDefault="003D189F" w:rsidP="00CD6D61">
      <w:pPr>
        <w:rPr>
          <w:lang w:val="en-IE"/>
        </w:rPr>
      </w:pPr>
      <w:r w:rsidRPr="004F48D9">
        <w:rPr>
          <w:lang w:val="en-IE"/>
        </w:rPr>
        <w:t>Uptake of high</w:t>
      </w:r>
      <w:r w:rsidR="00D37D8F">
        <w:rPr>
          <w:lang w:val="en-IE"/>
        </w:rPr>
        <w:t>-</w:t>
      </w:r>
      <w:r w:rsidRPr="004F48D9">
        <w:rPr>
          <w:lang w:val="en-IE"/>
        </w:rPr>
        <w:t xml:space="preserve">impact projects (testing environments and data quality accelerators) is a key variable, and the scale of effects should be interpreted as proportional to the number, capacity and maturity of recognised projects. This reflects the project-based nature of the intervention and the reliance on public and private co-investment, </w:t>
      </w:r>
      <w:r w:rsidR="002527B9">
        <w:rPr>
          <w:lang w:val="en-IE"/>
        </w:rPr>
        <w:t>which make</w:t>
      </w:r>
      <w:r w:rsidR="002527B9" w:rsidRPr="004F48D9">
        <w:rPr>
          <w:lang w:val="en-IE"/>
        </w:rPr>
        <w:t xml:space="preserve"> </w:t>
      </w:r>
      <w:r w:rsidRPr="004F48D9">
        <w:rPr>
          <w:lang w:val="en-IE"/>
        </w:rPr>
        <w:t>differen</w:t>
      </w:r>
      <w:r w:rsidR="005E4733" w:rsidRPr="004F48D9">
        <w:rPr>
          <w:lang w:val="en-IE"/>
        </w:rPr>
        <w:t>t uptake</w:t>
      </w:r>
      <w:r w:rsidRPr="004F48D9">
        <w:rPr>
          <w:lang w:val="en-IE"/>
        </w:rPr>
        <w:t xml:space="preserve"> scenarios </w:t>
      </w:r>
      <w:r w:rsidR="00DA5BFD" w:rsidRPr="004F48D9">
        <w:rPr>
          <w:lang w:val="en-IE"/>
        </w:rPr>
        <w:t>possible</w:t>
      </w:r>
      <w:r w:rsidRPr="004F48D9">
        <w:rPr>
          <w:lang w:val="en-IE"/>
        </w:rPr>
        <w:t>.</w:t>
      </w:r>
    </w:p>
    <w:p w14:paraId="540D8B33" w14:textId="53DFB407" w:rsidR="00B87D45" w:rsidRPr="00B87D45" w:rsidRDefault="009C026B" w:rsidP="00CD6D61">
      <w:pPr>
        <w:rPr>
          <w:lang w:val="en-IE"/>
        </w:rPr>
      </w:pPr>
      <w:r>
        <w:rPr>
          <w:b/>
          <w:lang w:val="en-IE"/>
        </w:rPr>
        <w:t>C</w:t>
      </w:r>
      <w:r w:rsidR="00B87D45" w:rsidRPr="00B87D45">
        <w:rPr>
          <w:b/>
          <w:lang w:val="en-IE"/>
        </w:rPr>
        <w:t>onduct of business</w:t>
      </w:r>
      <w:r>
        <w:rPr>
          <w:b/>
          <w:lang w:val="en-IE"/>
        </w:rPr>
        <w:t xml:space="preserve">: </w:t>
      </w:r>
      <w:r>
        <w:rPr>
          <w:bCs/>
          <w:lang w:val="en-IE"/>
        </w:rPr>
        <w:t>These impacts</w:t>
      </w:r>
      <w:r w:rsidR="006F7F2D">
        <w:rPr>
          <w:lang w:val="en-IE"/>
        </w:rPr>
        <w:t xml:space="preserve"> </w:t>
      </w:r>
      <w:r w:rsidR="00F46C22">
        <w:rPr>
          <w:lang w:val="en-IE"/>
        </w:rPr>
        <w:t>include</w:t>
      </w:r>
      <w:r w:rsidR="00B87D45" w:rsidRPr="00B87D45">
        <w:rPr>
          <w:lang w:val="en-IE"/>
        </w:rPr>
        <w:t xml:space="preserve"> </w:t>
      </w:r>
      <w:r w:rsidR="00D9610E">
        <w:rPr>
          <w:lang w:val="en-IE"/>
        </w:rPr>
        <w:t>less</w:t>
      </w:r>
      <w:r w:rsidR="00D9610E" w:rsidRPr="00B87D45">
        <w:rPr>
          <w:lang w:val="en-IE"/>
        </w:rPr>
        <w:t xml:space="preserve"> </w:t>
      </w:r>
      <w:r w:rsidR="00B87D45" w:rsidRPr="00B87D45">
        <w:rPr>
          <w:lang w:val="en-IE"/>
        </w:rPr>
        <w:t xml:space="preserve">regulatory uncertainty and </w:t>
      </w:r>
      <w:r w:rsidR="00D9610E">
        <w:rPr>
          <w:lang w:val="en-IE"/>
        </w:rPr>
        <w:t>better</w:t>
      </w:r>
      <w:r w:rsidR="00D9610E" w:rsidRPr="00B87D45">
        <w:rPr>
          <w:lang w:val="en-IE"/>
        </w:rPr>
        <w:t xml:space="preserve"> </w:t>
      </w:r>
      <w:r w:rsidR="00B87D45" w:rsidRPr="00B87D45">
        <w:rPr>
          <w:lang w:val="en-IE"/>
        </w:rPr>
        <w:t>access to validation and scale-up capacity. The guidance introduces a shift from case-by-case regulatory interactions to a publicly available reference point, replacing confidential and non-reusable exchanges and reducing transaction costs and internal deliberation time. This allows firms to take development decisions earlier and with greater confidence. Testing environments and data</w:t>
      </w:r>
      <w:r w:rsidR="00A22C37">
        <w:rPr>
          <w:lang w:val="en-IE"/>
        </w:rPr>
        <w:t xml:space="preserve"> </w:t>
      </w:r>
      <w:r w:rsidR="00383BD4">
        <w:rPr>
          <w:lang w:val="en-IE"/>
        </w:rPr>
        <w:t>quality</w:t>
      </w:r>
      <w:r w:rsidR="00B87D45" w:rsidRPr="00B87D45">
        <w:rPr>
          <w:lang w:val="en-IE"/>
        </w:rPr>
        <w:t xml:space="preserve"> accelerators address the </w:t>
      </w:r>
      <w:r w:rsidR="002C55E3">
        <w:rPr>
          <w:lang w:val="en-IE"/>
        </w:rPr>
        <w:t>l</w:t>
      </w:r>
      <w:r w:rsidR="002069B2" w:rsidRPr="002069B2">
        <w:t xml:space="preserve">imitations in </w:t>
      </w:r>
      <w:r w:rsidR="00455F78">
        <w:t>terms of</w:t>
      </w:r>
      <w:r w:rsidR="002069B2" w:rsidRPr="002069B2">
        <w:t xml:space="preserve"> access</w:t>
      </w:r>
      <w:r w:rsidR="00B87D45" w:rsidRPr="00B87D45">
        <w:rPr>
          <w:lang w:val="en-IE"/>
        </w:rPr>
        <w:t xml:space="preserve"> </w:t>
      </w:r>
      <w:r w:rsidR="00455F78">
        <w:rPr>
          <w:lang w:val="en-IE"/>
        </w:rPr>
        <w:t>to</w:t>
      </w:r>
      <w:r w:rsidR="00455F78" w:rsidRPr="00B87D45">
        <w:rPr>
          <w:lang w:val="en-IE"/>
        </w:rPr>
        <w:t xml:space="preserve"> </w:t>
      </w:r>
      <w:r w:rsidR="00B87D45" w:rsidRPr="00B87D45">
        <w:rPr>
          <w:lang w:val="en-IE"/>
        </w:rPr>
        <w:t xml:space="preserve">shared pilot and scale-up infrastructure, with time-to-access effects being material. Under baseline conditions, firms must independently finance or secure validation capacity, </w:t>
      </w:r>
      <w:r w:rsidR="006F7F2D">
        <w:rPr>
          <w:lang w:val="en-IE"/>
        </w:rPr>
        <w:t>which entails</w:t>
      </w:r>
      <w:r w:rsidR="006F7F2D" w:rsidRPr="00B87D45">
        <w:rPr>
          <w:lang w:val="en-IE"/>
        </w:rPr>
        <w:t xml:space="preserve"> </w:t>
      </w:r>
      <w:r w:rsidR="00B87D45" w:rsidRPr="00B87D45">
        <w:rPr>
          <w:lang w:val="en-IE"/>
        </w:rPr>
        <w:t xml:space="preserve">high fixed costs, long lead times and coordination </w:t>
      </w:r>
      <w:r w:rsidR="009F1F7D">
        <w:rPr>
          <w:lang w:val="en-IE"/>
        </w:rPr>
        <w:t>challenges</w:t>
      </w:r>
      <w:r w:rsidR="00B87D45" w:rsidRPr="00B87D45">
        <w:rPr>
          <w:lang w:val="en-IE"/>
        </w:rPr>
        <w:t xml:space="preserve">. Shared infrastructure converts firm-level capital expenditure into pooled capacity, reducing </w:t>
      </w:r>
      <w:r w:rsidR="00B87D45" w:rsidRPr="002100E2">
        <w:rPr>
          <w:lang w:val="en-IE"/>
        </w:rPr>
        <w:t>delays</w:t>
      </w:r>
      <w:r w:rsidR="00CB0D94" w:rsidRPr="002100E2">
        <w:rPr>
          <w:lang w:val="en-IE"/>
        </w:rPr>
        <w:t xml:space="preserve"> </w:t>
      </w:r>
      <w:r w:rsidR="00A062A2" w:rsidRPr="00E71499">
        <w:rPr>
          <w:lang w:val="en-IE"/>
        </w:rPr>
        <w:t xml:space="preserve">in accessing pilot-GMP capacity </w:t>
      </w:r>
      <w:r w:rsidR="00B87D45" w:rsidRPr="002100E2">
        <w:rPr>
          <w:lang w:val="en-IE"/>
        </w:rPr>
        <w:t xml:space="preserve">and limiting </w:t>
      </w:r>
      <w:r w:rsidR="00EA6306" w:rsidRPr="000048BB">
        <w:rPr>
          <w:lang w:val="en-IE"/>
        </w:rPr>
        <w:t xml:space="preserve">the risks of </w:t>
      </w:r>
      <w:r w:rsidR="00A062A2" w:rsidRPr="000048BB">
        <w:rPr>
          <w:lang w:val="en-IE"/>
        </w:rPr>
        <w:t xml:space="preserve">overall </w:t>
      </w:r>
      <w:r w:rsidR="00B87D45" w:rsidRPr="002100E2">
        <w:rPr>
          <w:lang w:val="en-IE"/>
        </w:rPr>
        <w:t>project delay</w:t>
      </w:r>
      <w:r w:rsidR="00B8197F">
        <w:rPr>
          <w:lang w:val="en-IE"/>
        </w:rPr>
        <w:t>.</w:t>
      </w:r>
      <w:r w:rsidR="00CB0D94">
        <w:rPr>
          <w:lang w:val="en-IE"/>
        </w:rPr>
        <w:t xml:space="preserve"> </w:t>
      </w:r>
      <w:r w:rsidR="00EA6306">
        <w:rPr>
          <w:lang w:val="en-IE"/>
        </w:rPr>
        <w:t>Providing</w:t>
      </w:r>
      <w:r w:rsidR="00B87D45" w:rsidRPr="00B87D45">
        <w:rPr>
          <w:lang w:val="en-IE"/>
        </w:rPr>
        <w:t xml:space="preserve"> access to such infrastructure operates as an enabling condition for commercialisation.</w:t>
      </w:r>
    </w:p>
    <w:p w14:paraId="26A20B88" w14:textId="2BEC8A8E" w:rsidR="00B87D45" w:rsidRPr="00B87D45" w:rsidRDefault="00DB52CB" w:rsidP="00CD6D61">
      <w:pPr>
        <w:rPr>
          <w:lang w:val="en-IE"/>
        </w:rPr>
      </w:pPr>
      <w:r>
        <w:rPr>
          <w:b/>
          <w:lang w:val="en-IE"/>
        </w:rPr>
        <w:t>A</w:t>
      </w:r>
      <w:r w:rsidR="00B87D45" w:rsidRPr="00B87D45">
        <w:rPr>
          <w:b/>
          <w:lang w:val="en-IE"/>
        </w:rPr>
        <w:t xml:space="preserve">dministrative costs on businesses, including </w:t>
      </w:r>
      <w:r w:rsidR="00B8197F" w:rsidRPr="00B87D45">
        <w:rPr>
          <w:b/>
          <w:lang w:val="en-IE"/>
        </w:rPr>
        <w:t>SMEs</w:t>
      </w:r>
      <w:r w:rsidR="005F7EEF">
        <w:rPr>
          <w:lang w:val="en-IE"/>
        </w:rPr>
        <w:t>: These costs</w:t>
      </w:r>
      <w:r w:rsidR="00B8197F" w:rsidRPr="00592B81">
        <w:t xml:space="preserve"> are</w:t>
      </w:r>
      <w:r w:rsidR="00A81304" w:rsidRPr="00592B81">
        <w:t xml:space="preserve"> expected to evolve in a balanced manner. While guidance can reduce repeated clarification processes and improve predictability, care may be needed to ensure sufficient flexibility in its application. Participation in testing environments and data quality accelerators may entail certain administrative steps, such as application, reporting and knowledge-sharing; however, these are expected to be proportionate and to support transparency, collaboration and the generation of shared evidence.</w:t>
      </w:r>
      <w:r w:rsidR="00592B81">
        <w:t xml:space="preserve"> </w:t>
      </w:r>
      <w:r w:rsidR="00A81304" w:rsidRPr="00592B81">
        <w:t>Appropriate design of support frameworks, including streamlined procedures, can help facilitate participation and ensure that administrative processes remain aligned with the pace of technological development.</w:t>
      </w:r>
      <w:r w:rsidR="00B87D45">
        <w:rPr>
          <w:b/>
        </w:rPr>
        <w:t xml:space="preserve"> </w:t>
      </w:r>
    </w:p>
    <w:p w14:paraId="78C363CF" w14:textId="3DC88D40" w:rsidR="00B87D45" w:rsidRPr="00B87D45" w:rsidRDefault="00B87D45" w:rsidP="00CD6D61">
      <w:pPr>
        <w:rPr>
          <w:lang w:val="en-IE"/>
        </w:rPr>
      </w:pPr>
      <w:r w:rsidRPr="00B87D45">
        <w:rPr>
          <w:b/>
          <w:lang w:val="en-IE"/>
        </w:rPr>
        <w:t>Competitiveness, trade and investment flows</w:t>
      </w:r>
      <w:r w:rsidR="005F7EEF">
        <w:rPr>
          <w:b/>
          <w:lang w:val="en-IE"/>
        </w:rPr>
        <w:t>:</w:t>
      </w:r>
      <w:r w:rsidR="009337FB">
        <w:rPr>
          <w:b/>
          <w:lang w:val="en-IE"/>
        </w:rPr>
        <w:t xml:space="preserve"> </w:t>
      </w:r>
      <w:r w:rsidR="009337FB">
        <w:rPr>
          <w:bCs/>
          <w:lang w:val="en-IE"/>
        </w:rPr>
        <w:t>These</w:t>
      </w:r>
      <w:r w:rsidRPr="00B87D45">
        <w:rPr>
          <w:lang w:val="en-IE"/>
        </w:rPr>
        <w:t xml:space="preserve"> reflect the availability of validation infrastructure and AI-ready data. </w:t>
      </w:r>
      <w:r w:rsidRPr="0091031F">
        <w:rPr>
          <w:lang w:val="en-IE"/>
        </w:rPr>
        <w:t>Testing environments</w:t>
      </w:r>
      <w:r w:rsidRPr="00B87D45">
        <w:rPr>
          <w:lang w:val="en-IE"/>
        </w:rPr>
        <w:t xml:space="preserve"> contribute by addressing </w:t>
      </w:r>
      <w:r w:rsidR="00811B24">
        <w:rPr>
          <w:lang w:val="en-IE"/>
        </w:rPr>
        <w:t>key</w:t>
      </w:r>
      <w:r w:rsidRPr="00B87D45">
        <w:rPr>
          <w:lang w:val="en-IE"/>
        </w:rPr>
        <w:t xml:space="preserve"> R&amp;D </w:t>
      </w:r>
      <w:r w:rsidR="00811B24">
        <w:rPr>
          <w:lang w:val="en-IE"/>
        </w:rPr>
        <w:t>constraints</w:t>
      </w:r>
      <w:r w:rsidRPr="00B87D45">
        <w:rPr>
          <w:lang w:val="en-IE"/>
        </w:rPr>
        <w:t xml:space="preserve">, providing integrated capacity for validation and </w:t>
      </w:r>
      <w:r w:rsidRPr="006D380E">
        <w:t xml:space="preserve">supporting </w:t>
      </w:r>
      <w:r w:rsidR="006D380E" w:rsidRPr="006D380E">
        <w:t xml:space="preserve">development </w:t>
      </w:r>
      <w:r w:rsidR="00B1138B">
        <w:t xml:space="preserve">of such </w:t>
      </w:r>
      <w:r w:rsidR="00C312A6">
        <w:t xml:space="preserve">activities </w:t>
      </w:r>
      <w:r w:rsidR="006D380E" w:rsidRPr="006D380E">
        <w:t>within the Union</w:t>
      </w:r>
      <w:r w:rsidR="00C312A6" w:rsidRPr="00B87D45">
        <w:rPr>
          <w:lang w:val="en-IE"/>
        </w:rPr>
        <w:t>.</w:t>
      </w:r>
      <w:r w:rsidRPr="00B87D45">
        <w:rPr>
          <w:lang w:val="en-IE"/>
        </w:rPr>
        <w:t xml:space="preserve"> Data accelerators contribute </w:t>
      </w:r>
      <w:r w:rsidR="00A57252">
        <w:rPr>
          <w:lang w:val="en-IE"/>
        </w:rPr>
        <w:t>by</w:t>
      </w:r>
      <w:r w:rsidRPr="00B87D45">
        <w:rPr>
          <w:lang w:val="en-IE"/>
        </w:rPr>
        <w:t xml:space="preserve"> reducing </w:t>
      </w:r>
      <w:r w:rsidR="00575A52">
        <w:rPr>
          <w:lang w:val="en-IE"/>
        </w:rPr>
        <w:t>‘</w:t>
      </w:r>
      <w:r w:rsidRPr="00B87D45">
        <w:rPr>
          <w:lang w:val="en-IE"/>
        </w:rPr>
        <w:t>data friction</w:t>
      </w:r>
      <w:r w:rsidR="00575A52">
        <w:rPr>
          <w:lang w:val="en-IE"/>
        </w:rPr>
        <w:t>’</w:t>
      </w:r>
      <w:r w:rsidRPr="00B87D45">
        <w:rPr>
          <w:lang w:val="en-IE"/>
        </w:rPr>
        <w:t xml:space="preserve">, improving data usability, interoperability and quality, and </w:t>
      </w:r>
      <w:r w:rsidR="002328DB" w:rsidRPr="002328DB">
        <w:t>thereby lowering costs associated with fragmented datasets</w:t>
      </w:r>
      <w:r w:rsidR="002328DB" w:rsidRPr="00B87D45">
        <w:rPr>
          <w:lang w:val="en-IE"/>
        </w:rPr>
        <w:t>.</w:t>
      </w:r>
      <w:r w:rsidRPr="00B87D45">
        <w:rPr>
          <w:lang w:val="en-IE"/>
        </w:rPr>
        <w:t xml:space="preserve"> Both interventions require sustained capital and operational </w:t>
      </w:r>
      <w:r w:rsidR="000841F9">
        <w:rPr>
          <w:lang w:val="en-IE"/>
        </w:rPr>
        <w:t>support</w:t>
      </w:r>
      <w:r w:rsidR="008E3252" w:rsidRPr="008E3252">
        <w:t xml:space="preserve"> to ensure effective utilisation and maximise their impact on innovation and investment decisions</w:t>
      </w:r>
      <w:r w:rsidRPr="008E3252">
        <w:t>.</w:t>
      </w:r>
    </w:p>
    <w:p w14:paraId="7AD8E386" w14:textId="77F9B57B" w:rsidR="00B87D45" w:rsidRPr="00B87D45" w:rsidRDefault="00B87D45" w:rsidP="00CD6D61">
      <w:pPr>
        <w:rPr>
          <w:lang w:val="en-IE"/>
        </w:rPr>
      </w:pPr>
      <w:r w:rsidRPr="00B87D45">
        <w:rPr>
          <w:b/>
          <w:lang w:val="en-IE"/>
        </w:rPr>
        <w:t>Functioning of the internal market and competition</w:t>
      </w:r>
      <w:r w:rsidR="009337FB">
        <w:rPr>
          <w:b/>
          <w:lang w:val="en-IE"/>
        </w:rPr>
        <w:t xml:space="preserve">: </w:t>
      </w:r>
      <w:r w:rsidR="009337FB">
        <w:rPr>
          <w:lang w:val="en-IE"/>
        </w:rPr>
        <w:t>C</w:t>
      </w:r>
      <w:r w:rsidRPr="00B87D45">
        <w:rPr>
          <w:lang w:val="en-IE"/>
        </w:rPr>
        <w:t>hanges in data readiness and interoperability across Member States</w:t>
      </w:r>
      <w:r w:rsidR="009337FB">
        <w:rPr>
          <w:lang w:val="en-IE"/>
        </w:rPr>
        <w:t xml:space="preserve"> are expected</w:t>
      </w:r>
      <w:r w:rsidRPr="00B87D45">
        <w:rPr>
          <w:lang w:val="en-IE"/>
        </w:rPr>
        <w:t xml:space="preserve">, with fragmentation and </w:t>
      </w:r>
      <w:r w:rsidRPr="0091031F">
        <w:rPr>
          <w:lang w:val="en-IE"/>
        </w:rPr>
        <w:t>heterogeneity</w:t>
      </w:r>
      <w:r w:rsidRPr="00B87D45">
        <w:rPr>
          <w:lang w:val="en-IE"/>
        </w:rPr>
        <w:t xml:space="preserve"> in </w:t>
      </w:r>
      <w:r w:rsidR="00294F83">
        <w:rPr>
          <w:lang w:val="en-IE"/>
        </w:rPr>
        <w:t xml:space="preserve">data </w:t>
      </w:r>
      <w:r w:rsidRPr="00B87D45">
        <w:rPr>
          <w:lang w:val="en-IE"/>
        </w:rPr>
        <w:t>readiness remaining significant. Legal access to data does not ensure technical usability</w:t>
      </w:r>
      <w:r w:rsidR="00294F83">
        <w:rPr>
          <w:lang w:val="en-IE"/>
        </w:rPr>
        <w:t>,</w:t>
      </w:r>
      <w:r w:rsidRPr="00B87D45">
        <w:rPr>
          <w:lang w:val="en-IE"/>
        </w:rPr>
        <w:t xml:space="preserve"> due to differences in formats, metadata and validation criteria. Data accelerators </w:t>
      </w:r>
      <w:r w:rsidR="00294F83">
        <w:rPr>
          <w:lang w:val="en-IE"/>
        </w:rPr>
        <w:t>help</w:t>
      </w:r>
      <w:r w:rsidRPr="00B87D45">
        <w:rPr>
          <w:lang w:val="en-IE"/>
        </w:rPr>
        <w:t xml:space="preserve"> enlar</w:t>
      </w:r>
      <w:r w:rsidR="00294F83">
        <w:rPr>
          <w:lang w:val="en-IE"/>
        </w:rPr>
        <w:t xml:space="preserve">ge </w:t>
      </w:r>
      <w:r w:rsidRPr="00B87D45">
        <w:rPr>
          <w:lang w:val="en-IE"/>
        </w:rPr>
        <w:t xml:space="preserve">the effective </w:t>
      </w:r>
      <w:r w:rsidR="001622CA">
        <w:rPr>
          <w:lang w:val="en-IE"/>
        </w:rPr>
        <w:t xml:space="preserve">market </w:t>
      </w:r>
      <w:r w:rsidRPr="00B87D45">
        <w:rPr>
          <w:lang w:val="en-IE"/>
        </w:rPr>
        <w:t xml:space="preserve">for data-driven development by improving standardisation, curation and interoperability. </w:t>
      </w:r>
      <w:r w:rsidR="00CF38AB" w:rsidRPr="00CF38AB">
        <w:t>At the same time, differences in absorptive capacity and digital maturity across Member States may lead to uneven uptake in certain instances. This underlines the importance of ensuring coordinated implementation over time, so that these measures support convergence and avoid the emergence of a multi-speed internal market.</w:t>
      </w:r>
    </w:p>
    <w:p w14:paraId="5119D4C2" w14:textId="72B4947E" w:rsidR="00B87D45" w:rsidRPr="00B87D45" w:rsidRDefault="00B87D45" w:rsidP="00CD6D61">
      <w:pPr>
        <w:rPr>
          <w:lang w:val="en-IE"/>
        </w:rPr>
      </w:pPr>
      <w:r w:rsidRPr="00B87D45">
        <w:rPr>
          <w:b/>
          <w:lang w:val="en-IE"/>
        </w:rPr>
        <w:t>Innovation and research</w:t>
      </w:r>
      <w:r w:rsidR="00407480">
        <w:rPr>
          <w:b/>
          <w:lang w:val="en-IE"/>
        </w:rPr>
        <w:t xml:space="preserve">: </w:t>
      </w:r>
      <w:r w:rsidR="00407480">
        <w:rPr>
          <w:bCs/>
          <w:lang w:val="en-IE"/>
        </w:rPr>
        <w:t>I</w:t>
      </w:r>
      <w:r w:rsidR="00407480">
        <w:rPr>
          <w:lang w:val="en-IE"/>
        </w:rPr>
        <w:t>m</w:t>
      </w:r>
      <w:r w:rsidR="00867E30">
        <w:rPr>
          <w:lang w:val="en-IE"/>
        </w:rPr>
        <w:t xml:space="preserve">pacts are expected to </w:t>
      </w:r>
      <w:r w:rsidRPr="00B87D45">
        <w:rPr>
          <w:lang w:val="en-IE"/>
        </w:rPr>
        <w:t xml:space="preserve">reflect changes in regulatory uncertainty, validation capacity and data usability. The </w:t>
      </w:r>
      <w:r w:rsidRPr="0091031F">
        <w:rPr>
          <w:lang w:val="en-IE"/>
        </w:rPr>
        <w:t>guidance</w:t>
      </w:r>
      <w:r w:rsidRPr="00B87D45">
        <w:rPr>
          <w:lang w:val="en-IE"/>
        </w:rPr>
        <w:t xml:space="preserve"> </w:t>
      </w:r>
      <w:r w:rsidR="00294F83">
        <w:rPr>
          <w:lang w:val="en-IE"/>
        </w:rPr>
        <w:t>helps</w:t>
      </w:r>
      <w:r w:rsidRPr="00B87D45">
        <w:rPr>
          <w:lang w:val="en-IE"/>
        </w:rPr>
        <w:t xml:space="preserve"> reduc</w:t>
      </w:r>
      <w:r w:rsidR="00294F83">
        <w:rPr>
          <w:lang w:val="en-IE"/>
        </w:rPr>
        <w:t>e</w:t>
      </w:r>
      <w:r w:rsidRPr="00B87D45">
        <w:rPr>
          <w:lang w:val="en-IE"/>
        </w:rPr>
        <w:t xml:space="preserve"> the </w:t>
      </w:r>
      <w:r w:rsidR="005F4E09">
        <w:rPr>
          <w:lang w:val="en-IE"/>
        </w:rPr>
        <w:t>‘</w:t>
      </w:r>
      <w:r w:rsidRPr="00B87D45">
        <w:rPr>
          <w:lang w:val="en-IE"/>
        </w:rPr>
        <w:t>option value of waiting</w:t>
      </w:r>
      <w:r w:rsidR="005F4E09">
        <w:rPr>
          <w:lang w:val="en-IE"/>
        </w:rPr>
        <w:t>’</w:t>
      </w:r>
      <w:r w:rsidRPr="00B87D45">
        <w:rPr>
          <w:lang w:val="en-IE"/>
        </w:rPr>
        <w:t xml:space="preserve">, </w:t>
      </w:r>
      <w:r w:rsidR="00842B27">
        <w:rPr>
          <w:lang w:val="en-IE"/>
        </w:rPr>
        <w:t xml:space="preserve">thereby </w:t>
      </w:r>
      <w:r w:rsidRPr="00B87D45">
        <w:rPr>
          <w:lang w:val="en-IE"/>
        </w:rPr>
        <w:t xml:space="preserve">accelerating investment decisions in R&amp;D. Testing environments contribute through </w:t>
      </w:r>
      <w:r w:rsidR="00381401" w:rsidRPr="00381401">
        <w:t>addressing limitations in access to integrated validation capacity</w:t>
      </w:r>
      <w:r w:rsidRPr="00B87D45">
        <w:rPr>
          <w:lang w:val="en-IE"/>
        </w:rPr>
        <w:t xml:space="preserve">, enabling </w:t>
      </w:r>
      <w:r w:rsidR="00C232D9">
        <w:rPr>
          <w:lang w:val="en-IE"/>
        </w:rPr>
        <w:t xml:space="preserve">validation </w:t>
      </w:r>
      <w:r w:rsidRPr="00B87D45">
        <w:rPr>
          <w:lang w:val="en-IE"/>
        </w:rPr>
        <w:t>activities</w:t>
      </w:r>
      <w:r w:rsidRPr="003C3B53">
        <w:t xml:space="preserve"> </w:t>
      </w:r>
      <w:r w:rsidR="003C3B53" w:rsidRPr="003C3B53">
        <w:t>under more efficient and coordinated conditions</w:t>
      </w:r>
      <w:r w:rsidRPr="00B87D45">
        <w:rPr>
          <w:lang w:val="en-IE"/>
        </w:rPr>
        <w:t xml:space="preserve">, and supporting improved validation timelines, regulatory submissions and standardisation, including platform effects. Data </w:t>
      </w:r>
      <w:r w:rsidR="003C3B53">
        <w:rPr>
          <w:lang w:val="en-IE"/>
        </w:rPr>
        <w:t xml:space="preserve">quality </w:t>
      </w:r>
      <w:r w:rsidRPr="00B87D45">
        <w:rPr>
          <w:lang w:val="en-IE"/>
        </w:rPr>
        <w:t xml:space="preserve">accelerators contribute through </w:t>
      </w:r>
      <w:r w:rsidRPr="001912FA">
        <w:t xml:space="preserve">improving data quality and </w:t>
      </w:r>
      <w:r w:rsidR="001912FA" w:rsidRPr="001912FA">
        <w:t>reducing dataset fragmentation</w:t>
      </w:r>
      <w:r w:rsidR="001912FA">
        <w:t xml:space="preserve">, </w:t>
      </w:r>
      <w:r w:rsidRPr="00B87D45">
        <w:rPr>
          <w:lang w:val="en-IE"/>
        </w:rPr>
        <w:t xml:space="preserve">and interoperability, reducing </w:t>
      </w:r>
      <w:r w:rsidR="005C7B15">
        <w:rPr>
          <w:lang w:val="en-IE"/>
        </w:rPr>
        <w:t>the</w:t>
      </w:r>
      <w:r w:rsidRPr="00B87D45">
        <w:rPr>
          <w:lang w:val="en-IE"/>
        </w:rPr>
        <w:t xml:space="preserve"> data preparation burden, generating research productivity effects, and enabling discoveries that fragmented datasets cannot support.</w:t>
      </w:r>
    </w:p>
    <w:p w14:paraId="6703FB2E" w14:textId="17ECD35A" w:rsidR="00B87D45" w:rsidRDefault="004E6F84" w:rsidP="00CD6D61">
      <w:r w:rsidRPr="004E6F84">
        <w:rPr>
          <w:b/>
        </w:rPr>
        <w:t>Public authorities</w:t>
      </w:r>
      <w:r w:rsidR="00407480">
        <w:rPr>
          <w:b/>
        </w:rPr>
        <w:t>:</w:t>
      </w:r>
      <w:r w:rsidR="00407480">
        <w:rPr>
          <w:bCs/>
        </w:rPr>
        <w:t xml:space="preserve"> </w:t>
      </w:r>
      <w:r w:rsidR="005F4E09">
        <w:rPr>
          <w:bCs/>
        </w:rPr>
        <w:t>These stakeholders</w:t>
      </w:r>
      <w:r w:rsidRPr="004E6F84">
        <w:rPr>
          <w:b/>
        </w:rPr>
        <w:t xml:space="preserve"> </w:t>
      </w:r>
      <w:r w:rsidRPr="00592B81">
        <w:t>may need to support supervision, coordination, infrastructure maintenance and the development of specialised human capital in relation to testing environments and data quality accelerators. This includes ensuring appropriate technical capacities and skills</w:t>
      </w:r>
      <w:r w:rsidR="005F4E09">
        <w:t xml:space="preserve"> of their staff</w:t>
      </w:r>
      <w:r w:rsidRPr="00592B81">
        <w:t>, as well as the ability to adapt to evolving technological developments</w:t>
      </w:r>
      <w:r w:rsidRPr="00592B81">
        <w:rPr>
          <w:lang w:val="en-IE"/>
        </w:rPr>
        <w:t>.</w:t>
      </w:r>
      <w:r w:rsidR="00B87D45" w:rsidRPr="00B87D45">
        <w:rPr>
          <w:lang w:val="en-IE"/>
        </w:rPr>
        <w:t xml:space="preserve"> </w:t>
      </w:r>
      <w:r w:rsidR="00A239A7" w:rsidRPr="00A239A7">
        <w:t>Data quality accelerators require sustained investment in high-quality data curation and annotation capacities. This highlights the importance of ensuring continuity and coordination of funding mechanisms to support their long-term operation and maximise their impact.</w:t>
      </w:r>
    </w:p>
    <w:p w14:paraId="1EC7F259" w14:textId="4E030A17" w:rsidR="00B87D45" w:rsidRPr="00B87D45" w:rsidRDefault="00B87D45" w:rsidP="00CD6D61">
      <w:pPr>
        <w:rPr>
          <w:lang w:val="en-IE"/>
        </w:rPr>
      </w:pPr>
      <w:r w:rsidRPr="00B87D45">
        <w:rPr>
          <w:b/>
          <w:lang w:val="en-IE"/>
        </w:rPr>
        <w:t>Public health and safety</w:t>
      </w:r>
      <w:r w:rsidRPr="00B87D45">
        <w:rPr>
          <w:lang w:val="en-IE"/>
        </w:rPr>
        <w:t xml:space="preserve"> </w:t>
      </w:r>
      <w:r w:rsidR="016AC616" w:rsidRPr="753FF7A7">
        <w:rPr>
          <w:lang w:val="en-IE"/>
        </w:rPr>
        <w:t>reflect</w:t>
      </w:r>
      <w:r w:rsidRPr="00B87D45">
        <w:rPr>
          <w:lang w:val="en-IE"/>
        </w:rPr>
        <w:t xml:space="preserve"> changes in the validation of AI-enabled biomedical tools prior to deployment. Testing environments contribute </w:t>
      </w:r>
      <w:r w:rsidR="0079389E">
        <w:rPr>
          <w:lang w:val="en-IE"/>
        </w:rPr>
        <w:t>by</w:t>
      </w:r>
      <w:r w:rsidR="0079389E" w:rsidRPr="00B87D45">
        <w:rPr>
          <w:lang w:val="en-IE"/>
        </w:rPr>
        <w:t xml:space="preserve"> </w:t>
      </w:r>
      <w:r w:rsidRPr="00B87D45">
        <w:rPr>
          <w:lang w:val="en-IE"/>
        </w:rPr>
        <w:t xml:space="preserve">reducing the real-world performance gap, improving reliability through structured multi-system validation, and </w:t>
      </w:r>
      <w:r w:rsidR="00204FEE">
        <w:rPr>
          <w:lang w:val="en-IE"/>
        </w:rPr>
        <w:t>supporting the use of more</w:t>
      </w:r>
      <w:r w:rsidRPr="00B87D45">
        <w:rPr>
          <w:lang w:val="en-IE"/>
        </w:rPr>
        <w:t xml:space="preserve"> diverse datasets. </w:t>
      </w:r>
      <w:r w:rsidR="000C278A" w:rsidRPr="000C278A">
        <w:t>In combination with the guidance, this supports the consistent application of validation and risk management principles across the lifecycle of AI-enabled medicinal products.</w:t>
      </w:r>
      <w:r w:rsidR="000C278A">
        <w:t xml:space="preserve"> </w:t>
      </w:r>
      <w:r w:rsidRPr="00B87D45">
        <w:rPr>
          <w:lang w:val="en-IE"/>
        </w:rPr>
        <w:t>These developments align with evolving regulatory validation frameworks and support safer deployment of AI-enabled tools.</w:t>
      </w:r>
    </w:p>
    <w:p w14:paraId="3FBCE867" w14:textId="115D9540" w:rsidR="00982E06" w:rsidRPr="00514904" w:rsidRDefault="00982E06" w:rsidP="00982E06">
      <w:pPr>
        <w:pBdr>
          <w:top w:val="nil"/>
          <w:left w:val="nil"/>
          <w:bottom w:val="nil"/>
          <w:right w:val="nil"/>
          <w:between w:val="nil"/>
        </w:pBdr>
        <w:rPr>
          <w:rFonts w:eastAsia="Times New Roman"/>
          <w:b/>
          <w:color w:val="000000" w:themeColor="text1"/>
        </w:rPr>
      </w:pPr>
      <w:r w:rsidRPr="00514904">
        <w:rPr>
          <w:rFonts w:eastAsia="Times New Roman"/>
          <w:b/>
          <w:color w:val="000000" w:themeColor="text1"/>
        </w:rPr>
        <w:t xml:space="preserve">Table </w:t>
      </w:r>
      <w:r w:rsidR="00992B9B">
        <w:rPr>
          <w:rFonts w:eastAsia="Times New Roman"/>
          <w:b/>
          <w:color w:val="000000" w:themeColor="text1"/>
        </w:rPr>
        <w:t>17</w:t>
      </w:r>
      <w:r w:rsidRPr="00514904">
        <w:rPr>
          <w:rFonts w:eastAsia="Times New Roman"/>
          <w:b/>
          <w:color w:val="000000" w:themeColor="text1"/>
        </w:rPr>
        <w:t xml:space="preserve">. Summary assessment of the effects </w:t>
      </w:r>
      <w:r>
        <w:rPr>
          <w:rFonts w:eastAsia="Times New Roman"/>
          <w:b/>
          <w:color w:val="000000" w:themeColor="text1"/>
        </w:rPr>
        <w:t xml:space="preserve">of </w:t>
      </w:r>
      <w:r w:rsidRPr="00982E06">
        <w:rPr>
          <w:rFonts w:eastAsia="Times New Roman"/>
          <w:b/>
          <w:color w:val="000000" w:themeColor="text1"/>
        </w:rPr>
        <w:t>Intervention n°15: Use of Artificial Intelligence and Data</w:t>
      </w:r>
    </w:p>
    <w:tbl>
      <w:tblPr>
        <w:tblStyle w:val="TableGrid"/>
        <w:tblW w:w="8560" w:type="dxa"/>
        <w:tblLook w:val="04A0" w:firstRow="1" w:lastRow="0" w:firstColumn="1" w:lastColumn="0" w:noHBand="0" w:noVBand="1"/>
      </w:tblPr>
      <w:tblGrid>
        <w:gridCol w:w="2041"/>
        <w:gridCol w:w="907"/>
        <w:gridCol w:w="907"/>
        <w:gridCol w:w="907"/>
        <w:gridCol w:w="1077"/>
        <w:gridCol w:w="907"/>
        <w:gridCol w:w="907"/>
        <w:gridCol w:w="907"/>
      </w:tblGrid>
      <w:tr w:rsidR="00982E06" w:rsidRPr="001B4ACA" w14:paraId="7B22668A" w14:textId="77777777">
        <w:trPr>
          <w:trHeight w:val="337"/>
        </w:trPr>
        <w:tc>
          <w:tcPr>
            <w:tcW w:w="2041" w:type="dxa"/>
          </w:tcPr>
          <w:p w14:paraId="4D2C9A3F" w14:textId="77777777" w:rsidR="00982E06" w:rsidRPr="004F48D9" w:rsidRDefault="00982E06">
            <w:pPr>
              <w:pBdr>
                <w:top w:val="nil"/>
                <w:left w:val="nil"/>
                <w:bottom w:val="nil"/>
                <w:right w:val="nil"/>
                <w:between w:val="nil"/>
              </w:pBdr>
              <w:rPr>
                <w:b/>
                <w:noProof/>
                <w:color w:val="000000" w:themeColor="text1"/>
                <w:sz w:val="20"/>
                <w:szCs w:val="20"/>
              </w:rPr>
            </w:pPr>
            <w:r>
              <w:rPr>
                <w:b/>
                <w:noProof/>
                <w:color w:val="000000" w:themeColor="text1"/>
                <w:sz w:val="20"/>
                <w:szCs w:val="20"/>
              </w:rPr>
              <w:t>Policy intervention</w:t>
            </w:r>
          </w:p>
        </w:tc>
        <w:tc>
          <w:tcPr>
            <w:tcW w:w="907" w:type="dxa"/>
            <w:hideMark/>
          </w:tcPr>
          <w:p w14:paraId="43265321" w14:textId="77777777" w:rsidR="00982E06" w:rsidRPr="004F48D9" w:rsidRDefault="00982E06">
            <w:pPr>
              <w:pBdr>
                <w:top w:val="nil"/>
                <w:left w:val="nil"/>
                <w:bottom w:val="nil"/>
                <w:right w:val="nil"/>
                <w:between w:val="nil"/>
              </w:pBdr>
              <w:rPr>
                <w:b/>
                <w:noProof/>
                <w:color w:val="000000" w:themeColor="text1"/>
                <w:sz w:val="20"/>
                <w:szCs w:val="20"/>
              </w:rPr>
            </w:pPr>
            <w:r w:rsidRPr="004F48D9">
              <w:rPr>
                <w:b/>
                <w:noProof/>
                <w:color w:val="000000" w:themeColor="text1"/>
                <w:sz w:val="20"/>
                <w:szCs w:val="20"/>
              </w:rPr>
              <w:t>COB</w:t>
            </w:r>
          </w:p>
        </w:tc>
        <w:tc>
          <w:tcPr>
            <w:tcW w:w="907" w:type="dxa"/>
            <w:hideMark/>
          </w:tcPr>
          <w:p w14:paraId="304FF693" w14:textId="77777777" w:rsidR="00982E06" w:rsidRPr="004F48D9" w:rsidRDefault="00982E06">
            <w:pPr>
              <w:pBdr>
                <w:top w:val="nil"/>
                <w:left w:val="nil"/>
                <w:bottom w:val="nil"/>
                <w:right w:val="nil"/>
                <w:between w:val="nil"/>
              </w:pBdr>
              <w:rPr>
                <w:b/>
                <w:noProof/>
                <w:color w:val="000000" w:themeColor="text1"/>
                <w:sz w:val="20"/>
                <w:szCs w:val="20"/>
              </w:rPr>
            </w:pPr>
            <w:r w:rsidRPr="004F48D9">
              <w:rPr>
                <w:b/>
                <w:noProof/>
                <w:color w:val="000000" w:themeColor="text1"/>
                <w:sz w:val="20"/>
                <w:szCs w:val="20"/>
              </w:rPr>
              <w:t>Admin</w:t>
            </w:r>
          </w:p>
        </w:tc>
        <w:tc>
          <w:tcPr>
            <w:tcW w:w="907" w:type="dxa"/>
            <w:hideMark/>
          </w:tcPr>
          <w:p w14:paraId="06B33A3A" w14:textId="77777777" w:rsidR="00982E06" w:rsidRPr="004F48D9" w:rsidRDefault="00982E06">
            <w:pPr>
              <w:pBdr>
                <w:top w:val="nil"/>
                <w:left w:val="nil"/>
                <w:bottom w:val="nil"/>
                <w:right w:val="nil"/>
                <w:between w:val="nil"/>
              </w:pBdr>
              <w:rPr>
                <w:b/>
                <w:noProof/>
                <w:color w:val="000000" w:themeColor="text1"/>
                <w:sz w:val="20"/>
                <w:szCs w:val="20"/>
              </w:rPr>
            </w:pPr>
            <w:r w:rsidRPr="004F48D9">
              <w:rPr>
                <w:b/>
                <w:noProof/>
                <w:color w:val="000000" w:themeColor="text1"/>
                <w:sz w:val="20"/>
                <w:szCs w:val="20"/>
              </w:rPr>
              <w:t>CTI</w:t>
            </w:r>
          </w:p>
        </w:tc>
        <w:tc>
          <w:tcPr>
            <w:tcW w:w="1077" w:type="dxa"/>
            <w:hideMark/>
          </w:tcPr>
          <w:p w14:paraId="24CD67DD" w14:textId="77777777" w:rsidR="00982E06" w:rsidRPr="004F48D9" w:rsidRDefault="00982E06">
            <w:pPr>
              <w:pBdr>
                <w:top w:val="nil"/>
                <w:left w:val="nil"/>
                <w:bottom w:val="nil"/>
                <w:right w:val="nil"/>
                <w:between w:val="nil"/>
              </w:pBdr>
              <w:rPr>
                <w:b/>
                <w:noProof/>
                <w:color w:val="000000" w:themeColor="text1"/>
                <w:sz w:val="20"/>
                <w:szCs w:val="20"/>
              </w:rPr>
            </w:pPr>
            <w:r w:rsidRPr="004F48D9">
              <w:rPr>
                <w:b/>
                <w:noProof/>
                <w:color w:val="000000" w:themeColor="text1"/>
                <w:sz w:val="20"/>
                <w:szCs w:val="20"/>
              </w:rPr>
              <w:t>Int Mar</w:t>
            </w:r>
          </w:p>
        </w:tc>
        <w:tc>
          <w:tcPr>
            <w:tcW w:w="907" w:type="dxa"/>
            <w:hideMark/>
          </w:tcPr>
          <w:p w14:paraId="771643E0" w14:textId="77777777" w:rsidR="00982E06" w:rsidRPr="004F48D9" w:rsidRDefault="00982E06">
            <w:pPr>
              <w:pBdr>
                <w:top w:val="nil"/>
                <w:left w:val="nil"/>
                <w:bottom w:val="nil"/>
                <w:right w:val="nil"/>
                <w:between w:val="nil"/>
              </w:pBdr>
              <w:rPr>
                <w:b/>
                <w:noProof/>
                <w:color w:val="000000" w:themeColor="text1"/>
                <w:sz w:val="20"/>
                <w:szCs w:val="20"/>
                <w:lang w:val="en-US"/>
              </w:rPr>
            </w:pPr>
            <w:r w:rsidRPr="004F48D9">
              <w:rPr>
                <w:b/>
                <w:noProof/>
                <w:color w:val="000000" w:themeColor="text1"/>
                <w:sz w:val="20"/>
                <w:szCs w:val="20"/>
              </w:rPr>
              <w:t>I</w:t>
            </w:r>
            <w:r w:rsidRPr="004F48D9">
              <w:rPr>
                <w:b/>
                <w:noProof/>
                <w:color w:val="000000" w:themeColor="text1"/>
                <w:sz w:val="20"/>
                <w:szCs w:val="20"/>
                <w:lang w:val="en-US"/>
              </w:rPr>
              <w:t>&amp;R</w:t>
            </w:r>
          </w:p>
        </w:tc>
        <w:tc>
          <w:tcPr>
            <w:tcW w:w="907" w:type="dxa"/>
            <w:hideMark/>
          </w:tcPr>
          <w:p w14:paraId="2C36EA3A" w14:textId="77777777" w:rsidR="00982E06" w:rsidRPr="004F48D9" w:rsidRDefault="00982E06">
            <w:pPr>
              <w:pBdr>
                <w:top w:val="nil"/>
                <w:left w:val="nil"/>
                <w:bottom w:val="nil"/>
                <w:right w:val="nil"/>
                <w:between w:val="nil"/>
              </w:pBdr>
              <w:rPr>
                <w:b/>
                <w:noProof/>
                <w:color w:val="000000" w:themeColor="text1"/>
                <w:sz w:val="20"/>
                <w:szCs w:val="20"/>
              </w:rPr>
            </w:pPr>
            <w:r w:rsidRPr="004F48D9">
              <w:rPr>
                <w:b/>
                <w:noProof/>
                <w:color w:val="000000" w:themeColor="text1"/>
                <w:sz w:val="20"/>
                <w:szCs w:val="20"/>
              </w:rPr>
              <w:t>PA</w:t>
            </w:r>
          </w:p>
        </w:tc>
        <w:tc>
          <w:tcPr>
            <w:tcW w:w="907" w:type="dxa"/>
            <w:hideMark/>
          </w:tcPr>
          <w:p w14:paraId="51C484AB" w14:textId="77777777" w:rsidR="00982E06" w:rsidRPr="004F48D9" w:rsidRDefault="00982E06">
            <w:pPr>
              <w:pBdr>
                <w:top w:val="nil"/>
                <w:left w:val="nil"/>
                <w:bottom w:val="nil"/>
                <w:right w:val="nil"/>
                <w:between w:val="nil"/>
              </w:pBdr>
              <w:rPr>
                <w:b/>
                <w:noProof/>
                <w:color w:val="000000" w:themeColor="text1"/>
                <w:sz w:val="20"/>
                <w:szCs w:val="20"/>
              </w:rPr>
            </w:pPr>
            <w:r w:rsidRPr="004F48D9">
              <w:rPr>
                <w:b/>
                <w:noProof/>
                <w:color w:val="000000" w:themeColor="text1"/>
                <w:sz w:val="20"/>
                <w:szCs w:val="20"/>
              </w:rPr>
              <w:t>H&amp;S</w:t>
            </w:r>
          </w:p>
        </w:tc>
      </w:tr>
      <w:tr w:rsidR="00F30742" w:rsidRPr="001B4ACA" w14:paraId="1F6E6FCF" w14:textId="77777777" w:rsidTr="00443C31">
        <w:trPr>
          <w:trHeight w:val="337"/>
        </w:trPr>
        <w:tc>
          <w:tcPr>
            <w:tcW w:w="2041" w:type="dxa"/>
            <w:hideMark/>
          </w:tcPr>
          <w:p w14:paraId="71C4B4D7" w14:textId="5D766C47" w:rsidR="00F30742" w:rsidRPr="004F48D9" w:rsidRDefault="00F30742" w:rsidP="00F30742">
            <w:pPr>
              <w:pBdr>
                <w:top w:val="nil"/>
                <w:left w:val="nil"/>
                <w:bottom w:val="nil"/>
                <w:right w:val="nil"/>
                <w:between w:val="nil"/>
              </w:pBdr>
              <w:rPr>
                <w:b/>
                <w:noProof/>
                <w:color w:val="000000" w:themeColor="text1"/>
                <w:sz w:val="20"/>
                <w:szCs w:val="20"/>
              </w:rPr>
            </w:pPr>
            <w:r w:rsidRPr="00982E06">
              <w:rPr>
                <w:b/>
                <w:noProof/>
                <w:color w:val="000000" w:themeColor="text1"/>
                <w:sz w:val="20"/>
                <w:szCs w:val="20"/>
              </w:rPr>
              <w:t>Use of Artificial Intelligence and Data</w:t>
            </w:r>
          </w:p>
        </w:tc>
        <w:tc>
          <w:tcPr>
            <w:tcW w:w="907" w:type="dxa"/>
            <w:vAlign w:val="center"/>
            <w:hideMark/>
          </w:tcPr>
          <w:p w14:paraId="225A8DEC" w14:textId="3949CA00" w:rsidR="00F30742" w:rsidRPr="004F48D9" w:rsidRDefault="00F30742" w:rsidP="00F30742">
            <w:pPr>
              <w:pBdr>
                <w:top w:val="nil"/>
                <w:left w:val="nil"/>
                <w:bottom w:val="nil"/>
                <w:right w:val="nil"/>
                <w:between w:val="nil"/>
              </w:pBdr>
              <w:rPr>
                <w:noProof/>
                <w:color w:val="000000" w:themeColor="text1"/>
                <w:sz w:val="20"/>
                <w:szCs w:val="20"/>
              </w:rPr>
            </w:pPr>
            <w:r>
              <w:t>++</w:t>
            </w:r>
          </w:p>
        </w:tc>
        <w:tc>
          <w:tcPr>
            <w:tcW w:w="907" w:type="dxa"/>
            <w:vAlign w:val="center"/>
            <w:hideMark/>
          </w:tcPr>
          <w:p w14:paraId="07036D48" w14:textId="7FA9F519" w:rsidR="00F30742" w:rsidRPr="004F48D9" w:rsidRDefault="00F30742" w:rsidP="00F30742">
            <w:pPr>
              <w:pBdr>
                <w:top w:val="nil"/>
                <w:left w:val="nil"/>
                <w:bottom w:val="nil"/>
                <w:right w:val="nil"/>
                <w:between w:val="nil"/>
              </w:pBdr>
              <w:rPr>
                <w:noProof/>
                <w:color w:val="000000" w:themeColor="text1"/>
                <w:sz w:val="20"/>
                <w:szCs w:val="20"/>
              </w:rPr>
            </w:pPr>
            <w:r>
              <w:t>0/+</w:t>
            </w:r>
          </w:p>
        </w:tc>
        <w:tc>
          <w:tcPr>
            <w:tcW w:w="907" w:type="dxa"/>
            <w:vAlign w:val="center"/>
            <w:hideMark/>
          </w:tcPr>
          <w:p w14:paraId="29840EC4" w14:textId="6B0DC28B" w:rsidR="00F30742" w:rsidRPr="004F48D9" w:rsidRDefault="00F30742" w:rsidP="00F30742">
            <w:pPr>
              <w:pBdr>
                <w:top w:val="nil"/>
                <w:left w:val="nil"/>
                <w:bottom w:val="nil"/>
                <w:right w:val="nil"/>
                <w:between w:val="nil"/>
              </w:pBdr>
              <w:rPr>
                <w:noProof/>
                <w:color w:val="000000" w:themeColor="text1"/>
                <w:sz w:val="20"/>
                <w:szCs w:val="20"/>
              </w:rPr>
            </w:pPr>
            <w:r>
              <w:t>++</w:t>
            </w:r>
          </w:p>
        </w:tc>
        <w:tc>
          <w:tcPr>
            <w:tcW w:w="1077" w:type="dxa"/>
            <w:vAlign w:val="center"/>
            <w:hideMark/>
          </w:tcPr>
          <w:p w14:paraId="4A37441A" w14:textId="77777777" w:rsidR="00F30742" w:rsidRPr="004F48D9" w:rsidRDefault="00F30742" w:rsidP="00F30742">
            <w:pPr>
              <w:pBdr>
                <w:top w:val="nil"/>
                <w:left w:val="nil"/>
                <w:bottom w:val="nil"/>
                <w:right w:val="nil"/>
                <w:between w:val="nil"/>
              </w:pBdr>
              <w:rPr>
                <w:noProof/>
                <w:color w:val="000000" w:themeColor="text1"/>
                <w:sz w:val="20"/>
                <w:szCs w:val="20"/>
              </w:rPr>
            </w:pPr>
            <w:r>
              <w:t>+</w:t>
            </w:r>
          </w:p>
        </w:tc>
        <w:tc>
          <w:tcPr>
            <w:tcW w:w="907" w:type="dxa"/>
            <w:vAlign w:val="center"/>
            <w:hideMark/>
          </w:tcPr>
          <w:p w14:paraId="453C7D8D" w14:textId="1AF50368" w:rsidR="00F30742" w:rsidRPr="004F48D9" w:rsidRDefault="00F30742" w:rsidP="00F30742">
            <w:pPr>
              <w:pBdr>
                <w:top w:val="nil"/>
                <w:left w:val="nil"/>
                <w:bottom w:val="nil"/>
                <w:right w:val="nil"/>
                <w:between w:val="nil"/>
              </w:pBdr>
              <w:rPr>
                <w:noProof/>
                <w:color w:val="000000" w:themeColor="text1"/>
                <w:sz w:val="20"/>
                <w:szCs w:val="20"/>
              </w:rPr>
            </w:pPr>
            <w:r>
              <w:t>++</w:t>
            </w:r>
          </w:p>
        </w:tc>
        <w:tc>
          <w:tcPr>
            <w:tcW w:w="907" w:type="dxa"/>
            <w:vAlign w:val="center"/>
            <w:hideMark/>
          </w:tcPr>
          <w:p w14:paraId="3CA95779" w14:textId="71A15775" w:rsidR="00F30742" w:rsidRPr="004F48D9" w:rsidRDefault="00F30742" w:rsidP="00F30742">
            <w:pPr>
              <w:pBdr>
                <w:top w:val="nil"/>
                <w:left w:val="nil"/>
                <w:bottom w:val="nil"/>
                <w:right w:val="nil"/>
                <w:between w:val="nil"/>
              </w:pBdr>
              <w:rPr>
                <w:noProof/>
                <w:color w:val="000000" w:themeColor="text1"/>
                <w:sz w:val="20"/>
                <w:szCs w:val="20"/>
              </w:rPr>
            </w:pPr>
            <w:r>
              <w:t>0/-</w:t>
            </w:r>
          </w:p>
        </w:tc>
        <w:tc>
          <w:tcPr>
            <w:tcW w:w="907" w:type="dxa"/>
            <w:vAlign w:val="center"/>
            <w:hideMark/>
          </w:tcPr>
          <w:p w14:paraId="478DA136" w14:textId="386C4A20" w:rsidR="00F30742" w:rsidRPr="004F48D9" w:rsidRDefault="00F30742" w:rsidP="00F30742">
            <w:pPr>
              <w:pBdr>
                <w:top w:val="nil"/>
                <w:left w:val="nil"/>
                <w:bottom w:val="nil"/>
                <w:right w:val="nil"/>
                <w:between w:val="nil"/>
              </w:pBdr>
              <w:rPr>
                <w:noProof/>
                <w:color w:val="000000" w:themeColor="text1"/>
                <w:sz w:val="20"/>
                <w:szCs w:val="20"/>
              </w:rPr>
            </w:pPr>
            <w:r>
              <w:t>+</w:t>
            </w:r>
          </w:p>
        </w:tc>
      </w:tr>
    </w:tbl>
    <w:p w14:paraId="32371A4C" w14:textId="77777777" w:rsidR="00861D9B" w:rsidRDefault="00861D9B" w:rsidP="00CD6D61">
      <w:pPr>
        <w:rPr>
          <w:lang w:val="en-IE"/>
        </w:rPr>
      </w:pPr>
    </w:p>
    <w:p w14:paraId="62C9CEA8" w14:textId="6D3EEAEC" w:rsidR="00B41DEC" w:rsidRPr="004F48D9" w:rsidRDefault="00C312E1" w:rsidP="00CD6D61">
      <w:pPr>
        <w:rPr>
          <w:lang w:val="en-IE"/>
        </w:rPr>
      </w:pPr>
      <w:r>
        <w:rPr>
          <w:lang w:val="en-IE"/>
        </w:rPr>
        <w:t>S</w:t>
      </w:r>
      <w:r w:rsidR="00B41DEC" w:rsidRPr="004F48D9">
        <w:rPr>
          <w:lang w:val="en-IE"/>
        </w:rPr>
        <w:t>cenario-based quantification of the expected impacts under different uptake cases</w:t>
      </w:r>
      <w:r w:rsidRPr="00C312E1">
        <w:rPr>
          <w:lang w:val="en-IE"/>
        </w:rPr>
        <w:t xml:space="preserve"> </w:t>
      </w:r>
      <w:r>
        <w:rPr>
          <w:lang w:val="en-IE"/>
        </w:rPr>
        <w:t>has also been developed</w:t>
      </w:r>
      <w:r>
        <w:rPr>
          <w:rStyle w:val="FootnoteReference"/>
          <w:lang w:val="en-IE"/>
        </w:rPr>
        <w:footnoteReference w:id="259"/>
      </w:r>
      <w:r>
        <w:rPr>
          <w:lang w:val="en-IE"/>
        </w:rPr>
        <w:t xml:space="preserve"> to</w:t>
      </w:r>
      <w:r w:rsidRPr="004F48D9">
        <w:rPr>
          <w:lang w:val="en-IE"/>
        </w:rPr>
        <w:t xml:space="preserve"> illustrat</w:t>
      </w:r>
      <w:r>
        <w:rPr>
          <w:lang w:val="en-IE"/>
        </w:rPr>
        <w:t xml:space="preserve">e </w:t>
      </w:r>
      <w:r w:rsidR="00F60FF8">
        <w:rPr>
          <w:lang w:val="en-IE"/>
        </w:rPr>
        <w:t xml:space="preserve">such </w:t>
      </w:r>
      <w:r>
        <w:rPr>
          <w:lang w:val="en-IE"/>
        </w:rPr>
        <w:t>potential</w:t>
      </w:r>
      <w:r w:rsidR="00B41DEC" w:rsidRPr="004F48D9">
        <w:rPr>
          <w:lang w:val="en-IE"/>
        </w:rPr>
        <w:t xml:space="preserve"> impacts</w:t>
      </w:r>
      <w:r w:rsidR="00E5476F">
        <w:rPr>
          <w:lang w:val="en-IE"/>
        </w:rPr>
        <w:t>, which should be</w:t>
      </w:r>
      <w:r w:rsidR="00B41DEC" w:rsidRPr="004F48D9">
        <w:rPr>
          <w:lang w:val="en-IE"/>
        </w:rPr>
        <w:t xml:space="preserve"> interpreted as proportional to the scale, maturity and utilisation of recognised projects</w:t>
      </w:r>
      <w:r w:rsidR="00EC6D12" w:rsidRPr="004F48D9">
        <w:rPr>
          <w:lang w:val="en-IE"/>
        </w:rPr>
        <w:t>.</w:t>
      </w:r>
    </w:p>
    <w:p w14:paraId="7B6CB336" w14:textId="46370F40" w:rsidR="001B4ACA" w:rsidRPr="00514904" w:rsidRDefault="001B4ACA" w:rsidP="00574D27">
      <w:pPr>
        <w:pBdr>
          <w:top w:val="nil"/>
          <w:left w:val="nil"/>
          <w:bottom w:val="nil"/>
          <w:right w:val="nil"/>
          <w:between w:val="nil"/>
        </w:pBdr>
        <w:rPr>
          <w:rFonts w:eastAsia="Times New Roman"/>
          <w:b/>
          <w:color w:val="000000" w:themeColor="text1"/>
          <w:highlight w:val="yellow"/>
          <w:lang w:val="en-IE"/>
        </w:rPr>
      </w:pPr>
      <w:r w:rsidRPr="00514904">
        <w:rPr>
          <w:rFonts w:eastAsia="Times New Roman"/>
          <w:b/>
          <w:color w:val="000000" w:themeColor="text1"/>
          <w:lang w:val="en-IE"/>
        </w:rPr>
        <w:t xml:space="preserve">Table </w:t>
      </w:r>
      <w:r w:rsidRPr="00514904">
        <w:rPr>
          <w:rFonts w:eastAsia="Times New Roman"/>
          <w:b/>
          <w:bCs/>
          <w:color w:val="000000" w:themeColor="text1"/>
          <w:lang w:val="en-IE"/>
        </w:rPr>
        <w:t>1</w:t>
      </w:r>
      <w:r w:rsidR="00F37494">
        <w:rPr>
          <w:rFonts w:eastAsia="Times New Roman"/>
          <w:b/>
          <w:bCs/>
          <w:color w:val="000000" w:themeColor="text1"/>
          <w:lang w:val="en-IE"/>
        </w:rPr>
        <w:t>8</w:t>
      </w:r>
      <w:r w:rsidR="006A0A36">
        <w:rPr>
          <w:rFonts w:eastAsia="Times New Roman"/>
          <w:b/>
          <w:color w:val="000000" w:themeColor="text1"/>
          <w:lang w:val="en-IE"/>
        </w:rPr>
        <w:t xml:space="preserve">. </w:t>
      </w:r>
      <w:r w:rsidR="00146499" w:rsidRPr="00514904">
        <w:rPr>
          <w:rFonts w:eastAsia="Times New Roman"/>
          <w:b/>
          <w:color w:val="000000" w:themeColor="text1"/>
        </w:rPr>
        <w:t>Illustrative uptake scenarios and order-of-magnitude impacts and estimation of associated impacts</w:t>
      </w:r>
    </w:p>
    <w:tbl>
      <w:tblPr>
        <w:tblStyle w:val="TableGrid"/>
        <w:tblW w:w="0" w:type="auto"/>
        <w:tblLook w:val="04A0" w:firstRow="1" w:lastRow="0" w:firstColumn="1" w:lastColumn="0" w:noHBand="0" w:noVBand="1"/>
      </w:tblPr>
      <w:tblGrid>
        <w:gridCol w:w="1860"/>
        <w:gridCol w:w="2246"/>
        <w:gridCol w:w="2268"/>
        <w:gridCol w:w="2234"/>
      </w:tblGrid>
      <w:tr w:rsidR="00517DDF" w:rsidRPr="00F16324" w14:paraId="69815378" w14:textId="77777777" w:rsidTr="007B1A5F">
        <w:tc>
          <w:tcPr>
            <w:tcW w:w="0" w:type="auto"/>
            <w:hideMark/>
          </w:tcPr>
          <w:p w14:paraId="1B84A7FD" w14:textId="4950D81A" w:rsidR="00517DDF" w:rsidRPr="00443C31" w:rsidRDefault="00517DDF">
            <w:pPr>
              <w:spacing w:after="0"/>
              <w:jc w:val="center"/>
              <w:rPr>
                <w:b/>
                <w:bCs/>
                <w:sz w:val="20"/>
                <w:szCs w:val="20"/>
              </w:rPr>
            </w:pPr>
            <w:r w:rsidRPr="00443C31">
              <w:rPr>
                <w:b/>
                <w:bCs/>
                <w:sz w:val="20"/>
                <w:szCs w:val="20"/>
              </w:rPr>
              <w:t>I</w:t>
            </w:r>
            <w:r w:rsidR="00E73A27">
              <w:rPr>
                <w:b/>
                <w:bCs/>
                <w:sz w:val="20"/>
                <w:szCs w:val="20"/>
              </w:rPr>
              <w:t>mpact Category</w:t>
            </w:r>
          </w:p>
        </w:tc>
        <w:tc>
          <w:tcPr>
            <w:tcW w:w="2246" w:type="dxa"/>
            <w:hideMark/>
          </w:tcPr>
          <w:p w14:paraId="4B2D5C51" w14:textId="52E36F6D" w:rsidR="00517DDF" w:rsidRPr="00443C31" w:rsidRDefault="00517DDF">
            <w:pPr>
              <w:spacing w:after="0"/>
              <w:jc w:val="center"/>
              <w:rPr>
                <w:b/>
                <w:bCs/>
                <w:sz w:val="20"/>
                <w:szCs w:val="20"/>
              </w:rPr>
            </w:pPr>
            <w:r w:rsidRPr="00443C31">
              <w:rPr>
                <w:b/>
                <w:bCs/>
                <w:sz w:val="20"/>
                <w:szCs w:val="20"/>
              </w:rPr>
              <w:t>L</w:t>
            </w:r>
            <w:r w:rsidR="00E73A27">
              <w:rPr>
                <w:b/>
                <w:bCs/>
                <w:sz w:val="20"/>
                <w:szCs w:val="20"/>
              </w:rPr>
              <w:t>ow uptake</w:t>
            </w:r>
          </w:p>
        </w:tc>
        <w:tc>
          <w:tcPr>
            <w:tcW w:w="2268" w:type="dxa"/>
            <w:hideMark/>
          </w:tcPr>
          <w:p w14:paraId="263B6D3D" w14:textId="7A36879A" w:rsidR="00517DDF" w:rsidRPr="00443C31" w:rsidRDefault="00517DDF">
            <w:pPr>
              <w:spacing w:after="0"/>
              <w:jc w:val="center"/>
              <w:rPr>
                <w:b/>
                <w:bCs/>
                <w:sz w:val="20"/>
                <w:szCs w:val="20"/>
              </w:rPr>
            </w:pPr>
            <w:r w:rsidRPr="00443C31">
              <w:rPr>
                <w:b/>
                <w:bCs/>
                <w:sz w:val="20"/>
                <w:szCs w:val="20"/>
              </w:rPr>
              <w:t>M</w:t>
            </w:r>
            <w:r w:rsidR="00E73A27">
              <w:rPr>
                <w:b/>
                <w:bCs/>
                <w:sz w:val="20"/>
                <w:szCs w:val="20"/>
              </w:rPr>
              <w:t>edium uptake</w:t>
            </w:r>
          </w:p>
        </w:tc>
        <w:tc>
          <w:tcPr>
            <w:tcW w:w="2234" w:type="dxa"/>
            <w:hideMark/>
          </w:tcPr>
          <w:p w14:paraId="50DA8085" w14:textId="18FD2B70" w:rsidR="00517DDF" w:rsidRPr="00443C31" w:rsidRDefault="00517DDF">
            <w:pPr>
              <w:spacing w:after="0"/>
              <w:jc w:val="center"/>
              <w:rPr>
                <w:b/>
                <w:bCs/>
                <w:sz w:val="20"/>
                <w:szCs w:val="20"/>
              </w:rPr>
            </w:pPr>
            <w:r w:rsidRPr="00443C31">
              <w:rPr>
                <w:b/>
                <w:bCs/>
                <w:sz w:val="20"/>
                <w:szCs w:val="20"/>
              </w:rPr>
              <w:t>H</w:t>
            </w:r>
            <w:r w:rsidR="00E73A27">
              <w:rPr>
                <w:b/>
                <w:bCs/>
                <w:sz w:val="20"/>
                <w:szCs w:val="20"/>
              </w:rPr>
              <w:t>igh uptake</w:t>
            </w:r>
          </w:p>
        </w:tc>
      </w:tr>
      <w:tr w:rsidR="00517DDF" w:rsidRPr="00F16324" w14:paraId="628A98E8" w14:textId="77777777" w:rsidTr="007B1A5F">
        <w:tc>
          <w:tcPr>
            <w:tcW w:w="0" w:type="auto"/>
          </w:tcPr>
          <w:p w14:paraId="216C04AD" w14:textId="77777777" w:rsidR="00517DDF" w:rsidRPr="00F16324" w:rsidRDefault="00517DDF">
            <w:pPr>
              <w:spacing w:after="0"/>
              <w:jc w:val="left"/>
              <w:rPr>
                <w:b/>
                <w:bCs/>
                <w:sz w:val="20"/>
                <w:szCs w:val="20"/>
              </w:rPr>
            </w:pPr>
            <w:r w:rsidRPr="00443C31">
              <w:rPr>
                <w:b/>
                <w:bCs/>
                <w:sz w:val="20"/>
                <w:szCs w:val="20"/>
              </w:rPr>
              <w:t>What this scenario entails</w:t>
            </w:r>
          </w:p>
        </w:tc>
        <w:tc>
          <w:tcPr>
            <w:tcW w:w="2246" w:type="dxa"/>
          </w:tcPr>
          <w:p w14:paraId="47FC31C5" w14:textId="77777777" w:rsidR="00517DDF" w:rsidRPr="00F16324" w:rsidRDefault="00517DDF">
            <w:pPr>
              <w:spacing w:after="0"/>
              <w:jc w:val="left"/>
              <w:rPr>
                <w:sz w:val="20"/>
                <w:szCs w:val="20"/>
              </w:rPr>
            </w:pPr>
            <w:r w:rsidRPr="00F16324">
              <w:rPr>
                <w:sz w:val="20"/>
                <w:szCs w:val="20"/>
              </w:rPr>
              <w:t>2–3 recognised testing environments (Art. 32) and 2–3 data quality accelerators (Art. 33); upgrade-focused investment in existing facilities; primarily public funding with limited private co-investment</w:t>
            </w:r>
          </w:p>
        </w:tc>
        <w:tc>
          <w:tcPr>
            <w:tcW w:w="2268" w:type="dxa"/>
          </w:tcPr>
          <w:p w14:paraId="310E3300" w14:textId="77777777" w:rsidR="00517DDF" w:rsidRPr="00F16324" w:rsidRDefault="00517DDF">
            <w:pPr>
              <w:spacing w:after="0"/>
              <w:jc w:val="left"/>
              <w:rPr>
                <w:sz w:val="20"/>
                <w:szCs w:val="20"/>
              </w:rPr>
            </w:pPr>
            <w:r w:rsidRPr="00F16324">
              <w:rPr>
                <w:sz w:val="20"/>
                <w:szCs w:val="20"/>
              </w:rPr>
              <w:t>5–8 recognised testing environments and 5–8 data quality accelerators; mix of upgrades and new greenfield investments; mixed public-private funding on PPP model</w:t>
            </w:r>
          </w:p>
        </w:tc>
        <w:tc>
          <w:tcPr>
            <w:tcW w:w="2234" w:type="dxa"/>
          </w:tcPr>
          <w:p w14:paraId="08C75813" w14:textId="0DE09014" w:rsidR="00517DDF" w:rsidRPr="00F16324" w:rsidRDefault="00517DDF">
            <w:pPr>
              <w:spacing w:after="0"/>
              <w:jc w:val="left"/>
              <w:rPr>
                <w:sz w:val="20"/>
                <w:szCs w:val="20"/>
              </w:rPr>
            </w:pPr>
            <w:r w:rsidRPr="00F16324">
              <w:rPr>
                <w:sz w:val="20"/>
                <w:szCs w:val="20"/>
              </w:rPr>
              <w:t>10–15 recognised testing environments and 10–15 data quality accelerators; industrial-scale greenfield and upgraded facilities; public-private leverage at the largest nodes</w:t>
            </w:r>
          </w:p>
        </w:tc>
      </w:tr>
      <w:tr w:rsidR="00517DDF" w:rsidRPr="00F16324" w14:paraId="5777C50F" w14:textId="77777777" w:rsidTr="007B1A5F">
        <w:tc>
          <w:tcPr>
            <w:tcW w:w="0" w:type="auto"/>
            <w:hideMark/>
          </w:tcPr>
          <w:p w14:paraId="7A18EB79" w14:textId="77777777" w:rsidR="00517DDF" w:rsidRPr="00443C31" w:rsidRDefault="00517DDF">
            <w:pPr>
              <w:spacing w:after="0"/>
              <w:jc w:val="left"/>
              <w:rPr>
                <w:b/>
                <w:bCs/>
                <w:sz w:val="20"/>
                <w:szCs w:val="20"/>
              </w:rPr>
            </w:pPr>
            <w:r w:rsidRPr="00443C31">
              <w:rPr>
                <w:b/>
                <w:bCs/>
                <w:sz w:val="20"/>
                <w:szCs w:val="20"/>
              </w:rPr>
              <w:t>Direct employment created</w:t>
            </w:r>
          </w:p>
        </w:tc>
        <w:tc>
          <w:tcPr>
            <w:tcW w:w="2246" w:type="dxa"/>
            <w:hideMark/>
          </w:tcPr>
          <w:p w14:paraId="290E7014" w14:textId="77777777" w:rsidR="00517DDF" w:rsidRPr="00F16324" w:rsidRDefault="00517DDF">
            <w:pPr>
              <w:spacing w:after="0"/>
              <w:jc w:val="left"/>
              <w:rPr>
                <w:sz w:val="20"/>
                <w:szCs w:val="20"/>
              </w:rPr>
            </w:pPr>
            <w:r w:rsidRPr="00F16324">
              <w:rPr>
                <w:sz w:val="20"/>
                <w:szCs w:val="20"/>
              </w:rPr>
              <w:t>160–420 FTE (testing environments + data accelerators)</w:t>
            </w:r>
          </w:p>
        </w:tc>
        <w:tc>
          <w:tcPr>
            <w:tcW w:w="2268" w:type="dxa"/>
            <w:hideMark/>
          </w:tcPr>
          <w:p w14:paraId="29EE7121" w14:textId="77777777" w:rsidR="00517DDF" w:rsidRPr="00F16324" w:rsidRDefault="00517DDF">
            <w:pPr>
              <w:spacing w:after="0"/>
              <w:jc w:val="left"/>
              <w:rPr>
                <w:sz w:val="20"/>
                <w:szCs w:val="20"/>
              </w:rPr>
            </w:pPr>
            <w:r w:rsidRPr="00F16324">
              <w:rPr>
                <w:sz w:val="20"/>
                <w:szCs w:val="20"/>
              </w:rPr>
              <w:t>1,000–2,640 FTE</w:t>
            </w:r>
          </w:p>
        </w:tc>
        <w:tc>
          <w:tcPr>
            <w:tcW w:w="2234" w:type="dxa"/>
            <w:hideMark/>
          </w:tcPr>
          <w:p w14:paraId="3B76CBDE" w14:textId="77777777" w:rsidR="00517DDF" w:rsidRPr="00F16324" w:rsidRDefault="00517DDF">
            <w:pPr>
              <w:spacing w:after="0"/>
              <w:jc w:val="left"/>
              <w:rPr>
                <w:sz w:val="20"/>
                <w:szCs w:val="20"/>
              </w:rPr>
            </w:pPr>
            <w:r w:rsidRPr="00F16324">
              <w:rPr>
                <w:sz w:val="20"/>
                <w:szCs w:val="20"/>
              </w:rPr>
              <w:t>3,300–7,500 FTE</w:t>
            </w:r>
          </w:p>
        </w:tc>
      </w:tr>
      <w:tr w:rsidR="00517DDF" w:rsidRPr="00F16324" w14:paraId="73B89A3A" w14:textId="77777777" w:rsidTr="007B1A5F">
        <w:tc>
          <w:tcPr>
            <w:tcW w:w="0" w:type="auto"/>
            <w:hideMark/>
          </w:tcPr>
          <w:p w14:paraId="28CFC03E" w14:textId="77777777" w:rsidR="00517DDF" w:rsidRPr="00443C31" w:rsidRDefault="00517DDF">
            <w:pPr>
              <w:spacing w:after="0"/>
              <w:jc w:val="left"/>
              <w:rPr>
                <w:b/>
                <w:bCs/>
                <w:sz w:val="20"/>
                <w:szCs w:val="20"/>
              </w:rPr>
            </w:pPr>
            <w:r w:rsidRPr="00443C31">
              <w:rPr>
                <w:b/>
                <w:bCs/>
                <w:sz w:val="20"/>
                <w:szCs w:val="20"/>
              </w:rPr>
              <w:t>Companies and data users served per year</w:t>
            </w:r>
          </w:p>
        </w:tc>
        <w:tc>
          <w:tcPr>
            <w:tcW w:w="2246" w:type="dxa"/>
            <w:hideMark/>
          </w:tcPr>
          <w:p w14:paraId="450EE4AA" w14:textId="77777777" w:rsidR="00517DDF" w:rsidRPr="00F16324" w:rsidRDefault="00517DDF">
            <w:pPr>
              <w:spacing w:after="0"/>
              <w:jc w:val="left"/>
              <w:rPr>
                <w:sz w:val="20"/>
                <w:szCs w:val="20"/>
              </w:rPr>
            </w:pPr>
            <w:r w:rsidRPr="00F16324">
              <w:rPr>
                <w:sz w:val="20"/>
                <w:szCs w:val="20"/>
              </w:rPr>
              <w:t>120–495 (20–45 companies; 100–450 data users)</w:t>
            </w:r>
          </w:p>
        </w:tc>
        <w:tc>
          <w:tcPr>
            <w:tcW w:w="2268" w:type="dxa"/>
            <w:hideMark/>
          </w:tcPr>
          <w:p w14:paraId="676714F0" w14:textId="77777777" w:rsidR="00517DDF" w:rsidRPr="00F16324" w:rsidRDefault="00517DDF">
            <w:pPr>
              <w:spacing w:after="0"/>
              <w:jc w:val="left"/>
              <w:rPr>
                <w:sz w:val="20"/>
                <w:szCs w:val="20"/>
              </w:rPr>
            </w:pPr>
            <w:r w:rsidRPr="00F16324">
              <w:rPr>
                <w:sz w:val="20"/>
                <w:szCs w:val="20"/>
              </w:rPr>
              <w:t>1,100–3,400 (100–200 companies; 1,000–3,200 data users)</w:t>
            </w:r>
          </w:p>
        </w:tc>
        <w:tc>
          <w:tcPr>
            <w:tcW w:w="2234" w:type="dxa"/>
            <w:hideMark/>
          </w:tcPr>
          <w:p w14:paraId="789B2A74" w14:textId="77777777" w:rsidR="00517DDF" w:rsidRPr="00F16324" w:rsidRDefault="00517DDF">
            <w:pPr>
              <w:spacing w:after="0"/>
              <w:jc w:val="left"/>
              <w:rPr>
                <w:sz w:val="20"/>
                <w:szCs w:val="20"/>
              </w:rPr>
            </w:pPr>
            <w:r w:rsidRPr="00F16324">
              <w:rPr>
                <w:sz w:val="20"/>
                <w:szCs w:val="20"/>
              </w:rPr>
              <w:t>4,250–12,600 (250–600 companies; 4,000–12,000 data users)</w:t>
            </w:r>
          </w:p>
        </w:tc>
      </w:tr>
      <w:tr w:rsidR="00517DDF" w:rsidRPr="00F16324" w14:paraId="792BC24E" w14:textId="77777777" w:rsidTr="007B1A5F">
        <w:tc>
          <w:tcPr>
            <w:tcW w:w="0" w:type="auto"/>
            <w:hideMark/>
          </w:tcPr>
          <w:p w14:paraId="0C01871A" w14:textId="77777777" w:rsidR="00517DDF" w:rsidRPr="00443C31" w:rsidRDefault="00517DDF">
            <w:pPr>
              <w:spacing w:after="0"/>
              <w:jc w:val="left"/>
              <w:rPr>
                <w:b/>
                <w:bCs/>
                <w:sz w:val="20"/>
                <w:szCs w:val="20"/>
              </w:rPr>
            </w:pPr>
            <w:r w:rsidRPr="00443C31">
              <w:rPr>
                <w:b/>
                <w:bCs/>
                <w:sz w:val="20"/>
                <w:szCs w:val="20"/>
              </w:rPr>
              <w:t>Total infrastructure investment (public and private CAPEX combined)</w:t>
            </w:r>
          </w:p>
        </w:tc>
        <w:tc>
          <w:tcPr>
            <w:tcW w:w="2246" w:type="dxa"/>
            <w:hideMark/>
          </w:tcPr>
          <w:p w14:paraId="31A8B6CE" w14:textId="5B997F44" w:rsidR="00517DDF" w:rsidRPr="00F16324" w:rsidRDefault="09164601">
            <w:pPr>
              <w:spacing w:after="0"/>
              <w:jc w:val="left"/>
              <w:rPr>
                <w:sz w:val="20"/>
                <w:szCs w:val="20"/>
              </w:rPr>
            </w:pPr>
            <w:r w:rsidRPr="00F16324">
              <w:rPr>
                <w:sz w:val="20"/>
                <w:szCs w:val="20"/>
              </w:rPr>
              <w:t xml:space="preserve">EUR </w:t>
            </w:r>
            <w:r w:rsidR="63F1A32F" w:rsidRPr="00F16324">
              <w:rPr>
                <w:sz w:val="20"/>
                <w:szCs w:val="20"/>
              </w:rPr>
              <w:t>85</w:t>
            </w:r>
            <w:r w:rsidR="45C47521" w:rsidRPr="00F16324">
              <w:rPr>
                <w:sz w:val="20"/>
                <w:szCs w:val="20"/>
              </w:rPr>
              <w:t xml:space="preserve"> </w:t>
            </w:r>
            <w:r w:rsidR="63F1A32F" w:rsidRPr="00F16324">
              <w:rPr>
                <w:sz w:val="20"/>
                <w:szCs w:val="20"/>
              </w:rPr>
              <w:t>m</w:t>
            </w:r>
            <w:r w:rsidR="33C864FA" w:rsidRPr="00F16324">
              <w:rPr>
                <w:sz w:val="20"/>
                <w:szCs w:val="20"/>
              </w:rPr>
              <w:t xml:space="preserve">illion </w:t>
            </w:r>
            <w:r w:rsidR="63F1A32F" w:rsidRPr="00F16324">
              <w:rPr>
                <w:sz w:val="20"/>
                <w:szCs w:val="20"/>
              </w:rPr>
              <w:t>–</w:t>
            </w:r>
            <w:r w:rsidRPr="00F16324">
              <w:rPr>
                <w:sz w:val="20"/>
                <w:szCs w:val="20"/>
              </w:rPr>
              <w:t xml:space="preserve">EUR </w:t>
            </w:r>
            <w:r w:rsidR="63F1A32F" w:rsidRPr="00F16324">
              <w:rPr>
                <w:sz w:val="20"/>
                <w:szCs w:val="20"/>
              </w:rPr>
              <w:t>205</w:t>
            </w:r>
            <w:r w:rsidR="18C94069" w:rsidRPr="00F16324">
              <w:rPr>
                <w:sz w:val="20"/>
                <w:szCs w:val="20"/>
              </w:rPr>
              <w:t xml:space="preserve"> </w:t>
            </w:r>
            <w:r w:rsidR="63F1A32F" w:rsidRPr="00F16324">
              <w:rPr>
                <w:sz w:val="20"/>
                <w:szCs w:val="20"/>
              </w:rPr>
              <w:t>m</w:t>
            </w:r>
            <w:r w:rsidR="5C43EB06" w:rsidRPr="00F16324">
              <w:rPr>
                <w:sz w:val="20"/>
                <w:szCs w:val="20"/>
              </w:rPr>
              <w:t>illion</w:t>
            </w:r>
          </w:p>
        </w:tc>
        <w:tc>
          <w:tcPr>
            <w:tcW w:w="2268" w:type="dxa"/>
            <w:hideMark/>
          </w:tcPr>
          <w:p w14:paraId="3079C5D1" w14:textId="157DA65B" w:rsidR="00517DDF" w:rsidRPr="00F16324" w:rsidRDefault="09164601">
            <w:pPr>
              <w:spacing w:after="0"/>
              <w:jc w:val="left"/>
              <w:rPr>
                <w:sz w:val="20"/>
                <w:szCs w:val="20"/>
              </w:rPr>
            </w:pPr>
            <w:r w:rsidRPr="00F16324">
              <w:rPr>
                <w:sz w:val="20"/>
                <w:szCs w:val="20"/>
              </w:rPr>
              <w:t xml:space="preserve">EUR </w:t>
            </w:r>
            <w:r w:rsidR="63F1A32F" w:rsidRPr="00F16324">
              <w:rPr>
                <w:sz w:val="20"/>
                <w:szCs w:val="20"/>
              </w:rPr>
              <w:t>650</w:t>
            </w:r>
            <w:r w:rsidR="0B79450D" w:rsidRPr="00F16324">
              <w:rPr>
                <w:sz w:val="20"/>
                <w:szCs w:val="20"/>
              </w:rPr>
              <w:t xml:space="preserve"> </w:t>
            </w:r>
            <w:r w:rsidR="63F1A32F" w:rsidRPr="00F16324">
              <w:rPr>
                <w:sz w:val="20"/>
                <w:szCs w:val="20"/>
              </w:rPr>
              <w:t>m</w:t>
            </w:r>
            <w:r w:rsidR="6808E83D" w:rsidRPr="00F16324">
              <w:rPr>
                <w:sz w:val="20"/>
                <w:szCs w:val="20"/>
              </w:rPr>
              <w:t>illion</w:t>
            </w:r>
            <w:r w:rsidR="63F1A32F" w:rsidRPr="00F16324">
              <w:rPr>
                <w:sz w:val="20"/>
                <w:szCs w:val="20"/>
              </w:rPr>
              <w:t>–</w:t>
            </w:r>
            <w:r w:rsidRPr="00F16324">
              <w:rPr>
                <w:sz w:val="20"/>
                <w:szCs w:val="20"/>
              </w:rPr>
              <w:t xml:space="preserve"> EUR</w:t>
            </w:r>
            <w:r w:rsidR="4149EF08" w:rsidRPr="00F16324">
              <w:rPr>
                <w:sz w:val="20"/>
                <w:szCs w:val="20"/>
              </w:rPr>
              <w:t xml:space="preserve"> </w:t>
            </w:r>
            <w:r w:rsidR="63F1A32F" w:rsidRPr="00F16324">
              <w:rPr>
                <w:sz w:val="20"/>
                <w:szCs w:val="20"/>
              </w:rPr>
              <w:t>1.3</w:t>
            </w:r>
            <w:r w:rsidR="25C95FDC" w:rsidRPr="00F16324">
              <w:rPr>
                <w:sz w:val="20"/>
                <w:szCs w:val="20"/>
              </w:rPr>
              <w:t xml:space="preserve"> </w:t>
            </w:r>
            <w:r w:rsidR="3A89A7B8" w:rsidRPr="00F16324">
              <w:rPr>
                <w:sz w:val="20"/>
                <w:szCs w:val="20"/>
              </w:rPr>
              <w:t>billion</w:t>
            </w:r>
          </w:p>
        </w:tc>
        <w:tc>
          <w:tcPr>
            <w:tcW w:w="2234" w:type="dxa"/>
            <w:hideMark/>
          </w:tcPr>
          <w:p w14:paraId="4AA6B99E" w14:textId="4C2E39D2" w:rsidR="00517DDF" w:rsidRPr="00F16324" w:rsidRDefault="004A567E">
            <w:pPr>
              <w:spacing w:after="0"/>
              <w:jc w:val="left"/>
              <w:rPr>
                <w:sz w:val="20"/>
                <w:szCs w:val="20"/>
              </w:rPr>
            </w:pPr>
            <w:r w:rsidRPr="00F16324">
              <w:rPr>
                <w:sz w:val="20"/>
                <w:szCs w:val="20"/>
              </w:rPr>
              <w:t xml:space="preserve">EUR </w:t>
            </w:r>
            <w:r w:rsidR="00517DDF" w:rsidRPr="00F16324">
              <w:rPr>
                <w:sz w:val="20"/>
                <w:szCs w:val="20"/>
              </w:rPr>
              <w:t>2.</w:t>
            </w:r>
            <w:r w:rsidR="63F1A32F" w:rsidRPr="00F16324">
              <w:rPr>
                <w:sz w:val="20"/>
                <w:szCs w:val="20"/>
              </w:rPr>
              <w:t>4</w:t>
            </w:r>
            <w:r w:rsidR="1393E4DA" w:rsidRPr="00F16324">
              <w:rPr>
                <w:sz w:val="20"/>
                <w:szCs w:val="20"/>
              </w:rPr>
              <w:t xml:space="preserve"> </w:t>
            </w:r>
            <w:r w:rsidR="63F1A32F" w:rsidRPr="00F16324">
              <w:rPr>
                <w:sz w:val="20"/>
                <w:szCs w:val="20"/>
              </w:rPr>
              <w:t>b</w:t>
            </w:r>
            <w:r w:rsidR="4FBE207E" w:rsidRPr="00F16324">
              <w:rPr>
                <w:sz w:val="20"/>
                <w:szCs w:val="20"/>
              </w:rPr>
              <w:t>illio</w:t>
            </w:r>
            <w:r w:rsidR="63F1A32F" w:rsidRPr="00F16324">
              <w:rPr>
                <w:sz w:val="20"/>
                <w:szCs w:val="20"/>
              </w:rPr>
              <w:t>n</w:t>
            </w:r>
            <w:r w:rsidR="00517DDF" w:rsidRPr="00F16324">
              <w:rPr>
                <w:sz w:val="20"/>
                <w:szCs w:val="20"/>
              </w:rPr>
              <w:t>–</w:t>
            </w:r>
            <w:r w:rsidRPr="00F16324">
              <w:rPr>
                <w:sz w:val="20"/>
                <w:szCs w:val="20"/>
              </w:rPr>
              <w:t xml:space="preserve">EUR </w:t>
            </w:r>
            <w:r w:rsidR="00517DDF" w:rsidRPr="00F16324">
              <w:rPr>
                <w:sz w:val="20"/>
                <w:szCs w:val="20"/>
              </w:rPr>
              <w:t>7.</w:t>
            </w:r>
            <w:r w:rsidR="63F1A32F" w:rsidRPr="00F16324">
              <w:rPr>
                <w:sz w:val="20"/>
                <w:szCs w:val="20"/>
              </w:rPr>
              <w:t>2</w:t>
            </w:r>
            <w:r w:rsidR="1CD8AC3B" w:rsidRPr="00F16324">
              <w:rPr>
                <w:sz w:val="20"/>
                <w:szCs w:val="20"/>
              </w:rPr>
              <w:t xml:space="preserve"> </w:t>
            </w:r>
            <w:r w:rsidR="63F1A32F" w:rsidRPr="00F16324">
              <w:rPr>
                <w:sz w:val="20"/>
                <w:szCs w:val="20"/>
              </w:rPr>
              <w:t>b</w:t>
            </w:r>
            <w:r w:rsidR="17B375E2" w:rsidRPr="00F16324">
              <w:rPr>
                <w:sz w:val="20"/>
                <w:szCs w:val="20"/>
              </w:rPr>
              <w:t>illio</w:t>
            </w:r>
            <w:r w:rsidR="63F1A32F" w:rsidRPr="00F16324">
              <w:rPr>
                <w:sz w:val="20"/>
                <w:szCs w:val="20"/>
              </w:rPr>
              <w:t>n</w:t>
            </w:r>
          </w:p>
        </w:tc>
      </w:tr>
      <w:tr w:rsidR="00517DDF" w:rsidRPr="00F16324" w14:paraId="0333812E" w14:textId="77777777" w:rsidTr="007B1A5F">
        <w:tc>
          <w:tcPr>
            <w:tcW w:w="0" w:type="auto"/>
            <w:hideMark/>
          </w:tcPr>
          <w:p w14:paraId="1ECA175C" w14:textId="77777777" w:rsidR="00517DDF" w:rsidRPr="00443C31" w:rsidRDefault="00517DDF">
            <w:pPr>
              <w:spacing w:after="0"/>
              <w:jc w:val="left"/>
              <w:rPr>
                <w:b/>
                <w:bCs/>
                <w:sz w:val="20"/>
                <w:szCs w:val="20"/>
              </w:rPr>
            </w:pPr>
            <w:r w:rsidRPr="00443C31">
              <w:rPr>
                <w:b/>
                <w:bCs/>
                <w:sz w:val="20"/>
                <w:szCs w:val="20"/>
              </w:rPr>
              <w:t>Annual operational funding required</w:t>
            </w:r>
          </w:p>
        </w:tc>
        <w:tc>
          <w:tcPr>
            <w:tcW w:w="2246" w:type="dxa"/>
            <w:hideMark/>
          </w:tcPr>
          <w:p w14:paraId="49EEE2FD" w14:textId="43783158" w:rsidR="00517DDF" w:rsidRPr="00F16324" w:rsidRDefault="004A567E">
            <w:pPr>
              <w:spacing w:after="0"/>
              <w:jc w:val="left"/>
              <w:rPr>
                <w:sz w:val="20"/>
                <w:szCs w:val="20"/>
              </w:rPr>
            </w:pPr>
            <w:r w:rsidRPr="00F16324">
              <w:rPr>
                <w:sz w:val="20"/>
                <w:szCs w:val="20"/>
              </w:rPr>
              <w:t xml:space="preserve">EUR </w:t>
            </w:r>
            <w:r w:rsidR="00517DDF" w:rsidRPr="00F16324">
              <w:rPr>
                <w:sz w:val="20"/>
                <w:szCs w:val="20"/>
              </w:rPr>
              <w:t>6–</w:t>
            </w:r>
            <w:r w:rsidR="61EAFB89" w:rsidRPr="00F16324">
              <w:rPr>
                <w:sz w:val="20"/>
                <w:szCs w:val="20"/>
              </w:rPr>
              <w:t>18</w:t>
            </w:r>
            <w:r w:rsidR="6D4DD4BF" w:rsidRPr="00F16324">
              <w:rPr>
                <w:sz w:val="20"/>
                <w:szCs w:val="20"/>
              </w:rPr>
              <w:t xml:space="preserve"> </w:t>
            </w:r>
            <w:r w:rsidR="61EAFB89" w:rsidRPr="00F16324">
              <w:rPr>
                <w:sz w:val="20"/>
                <w:szCs w:val="20"/>
              </w:rPr>
              <w:t>m</w:t>
            </w:r>
            <w:r w:rsidR="134097CE" w:rsidRPr="00F16324">
              <w:rPr>
                <w:sz w:val="20"/>
                <w:szCs w:val="20"/>
              </w:rPr>
              <w:t>illion</w:t>
            </w:r>
            <w:r w:rsidR="00517DDF" w:rsidRPr="00F16324">
              <w:rPr>
                <w:sz w:val="20"/>
                <w:szCs w:val="20"/>
              </w:rPr>
              <w:t>/year (data accelerators) + testing environment OPEX</w:t>
            </w:r>
          </w:p>
        </w:tc>
        <w:tc>
          <w:tcPr>
            <w:tcW w:w="2268" w:type="dxa"/>
            <w:hideMark/>
          </w:tcPr>
          <w:p w14:paraId="6C86D115" w14:textId="7509C5A5" w:rsidR="00517DDF" w:rsidRPr="00F16324" w:rsidRDefault="004A567E">
            <w:pPr>
              <w:spacing w:after="0"/>
              <w:jc w:val="left"/>
              <w:rPr>
                <w:sz w:val="20"/>
                <w:szCs w:val="20"/>
              </w:rPr>
            </w:pPr>
            <w:r w:rsidRPr="00F16324">
              <w:rPr>
                <w:sz w:val="20"/>
                <w:szCs w:val="20"/>
              </w:rPr>
              <w:t xml:space="preserve">EUR </w:t>
            </w:r>
            <w:r w:rsidR="00517DDF" w:rsidRPr="00F16324">
              <w:rPr>
                <w:sz w:val="20"/>
                <w:szCs w:val="20"/>
              </w:rPr>
              <w:t>40–120</w:t>
            </w:r>
            <w:r w:rsidR="0082278B" w:rsidRPr="00F16324">
              <w:rPr>
                <w:sz w:val="20"/>
                <w:szCs w:val="20"/>
              </w:rPr>
              <w:t xml:space="preserve"> </w:t>
            </w:r>
            <w:r w:rsidR="00517DDF" w:rsidRPr="00F16324">
              <w:rPr>
                <w:sz w:val="20"/>
                <w:szCs w:val="20"/>
              </w:rPr>
              <w:t>m</w:t>
            </w:r>
            <w:r w:rsidR="0082278B" w:rsidRPr="00F16324">
              <w:rPr>
                <w:sz w:val="20"/>
                <w:szCs w:val="20"/>
              </w:rPr>
              <w:t>illion</w:t>
            </w:r>
            <w:r w:rsidR="00517DDF" w:rsidRPr="00F16324">
              <w:rPr>
                <w:sz w:val="20"/>
                <w:szCs w:val="20"/>
              </w:rPr>
              <w:t>/year + testing environment OPEX</w:t>
            </w:r>
          </w:p>
        </w:tc>
        <w:tc>
          <w:tcPr>
            <w:tcW w:w="2234" w:type="dxa"/>
            <w:hideMark/>
          </w:tcPr>
          <w:p w14:paraId="0B101648" w14:textId="12F0527D" w:rsidR="00517DDF" w:rsidRPr="00F16324" w:rsidRDefault="004A567E">
            <w:pPr>
              <w:spacing w:after="0"/>
              <w:jc w:val="left"/>
              <w:rPr>
                <w:sz w:val="20"/>
                <w:szCs w:val="20"/>
              </w:rPr>
            </w:pPr>
            <w:r w:rsidRPr="00F16324">
              <w:rPr>
                <w:sz w:val="20"/>
                <w:szCs w:val="20"/>
              </w:rPr>
              <w:t xml:space="preserve">EUR </w:t>
            </w:r>
            <w:r w:rsidR="00517DDF" w:rsidRPr="00F16324">
              <w:rPr>
                <w:sz w:val="20"/>
                <w:szCs w:val="20"/>
              </w:rPr>
              <w:t>150–</w:t>
            </w:r>
            <w:r w:rsidR="63F1A32F" w:rsidRPr="00F16324">
              <w:rPr>
                <w:sz w:val="20"/>
                <w:szCs w:val="20"/>
              </w:rPr>
              <w:t>450</w:t>
            </w:r>
            <w:r w:rsidR="78C7AA81" w:rsidRPr="00F16324">
              <w:rPr>
                <w:sz w:val="20"/>
                <w:szCs w:val="20"/>
              </w:rPr>
              <w:t xml:space="preserve"> </w:t>
            </w:r>
            <w:r w:rsidR="63F1A32F" w:rsidRPr="00F16324">
              <w:rPr>
                <w:sz w:val="20"/>
                <w:szCs w:val="20"/>
              </w:rPr>
              <w:t>m</w:t>
            </w:r>
            <w:r w:rsidR="43B1BACC" w:rsidRPr="00F16324">
              <w:rPr>
                <w:sz w:val="20"/>
                <w:szCs w:val="20"/>
              </w:rPr>
              <w:t>illion</w:t>
            </w:r>
            <w:r w:rsidR="00517DDF" w:rsidRPr="00F16324">
              <w:rPr>
                <w:sz w:val="20"/>
                <w:szCs w:val="20"/>
              </w:rPr>
              <w:t>/year + testing environment OPEX</w:t>
            </w:r>
          </w:p>
        </w:tc>
      </w:tr>
      <w:tr w:rsidR="00517DDF" w:rsidRPr="00F16324" w14:paraId="78ECB57D" w14:textId="77777777" w:rsidTr="007B1A5F">
        <w:tc>
          <w:tcPr>
            <w:tcW w:w="0" w:type="auto"/>
            <w:hideMark/>
          </w:tcPr>
          <w:p w14:paraId="69EF7DF3" w14:textId="77777777" w:rsidR="00517DDF" w:rsidRPr="00443C31" w:rsidRDefault="00517DDF">
            <w:pPr>
              <w:spacing w:after="0"/>
              <w:jc w:val="left"/>
              <w:rPr>
                <w:b/>
                <w:bCs/>
                <w:sz w:val="20"/>
                <w:szCs w:val="20"/>
              </w:rPr>
            </w:pPr>
            <w:r w:rsidRPr="00443C31">
              <w:rPr>
                <w:b/>
                <w:bCs/>
                <w:sz w:val="20"/>
                <w:szCs w:val="20"/>
              </w:rPr>
              <w:t>EU-level supervisory burden</w:t>
            </w:r>
          </w:p>
        </w:tc>
        <w:tc>
          <w:tcPr>
            <w:tcW w:w="2246" w:type="dxa"/>
            <w:hideMark/>
          </w:tcPr>
          <w:p w14:paraId="23BFD4FC" w14:textId="77777777" w:rsidR="00517DDF" w:rsidRPr="00F16324" w:rsidRDefault="00517DDF">
            <w:pPr>
              <w:spacing w:after="0"/>
              <w:jc w:val="left"/>
              <w:rPr>
                <w:sz w:val="20"/>
                <w:szCs w:val="20"/>
              </w:rPr>
            </w:pPr>
            <w:r w:rsidRPr="00F16324">
              <w:rPr>
                <w:sz w:val="20"/>
                <w:szCs w:val="20"/>
              </w:rPr>
              <w:t>1–3 FTE</w:t>
            </w:r>
          </w:p>
        </w:tc>
        <w:tc>
          <w:tcPr>
            <w:tcW w:w="2268" w:type="dxa"/>
            <w:hideMark/>
          </w:tcPr>
          <w:p w14:paraId="115A7BC6" w14:textId="77777777" w:rsidR="00517DDF" w:rsidRPr="00F16324" w:rsidRDefault="00517DDF">
            <w:pPr>
              <w:spacing w:after="0"/>
              <w:jc w:val="left"/>
              <w:rPr>
                <w:sz w:val="20"/>
                <w:szCs w:val="20"/>
              </w:rPr>
            </w:pPr>
            <w:r w:rsidRPr="00F16324">
              <w:rPr>
                <w:sz w:val="20"/>
                <w:szCs w:val="20"/>
              </w:rPr>
              <w:t>2.5–8 FTE</w:t>
            </w:r>
          </w:p>
        </w:tc>
        <w:tc>
          <w:tcPr>
            <w:tcW w:w="2234" w:type="dxa"/>
            <w:hideMark/>
          </w:tcPr>
          <w:p w14:paraId="574B258F" w14:textId="77777777" w:rsidR="00517DDF" w:rsidRPr="00F16324" w:rsidRDefault="00517DDF">
            <w:pPr>
              <w:spacing w:after="0"/>
              <w:jc w:val="left"/>
              <w:rPr>
                <w:sz w:val="20"/>
                <w:szCs w:val="20"/>
              </w:rPr>
            </w:pPr>
            <w:r w:rsidRPr="00F16324">
              <w:rPr>
                <w:sz w:val="20"/>
                <w:szCs w:val="20"/>
              </w:rPr>
              <w:t>5–15 FTE</w:t>
            </w:r>
          </w:p>
        </w:tc>
      </w:tr>
      <w:tr w:rsidR="00517DDF" w:rsidRPr="00F16324" w14:paraId="20888089" w14:textId="77777777" w:rsidTr="007B1A5F">
        <w:tc>
          <w:tcPr>
            <w:tcW w:w="0" w:type="auto"/>
            <w:hideMark/>
          </w:tcPr>
          <w:p w14:paraId="2BFB74BF" w14:textId="77777777" w:rsidR="00517DDF" w:rsidRPr="00443C31" w:rsidRDefault="00517DDF">
            <w:pPr>
              <w:spacing w:after="0"/>
              <w:jc w:val="left"/>
              <w:rPr>
                <w:b/>
                <w:bCs/>
                <w:sz w:val="20"/>
                <w:szCs w:val="20"/>
              </w:rPr>
            </w:pPr>
            <w:r w:rsidRPr="00443C31">
              <w:rPr>
                <w:b/>
                <w:bCs/>
                <w:sz w:val="20"/>
                <w:szCs w:val="20"/>
              </w:rPr>
              <w:t>Regulatory interaction cost avoided per firm (Article 31)</w:t>
            </w:r>
          </w:p>
        </w:tc>
        <w:tc>
          <w:tcPr>
            <w:tcW w:w="2246" w:type="dxa"/>
            <w:hideMark/>
          </w:tcPr>
          <w:p w14:paraId="68BA926F" w14:textId="38277421" w:rsidR="00517DDF" w:rsidRPr="00F16324" w:rsidRDefault="00C07A1F">
            <w:pPr>
              <w:spacing w:after="0"/>
              <w:jc w:val="left"/>
              <w:rPr>
                <w:sz w:val="20"/>
                <w:szCs w:val="20"/>
              </w:rPr>
            </w:pPr>
            <w:r w:rsidRPr="00F16324">
              <w:rPr>
                <w:sz w:val="20"/>
                <w:szCs w:val="20"/>
              </w:rPr>
              <w:t>Reduction in regulatory interaction costs and timelines through publicly available guidance; effects consistent across scenarios</w:t>
            </w:r>
          </w:p>
        </w:tc>
        <w:tc>
          <w:tcPr>
            <w:tcW w:w="2268" w:type="dxa"/>
            <w:hideMark/>
          </w:tcPr>
          <w:p w14:paraId="58909E5D" w14:textId="77777777" w:rsidR="00517DDF" w:rsidRPr="00F16324" w:rsidRDefault="00517DDF">
            <w:pPr>
              <w:spacing w:after="0"/>
              <w:jc w:val="left"/>
              <w:rPr>
                <w:sz w:val="20"/>
                <w:szCs w:val="20"/>
              </w:rPr>
            </w:pPr>
            <w:r w:rsidRPr="00F16324">
              <w:rPr>
                <w:sz w:val="20"/>
                <w:szCs w:val="20"/>
              </w:rPr>
              <w:t>same across all scenarios</w:t>
            </w:r>
          </w:p>
        </w:tc>
        <w:tc>
          <w:tcPr>
            <w:tcW w:w="2234" w:type="dxa"/>
            <w:hideMark/>
          </w:tcPr>
          <w:p w14:paraId="3F184128" w14:textId="77777777" w:rsidR="00517DDF" w:rsidRPr="00F16324" w:rsidRDefault="00517DDF">
            <w:pPr>
              <w:spacing w:after="0"/>
              <w:jc w:val="left"/>
              <w:rPr>
                <w:sz w:val="20"/>
                <w:szCs w:val="20"/>
              </w:rPr>
            </w:pPr>
            <w:r w:rsidRPr="00F16324">
              <w:rPr>
                <w:sz w:val="20"/>
                <w:szCs w:val="20"/>
              </w:rPr>
              <w:t>same across all scenarios</w:t>
            </w:r>
          </w:p>
        </w:tc>
      </w:tr>
      <w:tr w:rsidR="00517DDF" w:rsidRPr="00F16324" w14:paraId="3AF95304" w14:textId="77777777" w:rsidTr="007B1A5F">
        <w:tc>
          <w:tcPr>
            <w:tcW w:w="0" w:type="auto"/>
            <w:hideMark/>
          </w:tcPr>
          <w:p w14:paraId="2FB7DBEA" w14:textId="77777777" w:rsidR="00517DDF" w:rsidRPr="00443C31" w:rsidRDefault="00517DDF">
            <w:pPr>
              <w:spacing w:after="0"/>
              <w:jc w:val="left"/>
              <w:rPr>
                <w:b/>
                <w:bCs/>
                <w:sz w:val="20"/>
                <w:szCs w:val="20"/>
              </w:rPr>
            </w:pPr>
            <w:r w:rsidRPr="00443C31">
              <w:rPr>
                <w:b/>
                <w:bCs/>
                <w:sz w:val="20"/>
                <w:szCs w:val="20"/>
              </w:rPr>
              <w:t>SME infrastructure barrier addressed</w:t>
            </w:r>
          </w:p>
        </w:tc>
        <w:tc>
          <w:tcPr>
            <w:tcW w:w="2246" w:type="dxa"/>
            <w:hideMark/>
          </w:tcPr>
          <w:p w14:paraId="3B7C792C" w14:textId="1C8C4715" w:rsidR="00517DDF" w:rsidRPr="00F16324" w:rsidRDefault="00517DDF">
            <w:pPr>
              <w:spacing w:after="0"/>
              <w:jc w:val="left"/>
              <w:rPr>
                <w:sz w:val="20"/>
                <w:szCs w:val="20"/>
              </w:rPr>
            </w:pPr>
            <w:r w:rsidRPr="00F16324">
              <w:rPr>
                <w:sz w:val="20"/>
                <w:szCs w:val="20"/>
              </w:rPr>
              <w:t>82</w:t>
            </w:r>
            <w:r w:rsidR="00405618">
              <w:rPr>
                <w:sz w:val="20"/>
                <w:szCs w:val="20"/>
              </w:rPr>
              <w:t>%</w:t>
            </w:r>
            <w:r w:rsidRPr="00F16324">
              <w:rPr>
                <w:sz w:val="20"/>
                <w:szCs w:val="20"/>
              </w:rPr>
              <w:t xml:space="preserve"> of SMEs currently unable to self-finance validation; shared access reduces per-firm fixed costs</w:t>
            </w:r>
          </w:p>
        </w:tc>
        <w:tc>
          <w:tcPr>
            <w:tcW w:w="2268" w:type="dxa"/>
            <w:hideMark/>
          </w:tcPr>
          <w:p w14:paraId="31416CAB" w14:textId="77777777" w:rsidR="00517DDF" w:rsidRPr="00F16324" w:rsidRDefault="00517DDF">
            <w:pPr>
              <w:spacing w:after="0"/>
              <w:jc w:val="left"/>
              <w:rPr>
                <w:sz w:val="20"/>
                <w:szCs w:val="20"/>
              </w:rPr>
            </w:pPr>
            <w:r w:rsidRPr="00F16324">
              <w:rPr>
                <w:sz w:val="20"/>
                <w:szCs w:val="20"/>
              </w:rPr>
              <w:t>same direction; scales with number of environments</w:t>
            </w:r>
          </w:p>
        </w:tc>
        <w:tc>
          <w:tcPr>
            <w:tcW w:w="2234" w:type="dxa"/>
            <w:hideMark/>
          </w:tcPr>
          <w:p w14:paraId="35F2B43D" w14:textId="77777777" w:rsidR="00517DDF" w:rsidRPr="00F16324" w:rsidRDefault="00517DDF">
            <w:pPr>
              <w:spacing w:after="0"/>
              <w:jc w:val="left"/>
              <w:rPr>
                <w:sz w:val="20"/>
                <w:szCs w:val="20"/>
              </w:rPr>
            </w:pPr>
            <w:r w:rsidRPr="00F16324">
              <w:rPr>
                <w:sz w:val="20"/>
                <w:szCs w:val="20"/>
              </w:rPr>
              <w:t>same direction; scales with number of environments</w:t>
            </w:r>
          </w:p>
        </w:tc>
      </w:tr>
      <w:tr w:rsidR="00517DDF" w:rsidRPr="00F16324" w14:paraId="264F69B8" w14:textId="77777777" w:rsidTr="007B1A5F">
        <w:tc>
          <w:tcPr>
            <w:tcW w:w="0" w:type="auto"/>
            <w:hideMark/>
          </w:tcPr>
          <w:p w14:paraId="09F2858A" w14:textId="77777777" w:rsidR="00517DDF" w:rsidRPr="00443C31" w:rsidRDefault="00517DDF">
            <w:pPr>
              <w:spacing w:after="0"/>
              <w:jc w:val="left"/>
              <w:rPr>
                <w:b/>
                <w:bCs/>
                <w:sz w:val="20"/>
                <w:szCs w:val="20"/>
              </w:rPr>
            </w:pPr>
            <w:r w:rsidRPr="00443C31">
              <w:rPr>
                <w:b/>
                <w:bCs/>
                <w:sz w:val="20"/>
                <w:szCs w:val="20"/>
              </w:rPr>
              <w:t>Data usability gap addressed</w:t>
            </w:r>
          </w:p>
        </w:tc>
        <w:tc>
          <w:tcPr>
            <w:tcW w:w="2246" w:type="dxa"/>
            <w:hideMark/>
          </w:tcPr>
          <w:p w14:paraId="37F9C4BE" w14:textId="40BC4D45" w:rsidR="00517DDF" w:rsidRPr="00F16324" w:rsidRDefault="00517DDF">
            <w:pPr>
              <w:spacing w:after="0"/>
              <w:jc w:val="left"/>
              <w:rPr>
                <w:sz w:val="20"/>
                <w:szCs w:val="20"/>
              </w:rPr>
            </w:pPr>
            <w:r w:rsidRPr="00F16324">
              <w:rPr>
                <w:sz w:val="20"/>
                <w:szCs w:val="20"/>
              </w:rPr>
              <w:t>87</w:t>
            </w:r>
            <w:r w:rsidR="00405618">
              <w:rPr>
                <w:sz w:val="20"/>
                <w:szCs w:val="20"/>
              </w:rPr>
              <w:t>%</w:t>
            </w:r>
            <w:r w:rsidRPr="00F16324">
              <w:rPr>
                <w:sz w:val="20"/>
                <w:szCs w:val="20"/>
              </w:rPr>
              <w:t xml:space="preserve"> of biomedical datasets currently </w:t>
            </w:r>
            <w:r w:rsidR="009B5B14" w:rsidRPr="00F16324">
              <w:rPr>
                <w:sz w:val="20"/>
                <w:szCs w:val="20"/>
              </w:rPr>
              <w:t xml:space="preserve">not readily usable </w:t>
            </w:r>
            <w:r w:rsidRPr="00F16324">
              <w:rPr>
                <w:sz w:val="20"/>
                <w:szCs w:val="20"/>
              </w:rPr>
              <w:t>for ML; accelerators begin conversion to AI-ready</w:t>
            </w:r>
          </w:p>
        </w:tc>
        <w:tc>
          <w:tcPr>
            <w:tcW w:w="2268" w:type="dxa"/>
            <w:hideMark/>
          </w:tcPr>
          <w:p w14:paraId="03FD7D0D" w14:textId="77777777" w:rsidR="00517DDF" w:rsidRPr="00F16324" w:rsidRDefault="00517DDF">
            <w:pPr>
              <w:spacing w:after="0"/>
              <w:jc w:val="left"/>
              <w:rPr>
                <w:sz w:val="20"/>
                <w:szCs w:val="20"/>
              </w:rPr>
            </w:pPr>
            <w:r w:rsidRPr="00F16324">
              <w:rPr>
                <w:sz w:val="20"/>
                <w:szCs w:val="20"/>
              </w:rPr>
              <w:t>scales with number of accelerators</w:t>
            </w:r>
          </w:p>
        </w:tc>
        <w:tc>
          <w:tcPr>
            <w:tcW w:w="2234" w:type="dxa"/>
            <w:hideMark/>
          </w:tcPr>
          <w:p w14:paraId="2EB30EE6" w14:textId="77777777" w:rsidR="00517DDF" w:rsidRPr="00F16324" w:rsidRDefault="00517DDF">
            <w:pPr>
              <w:spacing w:after="0"/>
              <w:jc w:val="left"/>
              <w:rPr>
                <w:sz w:val="20"/>
                <w:szCs w:val="20"/>
              </w:rPr>
            </w:pPr>
            <w:r w:rsidRPr="00F16324">
              <w:rPr>
                <w:sz w:val="20"/>
                <w:szCs w:val="20"/>
              </w:rPr>
              <w:t>scales with number of accelerators</w:t>
            </w:r>
          </w:p>
        </w:tc>
      </w:tr>
      <w:tr w:rsidR="00517DDF" w:rsidRPr="00F16324" w14:paraId="54D4FF25" w14:textId="77777777" w:rsidTr="007B1A5F">
        <w:tc>
          <w:tcPr>
            <w:tcW w:w="0" w:type="auto"/>
            <w:hideMark/>
          </w:tcPr>
          <w:p w14:paraId="4F977B5B" w14:textId="77777777" w:rsidR="00517DDF" w:rsidRPr="00443C31" w:rsidRDefault="00517DDF">
            <w:pPr>
              <w:spacing w:after="0"/>
              <w:jc w:val="left"/>
              <w:rPr>
                <w:b/>
                <w:bCs/>
                <w:sz w:val="20"/>
                <w:szCs w:val="20"/>
              </w:rPr>
            </w:pPr>
            <w:r w:rsidRPr="00443C31">
              <w:rPr>
                <w:b/>
                <w:bCs/>
                <w:sz w:val="20"/>
                <w:szCs w:val="20"/>
              </w:rPr>
              <w:t>Key implementation risk</w:t>
            </w:r>
          </w:p>
        </w:tc>
        <w:tc>
          <w:tcPr>
            <w:tcW w:w="2246" w:type="dxa"/>
            <w:hideMark/>
          </w:tcPr>
          <w:p w14:paraId="01641ECA" w14:textId="2252E42E" w:rsidR="00517DDF" w:rsidRPr="00F16324" w:rsidRDefault="000520B9">
            <w:pPr>
              <w:spacing w:after="0"/>
              <w:jc w:val="left"/>
              <w:rPr>
                <w:sz w:val="20"/>
                <w:szCs w:val="20"/>
              </w:rPr>
            </w:pPr>
            <w:r w:rsidRPr="00F16324">
              <w:rPr>
                <w:sz w:val="20"/>
                <w:szCs w:val="20"/>
              </w:rPr>
              <w:t>L</w:t>
            </w:r>
            <w:r w:rsidR="00517DDF" w:rsidRPr="00F16324">
              <w:rPr>
                <w:sz w:val="20"/>
                <w:szCs w:val="20"/>
              </w:rPr>
              <w:t>imited number of environments and accelerators reduces coverage and competitiveness signal</w:t>
            </w:r>
          </w:p>
        </w:tc>
        <w:tc>
          <w:tcPr>
            <w:tcW w:w="2268" w:type="dxa"/>
            <w:hideMark/>
          </w:tcPr>
          <w:p w14:paraId="78FDDEDB" w14:textId="2A441961" w:rsidR="00517DDF" w:rsidRPr="00F16324" w:rsidRDefault="0097587A">
            <w:pPr>
              <w:spacing w:after="0"/>
              <w:jc w:val="left"/>
              <w:rPr>
                <w:sz w:val="20"/>
                <w:szCs w:val="20"/>
              </w:rPr>
            </w:pPr>
            <w:r w:rsidRPr="00F16324">
              <w:rPr>
                <w:sz w:val="20"/>
                <w:szCs w:val="20"/>
              </w:rPr>
              <w:t>Need to ensure efficient access conditions and interoperability alignment</w:t>
            </w:r>
            <w:r w:rsidR="00517DDF" w:rsidRPr="00F16324">
              <w:rPr>
                <w:sz w:val="20"/>
                <w:szCs w:val="20"/>
              </w:rPr>
              <w:t>; OPEX sustainability</w:t>
            </w:r>
          </w:p>
        </w:tc>
        <w:tc>
          <w:tcPr>
            <w:tcW w:w="2234" w:type="dxa"/>
            <w:hideMark/>
          </w:tcPr>
          <w:p w14:paraId="3E5B6F98" w14:textId="0759A26B" w:rsidR="00517DDF" w:rsidRPr="00F16324" w:rsidRDefault="00250D13">
            <w:pPr>
              <w:spacing w:after="0"/>
              <w:jc w:val="left"/>
              <w:rPr>
                <w:sz w:val="20"/>
                <w:szCs w:val="20"/>
              </w:rPr>
            </w:pPr>
            <w:r w:rsidRPr="00F16324">
              <w:rPr>
                <w:sz w:val="20"/>
                <w:szCs w:val="20"/>
              </w:rPr>
              <w:t>Need for continuous technological upgrading and balanced. access conditions across users</w:t>
            </w:r>
          </w:p>
        </w:tc>
      </w:tr>
    </w:tbl>
    <w:p w14:paraId="510C81B2" w14:textId="77777777" w:rsidR="009D491B" w:rsidRPr="004F48D9" w:rsidRDefault="009D491B" w:rsidP="00574D27">
      <w:pPr>
        <w:pBdr>
          <w:top w:val="nil"/>
          <w:left w:val="nil"/>
          <w:bottom w:val="nil"/>
          <w:right w:val="nil"/>
          <w:between w:val="nil"/>
        </w:pBdr>
        <w:rPr>
          <w:rFonts w:eastAsia="Times New Roman"/>
          <w:color w:val="000000" w:themeColor="text1"/>
          <w:highlight w:val="yellow"/>
          <w:lang w:val="en-IE"/>
        </w:rPr>
      </w:pPr>
    </w:p>
    <w:p w14:paraId="2768D060" w14:textId="1234EF3A" w:rsidR="000F3479" w:rsidRDefault="000F3479" w:rsidP="00574D27">
      <w:pPr>
        <w:pStyle w:val="Heading3"/>
      </w:pPr>
      <w:bookmarkStart w:id="252" w:name="_Toc224747235"/>
      <w:bookmarkStart w:id="253" w:name="_Toc224749705"/>
      <w:bookmarkStart w:id="254" w:name="_Toc225974583"/>
      <w:bookmarkStart w:id="255" w:name="_Toc225975256"/>
      <w:bookmarkStart w:id="256" w:name="_Toc225975313"/>
      <w:r w:rsidRPr="00DD0CE5">
        <w:t>Intervention n°16:</w:t>
      </w:r>
      <w:bookmarkEnd w:id="252"/>
      <w:bookmarkEnd w:id="253"/>
      <w:r w:rsidR="00CD4A6E">
        <w:t xml:space="preserve"> </w:t>
      </w:r>
      <w:r w:rsidR="002E63D4">
        <w:t>Prevention of</w:t>
      </w:r>
      <w:r w:rsidR="007167C4">
        <w:t xml:space="preserve"> biotechnology misuse</w:t>
      </w:r>
      <w:bookmarkEnd w:id="254"/>
      <w:bookmarkEnd w:id="255"/>
      <w:bookmarkEnd w:id="256"/>
    </w:p>
    <w:p w14:paraId="0498C2B1" w14:textId="020104F6" w:rsidR="00F34CA8" w:rsidRDefault="00F34CA8" w:rsidP="00F34CA8">
      <w:r>
        <w:t xml:space="preserve">The </w:t>
      </w:r>
      <w:r w:rsidR="00E77373">
        <w:t xml:space="preserve">proposed </w:t>
      </w:r>
      <w:r w:rsidR="00A7615A">
        <w:t>Regulation</w:t>
      </w:r>
      <w:r>
        <w:t xml:space="preserve"> sets out a regulatory framework for customer screening of biotechnology products of concern, </w:t>
      </w:r>
      <w:r w:rsidR="04ADA144">
        <w:t>focused on</w:t>
      </w:r>
      <w:r>
        <w:t xml:space="preserve"> custom-made and potentially dangerous sequences of synthetic DNA or RNA (synthetic nucleic acids, synthetic ‘NA’). Custom NA synthesis is a small but crucial part of the biotech sector, representing around 0.1</w:t>
      </w:r>
      <w:r w:rsidR="00405618">
        <w:t>%</w:t>
      </w:r>
      <w:r>
        <w:t xml:space="preserve"> </w:t>
      </w:r>
      <w:r w:rsidRPr="4E26AC25">
        <w:rPr>
          <w:lang w:val="en-US"/>
        </w:rPr>
        <w:t>of the European Biotech market</w:t>
      </w:r>
      <w:r>
        <w:rPr>
          <w:rStyle w:val="FootnoteReference"/>
        </w:rPr>
        <w:footnoteReference w:id="260"/>
      </w:r>
      <w:r w:rsidRPr="4E26AC25">
        <w:rPr>
          <w:lang w:val="en-US"/>
        </w:rPr>
        <w:t>.</w:t>
      </w:r>
      <w:r>
        <w:t xml:space="preserve"> The EU is home to around 100 companies in scope of the Chapter’s provisions (ca. 20</w:t>
      </w:r>
      <w:r w:rsidR="00405618">
        <w:t>%</w:t>
      </w:r>
      <w:r>
        <w:t xml:space="preserve"> of global NA synthesis companies)</w:t>
      </w:r>
      <w:r w:rsidRPr="00EA2B4A">
        <w:rPr>
          <w:rStyle w:val="FootnoteReference"/>
        </w:rPr>
        <w:t xml:space="preserve"> </w:t>
      </w:r>
      <w:r>
        <w:rPr>
          <w:rStyle w:val="FootnoteReference"/>
        </w:rPr>
        <w:footnoteReference w:id="261"/>
      </w:r>
      <w:r>
        <w:t>, with companies outside the EU</w:t>
      </w:r>
      <w:r w:rsidRPr="00C362B1">
        <w:t xml:space="preserve"> </w:t>
      </w:r>
      <w:r w:rsidRPr="002171FE">
        <w:t>selling custom nucleic acids</w:t>
      </w:r>
      <w:r>
        <w:t xml:space="preserve"> to the Union market</w:t>
      </w:r>
      <w:r w:rsidRPr="00C362B1">
        <w:t xml:space="preserve"> </w:t>
      </w:r>
      <w:r>
        <w:t>also in scope.</w:t>
      </w:r>
    </w:p>
    <w:p w14:paraId="7371BC8A" w14:textId="77777777" w:rsidR="00F34CA8" w:rsidRPr="007320D0" w:rsidRDefault="00F34CA8" w:rsidP="00F34CA8">
      <w:pPr>
        <w:rPr>
          <w:lang w:val="en-IE"/>
        </w:rPr>
      </w:pPr>
      <w:r w:rsidRPr="4E26AC25">
        <w:rPr>
          <w:lang w:val="en-IE"/>
        </w:rPr>
        <w:t xml:space="preserve">The exponential decrease in the cost of synthesising DNA and RNA has transformed biotechnology and made innovation more accessible. However, it has also increased the risk of misuse. </w:t>
      </w:r>
      <w:r>
        <w:rPr>
          <w:lang w:val="en-IE"/>
        </w:rPr>
        <w:t>A particular concern is that, g</w:t>
      </w:r>
      <w:r w:rsidRPr="4E26AC25">
        <w:rPr>
          <w:lang w:val="en-IE"/>
        </w:rPr>
        <w:t xml:space="preserve">iven information on the genomes of viruses and other pathogens is publicly available, </w:t>
      </w:r>
      <w:r w:rsidRPr="00EA2B4A">
        <w:rPr>
          <w:lang w:val="en-IE"/>
        </w:rPr>
        <w:t xml:space="preserve">access to the physical DNA or RNA </w:t>
      </w:r>
      <w:r>
        <w:rPr>
          <w:lang w:val="en-IE"/>
        </w:rPr>
        <w:t>is an</w:t>
      </w:r>
      <w:r w:rsidRPr="00EA2B4A">
        <w:t xml:space="preserve"> increasingly eroding chokepoint to create and weaponise </w:t>
      </w:r>
      <w:r w:rsidRPr="00EA2B4A">
        <w:rPr>
          <w:lang w:val="en-IE"/>
        </w:rPr>
        <w:t>pathogens to carry out biological attacks.</w:t>
      </w:r>
      <w:r w:rsidRPr="00514904">
        <w:rPr>
          <w:b/>
          <w:bCs/>
          <w:lang w:val="en-IE"/>
        </w:rPr>
        <w:t xml:space="preserve"> These could have consequences similar to, or worse than, those seen during the Covid-19 pandemic</w:t>
      </w:r>
      <w:r>
        <w:rPr>
          <w:lang w:val="en-IE"/>
        </w:rPr>
        <w:t>, with economic costs of EUR 20 trillion for the EU alone</w:t>
      </w:r>
      <w:r w:rsidRPr="43E0CBA7">
        <w:rPr>
          <w:lang w:val="en-IE"/>
        </w:rPr>
        <w:t xml:space="preserve">. </w:t>
      </w:r>
      <w:r>
        <w:rPr>
          <w:lang w:val="en-IE"/>
        </w:rPr>
        <w:t>In 2024,</w:t>
      </w:r>
      <w:r w:rsidRPr="4E26AC25">
        <w:rPr>
          <w:lang w:val="en-IE"/>
        </w:rPr>
        <w:t xml:space="preserve"> </w:t>
      </w:r>
      <w:r>
        <w:t>MIT researchers demonstrated the ability to order synthetic genetic fragments sufficient to reconstruct the 1918 pandemic influenza virus, with their order fulfilled in almost all attempts</w:t>
      </w:r>
      <w:r w:rsidRPr="00B0180D">
        <w:rPr>
          <w:rStyle w:val="FootnoteReference"/>
        </w:rPr>
        <w:footnoteReference w:id="262"/>
      </w:r>
      <w:r>
        <w:t xml:space="preserve">. </w:t>
      </w:r>
    </w:p>
    <w:p w14:paraId="6D5AFBD5" w14:textId="06EFEFBA" w:rsidR="00F34CA8" w:rsidRDefault="00F34CA8" w:rsidP="00F34CA8">
      <w:r>
        <w:t>Williams et al. (2025) estimate the near-future annual probability of biological attacks at 1</w:t>
      </w:r>
      <w:r w:rsidR="00405618">
        <w:t>%</w:t>
      </w:r>
      <w:r>
        <w:t xml:space="preserve"> and accidents from their use at 1.5</w:t>
      </w:r>
      <w:r w:rsidR="00405618">
        <w:t>%</w:t>
      </w:r>
      <w:r>
        <w:t>. In recent years, multiple individuals in the EU attempted to carry out biological attacks by weaponising biological agents</w:t>
      </w:r>
      <w:r>
        <w:rPr>
          <w:rStyle w:val="FootnoteReference"/>
        </w:rPr>
        <w:footnoteReference w:id="263"/>
      </w:r>
      <w:r>
        <w:t xml:space="preserve">. </w:t>
      </w:r>
      <w:r w:rsidR="7CA4FCAD">
        <w:t>A</w:t>
      </w:r>
      <w:r>
        <w:t>s synthetic NA continues to become cheaper and more widely available</w:t>
      </w:r>
      <w:r w:rsidR="46BEEDA9">
        <w:t xml:space="preserve">, </w:t>
      </w:r>
      <w:r w:rsidR="46BEEDA9" w:rsidRPr="2A290C65">
        <w:rPr>
          <w:rFonts w:eastAsia="Times New Roman"/>
        </w:rPr>
        <w:t xml:space="preserve">this increases the risk that future biological attacks </w:t>
      </w:r>
      <w:r w:rsidR="46BEEDA9" w:rsidRPr="7E3F2AC7">
        <w:rPr>
          <w:rFonts w:eastAsia="Times New Roman"/>
        </w:rPr>
        <w:t>could</w:t>
      </w:r>
      <w:r w:rsidR="46BEEDA9" w:rsidRPr="2A290C65">
        <w:rPr>
          <w:rFonts w:eastAsia="Times New Roman"/>
        </w:rPr>
        <w:t xml:space="preserve"> </w:t>
      </w:r>
      <w:r w:rsidR="625E4FF7" w:rsidRPr="5E356700">
        <w:rPr>
          <w:rFonts w:eastAsia="Times New Roman"/>
        </w:rPr>
        <w:t xml:space="preserve">be </w:t>
      </w:r>
      <w:r w:rsidR="625E4FF7" w:rsidRPr="4EDADE40">
        <w:rPr>
          <w:rFonts w:eastAsia="Times New Roman"/>
        </w:rPr>
        <w:t>much more damaging</w:t>
      </w:r>
      <w:r w:rsidR="073F8F51" w:rsidRPr="001FCD77">
        <w:rPr>
          <w:rFonts w:eastAsia="Times New Roman"/>
        </w:rPr>
        <w:t xml:space="preserve">, </w:t>
      </w:r>
      <w:r w:rsidR="073F8F51" w:rsidRPr="153D310D">
        <w:rPr>
          <w:rFonts w:eastAsia="Times New Roman"/>
        </w:rPr>
        <w:t>using</w:t>
      </w:r>
      <w:r w:rsidR="073F8F51" w:rsidRPr="001FCD77">
        <w:rPr>
          <w:rFonts w:eastAsia="Times New Roman"/>
        </w:rPr>
        <w:t xml:space="preserve"> transmissible viruses instead of toxins</w:t>
      </w:r>
      <w:r>
        <w:t xml:space="preserve">. </w:t>
      </w:r>
    </w:p>
    <w:p w14:paraId="567C0467" w14:textId="66458297" w:rsidR="00F34CA8" w:rsidRPr="00DA506A" w:rsidRDefault="00F34CA8" w:rsidP="00F34CA8">
      <w:pPr>
        <w:rPr>
          <w:lang w:val="en-US"/>
        </w:rPr>
      </w:pPr>
      <w:r w:rsidRPr="00514904">
        <w:rPr>
          <w:b/>
          <w:lang w:val="en-US"/>
        </w:rPr>
        <w:t xml:space="preserve">Table </w:t>
      </w:r>
      <w:r>
        <w:rPr>
          <w:b/>
          <w:bCs/>
          <w:lang w:val="en-US"/>
        </w:rPr>
        <w:t>1</w:t>
      </w:r>
      <w:r w:rsidR="00F37494">
        <w:rPr>
          <w:b/>
          <w:bCs/>
          <w:lang w:val="en-US"/>
        </w:rPr>
        <w:t>9</w:t>
      </w:r>
      <w:r>
        <w:rPr>
          <w:b/>
          <w:lang w:val="en-US"/>
        </w:rPr>
        <w:t xml:space="preserve">. </w:t>
      </w:r>
      <w:r w:rsidRPr="00514904">
        <w:rPr>
          <w:b/>
          <w:lang w:val="en-US"/>
        </w:rPr>
        <w:t xml:space="preserve">Estimated risk from accidents with or misuse of Synthetic </w:t>
      </w:r>
      <w:r w:rsidRPr="00514904">
        <w:rPr>
          <w:b/>
          <w:bCs/>
          <w:lang w:val="en-US"/>
        </w:rPr>
        <w:t>N</w:t>
      </w:r>
      <w:r>
        <w:rPr>
          <w:b/>
          <w:bCs/>
          <w:lang w:val="en-US"/>
        </w:rPr>
        <w:t xml:space="preserve">ucleic </w:t>
      </w:r>
      <w:r w:rsidRPr="00514904">
        <w:rPr>
          <w:b/>
          <w:bCs/>
          <w:lang w:val="en-US"/>
        </w:rPr>
        <w:t>A</w:t>
      </w:r>
      <w:r>
        <w:rPr>
          <w:b/>
          <w:bCs/>
          <w:lang w:val="en-US"/>
        </w:rPr>
        <w:t>cids</w:t>
      </w:r>
      <w:r w:rsidRPr="22A77813">
        <w:rPr>
          <w:rStyle w:val="FootnoteReference"/>
          <w:b/>
          <w:lang w:val="en-US"/>
        </w:rPr>
        <w:footnoteReference w:id="264"/>
      </w:r>
    </w:p>
    <w:tbl>
      <w:tblPr>
        <w:tblStyle w:val="TableGrid"/>
        <w:tblW w:w="5000" w:type="pct"/>
        <w:tblLook w:val="04A0" w:firstRow="1" w:lastRow="0" w:firstColumn="1" w:lastColumn="0" w:noHBand="0" w:noVBand="1"/>
      </w:tblPr>
      <w:tblGrid>
        <w:gridCol w:w="2264"/>
        <w:gridCol w:w="2040"/>
        <w:gridCol w:w="4304"/>
      </w:tblGrid>
      <w:tr w:rsidR="00F34CA8" w:rsidRPr="00F16324" w14:paraId="18D10011" w14:textId="77777777">
        <w:tc>
          <w:tcPr>
            <w:tcW w:w="1315" w:type="pct"/>
          </w:tcPr>
          <w:p w14:paraId="6EC1BE27" w14:textId="77777777" w:rsidR="00F34CA8" w:rsidRPr="00937F90" w:rsidRDefault="00F34CA8">
            <w:pPr>
              <w:rPr>
                <w:b/>
                <w:bCs/>
                <w:sz w:val="20"/>
                <w:szCs w:val="20"/>
                <w:lang w:val="en-US"/>
              </w:rPr>
            </w:pPr>
            <w:r w:rsidRPr="00937F90">
              <w:rPr>
                <w:b/>
                <w:bCs/>
                <w:sz w:val="20"/>
                <w:szCs w:val="20"/>
                <w:lang w:val="en-US"/>
              </w:rPr>
              <w:t>Type of events</w:t>
            </w:r>
          </w:p>
        </w:tc>
        <w:tc>
          <w:tcPr>
            <w:tcW w:w="1185" w:type="pct"/>
          </w:tcPr>
          <w:p w14:paraId="19A8DD19" w14:textId="77777777" w:rsidR="00F34CA8" w:rsidRPr="00937F90" w:rsidRDefault="00F34CA8">
            <w:pPr>
              <w:rPr>
                <w:b/>
                <w:bCs/>
                <w:sz w:val="20"/>
                <w:szCs w:val="20"/>
                <w:lang w:val="en-US"/>
              </w:rPr>
            </w:pPr>
            <w:r w:rsidRPr="00937F90">
              <w:rPr>
                <w:b/>
                <w:bCs/>
                <w:sz w:val="20"/>
                <w:szCs w:val="20"/>
                <w:lang w:val="en-US"/>
              </w:rPr>
              <w:t>Annual likelihood</w:t>
            </w:r>
          </w:p>
        </w:tc>
        <w:tc>
          <w:tcPr>
            <w:tcW w:w="2500" w:type="pct"/>
          </w:tcPr>
          <w:p w14:paraId="7E36D687" w14:textId="77777777" w:rsidR="00F34CA8" w:rsidRPr="00937F90" w:rsidRDefault="00F34CA8">
            <w:pPr>
              <w:jc w:val="left"/>
              <w:rPr>
                <w:b/>
                <w:bCs/>
                <w:sz w:val="20"/>
                <w:szCs w:val="20"/>
                <w:lang w:val="en-US"/>
              </w:rPr>
            </w:pPr>
            <w:r w:rsidRPr="00937F90">
              <w:rPr>
                <w:b/>
                <w:bCs/>
                <w:sz w:val="20"/>
                <w:szCs w:val="20"/>
                <w:lang w:val="en-US"/>
              </w:rPr>
              <w:t>Expected monetised harm to EU if event occurs</w:t>
            </w:r>
          </w:p>
        </w:tc>
      </w:tr>
      <w:tr w:rsidR="00F34CA8" w:rsidRPr="00F16324" w14:paraId="085D5332" w14:textId="77777777">
        <w:tc>
          <w:tcPr>
            <w:tcW w:w="1315" w:type="pct"/>
          </w:tcPr>
          <w:p w14:paraId="24FC4BF1" w14:textId="77777777" w:rsidR="00F34CA8" w:rsidRPr="00937F90" w:rsidRDefault="00F34CA8">
            <w:pPr>
              <w:rPr>
                <w:sz w:val="20"/>
                <w:szCs w:val="20"/>
                <w:lang w:val="en-US"/>
              </w:rPr>
            </w:pPr>
            <w:r w:rsidRPr="00937F90">
              <w:rPr>
                <w:sz w:val="20"/>
                <w:szCs w:val="20"/>
                <w:lang w:val="en-US"/>
              </w:rPr>
              <w:t>Large scale event</w:t>
            </w:r>
            <w:r>
              <w:rPr>
                <w:rStyle w:val="FootnoteReference"/>
                <w:sz w:val="20"/>
                <w:szCs w:val="20"/>
                <w:lang w:val="en-US"/>
              </w:rPr>
              <w:footnoteReference w:id="265"/>
            </w:r>
          </w:p>
        </w:tc>
        <w:tc>
          <w:tcPr>
            <w:tcW w:w="1185" w:type="pct"/>
          </w:tcPr>
          <w:p w14:paraId="7DFA2620" w14:textId="13AFBA51" w:rsidR="00F34CA8" w:rsidRPr="00937F90" w:rsidRDefault="00F34CA8">
            <w:pPr>
              <w:rPr>
                <w:sz w:val="20"/>
                <w:szCs w:val="20"/>
                <w:lang w:val="en-US"/>
              </w:rPr>
            </w:pPr>
            <w:r w:rsidRPr="00937F90">
              <w:rPr>
                <w:sz w:val="20"/>
                <w:szCs w:val="20"/>
                <w:lang w:val="en-US"/>
              </w:rPr>
              <w:t>1</w:t>
            </w:r>
            <w:r w:rsidR="00405618">
              <w:rPr>
                <w:sz w:val="20"/>
                <w:szCs w:val="20"/>
                <w:lang w:val="en-US"/>
              </w:rPr>
              <w:t>%</w:t>
            </w:r>
          </w:p>
        </w:tc>
        <w:tc>
          <w:tcPr>
            <w:tcW w:w="2500" w:type="pct"/>
          </w:tcPr>
          <w:p w14:paraId="0095A811" w14:textId="77777777" w:rsidR="00F34CA8" w:rsidRPr="00937F90" w:rsidRDefault="00F34CA8">
            <w:pPr>
              <w:rPr>
                <w:sz w:val="20"/>
                <w:szCs w:val="20"/>
                <w:lang w:val="en-US"/>
              </w:rPr>
            </w:pPr>
            <w:r w:rsidRPr="00937F90">
              <w:rPr>
                <w:sz w:val="20"/>
                <w:szCs w:val="20"/>
                <w:lang w:val="en-US"/>
              </w:rPr>
              <w:t>EUR 19.6 trillion</w:t>
            </w:r>
          </w:p>
        </w:tc>
      </w:tr>
      <w:tr w:rsidR="00F34CA8" w:rsidRPr="00F16324" w14:paraId="08AE5BE4" w14:textId="77777777">
        <w:tc>
          <w:tcPr>
            <w:tcW w:w="1315" w:type="pct"/>
          </w:tcPr>
          <w:p w14:paraId="7F4D4F6C" w14:textId="77777777" w:rsidR="00F34CA8" w:rsidRPr="00937F90" w:rsidRDefault="00F34CA8">
            <w:pPr>
              <w:rPr>
                <w:sz w:val="20"/>
                <w:szCs w:val="20"/>
                <w:lang w:val="en-US"/>
              </w:rPr>
            </w:pPr>
            <w:r w:rsidRPr="00937F90">
              <w:rPr>
                <w:sz w:val="20"/>
                <w:szCs w:val="20"/>
                <w:lang w:val="en-US"/>
              </w:rPr>
              <w:t>Small scale event</w:t>
            </w:r>
            <w:r w:rsidRPr="00F16324">
              <w:rPr>
                <w:rStyle w:val="FootnoteReference"/>
                <w:sz w:val="20"/>
                <w:szCs w:val="20"/>
                <w:lang w:val="en-US"/>
              </w:rPr>
              <w:footnoteReference w:id="266"/>
            </w:r>
          </w:p>
        </w:tc>
        <w:tc>
          <w:tcPr>
            <w:tcW w:w="1185" w:type="pct"/>
          </w:tcPr>
          <w:p w14:paraId="53ECD8A8" w14:textId="578B78A3" w:rsidR="00F34CA8" w:rsidRPr="00937F90" w:rsidRDefault="00F34CA8">
            <w:pPr>
              <w:rPr>
                <w:sz w:val="20"/>
                <w:szCs w:val="20"/>
                <w:lang w:val="en-US"/>
              </w:rPr>
            </w:pPr>
            <w:r w:rsidRPr="00937F90">
              <w:rPr>
                <w:sz w:val="20"/>
                <w:szCs w:val="20"/>
                <w:lang w:val="en-US"/>
              </w:rPr>
              <w:t>22</w:t>
            </w:r>
            <w:r w:rsidR="00405618">
              <w:rPr>
                <w:sz w:val="20"/>
                <w:szCs w:val="20"/>
                <w:lang w:val="en-US"/>
              </w:rPr>
              <w:t>%</w:t>
            </w:r>
          </w:p>
        </w:tc>
        <w:tc>
          <w:tcPr>
            <w:tcW w:w="2500" w:type="pct"/>
          </w:tcPr>
          <w:p w14:paraId="40409559" w14:textId="77777777" w:rsidR="00F34CA8" w:rsidRPr="00937F90" w:rsidRDefault="00F34CA8">
            <w:pPr>
              <w:rPr>
                <w:sz w:val="20"/>
                <w:szCs w:val="20"/>
                <w:lang w:val="en-US"/>
              </w:rPr>
            </w:pPr>
            <w:r w:rsidRPr="00937F90">
              <w:rPr>
                <w:sz w:val="20"/>
                <w:szCs w:val="20"/>
                <w:lang w:val="en-US"/>
              </w:rPr>
              <w:t>EUR 72 million</w:t>
            </w:r>
          </w:p>
        </w:tc>
      </w:tr>
      <w:tr w:rsidR="00F34CA8" w:rsidRPr="00F16324" w14:paraId="68A59562" w14:textId="77777777">
        <w:tc>
          <w:tcPr>
            <w:tcW w:w="1315" w:type="pct"/>
          </w:tcPr>
          <w:p w14:paraId="2407E42A" w14:textId="77777777" w:rsidR="00F34CA8" w:rsidRPr="00937F90" w:rsidRDefault="00F34CA8">
            <w:pPr>
              <w:rPr>
                <w:sz w:val="20"/>
                <w:szCs w:val="20"/>
                <w:lang w:val="en-US"/>
              </w:rPr>
            </w:pPr>
            <w:r w:rsidRPr="00937F90">
              <w:rPr>
                <w:sz w:val="20"/>
                <w:szCs w:val="20"/>
                <w:lang w:val="en-US"/>
              </w:rPr>
              <w:t>Agricultural event</w:t>
            </w:r>
          </w:p>
        </w:tc>
        <w:tc>
          <w:tcPr>
            <w:tcW w:w="1185" w:type="pct"/>
          </w:tcPr>
          <w:p w14:paraId="5DC8EAC9" w14:textId="1C9FDC6F" w:rsidR="00F34CA8" w:rsidRPr="00937F90" w:rsidRDefault="00F34CA8">
            <w:pPr>
              <w:rPr>
                <w:sz w:val="20"/>
                <w:szCs w:val="20"/>
                <w:lang w:val="en-US"/>
              </w:rPr>
            </w:pPr>
            <w:r w:rsidRPr="00937F90">
              <w:rPr>
                <w:sz w:val="20"/>
                <w:szCs w:val="20"/>
                <w:lang w:val="en-US"/>
              </w:rPr>
              <w:t>4</w:t>
            </w:r>
            <w:r w:rsidR="00405618">
              <w:rPr>
                <w:sz w:val="20"/>
                <w:szCs w:val="20"/>
                <w:lang w:val="en-US"/>
              </w:rPr>
              <w:t>%</w:t>
            </w:r>
          </w:p>
        </w:tc>
        <w:tc>
          <w:tcPr>
            <w:tcW w:w="2500" w:type="pct"/>
          </w:tcPr>
          <w:p w14:paraId="7FE3FE74" w14:textId="77777777" w:rsidR="00F34CA8" w:rsidRPr="00937F90" w:rsidRDefault="00F34CA8">
            <w:pPr>
              <w:rPr>
                <w:sz w:val="20"/>
                <w:szCs w:val="20"/>
                <w:lang w:val="en-US"/>
              </w:rPr>
            </w:pPr>
            <w:r w:rsidRPr="00937F90">
              <w:rPr>
                <w:sz w:val="20"/>
                <w:szCs w:val="20"/>
                <w:lang w:val="en-US"/>
              </w:rPr>
              <w:t>EUR 75.5 billion</w:t>
            </w:r>
          </w:p>
        </w:tc>
      </w:tr>
      <w:tr w:rsidR="00F34CA8" w:rsidRPr="00F16324" w14:paraId="26F1EE98" w14:textId="77777777">
        <w:tc>
          <w:tcPr>
            <w:tcW w:w="1315" w:type="pct"/>
          </w:tcPr>
          <w:p w14:paraId="3360CA83" w14:textId="77777777" w:rsidR="00F34CA8" w:rsidRPr="00937F90" w:rsidRDefault="00F34CA8">
            <w:pPr>
              <w:rPr>
                <w:sz w:val="20"/>
                <w:szCs w:val="20"/>
                <w:lang w:val="en-US"/>
              </w:rPr>
            </w:pPr>
            <w:r w:rsidRPr="00937F90">
              <w:rPr>
                <w:sz w:val="20"/>
                <w:szCs w:val="20"/>
                <w:lang w:val="en-US"/>
              </w:rPr>
              <w:t>Non-transmissible events</w:t>
            </w:r>
          </w:p>
        </w:tc>
        <w:tc>
          <w:tcPr>
            <w:tcW w:w="1185" w:type="pct"/>
          </w:tcPr>
          <w:p w14:paraId="2345CB60" w14:textId="3BD85249" w:rsidR="00F34CA8" w:rsidRPr="00937F90" w:rsidRDefault="00F34CA8">
            <w:pPr>
              <w:rPr>
                <w:sz w:val="20"/>
                <w:szCs w:val="20"/>
                <w:lang w:val="en-US"/>
              </w:rPr>
            </w:pPr>
            <w:r w:rsidRPr="00937F90">
              <w:rPr>
                <w:sz w:val="20"/>
                <w:szCs w:val="20"/>
                <w:lang w:val="en-US"/>
              </w:rPr>
              <w:t>5-25</w:t>
            </w:r>
            <w:r w:rsidR="00405618">
              <w:rPr>
                <w:sz w:val="20"/>
                <w:szCs w:val="20"/>
                <w:lang w:val="en-US"/>
              </w:rPr>
              <w:t>%</w:t>
            </w:r>
          </w:p>
        </w:tc>
        <w:tc>
          <w:tcPr>
            <w:tcW w:w="2500" w:type="pct"/>
          </w:tcPr>
          <w:p w14:paraId="4797D5CD" w14:textId="77777777" w:rsidR="00F34CA8" w:rsidRPr="00937F90" w:rsidRDefault="00F34CA8">
            <w:pPr>
              <w:rPr>
                <w:sz w:val="20"/>
                <w:szCs w:val="20"/>
                <w:lang w:val="en-US"/>
              </w:rPr>
            </w:pPr>
            <w:r w:rsidRPr="00937F90">
              <w:rPr>
                <w:sz w:val="20"/>
                <w:szCs w:val="20"/>
                <w:lang w:val="en-US"/>
              </w:rPr>
              <w:t>EUR 121 million</w:t>
            </w:r>
          </w:p>
        </w:tc>
      </w:tr>
    </w:tbl>
    <w:p w14:paraId="758FEADC" w14:textId="77777777" w:rsidR="008430F2" w:rsidRDefault="008430F2" w:rsidP="00F34CA8"/>
    <w:p w14:paraId="1A25BF64" w14:textId="7CC73C36" w:rsidR="00F34CA8" w:rsidRDefault="00F34CA8" w:rsidP="00F34CA8">
      <w:r>
        <w:t xml:space="preserve">To reduce this risk, the Biotech Act introduces a mandate for custom NA synthesis companies to verify the identity and legitimacy of customers purchasing potentially dangerous NA sequences. Companies that make benchtop NA synthesis devices available would also be obligated to implement a screening mechanism to prevent the synthesis of biotechnology products of concern with the device. </w:t>
      </w:r>
    </w:p>
    <w:p w14:paraId="352C22D7" w14:textId="225A994A" w:rsidR="00F34CA8" w:rsidRDefault="00F34CA8" w:rsidP="00F34CA8">
      <w:r>
        <w:t>In the Biotech Act Call for Evidence</w:t>
      </w:r>
      <w:r>
        <w:rPr>
          <w:rStyle w:val="FootnoteReference"/>
        </w:rPr>
        <w:footnoteReference w:id="267"/>
      </w:r>
      <w:r>
        <w:t xml:space="preserve">, several industry representatives were supportive of such harmonised rules on NA synthesis screening at EU-level, given the </w:t>
      </w:r>
      <w:r w:rsidRPr="00E17B57">
        <w:t>significant heterogeneity in security practice</w:t>
      </w:r>
      <w:r>
        <w:t>s</w:t>
      </w:r>
      <w:r>
        <w:rPr>
          <w:rStyle w:val="FootnoteReference"/>
        </w:rPr>
        <w:footnoteReference w:id="268"/>
      </w:r>
      <w:r w:rsidRPr="00E17B57">
        <w:t xml:space="preserve"> </w:t>
      </w:r>
      <w:r>
        <w:t>and the difficulty in complying with diverging rules across Member States</w:t>
      </w:r>
      <w:r>
        <w:rPr>
          <w:rStyle w:val="FootnoteReference"/>
        </w:rPr>
        <w:footnoteReference w:id="269"/>
      </w:r>
      <w:r>
        <w:t>. Customer screening for potentially dangerous NA synthesis orders is frequent industry practice, with companies representing over 50</w:t>
      </w:r>
      <w:r w:rsidR="00405618">
        <w:t>%</w:t>
      </w:r>
      <w:r>
        <w:t xml:space="preserve"> of global NA synthesis capacity being members of the International Gene Synthesis Consortium</w:t>
      </w:r>
      <w:r>
        <w:rPr>
          <w:rStyle w:val="FootnoteReference"/>
        </w:rPr>
        <w:footnoteReference w:id="270"/>
      </w:r>
      <w:r>
        <w:t>, an industry association that supports its members to follow its harmonised screening protocol.</w:t>
      </w:r>
    </w:p>
    <w:p w14:paraId="79415ED4" w14:textId="77777777" w:rsidR="00F34CA8" w:rsidRDefault="00F34CA8" w:rsidP="00F34CA8">
      <w:r>
        <w:t>However, companies implementing such biosecurity measures risk being undercut on price and turnaround time by providers without such measures. While the cost of screening for companies is currently minimal, as the cost of NA synthesis will continue to decline, the ‘fixed’ cost of screening could represent an increasing share of the final order price</w:t>
      </w:r>
      <w:r>
        <w:rPr>
          <w:rStyle w:val="FootnoteReference"/>
        </w:rPr>
        <w:footnoteReference w:id="271"/>
      </w:r>
      <w:r>
        <w:t>, further worsening this dynamic.</w:t>
      </w:r>
    </w:p>
    <w:p w14:paraId="5BDFEB37" w14:textId="6E08E2A0" w:rsidR="00F34CA8" w:rsidRDefault="00F34CA8" w:rsidP="00F34CA8">
      <w:r>
        <w:t xml:space="preserve">The provisions in the Biotech Act would aid to prevent such a ‘race to the bottom’ on biosecurity practices </w:t>
      </w:r>
      <w:r w:rsidRPr="00F945F7">
        <w:t>and enable competition by removing burden for companies that screen</w:t>
      </w:r>
      <w:r>
        <w:rPr>
          <w:rStyle w:val="FootnoteReference"/>
        </w:rPr>
        <w:footnoteReference w:id="272"/>
      </w:r>
      <w:r>
        <w:t>. The RAND study assumes that a mandate would result in companies screening 98</w:t>
      </w:r>
      <w:r w:rsidR="00405618">
        <w:t>%</w:t>
      </w:r>
      <w:r>
        <w:t xml:space="preserve"> of EU synthesis orders, while also indirectly increasing screening rates for non-EU orders by around 10</w:t>
      </w:r>
      <w:r w:rsidR="00405618">
        <w:t>%</w:t>
      </w:r>
      <w:r>
        <w:t xml:space="preserve">. </w:t>
      </w:r>
      <w:r w:rsidRPr="00514904">
        <w:rPr>
          <w:b/>
          <w:bCs/>
        </w:rPr>
        <w:t>This is modelled to reduce misuse risk by 35</w:t>
      </w:r>
      <w:r w:rsidR="00405618">
        <w:rPr>
          <w:b/>
          <w:bCs/>
        </w:rPr>
        <w:t>%</w:t>
      </w:r>
      <w:r w:rsidRPr="00514904">
        <w:rPr>
          <w:b/>
          <w:bCs/>
        </w:rPr>
        <w:t xml:space="preserve"> and accident risk by 86</w:t>
      </w:r>
      <w:r w:rsidR="00405618">
        <w:rPr>
          <w:b/>
          <w:bCs/>
        </w:rPr>
        <w:t>%</w:t>
      </w:r>
      <w:r w:rsidRPr="00514904">
        <w:rPr>
          <w:rStyle w:val="FootnoteReference"/>
          <w:b/>
          <w:bCs/>
        </w:rPr>
        <w:footnoteReference w:id="273"/>
      </w:r>
      <w:r w:rsidRPr="00514904">
        <w:rPr>
          <w:b/>
          <w:bCs/>
        </w:rPr>
        <w:t>. This risk reduction would result in expected annual monetised benefits</w:t>
      </w:r>
      <w:r>
        <w:rPr>
          <w:rStyle w:val="FootnoteReference"/>
          <w:b/>
          <w:bCs/>
        </w:rPr>
        <w:footnoteReference w:id="274"/>
      </w:r>
      <w:r w:rsidRPr="00514904">
        <w:rPr>
          <w:b/>
          <w:bCs/>
        </w:rPr>
        <w:t xml:space="preserve"> of EUR 2.9 billion in 2027, increasing to EUR 5.5 billion in 2036.</w:t>
      </w:r>
      <w:r>
        <w:t xml:space="preserve"> Around EUR 1.2 billion of the benefits in 2027 stem from accident prevention, while around EUR 1.8 billion stem from attack prevention. This risk reduction would indirectly also benefit the biotech sector itself, avoiding severe regulatory backlash or a research pause as a consequence of such an event, which RAND estimates could represent EUR 10 billion in lost future research value. </w:t>
      </w:r>
    </w:p>
    <w:p w14:paraId="384F9517" w14:textId="06F62693" w:rsidR="00F34CA8" w:rsidRDefault="00F34CA8" w:rsidP="00F34CA8">
      <w:r w:rsidRPr="00514904">
        <w:rPr>
          <w:b/>
          <w:bCs/>
        </w:rPr>
        <w:t>These benefits significantly outweigh the estimated costs of the measure.</w:t>
      </w:r>
      <w:r>
        <w:t xml:space="preserve"> Screening measures represent a minor cost for NA synthesis companies. In a Commission workshop on biosecurity</w:t>
      </w:r>
      <w:r>
        <w:rPr>
          <w:rStyle w:val="FootnoteReference"/>
        </w:rPr>
        <w:footnoteReference w:id="275"/>
      </w:r>
      <w:r w:rsidRPr="00031801">
        <w:t xml:space="preserve">, </w:t>
      </w:r>
      <w:r w:rsidRPr="00514904">
        <w:t xml:space="preserve">an EU </w:t>
      </w:r>
      <w:r w:rsidRPr="00031801">
        <w:t>NA synthesis SME who screens all their orders and customers highlighted how screening is practical and efficient for them, not hindering innovation or commercial timelines</w:t>
      </w:r>
      <w:r>
        <w:t>. Industry interviews suggest that SMEs of 40-50 staff dedicate around 0.5-1 FTE to biosecurity screening measures</w:t>
      </w:r>
      <w:r>
        <w:rPr>
          <w:rStyle w:val="FootnoteReference"/>
        </w:rPr>
        <w:footnoteReference w:id="276"/>
      </w:r>
      <w:r>
        <w:t>. For cost calculations, we assume 30</w:t>
      </w:r>
      <w:r w:rsidR="00405618">
        <w:t>%</w:t>
      </w:r>
      <w:r>
        <w:t xml:space="preserve"> of the ca. 100 custom NA synthesis companies in the EU already have customer screening policies in place</w:t>
      </w:r>
      <w:r>
        <w:rPr>
          <w:rStyle w:val="FootnoteReference"/>
        </w:rPr>
        <w:footnoteReference w:id="277"/>
      </w:r>
      <w:r>
        <w:t>. We estimate the direct costs for the remaining 70</w:t>
      </w:r>
      <w:r w:rsidR="00405618">
        <w:t>%</w:t>
      </w:r>
      <w:r>
        <w:t xml:space="preserve"> of EU companies in scope to hire an additional biosecurity FTE, implement IT tools to screen sequence orders</w:t>
      </w:r>
      <w:r w:rsidRPr="46E38D81">
        <w:rPr>
          <w:rStyle w:val="FootnoteReference"/>
        </w:rPr>
        <w:footnoteReference w:id="278"/>
      </w:r>
      <w:r>
        <w:t xml:space="preserve"> and direct compliance costs for the regulatory introduction and adjustment efforts are estimated at EUR 10.5 million annually, compared to a market size of roughly EUR 500 million</w:t>
      </w:r>
      <w:r>
        <w:rPr>
          <w:rStyle w:val="FootnoteReference"/>
        </w:rPr>
        <w:footnoteReference w:id="279"/>
      </w:r>
      <w:r>
        <w:t xml:space="preserve">. </w:t>
      </w:r>
    </w:p>
    <w:p w14:paraId="601773B6" w14:textId="77777777" w:rsidR="00F34CA8" w:rsidRDefault="00F34CA8" w:rsidP="00F34CA8">
      <w:r>
        <w:t>The RAND Europe study estimates costs on a per-order rather than per-company basis, taking the full NA synthesis market as a basis. Adjusting</w:t>
      </w:r>
      <w:r w:rsidRPr="4E26AC25">
        <w:rPr>
          <w:b/>
          <w:bCs/>
        </w:rPr>
        <w:t xml:space="preserve"> </w:t>
      </w:r>
      <w:r>
        <w:t>their model to only cover the custom NA synthesis market in scope of the regulation and EU wages, direct legitimacy screening costs are estimated at EUR 22.2 million</w:t>
      </w:r>
      <w:r w:rsidRPr="00C0431E">
        <w:rPr>
          <w:rStyle w:val="FootnoteReference"/>
        </w:rPr>
        <w:footnoteReference w:id="280"/>
      </w:r>
      <w:r>
        <w:t xml:space="preserve">. However, per-order costs are expected to significantly decrease with AI tools becoming more powerful and more widely available, with Acelas </w:t>
      </w:r>
      <w:r w:rsidRPr="00937F90">
        <w:rPr>
          <w:i/>
        </w:rPr>
        <w:t>et al.</w:t>
      </w:r>
      <w:r>
        <w:t xml:space="preserve"> (2026) estimating their cost to decline from EUR 1 to EUR 0.20 per customer as the verification step becomes increasingly automated</w:t>
      </w:r>
      <w:r w:rsidRPr="00982292">
        <w:rPr>
          <w:rStyle w:val="FootnoteReference"/>
        </w:rPr>
        <w:footnoteReference w:id="281"/>
      </w:r>
      <w:r>
        <w:t>.</w:t>
      </w:r>
    </w:p>
    <w:p w14:paraId="668CC17F" w14:textId="55E6D6F6" w:rsidR="00DE6FF6" w:rsidRDefault="00F34CA8" w:rsidP="00F34CA8">
      <w:pPr>
        <w:rPr>
          <w:lang w:val="en-US"/>
        </w:rPr>
      </w:pPr>
      <w:r>
        <w:t>For researchers and other customers, mandatory screening introduces additional administrative costs linked to documentation, procurement adjustments, and compliance procedures. For custom NA synthesis orders, these costs are estimated at approximately EUR 16.4 million annually. Public sector implementation costs should remain relatively small at around EUR 15 million (for EU and MS together), as the provisions do not rely on a licensing regime and c</w:t>
      </w:r>
      <w:r w:rsidRPr="46E38D81">
        <w:rPr>
          <w:lang w:val="en-US"/>
        </w:rPr>
        <w:t>osts for both the EU and Member States would be mostly lim</w:t>
      </w:r>
      <w:r>
        <w:rPr>
          <w:lang w:val="en-US"/>
        </w:rPr>
        <w:t>i</w:t>
      </w:r>
      <w:r w:rsidRPr="46E38D81">
        <w:rPr>
          <w:lang w:val="en-US"/>
        </w:rPr>
        <w:t>ted to monitoring and inspection activities.</w:t>
      </w:r>
    </w:p>
    <w:p w14:paraId="00132FA0" w14:textId="25DF07B7" w:rsidR="00F34CA8" w:rsidRPr="00FA5584" w:rsidRDefault="00F34CA8" w:rsidP="00F34CA8">
      <w:pPr>
        <w:rPr>
          <w:b/>
          <w:bCs/>
          <w:lang w:val="en-US"/>
        </w:rPr>
      </w:pPr>
      <w:r w:rsidRPr="4E26AC25">
        <w:rPr>
          <w:b/>
          <w:bCs/>
        </w:rPr>
        <w:t xml:space="preserve">Table </w:t>
      </w:r>
      <w:r w:rsidR="00F37494">
        <w:rPr>
          <w:b/>
          <w:bCs/>
        </w:rPr>
        <w:t>20</w:t>
      </w:r>
      <w:r>
        <w:rPr>
          <w:b/>
          <w:bCs/>
        </w:rPr>
        <w:t xml:space="preserve">. </w:t>
      </w:r>
      <w:r w:rsidRPr="4E26AC25">
        <w:rPr>
          <w:b/>
          <w:bCs/>
        </w:rPr>
        <w:t>Annual direct costs of screening measures</w:t>
      </w:r>
      <w:r w:rsidRPr="00FA5584">
        <w:rPr>
          <w:rStyle w:val="FootnoteReference"/>
          <w:b/>
          <w:bCs/>
        </w:rPr>
        <w:footnoteReference w:id="282"/>
      </w:r>
    </w:p>
    <w:tbl>
      <w:tblPr>
        <w:tblStyle w:val="TableGrid"/>
        <w:tblW w:w="8504" w:type="dxa"/>
        <w:tblLook w:val="04A0" w:firstRow="1" w:lastRow="0" w:firstColumn="1" w:lastColumn="0" w:noHBand="0" w:noVBand="1"/>
      </w:tblPr>
      <w:tblGrid>
        <w:gridCol w:w="3969"/>
        <w:gridCol w:w="4535"/>
      </w:tblGrid>
      <w:tr w:rsidR="00F34CA8" w:rsidRPr="00F16324" w14:paraId="0BF98EF2" w14:textId="77777777">
        <w:tc>
          <w:tcPr>
            <w:tcW w:w="3969" w:type="dxa"/>
          </w:tcPr>
          <w:p w14:paraId="7B16AF37" w14:textId="77777777" w:rsidR="00F34CA8" w:rsidRPr="00937F90" w:rsidRDefault="00F34CA8">
            <w:pPr>
              <w:rPr>
                <w:b/>
                <w:bCs/>
                <w:sz w:val="20"/>
                <w:szCs w:val="20"/>
              </w:rPr>
            </w:pPr>
            <w:r w:rsidRPr="00937F90">
              <w:rPr>
                <w:b/>
                <w:bCs/>
                <w:sz w:val="20"/>
                <w:szCs w:val="20"/>
              </w:rPr>
              <w:t>EU enforcement cost</w:t>
            </w:r>
          </w:p>
        </w:tc>
        <w:tc>
          <w:tcPr>
            <w:tcW w:w="4535" w:type="dxa"/>
          </w:tcPr>
          <w:p w14:paraId="304CC3A0" w14:textId="77777777" w:rsidR="00F34CA8" w:rsidRPr="00937F90" w:rsidRDefault="00F34CA8">
            <w:pPr>
              <w:rPr>
                <w:sz w:val="20"/>
                <w:szCs w:val="20"/>
              </w:rPr>
            </w:pPr>
            <w:r w:rsidRPr="00937F90">
              <w:rPr>
                <w:sz w:val="20"/>
                <w:szCs w:val="20"/>
              </w:rPr>
              <w:t>EUR 1.3 million</w:t>
            </w:r>
          </w:p>
        </w:tc>
      </w:tr>
      <w:tr w:rsidR="00F34CA8" w:rsidRPr="00F16324" w14:paraId="4BB65EAA" w14:textId="77777777">
        <w:tc>
          <w:tcPr>
            <w:tcW w:w="3969" w:type="dxa"/>
          </w:tcPr>
          <w:p w14:paraId="7FED87C4" w14:textId="77777777" w:rsidR="00F34CA8" w:rsidRPr="00937F90" w:rsidRDefault="00F34CA8">
            <w:pPr>
              <w:rPr>
                <w:b/>
                <w:bCs/>
                <w:sz w:val="20"/>
                <w:szCs w:val="20"/>
              </w:rPr>
            </w:pPr>
            <w:r w:rsidRPr="00937F90">
              <w:rPr>
                <w:b/>
                <w:bCs/>
                <w:sz w:val="20"/>
                <w:szCs w:val="20"/>
              </w:rPr>
              <w:t>MS enforcement cost</w:t>
            </w:r>
          </w:p>
        </w:tc>
        <w:tc>
          <w:tcPr>
            <w:tcW w:w="4535" w:type="dxa"/>
          </w:tcPr>
          <w:p w14:paraId="567E70B3" w14:textId="77777777" w:rsidR="00F34CA8" w:rsidRPr="00937F90" w:rsidRDefault="00F34CA8">
            <w:pPr>
              <w:rPr>
                <w:sz w:val="20"/>
                <w:szCs w:val="20"/>
              </w:rPr>
            </w:pPr>
            <w:r w:rsidRPr="00937F90">
              <w:rPr>
                <w:sz w:val="20"/>
                <w:szCs w:val="20"/>
              </w:rPr>
              <w:t>EUR 14 million</w:t>
            </w:r>
          </w:p>
        </w:tc>
      </w:tr>
      <w:tr w:rsidR="00F34CA8" w:rsidRPr="00F16324" w14:paraId="0B6C00CE" w14:textId="77777777">
        <w:tc>
          <w:tcPr>
            <w:tcW w:w="3969" w:type="dxa"/>
          </w:tcPr>
          <w:p w14:paraId="2E5A7F38" w14:textId="77777777" w:rsidR="00F34CA8" w:rsidRPr="00937F90" w:rsidRDefault="00F34CA8">
            <w:pPr>
              <w:jc w:val="left"/>
              <w:rPr>
                <w:b/>
                <w:bCs/>
                <w:sz w:val="20"/>
                <w:szCs w:val="20"/>
              </w:rPr>
            </w:pPr>
            <w:r w:rsidRPr="00937F90">
              <w:rPr>
                <w:b/>
                <w:bCs/>
                <w:sz w:val="20"/>
                <w:szCs w:val="20"/>
              </w:rPr>
              <w:t>Direct costs to companies</w:t>
            </w:r>
          </w:p>
        </w:tc>
        <w:tc>
          <w:tcPr>
            <w:tcW w:w="4535" w:type="dxa"/>
          </w:tcPr>
          <w:p w14:paraId="60CF4A8E" w14:textId="77777777" w:rsidR="00F34CA8" w:rsidRPr="00937F90" w:rsidRDefault="00F34CA8">
            <w:pPr>
              <w:jc w:val="left"/>
              <w:rPr>
                <w:sz w:val="20"/>
                <w:szCs w:val="20"/>
              </w:rPr>
            </w:pPr>
            <w:r w:rsidRPr="00937F90">
              <w:rPr>
                <w:sz w:val="20"/>
                <w:szCs w:val="20"/>
              </w:rPr>
              <w:t>EUR 10.5 - 22.2 million</w:t>
            </w:r>
          </w:p>
        </w:tc>
      </w:tr>
      <w:tr w:rsidR="00F34CA8" w:rsidRPr="00F16324" w14:paraId="6D5E7DA1" w14:textId="77777777">
        <w:tc>
          <w:tcPr>
            <w:tcW w:w="3969" w:type="dxa"/>
          </w:tcPr>
          <w:p w14:paraId="4967A2CC" w14:textId="77777777" w:rsidR="00F34CA8" w:rsidRPr="00937F90" w:rsidRDefault="00F34CA8">
            <w:pPr>
              <w:jc w:val="left"/>
              <w:rPr>
                <w:b/>
                <w:bCs/>
                <w:sz w:val="20"/>
                <w:szCs w:val="20"/>
              </w:rPr>
            </w:pPr>
            <w:r w:rsidRPr="00937F90">
              <w:rPr>
                <w:b/>
                <w:bCs/>
                <w:sz w:val="20"/>
                <w:szCs w:val="20"/>
              </w:rPr>
              <w:t>Direct cost to customers</w:t>
            </w:r>
          </w:p>
        </w:tc>
        <w:tc>
          <w:tcPr>
            <w:tcW w:w="4535" w:type="dxa"/>
          </w:tcPr>
          <w:p w14:paraId="27DD3C49" w14:textId="77777777" w:rsidR="00F34CA8" w:rsidRPr="00937F90" w:rsidRDefault="00F34CA8">
            <w:pPr>
              <w:rPr>
                <w:sz w:val="20"/>
                <w:szCs w:val="20"/>
              </w:rPr>
            </w:pPr>
            <w:r w:rsidRPr="00937F90">
              <w:rPr>
                <w:sz w:val="20"/>
                <w:szCs w:val="20"/>
              </w:rPr>
              <w:t>EUR 16.4 million</w:t>
            </w:r>
          </w:p>
        </w:tc>
      </w:tr>
      <w:tr w:rsidR="00F34CA8" w:rsidRPr="00F16324" w14:paraId="5BF2A87C" w14:textId="77777777">
        <w:tc>
          <w:tcPr>
            <w:tcW w:w="3969" w:type="dxa"/>
          </w:tcPr>
          <w:p w14:paraId="5D0683C5" w14:textId="77777777" w:rsidR="00F34CA8" w:rsidRPr="00937F90" w:rsidRDefault="00F34CA8">
            <w:pPr>
              <w:jc w:val="left"/>
              <w:rPr>
                <w:sz w:val="20"/>
                <w:szCs w:val="20"/>
              </w:rPr>
            </w:pPr>
            <w:r w:rsidRPr="00937F90">
              <w:rPr>
                <w:b/>
                <w:bCs/>
                <w:sz w:val="20"/>
                <w:szCs w:val="20"/>
                <w:lang w:val="en-US"/>
              </w:rPr>
              <w:t>Total</w:t>
            </w:r>
          </w:p>
        </w:tc>
        <w:tc>
          <w:tcPr>
            <w:tcW w:w="4535" w:type="dxa"/>
          </w:tcPr>
          <w:p w14:paraId="5DFA0730" w14:textId="77777777" w:rsidR="00F34CA8" w:rsidRPr="00937F90" w:rsidRDefault="00F34CA8">
            <w:pPr>
              <w:rPr>
                <w:sz w:val="20"/>
                <w:szCs w:val="20"/>
              </w:rPr>
            </w:pPr>
            <w:r w:rsidRPr="00937F90">
              <w:rPr>
                <w:b/>
                <w:bCs/>
                <w:sz w:val="20"/>
                <w:szCs w:val="20"/>
                <w:lang w:val="en-US"/>
              </w:rPr>
              <w:t>EUR 42.2 – 53.9 million</w:t>
            </w:r>
          </w:p>
        </w:tc>
      </w:tr>
    </w:tbl>
    <w:p w14:paraId="0736740B" w14:textId="77777777" w:rsidR="00F34CA8" w:rsidRDefault="00F34CA8" w:rsidP="00F34CA8"/>
    <w:p w14:paraId="4F0E790D" w14:textId="7837CE05" w:rsidR="00F34CA8" w:rsidRDefault="00F34CA8" w:rsidP="00F34CA8">
      <w:r>
        <w:t>In addition to these direct costs, a screening mandate may also result in different types of indirect costs which are more difficult to estimate. It might produce a “chilling effect” on research activities if some organisations delay or abandon projects due to concerns about delays or rejected orders. RAND Europe estimates potential research losses at EUR 97 million annually under very conservative assumptions. It assumes around 10</w:t>
      </w:r>
      <w:r w:rsidR="00405618">
        <w:t>%</w:t>
      </w:r>
      <w:r>
        <w:t xml:space="preserve"> of researchers shifting to in-house synthesis, which carries significantly higher costs per order. In addition, introducing an additional regulation, even if not very costly to follow, may result in productivity loss for custom NA synthesis companies due to higher ‘regulatory intensity’, estimated at EUR 12.3 – 24.8 million.</w:t>
      </w:r>
    </w:p>
    <w:p w14:paraId="7946C442" w14:textId="184A5906" w:rsidR="00F34CA8" w:rsidRPr="00FA5584" w:rsidRDefault="00F34CA8" w:rsidP="00F34CA8">
      <w:pPr>
        <w:rPr>
          <w:b/>
          <w:bCs/>
          <w:lang w:val="en-US"/>
        </w:rPr>
      </w:pPr>
      <w:r w:rsidRPr="00FA5584">
        <w:rPr>
          <w:b/>
          <w:bCs/>
        </w:rPr>
        <w:t xml:space="preserve">Table </w:t>
      </w:r>
      <w:r w:rsidR="00024FDE">
        <w:rPr>
          <w:b/>
          <w:bCs/>
        </w:rPr>
        <w:t>2</w:t>
      </w:r>
      <w:r w:rsidR="00F37494">
        <w:rPr>
          <w:b/>
          <w:bCs/>
        </w:rPr>
        <w:t>1</w:t>
      </w:r>
      <w:r>
        <w:rPr>
          <w:b/>
          <w:bCs/>
        </w:rPr>
        <w:t xml:space="preserve">. Comparing annual costs and benefits </w:t>
      </w:r>
    </w:p>
    <w:tbl>
      <w:tblPr>
        <w:tblStyle w:val="TableGrid"/>
        <w:tblW w:w="8504" w:type="dxa"/>
        <w:tblLook w:val="04A0" w:firstRow="1" w:lastRow="0" w:firstColumn="1" w:lastColumn="0" w:noHBand="0" w:noVBand="1"/>
      </w:tblPr>
      <w:tblGrid>
        <w:gridCol w:w="3969"/>
        <w:gridCol w:w="4535"/>
      </w:tblGrid>
      <w:tr w:rsidR="00F34CA8" w:rsidRPr="00F16324" w14:paraId="3C388A74" w14:textId="77777777">
        <w:tc>
          <w:tcPr>
            <w:tcW w:w="3969" w:type="dxa"/>
          </w:tcPr>
          <w:p w14:paraId="2AE3FE55" w14:textId="77777777" w:rsidR="00F34CA8" w:rsidRPr="00937F90" w:rsidRDefault="00F34CA8">
            <w:pPr>
              <w:rPr>
                <w:b/>
                <w:bCs/>
                <w:sz w:val="20"/>
                <w:szCs w:val="20"/>
              </w:rPr>
            </w:pPr>
            <w:r w:rsidRPr="00937F90">
              <w:rPr>
                <w:b/>
                <w:bCs/>
                <w:sz w:val="20"/>
                <w:szCs w:val="20"/>
              </w:rPr>
              <w:t>Estimated benefits</w:t>
            </w:r>
          </w:p>
        </w:tc>
        <w:tc>
          <w:tcPr>
            <w:tcW w:w="4535" w:type="dxa"/>
          </w:tcPr>
          <w:p w14:paraId="07A0BB27" w14:textId="2084DE06" w:rsidR="00F34CA8" w:rsidRPr="00937F90" w:rsidRDefault="00F34CA8">
            <w:pPr>
              <w:rPr>
                <w:sz w:val="20"/>
                <w:szCs w:val="20"/>
              </w:rPr>
            </w:pPr>
            <w:r w:rsidRPr="00937F90">
              <w:rPr>
                <w:sz w:val="20"/>
                <w:szCs w:val="20"/>
              </w:rPr>
              <w:t>EUR 2</w:t>
            </w:r>
            <w:r w:rsidR="001E1692">
              <w:rPr>
                <w:sz w:val="20"/>
                <w:szCs w:val="20"/>
              </w:rPr>
              <w:t>,</w:t>
            </w:r>
            <w:r w:rsidRPr="00937F90">
              <w:rPr>
                <w:sz w:val="20"/>
                <w:szCs w:val="20"/>
              </w:rPr>
              <w:t>900 million</w:t>
            </w:r>
          </w:p>
        </w:tc>
      </w:tr>
      <w:tr w:rsidR="00F34CA8" w:rsidRPr="00F16324" w14:paraId="2CFDA39C" w14:textId="77777777">
        <w:tc>
          <w:tcPr>
            <w:tcW w:w="3969" w:type="dxa"/>
          </w:tcPr>
          <w:p w14:paraId="60246253" w14:textId="77777777" w:rsidR="00F34CA8" w:rsidRPr="00937F90" w:rsidRDefault="00F34CA8">
            <w:pPr>
              <w:rPr>
                <w:b/>
                <w:bCs/>
                <w:sz w:val="20"/>
                <w:szCs w:val="20"/>
              </w:rPr>
            </w:pPr>
            <w:r w:rsidRPr="00937F90">
              <w:rPr>
                <w:b/>
                <w:bCs/>
                <w:sz w:val="20"/>
                <w:szCs w:val="20"/>
              </w:rPr>
              <w:t>Estimated costs (conservative estimate</w:t>
            </w:r>
            <w:r w:rsidRPr="00E42B86">
              <w:rPr>
                <w:rStyle w:val="FootnoteReference"/>
                <w:b/>
                <w:sz w:val="20"/>
                <w:szCs w:val="20"/>
              </w:rPr>
              <w:footnoteReference w:id="283"/>
            </w:r>
            <w:r w:rsidRPr="00937F90">
              <w:rPr>
                <w:b/>
                <w:bCs/>
                <w:sz w:val="20"/>
                <w:szCs w:val="20"/>
              </w:rPr>
              <w:t>)</w:t>
            </w:r>
          </w:p>
        </w:tc>
        <w:tc>
          <w:tcPr>
            <w:tcW w:w="4535" w:type="dxa"/>
          </w:tcPr>
          <w:p w14:paraId="6EDCF05A" w14:textId="77777777" w:rsidR="00F34CA8" w:rsidRPr="00937F90" w:rsidRDefault="00F34CA8">
            <w:pPr>
              <w:rPr>
                <w:sz w:val="20"/>
                <w:szCs w:val="20"/>
              </w:rPr>
            </w:pPr>
            <w:r w:rsidRPr="00937F90">
              <w:rPr>
                <w:sz w:val="20"/>
                <w:szCs w:val="20"/>
              </w:rPr>
              <w:t>EUR 176 million</w:t>
            </w:r>
          </w:p>
        </w:tc>
      </w:tr>
    </w:tbl>
    <w:p w14:paraId="197A5557" w14:textId="77777777" w:rsidR="00F34CA8" w:rsidRDefault="00F34CA8" w:rsidP="00F34CA8"/>
    <w:p w14:paraId="04607952" w14:textId="3FF466CA" w:rsidR="009A5AFD" w:rsidRPr="00AA62FE" w:rsidRDefault="00F34CA8" w:rsidP="00537B1C">
      <w:pPr>
        <w:rPr>
          <w:rFonts w:eastAsia="Times New Roman"/>
          <w:color w:val="000000" w:themeColor="text1"/>
          <w:highlight w:val="yellow"/>
          <w:lang w:val="en-IE"/>
        </w:rPr>
      </w:pPr>
      <w:r>
        <w:t xml:space="preserve">Even taking those conservative estimates of indirect costs into account, </w:t>
      </w:r>
      <w:r w:rsidRPr="00514904">
        <w:rPr>
          <w:b/>
        </w:rPr>
        <w:t>the estimated benefits are 16 times higher than estimated costs.</w:t>
      </w:r>
      <w:r>
        <w:t xml:space="preserve"> This reflects the expected reduction in the probability of a biological attack with catastrophic public health and economic consequences, achievable through a targeted intervention with minimal costs for businesses and innovation.</w:t>
      </w:r>
    </w:p>
    <w:p w14:paraId="0A00222F" w14:textId="6D13C441" w:rsidR="008C64E9" w:rsidRPr="00DD0CE5" w:rsidRDefault="008C64E9" w:rsidP="008C64E9">
      <w:pPr>
        <w:pStyle w:val="Heading3"/>
        <w:rPr>
          <w:noProof/>
          <w:color w:val="000000" w:themeColor="text1"/>
        </w:rPr>
      </w:pPr>
      <w:bookmarkStart w:id="257" w:name="_Toc225974584"/>
      <w:bookmarkStart w:id="258" w:name="_Toc225975257"/>
      <w:bookmarkStart w:id="259" w:name="_Toc225975314"/>
      <w:r w:rsidRPr="00DD0CE5">
        <w:t>Intervention n°1</w:t>
      </w:r>
      <w:r w:rsidR="007F2372">
        <w:t>7</w:t>
      </w:r>
      <w:r w:rsidRPr="00DD0CE5">
        <w:t xml:space="preserve">: </w:t>
      </w:r>
      <w:r w:rsidRPr="00DD0CE5">
        <w:rPr>
          <w:noProof/>
          <w:color w:val="000000" w:themeColor="text1"/>
        </w:rPr>
        <w:t>Biodefence</w:t>
      </w:r>
      <w:bookmarkEnd w:id="257"/>
      <w:bookmarkEnd w:id="258"/>
      <w:bookmarkEnd w:id="259"/>
      <w:r w:rsidRPr="00DD0CE5">
        <w:rPr>
          <w:noProof/>
          <w:color w:val="000000" w:themeColor="text1"/>
        </w:rPr>
        <w:t xml:space="preserve"> </w:t>
      </w:r>
    </w:p>
    <w:p w14:paraId="035C20A5" w14:textId="77777777" w:rsidR="00A3413A" w:rsidRDefault="00A3413A" w:rsidP="00A3413A">
      <w:r>
        <w:t xml:space="preserve">The proposed Biotech Act establishes two categories of high-impact strategic projects for biodefence. Article 42 covers biodefence capability projects with a broad mandate, supporting activities from misuse prevention to surge capacity for diagnostics and countermeasures. Article 41 creates a more targeted instrument: the EU Biothreat Radar, focused on detection, characterisation, </w:t>
      </w:r>
      <w:r w:rsidRPr="007D44A7">
        <w:t xml:space="preserve">identification, analysis </w:t>
      </w:r>
      <w:r>
        <w:t>and assessment of biological threats, including novel, unknown and engineered pathogens, and on pathogen-agnostic cross-border surveillance.</w:t>
      </w:r>
    </w:p>
    <w:p w14:paraId="005D1477" w14:textId="5393107A" w:rsidR="00A3413A" w:rsidRDefault="00A3413A" w:rsidP="00A3413A">
      <w:r>
        <w:t xml:space="preserve">These measures respond to a deteriorating threat environment. The ongoing </w:t>
      </w:r>
      <w:r w:rsidRPr="00627E39">
        <w:rPr>
          <w:lang w:val="en-IE"/>
        </w:rPr>
        <w:t>Russia invasion on Ukraine</w:t>
      </w:r>
      <w:r w:rsidRPr="00627E39">
        <w:rPr>
          <w:vertAlign w:val="superscript"/>
          <w:lang w:val="en-IE"/>
        </w:rPr>
        <w:footnoteReference w:id="284"/>
      </w:r>
      <w:r w:rsidRPr="00627E39">
        <w:rPr>
          <w:lang w:val="en-IE"/>
        </w:rPr>
        <w:t xml:space="preserve"> and </w:t>
      </w:r>
      <w:r>
        <w:t>war in Iran has raised concerns about the risk of pathogen release from biological weapons programmes</w:t>
      </w:r>
      <w:r>
        <w:rPr>
          <w:rStyle w:val="FootnoteReference"/>
        </w:rPr>
        <w:footnoteReference w:id="285"/>
      </w:r>
      <w:r>
        <w:t>, while advances in AI and biological engineering lower barriers to designing or modifying pathogens</w:t>
      </w:r>
      <w:r>
        <w:rPr>
          <w:rStyle w:val="FootnoteReference"/>
        </w:rPr>
        <w:footnoteReference w:id="286"/>
      </w:r>
      <w:r w:rsidR="000C4CCE">
        <w:t>.</w:t>
      </w:r>
      <w:r>
        <w:t xml:space="preserve"> The assessment </w:t>
      </w:r>
      <w:r w:rsidR="004438AF">
        <w:t xml:space="preserve">of impacts </w:t>
      </w:r>
      <w:r>
        <w:t>focuses on the EU Biothreat Radar, which provides a sufficiently detailed project scope for structured impact analysis.</w:t>
      </w:r>
    </w:p>
    <w:p w14:paraId="0DE6C764" w14:textId="77777777" w:rsidR="00A3413A" w:rsidRPr="00514904" w:rsidRDefault="00A3413A" w:rsidP="00A3413A">
      <w:pPr>
        <w:rPr>
          <w:b/>
          <w:u w:val="single"/>
        </w:rPr>
      </w:pPr>
      <w:r w:rsidRPr="00514904">
        <w:rPr>
          <w:u w:val="single"/>
        </w:rPr>
        <w:t>Expected impact:</w:t>
      </w:r>
    </w:p>
    <w:p w14:paraId="697BF69B" w14:textId="65377454" w:rsidR="00A3413A" w:rsidRDefault="00A3413A" w:rsidP="00A3413A">
      <w:r w:rsidRPr="00D2296E">
        <w:t xml:space="preserve">Deploying a surveillance system geared towards novel and engineered pathogens would represent a </w:t>
      </w:r>
      <w:r>
        <w:t xml:space="preserve">significant </w:t>
      </w:r>
      <w:r w:rsidRPr="00D2296E">
        <w:t xml:space="preserve">change from current systems focused on </w:t>
      </w:r>
      <w:r>
        <w:t xml:space="preserve">surveillance of </w:t>
      </w:r>
      <w:r w:rsidRPr="00D2296E">
        <w:t xml:space="preserve">known </w:t>
      </w:r>
      <w:r>
        <w:t>communicable diseases</w:t>
      </w:r>
      <w:r w:rsidRPr="00D2296E">
        <w:t>, with significant upfront and operational costs.</w:t>
      </w:r>
      <w:r>
        <w:t xml:space="preserve"> By building on existing </w:t>
      </w:r>
      <w:r w:rsidRPr="00514904">
        <w:rPr>
          <w:b/>
        </w:rPr>
        <w:t>EU surveillance capacities and initiatives</w:t>
      </w:r>
      <w:r>
        <w:t>, ECDC estimates that coordinating Biothreat Radar activities at EU-level over seven years would require an operational budget of EUR 25 million for coordination, governance, and information-sharing platforms</w:t>
      </w:r>
      <w:r w:rsidRPr="00B91766">
        <w:t xml:space="preserve"> </w:t>
      </w:r>
      <w:r>
        <w:t xml:space="preserve">and 10 FTEs for the full period. A </w:t>
      </w:r>
      <w:r w:rsidR="00776DD1">
        <w:t>possible</w:t>
      </w:r>
      <w:r>
        <w:t xml:space="preserve"> EU Reference Laboratory for Biothreat Security is estimated to cost EUR 20 million for the </w:t>
      </w:r>
      <w:r w:rsidR="00FA35C9">
        <w:t>7-year</w:t>
      </w:r>
      <w:r>
        <w:t xml:space="preserve"> period.</w:t>
      </w:r>
    </w:p>
    <w:p w14:paraId="53B0981E" w14:textId="77777777" w:rsidR="00A3413A" w:rsidRDefault="00A3413A" w:rsidP="00A3413A">
      <w:r>
        <w:t xml:space="preserve">The larger cost lies in updating and integrating existing </w:t>
      </w:r>
      <w:r>
        <w:rPr>
          <w:b/>
          <w:bCs/>
        </w:rPr>
        <w:t>surveillance infrastructure</w:t>
      </w:r>
      <w:r>
        <w:t xml:space="preserve">: syndromic, clinical, laboratory and environmental surveillance combined with metagenomic sequencing. The Biotech </w:t>
      </w:r>
      <w:r w:rsidRPr="00797261">
        <w:t xml:space="preserve">rapid assessment scenario study </w:t>
      </w:r>
      <w:r>
        <w:t>uses a model by SecureBio Detection (2025)</w:t>
      </w:r>
      <w:r>
        <w:rPr>
          <w:rStyle w:val="FootnoteReference"/>
        </w:rPr>
        <w:footnoteReference w:id="287"/>
      </w:r>
      <w:r>
        <w:t xml:space="preserve"> for a US pathogen surveillance system</w:t>
      </w:r>
      <w:r w:rsidRPr="2CA32EE0">
        <w:rPr>
          <w:vertAlign w:val="superscript"/>
        </w:rPr>
        <w:footnoteReference w:id="288"/>
      </w:r>
      <w:r>
        <w:t xml:space="preserve"> at ~USD 52 million/year as a basis. Adapting this to the EU</w:t>
      </w:r>
      <w:r>
        <w:rPr>
          <w:rStyle w:val="FootnoteReference"/>
        </w:rPr>
        <w:footnoteReference w:id="289"/>
      </w:r>
      <w:r>
        <w:t xml:space="preserve"> yields two scenarios: Scenario 1 scales proportionally to EU transport and wastewater networks as complementary surveillance activities (~EUR 46.5 million/year), while Scenario 2 expands environmental collection and sequencing capacity as investing in traditional public health surveillance (~EUR 110 million/year).</w:t>
      </w:r>
    </w:p>
    <w:p w14:paraId="38C893F6" w14:textId="1DCFECF3" w:rsidR="00A3413A" w:rsidRPr="00514904" w:rsidRDefault="00A3413A" w:rsidP="00A3413A">
      <w:pPr>
        <w:rPr>
          <w:b/>
        </w:rPr>
      </w:pPr>
      <w:r w:rsidRPr="00514904">
        <w:rPr>
          <w:b/>
        </w:rPr>
        <w:t xml:space="preserve">Table </w:t>
      </w:r>
      <w:r w:rsidR="00F337CD">
        <w:rPr>
          <w:b/>
          <w:bCs/>
        </w:rPr>
        <w:t>2</w:t>
      </w:r>
      <w:r w:rsidR="00F37494">
        <w:rPr>
          <w:b/>
          <w:bCs/>
        </w:rPr>
        <w:t>2</w:t>
      </w:r>
      <w:r>
        <w:rPr>
          <w:b/>
        </w:rPr>
        <w:t xml:space="preserve">. </w:t>
      </w:r>
      <w:r w:rsidRPr="00514904">
        <w:rPr>
          <w:b/>
        </w:rPr>
        <w:t>Estimated annual costs of pathogen surveillance systems</w:t>
      </w:r>
    </w:p>
    <w:tbl>
      <w:tblPr>
        <w:tblStyle w:val="TableGrid"/>
        <w:tblW w:w="8618" w:type="dxa"/>
        <w:tblLook w:val="04A0" w:firstRow="1" w:lastRow="0" w:firstColumn="1" w:lastColumn="0" w:noHBand="0" w:noVBand="1"/>
      </w:tblPr>
      <w:tblGrid>
        <w:gridCol w:w="3005"/>
        <w:gridCol w:w="1871"/>
        <w:gridCol w:w="1871"/>
        <w:gridCol w:w="1871"/>
      </w:tblGrid>
      <w:tr w:rsidR="00A3413A" w:rsidRPr="00E42B86" w14:paraId="436A7540" w14:textId="77777777">
        <w:tc>
          <w:tcPr>
            <w:tcW w:w="3005" w:type="dxa"/>
          </w:tcPr>
          <w:p w14:paraId="01E10EC6" w14:textId="77777777" w:rsidR="00A3413A" w:rsidRPr="00937F90" w:rsidRDefault="00A3413A">
            <w:pPr>
              <w:jc w:val="center"/>
              <w:rPr>
                <w:sz w:val="20"/>
                <w:szCs w:val="20"/>
              </w:rPr>
            </w:pPr>
            <w:r w:rsidRPr="00937F90">
              <w:rPr>
                <w:rFonts w:eastAsia="Arial"/>
                <w:b/>
                <w:sz w:val="20"/>
                <w:szCs w:val="20"/>
              </w:rPr>
              <w:t>Cost component</w:t>
            </w:r>
          </w:p>
        </w:tc>
        <w:tc>
          <w:tcPr>
            <w:tcW w:w="1871" w:type="dxa"/>
          </w:tcPr>
          <w:p w14:paraId="32008391" w14:textId="77777777" w:rsidR="00A3413A" w:rsidRPr="00937F90" w:rsidRDefault="00A3413A">
            <w:pPr>
              <w:jc w:val="center"/>
              <w:rPr>
                <w:sz w:val="20"/>
                <w:szCs w:val="20"/>
              </w:rPr>
            </w:pPr>
            <w:r w:rsidRPr="00937F90">
              <w:rPr>
                <w:rFonts w:eastAsia="Arial"/>
                <w:b/>
                <w:sz w:val="20"/>
                <w:szCs w:val="20"/>
              </w:rPr>
              <w:t>US model (EUR)</w:t>
            </w:r>
          </w:p>
        </w:tc>
        <w:tc>
          <w:tcPr>
            <w:tcW w:w="1871" w:type="dxa"/>
          </w:tcPr>
          <w:p w14:paraId="58C43003" w14:textId="77777777" w:rsidR="00A3413A" w:rsidRPr="00937F90" w:rsidRDefault="00A3413A">
            <w:pPr>
              <w:jc w:val="center"/>
              <w:rPr>
                <w:sz w:val="20"/>
                <w:szCs w:val="20"/>
              </w:rPr>
            </w:pPr>
            <w:r w:rsidRPr="00937F90">
              <w:rPr>
                <w:rFonts w:eastAsia="Arial"/>
                <w:b/>
                <w:sz w:val="20"/>
                <w:szCs w:val="20"/>
              </w:rPr>
              <w:t>EU Scenario 1 (EUR)</w:t>
            </w:r>
          </w:p>
        </w:tc>
        <w:tc>
          <w:tcPr>
            <w:tcW w:w="1871" w:type="dxa"/>
          </w:tcPr>
          <w:p w14:paraId="7972C7DD" w14:textId="77777777" w:rsidR="00A3413A" w:rsidRPr="00937F90" w:rsidRDefault="00A3413A">
            <w:pPr>
              <w:jc w:val="center"/>
              <w:rPr>
                <w:sz w:val="20"/>
                <w:szCs w:val="20"/>
              </w:rPr>
            </w:pPr>
            <w:r w:rsidRPr="00937F90">
              <w:rPr>
                <w:rFonts w:eastAsia="Arial"/>
                <w:b/>
                <w:sz w:val="20"/>
                <w:szCs w:val="20"/>
              </w:rPr>
              <w:t>EU Scenario 2 (EUR)</w:t>
            </w:r>
          </w:p>
        </w:tc>
      </w:tr>
      <w:tr w:rsidR="00A3413A" w:rsidRPr="00E42B86" w14:paraId="4304720A" w14:textId="77777777">
        <w:tc>
          <w:tcPr>
            <w:tcW w:w="3005" w:type="dxa"/>
          </w:tcPr>
          <w:p w14:paraId="6620FDC7" w14:textId="77777777" w:rsidR="00A3413A" w:rsidRPr="00937F90" w:rsidRDefault="00A3413A">
            <w:pPr>
              <w:rPr>
                <w:sz w:val="20"/>
                <w:szCs w:val="20"/>
              </w:rPr>
            </w:pPr>
            <w:r w:rsidRPr="00937F90">
              <w:rPr>
                <w:rFonts w:eastAsia="Arial"/>
                <w:sz w:val="20"/>
                <w:szCs w:val="20"/>
              </w:rPr>
              <w:t>Traveller genomic surveillance</w:t>
            </w:r>
          </w:p>
        </w:tc>
        <w:tc>
          <w:tcPr>
            <w:tcW w:w="1871" w:type="dxa"/>
          </w:tcPr>
          <w:p w14:paraId="1AB499DB" w14:textId="77777777" w:rsidR="00A3413A" w:rsidRPr="00937F90" w:rsidRDefault="00A3413A">
            <w:pPr>
              <w:jc w:val="right"/>
              <w:rPr>
                <w:sz w:val="20"/>
                <w:szCs w:val="20"/>
              </w:rPr>
            </w:pPr>
            <w:r w:rsidRPr="00937F90">
              <w:rPr>
                <w:rFonts w:eastAsia="Arial"/>
                <w:sz w:val="20"/>
                <w:szCs w:val="20"/>
              </w:rPr>
              <w:t>19,516,259</w:t>
            </w:r>
          </w:p>
        </w:tc>
        <w:tc>
          <w:tcPr>
            <w:tcW w:w="1871" w:type="dxa"/>
          </w:tcPr>
          <w:p w14:paraId="1D7F22E1" w14:textId="77777777" w:rsidR="00A3413A" w:rsidRPr="00937F90" w:rsidRDefault="00A3413A">
            <w:pPr>
              <w:jc w:val="right"/>
              <w:rPr>
                <w:sz w:val="20"/>
                <w:szCs w:val="20"/>
              </w:rPr>
            </w:pPr>
            <w:r w:rsidRPr="00937F90">
              <w:rPr>
                <w:rFonts w:eastAsia="Arial"/>
                <w:sz w:val="20"/>
                <w:szCs w:val="20"/>
              </w:rPr>
              <w:t>22,635,734</w:t>
            </w:r>
          </w:p>
        </w:tc>
        <w:tc>
          <w:tcPr>
            <w:tcW w:w="1871" w:type="dxa"/>
          </w:tcPr>
          <w:p w14:paraId="3169CDAF" w14:textId="77777777" w:rsidR="00A3413A" w:rsidRPr="00937F90" w:rsidRDefault="00A3413A">
            <w:pPr>
              <w:jc w:val="right"/>
              <w:rPr>
                <w:sz w:val="20"/>
                <w:szCs w:val="20"/>
              </w:rPr>
            </w:pPr>
            <w:r w:rsidRPr="00937F90">
              <w:rPr>
                <w:rFonts w:eastAsia="Arial"/>
                <w:sz w:val="20"/>
                <w:szCs w:val="20"/>
              </w:rPr>
              <w:t>7,543,733</w:t>
            </w:r>
          </w:p>
        </w:tc>
      </w:tr>
      <w:tr w:rsidR="00A3413A" w:rsidRPr="00E42B86" w14:paraId="0D1FCC13" w14:textId="77777777">
        <w:tc>
          <w:tcPr>
            <w:tcW w:w="3005" w:type="dxa"/>
          </w:tcPr>
          <w:p w14:paraId="1C97BDB4" w14:textId="77777777" w:rsidR="00A3413A" w:rsidRPr="00937F90" w:rsidRDefault="00A3413A">
            <w:pPr>
              <w:rPr>
                <w:sz w:val="20"/>
                <w:szCs w:val="20"/>
              </w:rPr>
            </w:pPr>
            <w:r w:rsidRPr="00937F90">
              <w:rPr>
                <w:rFonts w:eastAsia="Arial"/>
                <w:sz w:val="20"/>
                <w:szCs w:val="20"/>
              </w:rPr>
              <w:t>Sequencing, processing &amp; analysis</w:t>
            </w:r>
          </w:p>
        </w:tc>
        <w:tc>
          <w:tcPr>
            <w:tcW w:w="1871" w:type="dxa"/>
          </w:tcPr>
          <w:p w14:paraId="04557497" w14:textId="77777777" w:rsidR="00A3413A" w:rsidRPr="00937F90" w:rsidRDefault="00A3413A">
            <w:pPr>
              <w:jc w:val="right"/>
              <w:rPr>
                <w:sz w:val="20"/>
                <w:szCs w:val="20"/>
              </w:rPr>
            </w:pPr>
            <w:r w:rsidRPr="00937F90">
              <w:rPr>
                <w:rFonts w:eastAsia="Arial"/>
                <w:sz w:val="20"/>
                <w:szCs w:val="20"/>
              </w:rPr>
              <w:t>23,967,648</w:t>
            </w:r>
          </w:p>
        </w:tc>
        <w:tc>
          <w:tcPr>
            <w:tcW w:w="1871" w:type="dxa"/>
          </w:tcPr>
          <w:p w14:paraId="5D66824C" w14:textId="77777777" w:rsidR="00A3413A" w:rsidRPr="00937F90" w:rsidRDefault="00A3413A">
            <w:pPr>
              <w:jc w:val="right"/>
              <w:rPr>
                <w:sz w:val="20"/>
                <w:szCs w:val="20"/>
              </w:rPr>
            </w:pPr>
            <w:r w:rsidRPr="00937F90">
              <w:rPr>
                <w:rFonts w:eastAsia="Arial"/>
                <w:sz w:val="20"/>
                <w:szCs w:val="20"/>
              </w:rPr>
              <w:t>23,470,428</w:t>
            </w:r>
          </w:p>
        </w:tc>
        <w:tc>
          <w:tcPr>
            <w:tcW w:w="1871" w:type="dxa"/>
          </w:tcPr>
          <w:p w14:paraId="40A1755A" w14:textId="77777777" w:rsidR="00A3413A" w:rsidRPr="00937F90" w:rsidRDefault="00A3413A">
            <w:pPr>
              <w:jc w:val="right"/>
              <w:rPr>
                <w:sz w:val="20"/>
                <w:szCs w:val="20"/>
              </w:rPr>
            </w:pPr>
            <w:r w:rsidRPr="00937F90">
              <w:rPr>
                <w:rFonts w:eastAsia="Arial"/>
                <w:sz w:val="20"/>
                <w:szCs w:val="20"/>
              </w:rPr>
              <w:t>101,883,439</w:t>
            </w:r>
          </w:p>
        </w:tc>
      </w:tr>
      <w:tr w:rsidR="00A3413A" w:rsidRPr="00E42B86" w14:paraId="691F1E26" w14:textId="77777777">
        <w:tc>
          <w:tcPr>
            <w:tcW w:w="3005" w:type="dxa"/>
          </w:tcPr>
          <w:p w14:paraId="17E4A83B" w14:textId="77777777" w:rsidR="00A3413A" w:rsidRPr="00937F90" w:rsidRDefault="00A3413A">
            <w:pPr>
              <w:rPr>
                <w:rFonts w:eastAsia="Arial"/>
                <w:sz w:val="20"/>
                <w:szCs w:val="20"/>
              </w:rPr>
            </w:pPr>
            <w:r w:rsidRPr="00937F90">
              <w:rPr>
                <w:rFonts w:eastAsia="Arial"/>
                <w:sz w:val="20"/>
                <w:szCs w:val="20"/>
              </w:rPr>
              <w:t>Environmental detection</w:t>
            </w:r>
          </w:p>
        </w:tc>
        <w:tc>
          <w:tcPr>
            <w:tcW w:w="1871" w:type="dxa"/>
          </w:tcPr>
          <w:p w14:paraId="3A16A32B" w14:textId="77777777" w:rsidR="00A3413A" w:rsidRPr="00937F90" w:rsidRDefault="00A3413A">
            <w:pPr>
              <w:jc w:val="right"/>
              <w:rPr>
                <w:sz w:val="20"/>
                <w:szCs w:val="20"/>
              </w:rPr>
            </w:pPr>
            <w:r w:rsidRPr="00937F90">
              <w:rPr>
                <w:rFonts w:eastAsia="Arial"/>
                <w:sz w:val="20"/>
                <w:szCs w:val="20"/>
              </w:rPr>
              <w:t>425,610</w:t>
            </w:r>
          </w:p>
        </w:tc>
        <w:tc>
          <w:tcPr>
            <w:tcW w:w="1871" w:type="dxa"/>
          </w:tcPr>
          <w:p w14:paraId="117E8A41" w14:textId="77777777" w:rsidR="00A3413A" w:rsidRPr="00937F90" w:rsidRDefault="00A3413A">
            <w:pPr>
              <w:jc w:val="right"/>
              <w:rPr>
                <w:sz w:val="20"/>
                <w:szCs w:val="20"/>
              </w:rPr>
            </w:pPr>
            <w:r w:rsidRPr="00937F90">
              <w:rPr>
                <w:rFonts w:eastAsia="Arial"/>
                <w:sz w:val="20"/>
                <w:szCs w:val="20"/>
              </w:rPr>
              <w:t>416,374</w:t>
            </w:r>
          </w:p>
        </w:tc>
        <w:tc>
          <w:tcPr>
            <w:tcW w:w="1871" w:type="dxa"/>
          </w:tcPr>
          <w:p w14:paraId="3E8AAD17" w14:textId="77777777" w:rsidR="00A3413A" w:rsidRPr="00937F90" w:rsidRDefault="00A3413A">
            <w:pPr>
              <w:jc w:val="right"/>
              <w:rPr>
                <w:sz w:val="20"/>
                <w:szCs w:val="20"/>
              </w:rPr>
            </w:pPr>
            <w:r w:rsidRPr="00937F90">
              <w:rPr>
                <w:rFonts w:eastAsia="Arial"/>
                <w:sz w:val="20"/>
                <w:szCs w:val="20"/>
              </w:rPr>
              <w:t>832,748</w:t>
            </w:r>
          </w:p>
        </w:tc>
      </w:tr>
      <w:tr w:rsidR="00A3413A" w:rsidRPr="00E42B86" w14:paraId="72F18B16" w14:textId="77777777">
        <w:tc>
          <w:tcPr>
            <w:tcW w:w="3005" w:type="dxa"/>
          </w:tcPr>
          <w:p w14:paraId="69D48CFE" w14:textId="77777777" w:rsidR="00A3413A" w:rsidRPr="00937F90" w:rsidRDefault="00A3413A">
            <w:pPr>
              <w:rPr>
                <w:sz w:val="20"/>
                <w:szCs w:val="20"/>
              </w:rPr>
            </w:pPr>
            <w:r w:rsidRPr="00937F90">
              <w:rPr>
                <w:rFonts w:eastAsia="Arial"/>
                <w:b/>
                <w:sz w:val="20"/>
                <w:szCs w:val="20"/>
              </w:rPr>
              <w:t>Total (annual)</w:t>
            </w:r>
          </w:p>
        </w:tc>
        <w:tc>
          <w:tcPr>
            <w:tcW w:w="1871" w:type="dxa"/>
          </w:tcPr>
          <w:p w14:paraId="1A31C969" w14:textId="77777777" w:rsidR="00A3413A" w:rsidRPr="00937F90" w:rsidRDefault="00A3413A">
            <w:pPr>
              <w:jc w:val="right"/>
              <w:rPr>
                <w:sz w:val="20"/>
                <w:szCs w:val="20"/>
              </w:rPr>
            </w:pPr>
            <w:r w:rsidRPr="00937F90">
              <w:rPr>
                <w:rFonts w:eastAsia="Arial"/>
                <w:b/>
                <w:sz w:val="20"/>
                <w:szCs w:val="20"/>
              </w:rPr>
              <w:t>43,909,518</w:t>
            </w:r>
          </w:p>
        </w:tc>
        <w:tc>
          <w:tcPr>
            <w:tcW w:w="1871" w:type="dxa"/>
          </w:tcPr>
          <w:p w14:paraId="03089285" w14:textId="77777777" w:rsidR="00A3413A" w:rsidRPr="00937F90" w:rsidRDefault="00A3413A">
            <w:pPr>
              <w:jc w:val="right"/>
              <w:rPr>
                <w:sz w:val="20"/>
                <w:szCs w:val="20"/>
              </w:rPr>
            </w:pPr>
            <w:r w:rsidRPr="00937F90">
              <w:rPr>
                <w:rFonts w:eastAsia="Arial"/>
                <w:b/>
                <w:sz w:val="20"/>
                <w:szCs w:val="20"/>
              </w:rPr>
              <w:t>46,522,536</w:t>
            </w:r>
          </w:p>
        </w:tc>
        <w:tc>
          <w:tcPr>
            <w:tcW w:w="1871" w:type="dxa"/>
          </w:tcPr>
          <w:p w14:paraId="7AE9B5D4" w14:textId="77777777" w:rsidR="00A3413A" w:rsidRPr="00937F90" w:rsidRDefault="00A3413A">
            <w:pPr>
              <w:jc w:val="right"/>
              <w:rPr>
                <w:sz w:val="20"/>
                <w:szCs w:val="20"/>
              </w:rPr>
            </w:pPr>
            <w:r w:rsidRPr="00937F90">
              <w:rPr>
                <w:rFonts w:eastAsia="Arial"/>
                <w:b/>
                <w:sz w:val="20"/>
                <w:szCs w:val="20"/>
              </w:rPr>
              <w:t>110,259,919</w:t>
            </w:r>
          </w:p>
        </w:tc>
      </w:tr>
    </w:tbl>
    <w:p w14:paraId="3771D2B0" w14:textId="77777777" w:rsidR="00A3413A" w:rsidRDefault="00A3413A" w:rsidP="00A3413A">
      <w:pPr>
        <w:spacing w:before="60" w:after="120"/>
        <w:rPr>
          <w:rFonts w:eastAsia="Arial"/>
          <w:i/>
          <w:sz w:val="20"/>
          <w:szCs w:val="20"/>
        </w:rPr>
      </w:pPr>
      <w:r w:rsidRPr="00937F90">
        <w:rPr>
          <w:rFonts w:eastAsia="Arial"/>
          <w:i/>
          <w:iCs/>
          <w:sz w:val="20"/>
          <w:szCs w:val="20"/>
        </w:rPr>
        <w:t>Traveller Genomic Surveillance (aircraft wastewater + nasal swabs). Sequencing/processing covers metagenomic sequencing, bioinformatics and analysis. Scenario 1 scales the US model proportionally. Scenario 2 expands environmental sampling and sequencing while discontinuing passenger swabbing. US figures</w:t>
      </w:r>
      <w:r w:rsidRPr="00937F90">
        <w:rPr>
          <w:i/>
          <w:iCs/>
          <w:sz w:val="20"/>
          <w:szCs w:val="20"/>
        </w:rPr>
        <w:t xml:space="preserve"> from SecureBio Detection (2025)</w:t>
      </w:r>
      <w:r w:rsidRPr="00937F90">
        <w:rPr>
          <w:rFonts w:eastAsia="Arial"/>
          <w:i/>
          <w:iCs/>
          <w:sz w:val="20"/>
          <w:szCs w:val="20"/>
        </w:rPr>
        <w:t xml:space="preserve"> converted to EUR.</w:t>
      </w:r>
    </w:p>
    <w:p w14:paraId="5E6DAE99" w14:textId="77777777" w:rsidR="000C4CCE" w:rsidRPr="000C4CCE" w:rsidRDefault="000C4CCE" w:rsidP="00A3413A">
      <w:pPr>
        <w:spacing w:before="60" w:after="120"/>
        <w:rPr>
          <w:rFonts w:eastAsia="Arial"/>
          <w:i/>
          <w:iCs/>
          <w:sz w:val="20"/>
          <w:szCs w:val="20"/>
        </w:rPr>
      </w:pPr>
    </w:p>
    <w:p w14:paraId="24AC81FB" w14:textId="7B609878" w:rsidR="00A3413A" w:rsidRDefault="00A3413A" w:rsidP="00A3413A">
      <w:r>
        <w:t>Benefits are harder to quantify but potentially substantial. Despite gaps in EU-wide standardised evaluation frameworks analysing the benefits of surveillance, studies exist that have quantified the number of infections prevented, deaths avoided, and costs saved in specific hospital and outbreak settings</w:t>
      </w:r>
      <w:r>
        <w:rPr>
          <w:rStyle w:val="FootnoteReference"/>
        </w:rPr>
        <w:footnoteReference w:id="290"/>
      </w:r>
      <w:r>
        <w:t xml:space="preserve">. The advantages of early detection (through modelling) and the impact of infection control interventions informed by pathogen agnostic sequencing have been documented. However, whereas genomic and epidemiological surveillance are likely to deliver greater real-world value, they are much harder to measure in economic terms. On the other hand, environmental surveillance is population and ecosystem-wide by design, produces early signals and is easy to plug into economic models. There are thus more quantified studies available proving the value of this type of surveillance. </w:t>
      </w:r>
    </w:p>
    <w:p w14:paraId="09033E13" w14:textId="77777777" w:rsidR="00A3413A" w:rsidRDefault="00A3413A" w:rsidP="00A3413A">
      <w:r>
        <w:t>Empirical evidence from European wastewater surveillance studies documents lead times of 5 to 19 days for SARS-CoV-2 detection relative to clinical identification.</w:t>
      </w:r>
      <w:r>
        <w:rPr>
          <w:rStyle w:val="FootnoteReference"/>
        </w:rPr>
        <w:footnoteReference w:id="291"/>
      </w:r>
      <w:r>
        <w:t xml:space="preserve"> Modelling by Nascimento de Lima </w:t>
      </w:r>
      <w:r w:rsidRPr="00937F90">
        <w:rPr>
          <w:i/>
        </w:rPr>
        <w:t>et al.</w:t>
      </w:r>
      <w:r>
        <w:t xml:space="preserve"> (2024) shows that an environmental surveillance system providing a five-day early warning relative to clinical detection could reduce deaths from 149 to 134 per 100,000, lower illness costs from ~EUR 1,271 to ~EUR 1,118 per person, and shorten lockdowns from 121 to 89 days in the first year of a COVID-19-type pandemic.</w:t>
      </w:r>
      <w:r>
        <w:rPr>
          <w:rStyle w:val="FootnoteReference"/>
        </w:rPr>
        <w:footnoteReference w:id="292"/>
      </w:r>
      <w:r>
        <w:t xml:space="preserve"> </w:t>
      </w:r>
    </w:p>
    <w:p w14:paraId="5C7101BE" w14:textId="77777777" w:rsidR="00A3413A" w:rsidRDefault="00A3413A" w:rsidP="00A3413A">
      <w:r>
        <w:t>Set against the broader costs of pandemics, these gains are substantial. Global viral epidemics cause estimated annual mortality of ~3.3 million people</w:t>
      </w:r>
      <w:r>
        <w:rPr>
          <w:rStyle w:val="FootnoteReference"/>
        </w:rPr>
        <w:footnoteReference w:id="293"/>
      </w:r>
      <w:r>
        <w:t>, and COVID-19 alone caused economic losses in the trillions across the EU. For a pathogen-agnostic system capable of detecting novel and engineered threats, the marginal benefit could be substantially higher, as limited</w:t>
      </w:r>
      <w:r w:rsidRPr="005D3E14">
        <w:t xml:space="preserve"> surveillance currently exists</w:t>
      </w:r>
      <w:r w:rsidRPr="000C4BEE">
        <w:t xml:space="preserve"> </w:t>
      </w:r>
      <w:r>
        <w:t>for novel threats.</w:t>
      </w:r>
    </w:p>
    <w:p w14:paraId="513A6842" w14:textId="23DABEAD" w:rsidR="00DE6FF6" w:rsidRDefault="00A3413A" w:rsidP="00443C31">
      <w:pPr>
        <w:rPr>
          <w:lang w:val="en-US"/>
        </w:rPr>
      </w:pPr>
      <w:r>
        <w:t>Beyond public health, the Biothreat Radar would generate indirect gains in research capacity and technological sovereignty, through investments in metagenomic infrastructure, bioinformatics pipelines and EU-based data sharing via the European Nucleotide Archive.</w:t>
      </w:r>
      <w:r w:rsidRPr="4E26AC25">
        <w:rPr>
          <w:lang w:val="en-US"/>
        </w:rPr>
        <w:t xml:space="preserve"> </w:t>
      </w:r>
    </w:p>
    <w:p w14:paraId="4BCBAE45" w14:textId="79DF9C99" w:rsidR="006B087E" w:rsidRPr="00DD0CE5" w:rsidRDefault="00C2631E" w:rsidP="00335630">
      <w:pPr>
        <w:pStyle w:val="Heading1"/>
      </w:pPr>
      <w:bookmarkStart w:id="260" w:name="_Toc227941517"/>
      <w:bookmarkStart w:id="261" w:name="_Toc227941850"/>
      <w:r w:rsidRPr="00DD0CE5">
        <w:t xml:space="preserve">Cumulative </w:t>
      </w:r>
      <w:r w:rsidR="00DF786B" w:rsidRPr="00DD0CE5">
        <w:t>Economic, social, environmental and other impacts of the proposal</w:t>
      </w:r>
      <w:bookmarkEnd w:id="260"/>
      <w:bookmarkEnd w:id="261"/>
    </w:p>
    <w:p w14:paraId="1F3832D3" w14:textId="0F2DCBB9" w:rsidR="004E4A1A" w:rsidRDefault="004E4A1A" w:rsidP="00514904">
      <w:r w:rsidRPr="002E6F1B">
        <w:t xml:space="preserve">While many of the measures included in the </w:t>
      </w:r>
      <w:r w:rsidR="0086173C">
        <w:t xml:space="preserve">proposed </w:t>
      </w:r>
      <w:r w:rsidRPr="002E6F1B">
        <w:t xml:space="preserve">Biotech Act are technical and targeted in nature, their combined effect has the potential to be transformative. </w:t>
      </w:r>
      <w:r w:rsidR="00182A93">
        <w:t>T</w:t>
      </w:r>
      <w:r w:rsidRPr="002E6F1B">
        <w:t xml:space="preserve">ogether, they </w:t>
      </w:r>
      <w:r w:rsidR="00A1234D">
        <w:t xml:space="preserve">create a </w:t>
      </w:r>
      <w:r w:rsidRPr="002E6F1B">
        <w:t xml:space="preserve">framework </w:t>
      </w:r>
      <w:r w:rsidR="00A1234D">
        <w:t xml:space="preserve">for </w:t>
      </w:r>
      <w:r w:rsidR="00A1234D" w:rsidRPr="002E6F1B">
        <w:t xml:space="preserve">competitiveness </w:t>
      </w:r>
      <w:r w:rsidR="001757EE">
        <w:t xml:space="preserve">where </w:t>
      </w:r>
      <w:r w:rsidRPr="002E6F1B">
        <w:t xml:space="preserve">regulatory simplification, investment mobilisation and innovation </w:t>
      </w:r>
      <w:r w:rsidR="00BA54A0">
        <w:t xml:space="preserve">all </w:t>
      </w:r>
      <w:r w:rsidRPr="002E6F1B">
        <w:t xml:space="preserve">support </w:t>
      </w:r>
      <w:r w:rsidR="00197A04">
        <w:t>and reinforce</w:t>
      </w:r>
      <w:r w:rsidRPr="002E6F1B">
        <w:t xml:space="preserve"> </w:t>
      </w:r>
      <w:r w:rsidR="00197A04">
        <w:t>one another.</w:t>
      </w:r>
      <w:r w:rsidRPr="002E6F1B">
        <w:t xml:space="preserve"> </w:t>
      </w:r>
    </w:p>
    <w:p w14:paraId="295156CF" w14:textId="6AED3545" w:rsidR="00B157F1" w:rsidRDefault="004E4A1A" w:rsidP="00EA776A">
      <w:r w:rsidRPr="002E6F1B">
        <w:t xml:space="preserve">This interaction </w:t>
      </w:r>
      <w:r>
        <w:t xml:space="preserve">is expected to </w:t>
      </w:r>
      <w:r w:rsidRPr="002E6F1B">
        <w:t xml:space="preserve">generate impacts that are materially greater than the sum of </w:t>
      </w:r>
      <w:r w:rsidR="001E661A">
        <w:t xml:space="preserve">each </w:t>
      </w:r>
      <w:r w:rsidRPr="002E6F1B">
        <w:t xml:space="preserve">measure assessed in isolation, </w:t>
      </w:r>
      <w:r w:rsidR="009F732B">
        <w:t>because it</w:t>
      </w:r>
      <w:r w:rsidR="009F732B" w:rsidRPr="002E6F1B">
        <w:t xml:space="preserve"> </w:t>
      </w:r>
      <w:r w:rsidRPr="002E6F1B">
        <w:t>address</w:t>
      </w:r>
      <w:r w:rsidR="009F732B">
        <w:t>es</w:t>
      </w:r>
      <w:r w:rsidRPr="002E6F1B">
        <w:t xml:space="preserve"> the key structural bottlenecks affecting the EU biotechnology sector</w:t>
      </w:r>
      <w:r w:rsidR="009F732B" w:rsidRPr="009F732B">
        <w:t xml:space="preserve"> </w:t>
      </w:r>
      <w:r w:rsidR="009F732B" w:rsidRPr="002E6F1B">
        <w:t>simultaneously</w:t>
      </w:r>
      <w:r>
        <w:t xml:space="preserve">. </w:t>
      </w:r>
      <w:r w:rsidRPr="00514904">
        <w:t>The measures also ensure that the sector contributes more effectively to societal objectives</w:t>
      </w:r>
      <w:r w:rsidR="00B5152C" w:rsidRPr="00514904">
        <w:t xml:space="preserve">, such as </w:t>
      </w:r>
      <w:r w:rsidR="003F1F6F" w:rsidRPr="00514904">
        <w:t xml:space="preserve">economic growth, job creation </w:t>
      </w:r>
      <w:r w:rsidRPr="00514904">
        <w:t xml:space="preserve">and </w:t>
      </w:r>
      <w:r w:rsidR="003F1F6F" w:rsidRPr="00514904">
        <w:t>improved health outcomes</w:t>
      </w:r>
      <w:r w:rsidRPr="002E6F1B">
        <w:t xml:space="preserve">. </w:t>
      </w:r>
    </w:p>
    <w:p w14:paraId="5DB40066" w14:textId="202621F9" w:rsidR="004E4A1A" w:rsidRPr="00400FD1" w:rsidRDefault="00802E50" w:rsidP="00514904">
      <w:r>
        <w:t xml:space="preserve">The </w:t>
      </w:r>
      <w:r w:rsidR="00B157F1">
        <w:t xml:space="preserve">proposed </w:t>
      </w:r>
      <w:r w:rsidR="0086173C">
        <w:t>Biotech</w:t>
      </w:r>
      <w:r w:rsidR="00B157F1">
        <w:t xml:space="preserve"> Act’s </w:t>
      </w:r>
      <w:r>
        <w:t xml:space="preserve">impacts </w:t>
      </w:r>
      <w:r w:rsidR="004E4A1A" w:rsidRPr="00400FD1">
        <w:t xml:space="preserve">materialise across four interconnected areas. The first three: </w:t>
      </w:r>
      <w:r w:rsidR="004E4A1A" w:rsidRPr="00400FD1">
        <w:rPr>
          <w:b/>
        </w:rPr>
        <w:t>regulatory simplification</w:t>
      </w:r>
      <w:r w:rsidR="004E4A1A" w:rsidRPr="00400FD1">
        <w:t xml:space="preserve">, </w:t>
      </w:r>
      <w:r w:rsidR="004E4A1A" w:rsidRPr="00400FD1">
        <w:rPr>
          <w:b/>
        </w:rPr>
        <w:t>competitiveness and investment attractiveness</w:t>
      </w:r>
      <w:r w:rsidR="004E4A1A" w:rsidRPr="00400FD1">
        <w:t xml:space="preserve">, and </w:t>
      </w:r>
      <w:r w:rsidR="004E4A1A" w:rsidRPr="00400FD1">
        <w:rPr>
          <w:b/>
        </w:rPr>
        <w:t>innovation and research</w:t>
      </w:r>
      <w:r w:rsidR="004E4A1A" w:rsidRPr="00400FD1">
        <w:t xml:space="preserve">, capture the </w:t>
      </w:r>
      <w:r w:rsidR="004E4A1A">
        <w:t xml:space="preserve">primary </w:t>
      </w:r>
      <w:r w:rsidR="004E4A1A" w:rsidRPr="00400FD1">
        <w:t>economic impacts</w:t>
      </w:r>
      <w:r>
        <w:t>. They</w:t>
      </w:r>
      <w:r w:rsidR="004E4A1A" w:rsidRPr="001B5315">
        <w:t xml:space="preserve"> also generat</w:t>
      </w:r>
      <w:r>
        <w:t>e</w:t>
      </w:r>
      <w:r w:rsidR="004E4A1A" w:rsidRPr="001B5315">
        <w:t xml:space="preserve"> indirect social </w:t>
      </w:r>
      <w:r w:rsidR="004E4A1A">
        <w:t>impacts</w:t>
      </w:r>
      <w:r w:rsidR="00D76C74">
        <w:t xml:space="preserve"> </w:t>
      </w:r>
      <w:r w:rsidR="007A268C" w:rsidRPr="00514904">
        <w:t>through employment creation, skills development</w:t>
      </w:r>
      <w:r w:rsidR="0040609B" w:rsidRPr="00514904">
        <w:t xml:space="preserve"> </w:t>
      </w:r>
      <w:r w:rsidR="007A268C" w:rsidRPr="00514904">
        <w:t>and</w:t>
      </w:r>
      <w:r w:rsidR="0040609B" w:rsidRPr="00514904">
        <w:t xml:space="preserve"> </w:t>
      </w:r>
      <w:r w:rsidR="00A5285D" w:rsidRPr="00514904">
        <w:t xml:space="preserve">better </w:t>
      </w:r>
      <w:r w:rsidR="007A268C" w:rsidRPr="00514904">
        <w:t>access to innovative treatments driven by faster innovation</w:t>
      </w:r>
      <w:r w:rsidR="004E4A1A" w:rsidRPr="00514904">
        <w:t>.</w:t>
      </w:r>
      <w:r w:rsidR="004E4A1A" w:rsidRPr="00400FD1">
        <w:t xml:space="preserve"> They address, respectively, the cost of operating within the EU regulatory environment, the EU’s capacity to retain and attract productive capital, and the conditions </w:t>
      </w:r>
      <w:r w:rsidR="00A5285D">
        <w:t xml:space="preserve">needed to </w:t>
      </w:r>
      <w:r w:rsidR="004E4A1A" w:rsidRPr="00400FD1">
        <w:t>translat</w:t>
      </w:r>
      <w:r w:rsidR="00A5285D">
        <w:t>e</w:t>
      </w:r>
      <w:r w:rsidR="004E4A1A" w:rsidRPr="00400FD1">
        <w:t xml:space="preserve"> scientific excellence into marketable products. These areas are causally sequenced: regulatory simplification lowers the cost base, which strengthens the investment proposition, which in turn accelerates innovation throughput. The fourth area</w:t>
      </w:r>
      <w:r w:rsidR="00275844">
        <w:t xml:space="preserve">, </w:t>
      </w:r>
      <w:r w:rsidR="004E4A1A" w:rsidRPr="00400FD1">
        <w:rPr>
          <w:b/>
        </w:rPr>
        <w:t>public health and safety</w:t>
      </w:r>
      <w:r w:rsidR="00275844">
        <w:t>,</w:t>
      </w:r>
      <w:r w:rsidR="004E4A1A" w:rsidRPr="00400FD1">
        <w:t xml:space="preserve"> captures the</w:t>
      </w:r>
      <w:r w:rsidR="00D76C74">
        <w:t xml:space="preserve"> Act’s</w:t>
      </w:r>
      <w:r w:rsidR="004E4A1A" w:rsidRPr="00400FD1">
        <w:t xml:space="preserve"> ultimate societal return</w:t>
      </w:r>
      <w:r w:rsidR="004E4A1A">
        <w:t xml:space="preserve"> </w:t>
      </w:r>
      <w:r w:rsidR="00F27BA4" w:rsidRPr="00514904">
        <w:t>in terms of health outcomes, safety and resilience</w:t>
      </w:r>
      <w:r w:rsidR="00D8466D">
        <w:t xml:space="preserve">, complemented with an assessment of the expected </w:t>
      </w:r>
      <w:r w:rsidR="00D8466D">
        <w:rPr>
          <w:b/>
          <w:bCs/>
        </w:rPr>
        <w:t>environmental impact</w:t>
      </w:r>
      <w:r w:rsidR="00D8466D">
        <w:t>.</w:t>
      </w:r>
      <w:r w:rsidR="00D76C74">
        <w:t xml:space="preserve"> T</w:t>
      </w:r>
      <w:r w:rsidR="004E4A1A" w:rsidRPr="00B2169E">
        <w:t>he combined effects of the preceding areas materialise in benefits</w:t>
      </w:r>
      <w:r w:rsidR="00384708">
        <w:t xml:space="preserve"> such as</w:t>
      </w:r>
      <w:r w:rsidR="004E4A1A" w:rsidRPr="00400FD1">
        <w:t xml:space="preserve"> earlier patient access, supply resilience, and proactive biosecurity governance. The </w:t>
      </w:r>
      <w:r w:rsidR="00DF0B64">
        <w:t>following</w:t>
      </w:r>
      <w:r w:rsidR="004E4A1A" w:rsidRPr="00400FD1">
        <w:t xml:space="preserve"> assessment draws on 17 intervention-level assessments</w:t>
      </w:r>
      <w:r w:rsidR="00D8466D">
        <w:t xml:space="preserve"> of impacts presented above</w:t>
      </w:r>
      <w:r w:rsidR="004E4A1A" w:rsidRPr="00400FD1">
        <w:t>, synthesising quantitative estimates and directional findings into a coherent account of the Act’s expected effects.</w:t>
      </w:r>
      <w:r w:rsidR="00B96ED5">
        <w:t xml:space="preserve"> </w:t>
      </w:r>
      <w:r w:rsidR="004E4A1A" w:rsidRPr="00EF5A4F">
        <w:t>The estimates presented below should be interpreted in light of</w:t>
      </w:r>
      <w:r w:rsidR="004E4A1A">
        <w:t xml:space="preserve"> </w:t>
      </w:r>
      <w:r w:rsidR="004E4A1A" w:rsidRPr="005E632B">
        <w:t xml:space="preserve">several </w:t>
      </w:r>
      <w:r w:rsidR="004E4A1A" w:rsidRPr="005E632B">
        <w:rPr>
          <w:b/>
        </w:rPr>
        <w:t xml:space="preserve">cross-cutting </w:t>
      </w:r>
      <w:r w:rsidR="004E4A1A" w:rsidRPr="005E632B">
        <w:t>factors</w:t>
      </w:r>
      <w:r w:rsidR="004E4A1A">
        <w:t xml:space="preserve"> that may influence their magnitude, </w:t>
      </w:r>
      <w:r w:rsidR="004E4A1A" w:rsidRPr="00B140F9">
        <w:t xml:space="preserve">while not </w:t>
      </w:r>
      <w:r w:rsidR="008330BF">
        <w:t>changing</w:t>
      </w:r>
      <w:r w:rsidR="008330BF" w:rsidRPr="00B140F9">
        <w:t xml:space="preserve"> </w:t>
      </w:r>
      <w:r w:rsidR="004E4A1A" w:rsidRPr="00B140F9">
        <w:t>the overall direction of the effects identified</w:t>
      </w:r>
      <w:r w:rsidR="004E4A1A" w:rsidRPr="005E632B">
        <w:t xml:space="preserve">. First, the magnitude of investment mobilisation </w:t>
      </w:r>
      <w:r w:rsidR="005C27FB" w:rsidRPr="005E632B">
        <w:t xml:space="preserve">critically </w:t>
      </w:r>
      <w:r w:rsidR="004E4A1A" w:rsidRPr="005E632B">
        <w:t>depends on the availability of EU budgetary guarantees under the next MFF</w:t>
      </w:r>
      <w:r w:rsidR="004E4A1A">
        <w:t xml:space="preserve">, with </w:t>
      </w:r>
      <w:r w:rsidR="004E4A1A" w:rsidRPr="005E632B">
        <w:t xml:space="preserve">estimates for the </w:t>
      </w:r>
      <w:r w:rsidR="00E777E0">
        <w:t xml:space="preserve">EU Health Biotechnology </w:t>
      </w:r>
      <w:r w:rsidR="004E4A1A" w:rsidRPr="005E632B">
        <w:t>Investment Pilot and strategic projects frameworks assum</w:t>
      </w:r>
      <w:r w:rsidR="004E4A1A">
        <w:t>ing</w:t>
      </w:r>
      <w:r w:rsidR="004E4A1A" w:rsidRPr="005E632B">
        <w:t xml:space="preserve"> sufficient budgetary headroom. Second, </w:t>
      </w:r>
      <w:r w:rsidR="004E4A1A">
        <w:t xml:space="preserve">the realisation of </w:t>
      </w:r>
      <w:r w:rsidR="004E4A1A" w:rsidRPr="005E632B">
        <w:t>benefits depends on consistent implementation by Member States, particularly for clinical trial</w:t>
      </w:r>
      <w:r w:rsidR="004E4A1A">
        <w:t>s</w:t>
      </w:r>
      <w:r w:rsidR="004E4A1A" w:rsidRPr="005E632B">
        <w:t xml:space="preserve">, </w:t>
      </w:r>
      <w:r w:rsidR="00E84BF8">
        <w:t xml:space="preserve">the </w:t>
      </w:r>
      <w:r w:rsidR="004E4A1A" w:rsidRPr="005E632B">
        <w:t>organ processing authorisation regime, strategic project permitting, and biosecurity screening, among others. Third, uptake-dependent measures, such as strategic and high-impact project recognition, regulatory sandboxes, and the AI and data framework, are presented under illustrative scenarios (low, medium, high)</w:t>
      </w:r>
      <w:r w:rsidR="00766D1B">
        <w:t>. A</w:t>
      </w:r>
      <w:r w:rsidR="004E4A1A" w:rsidRPr="005E632B">
        <w:t xml:space="preserve">ctual </w:t>
      </w:r>
      <w:r w:rsidR="004E4A1A">
        <w:t xml:space="preserve">impacts </w:t>
      </w:r>
      <w:r w:rsidR="00766D1B">
        <w:t>will</w:t>
      </w:r>
      <w:r w:rsidR="00766D1B" w:rsidRPr="005E632B">
        <w:t xml:space="preserve"> </w:t>
      </w:r>
      <w:r w:rsidR="004E4A1A" w:rsidRPr="005E632B">
        <w:t>be determined by the number, quality and maturity of projects. Finally, estimates assume broadly stable global market conditions; significant shifts in competitor jurisdictions' regulatory frameworks could alter the EU's relative competitive position.</w:t>
      </w:r>
    </w:p>
    <w:p w14:paraId="5D802EE1" w14:textId="77777777" w:rsidR="004E4A1A" w:rsidRPr="00A3193A" w:rsidRDefault="004E4A1A" w:rsidP="00C048F2">
      <w:pPr>
        <w:pStyle w:val="Heading2"/>
      </w:pPr>
      <w:bookmarkStart w:id="262" w:name="_Toc225974586"/>
      <w:bookmarkStart w:id="263" w:name="_Toc225975259"/>
      <w:bookmarkStart w:id="264" w:name="_Toc225975316"/>
      <w:bookmarkStart w:id="265" w:name="_Toc227941851"/>
      <w:r w:rsidRPr="00A3193A">
        <w:t>Regulatory simplification and administrative burden</w:t>
      </w:r>
      <w:bookmarkEnd w:id="262"/>
      <w:bookmarkEnd w:id="263"/>
      <w:bookmarkEnd w:id="264"/>
      <w:bookmarkEnd w:id="265"/>
    </w:p>
    <w:p w14:paraId="1993682C" w14:textId="71F21B9B" w:rsidR="004E4A1A" w:rsidRPr="00514904" w:rsidRDefault="004E4A1A" w:rsidP="4813E2FD">
      <w:r w:rsidRPr="00400FD1">
        <w:t xml:space="preserve">The Biotech Act delivers its most immediate effects </w:t>
      </w:r>
      <w:r w:rsidR="00723672">
        <w:t>in</w:t>
      </w:r>
      <w:r w:rsidR="00723672" w:rsidRPr="00400FD1">
        <w:t xml:space="preserve"> </w:t>
      </w:r>
      <w:r w:rsidRPr="00400FD1">
        <w:t xml:space="preserve">two distinct but mutually reinforcing </w:t>
      </w:r>
      <w:r w:rsidR="00723672">
        <w:t>ways</w:t>
      </w:r>
      <w:r w:rsidRPr="00400FD1">
        <w:t xml:space="preserve">: </w:t>
      </w:r>
      <w:r w:rsidR="00723672">
        <w:t>by</w:t>
      </w:r>
      <w:r w:rsidRPr="00400FD1">
        <w:t xml:space="preserve"> eliminat</w:t>
      </w:r>
      <w:r w:rsidR="00FF2038">
        <w:t xml:space="preserve">ing </w:t>
      </w:r>
      <w:r w:rsidRPr="00400FD1">
        <w:t xml:space="preserve">procedural duplication across intersecting regulatory frameworks, and </w:t>
      </w:r>
      <w:r w:rsidR="00723672">
        <w:t xml:space="preserve">by </w:t>
      </w:r>
      <w:r w:rsidR="00FF2038">
        <w:t>shortening</w:t>
      </w:r>
      <w:r w:rsidR="00FF2038" w:rsidRPr="00400FD1">
        <w:t xml:space="preserve"> </w:t>
      </w:r>
      <w:r w:rsidRPr="00400FD1">
        <w:t>authorisation timelines. Where the Act removes entire procedural layers, it also shortens the remaining ones</w:t>
      </w:r>
      <w:r w:rsidR="00766D1B">
        <w:t>. B</w:t>
      </w:r>
      <w:r w:rsidRPr="00400FD1">
        <w:t xml:space="preserve">ecause these savings compound </w:t>
      </w:r>
      <w:r w:rsidR="00B721BA">
        <w:t>over</w:t>
      </w:r>
      <w:r w:rsidR="00B721BA" w:rsidRPr="00400FD1">
        <w:t xml:space="preserve"> </w:t>
      </w:r>
      <w:r w:rsidRPr="00400FD1">
        <w:t xml:space="preserve">multiple applications, modifications, and jurisdictions, the cumulative reduction across a full clinical development programme is substantially larger than any individual measure </w:t>
      </w:r>
      <w:r w:rsidR="00806F1E">
        <w:t>assessed alone</w:t>
      </w:r>
      <w:r w:rsidR="00622DCE">
        <w:rPr>
          <w:rStyle w:val="FootnoteReference"/>
        </w:rPr>
        <w:footnoteReference w:id="294"/>
      </w:r>
      <w:r w:rsidRPr="00400FD1">
        <w:t>.</w:t>
      </w:r>
      <w:r w:rsidR="009C721F">
        <w:t xml:space="preserve"> </w:t>
      </w:r>
      <w:r w:rsidR="009C721F" w:rsidRPr="00514904">
        <w:t xml:space="preserve">These effects complement </w:t>
      </w:r>
      <w:r w:rsidR="00471DB3" w:rsidRPr="00514904">
        <w:t xml:space="preserve">other </w:t>
      </w:r>
      <w:r w:rsidR="009C721F" w:rsidRPr="00514904">
        <w:t>simplification efforts in related Union frameworks</w:t>
      </w:r>
      <w:r w:rsidR="00471DB3" w:rsidRPr="00514904">
        <w:t>. For instance,</w:t>
      </w:r>
      <w:r w:rsidR="009C721F" w:rsidRPr="00514904">
        <w:t xml:space="preserve"> the pharmaceutical</w:t>
      </w:r>
      <w:r w:rsidR="00E75013" w:rsidRPr="00514904">
        <w:t xml:space="preserve"> </w:t>
      </w:r>
      <w:r w:rsidR="009C721F" w:rsidRPr="00514904">
        <w:t>and medical devices legislation</w:t>
      </w:r>
      <w:r w:rsidR="007B142F" w:rsidRPr="00514904">
        <w:t>,</w:t>
      </w:r>
      <w:r w:rsidR="009C721F" w:rsidRPr="00514904">
        <w:t xml:space="preserve"> </w:t>
      </w:r>
      <w:r w:rsidR="00BD0CD9" w:rsidRPr="00514904">
        <w:t>in combination with the Biotech Act, are expected to generate</w:t>
      </w:r>
      <w:r w:rsidR="009C721F" w:rsidRPr="00514904">
        <w:t xml:space="preserve"> significant </w:t>
      </w:r>
      <w:r w:rsidR="00BD0CD9" w:rsidRPr="00514904">
        <w:t>simplification effects</w:t>
      </w:r>
      <w:r w:rsidR="009C721F" w:rsidRPr="00514904">
        <w:t xml:space="preserve"> for the biotechnology sector</w:t>
      </w:r>
      <w:r w:rsidR="00FF2DF2">
        <w:rPr>
          <w:rStyle w:val="FootnoteReference"/>
        </w:rPr>
        <w:footnoteReference w:id="295"/>
      </w:r>
      <w:r w:rsidR="009C721F" w:rsidRPr="00514904">
        <w:t>.</w:t>
      </w:r>
    </w:p>
    <w:p w14:paraId="4710322E" w14:textId="11613C82" w:rsidR="004E4A1A" w:rsidRPr="005B6463" w:rsidRDefault="482D787F" w:rsidP="13E6658B">
      <w:pPr>
        <w:rPr>
          <w:b/>
          <w:bCs/>
        </w:rPr>
      </w:pPr>
      <w:r w:rsidRPr="70DD03C2">
        <w:t>Significant</w:t>
      </w:r>
      <w:r w:rsidR="004E4A1A" w:rsidRPr="70DD03C2">
        <w:t xml:space="preserve"> burden reduction </w:t>
      </w:r>
      <w:r w:rsidR="00E07489">
        <w:t>is</w:t>
      </w:r>
      <w:r w:rsidR="6242BAD1" w:rsidRPr="2852FA11">
        <w:t xml:space="preserve"> expected </w:t>
      </w:r>
      <w:r w:rsidR="004E4A1A" w:rsidRPr="70DD03C2">
        <w:t xml:space="preserve">in </w:t>
      </w:r>
      <w:r w:rsidR="004E4A1A" w:rsidRPr="70DD03C2">
        <w:rPr>
          <w:b/>
        </w:rPr>
        <w:t>clinical development</w:t>
      </w:r>
      <w:r w:rsidR="004E4A1A" w:rsidRPr="70DD03C2">
        <w:t>,</w:t>
      </w:r>
      <w:r w:rsidR="004E4A1A">
        <w:t xml:space="preserve"> </w:t>
      </w:r>
      <w:r w:rsidR="50365830" w:rsidRPr="70DD03C2">
        <w:t>one of</w:t>
      </w:r>
      <w:r w:rsidR="004E4A1A" w:rsidRPr="70DD03C2">
        <w:t xml:space="preserve"> the </w:t>
      </w:r>
      <w:r w:rsidR="50365830" w:rsidRPr="70DD03C2">
        <w:t>most</w:t>
      </w:r>
      <w:r w:rsidR="004E4A1A" w:rsidRPr="70DD03C2">
        <w:t xml:space="preserve"> cost-intensive stage</w:t>
      </w:r>
      <w:r w:rsidR="7F078B0C" w:rsidRPr="70DD03C2">
        <w:t>s</w:t>
      </w:r>
      <w:r w:rsidR="004E4A1A" w:rsidRPr="70DD03C2">
        <w:t xml:space="preserve"> of the biotech value chain</w:t>
      </w:r>
      <w:r w:rsidR="004E4A1A" w:rsidRPr="2852FA11">
        <w:rPr>
          <w:vertAlign w:val="superscript"/>
        </w:rPr>
        <w:footnoteReference w:id="296"/>
      </w:r>
      <w:r w:rsidR="004E4A1A" w:rsidRPr="70DD03C2">
        <w:t>.</w:t>
      </w:r>
      <w:r w:rsidR="374C30B6" w:rsidRPr="137FF764">
        <w:t xml:space="preserve"> </w:t>
      </w:r>
      <w:r w:rsidR="004E4A1A" w:rsidRPr="00400FD1">
        <w:t xml:space="preserve">For </w:t>
      </w:r>
      <w:r w:rsidR="004E4A1A" w:rsidRPr="00400FD1">
        <w:rPr>
          <w:b/>
        </w:rPr>
        <w:t>human medicinal products</w:t>
      </w:r>
      <w:r w:rsidR="004E4A1A" w:rsidRPr="00400FD1">
        <w:t xml:space="preserve">, the </w:t>
      </w:r>
      <w:r w:rsidR="003D5911" w:rsidRPr="001B1EE0">
        <w:rPr>
          <w:b/>
          <w:bCs/>
        </w:rPr>
        <w:t>proposed amendments to the CTR</w:t>
      </w:r>
      <w:r w:rsidR="003D5911">
        <w:t xml:space="preserve"> are</w:t>
      </w:r>
      <w:r w:rsidR="004E4A1A" w:rsidRPr="00400FD1">
        <w:t xml:space="preserve"> expected to reduce authorisation timelines from 106 to 75 days (47 without a request for information</w:t>
      </w:r>
      <w:r w:rsidR="33EA3C1E" w:rsidRPr="40DAB65A">
        <w:t>)</w:t>
      </w:r>
      <w:r w:rsidR="46B3BAAD" w:rsidRPr="4231E136">
        <w:t xml:space="preserve"> and </w:t>
      </w:r>
      <w:r w:rsidR="431DAB88" w:rsidRPr="40DAB65A">
        <w:t>to simplify and</w:t>
      </w:r>
      <w:r w:rsidR="31369FA9" w:rsidRPr="40DAB65A">
        <w:t xml:space="preserve"> streamlin</w:t>
      </w:r>
      <w:r w:rsidR="1D977F7B" w:rsidRPr="40DAB65A">
        <w:t>e the</w:t>
      </w:r>
      <w:r w:rsidR="31369FA9" w:rsidRPr="40DAB65A">
        <w:t xml:space="preserve"> authorisation procedure</w:t>
      </w:r>
      <w:r w:rsidR="00E07489">
        <w:t>,</w:t>
      </w:r>
      <w:r w:rsidR="49601352">
        <w:t xml:space="preserve"> a</w:t>
      </w:r>
      <w:r w:rsidR="7C315B21">
        <w:t>s well as the</w:t>
      </w:r>
      <w:r w:rsidR="49601352">
        <w:t xml:space="preserve"> conduct of clinical trials</w:t>
      </w:r>
      <w:r w:rsidR="5B63E830">
        <w:t>.</w:t>
      </w:r>
      <w:r w:rsidR="5B63E830" w:rsidRPr="26C54F61">
        <w:t xml:space="preserve"> Key improvements include</w:t>
      </w:r>
      <w:r w:rsidR="31369FA9" w:rsidRPr="3E565E35">
        <w:t xml:space="preserve"> </w:t>
      </w:r>
      <w:r w:rsidR="611E30B5" w:rsidRPr="56BA079F">
        <w:t>a</w:t>
      </w:r>
      <w:r w:rsidR="611E30B5" w:rsidRPr="19D505A9">
        <w:t xml:space="preserve"> </w:t>
      </w:r>
      <w:r w:rsidR="00BD37FC">
        <w:t xml:space="preserve">new </w:t>
      </w:r>
      <w:r w:rsidR="611E30B5" w:rsidRPr="5389A14E">
        <w:t>single</w:t>
      </w:r>
      <w:r w:rsidR="2ADA7698" w:rsidRPr="19D505A9">
        <w:t xml:space="preserve"> </w:t>
      </w:r>
      <w:r w:rsidR="2ADA7698">
        <w:t>a</w:t>
      </w:r>
      <w:r w:rsidR="480981DA">
        <w:t>ssessment</w:t>
      </w:r>
      <w:r w:rsidR="2162D530" w:rsidRPr="19D505A9">
        <w:t xml:space="preserve"> </w:t>
      </w:r>
      <w:r w:rsidR="2162D530" w:rsidRPr="5389A14E">
        <w:t>procedure</w:t>
      </w:r>
      <w:r w:rsidR="2162D530" w:rsidRPr="19D505A9">
        <w:t xml:space="preserve"> for </w:t>
      </w:r>
      <w:r w:rsidR="7AE353EB">
        <w:t>combined studie</w:t>
      </w:r>
      <w:r w:rsidR="1E3E7CB6">
        <w:t>s involving</w:t>
      </w:r>
      <w:r w:rsidR="713EB7D6" w:rsidRPr="2AAD01A6">
        <w:t xml:space="preserve"> </w:t>
      </w:r>
      <w:r w:rsidR="54CAA9F9" w:rsidRPr="19D505A9">
        <w:t>m</w:t>
      </w:r>
      <w:r w:rsidR="2ADA7698" w:rsidRPr="19D505A9">
        <w:t>edicinal</w:t>
      </w:r>
      <w:r w:rsidR="004E4A1A" w:rsidRPr="5DD11D16">
        <w:t xml:space="preserve"> </w:t>
      </w:r>
      <w:r w:rsidR="3E6B71B8" w:rsidRPr="5389A14E">
        <w:t>products</w:t>
      </w:r>
      <w:r w:rsidR="004E4A1A" w:rsidRPr="00400FD1">
        <w:t xml:space="preserve"> and </w:t>
      </w:r>
      <w:r w:rsidR="3E6B71B8" w:rsidRPr="5389A14E">
        <w:t>medical</w:t>
      </w:r>
      <w:r w:rsidR="2ADA7698" w:rsidRPr="5389A14E">
        <w:t xml:space="preserve"> </w:t>
      </w:r>
      <w:r w:rsidR="3E6B71B8" w:rsidRPr="40BF6DF3">
        <w:t>devices</w:t>
      </w:r>
      <w:r w:rsidR="58F0986A">
        <w:t xml:space="preserve"> or </w:t>
      </w:r>
      <w:r w:rsidR="3E6B71B8" w:rsidRPr="40BF6DF3">
        <w:t>in-vitro diagnostics</w:t>
      </w:r>
      <w:r w:rsidR="2F88F1C4" w:rsidRPr="2AAD01A6">
        <w:t xml:space="preserve">, </w:t>
      </w:r>
      <w:r w:rsidR="78D2F5CC">
        <w:t>a</w:t>
      </w:r>
      <w:r w:rsidR="615D428F">
        <w:t xml:space="preserve"> </w:t>
      </w:r>
      <w:r w:rsidR="00223F98">
        <w:t xml:space="preserve">new </w:t>
      </w:r>
      <w:r w:rsidR="615D428F">
        <w:t>s</w:t>
      </w:r>
      <w:r w:rsidR="1DB21E60" w:rsidRPr="13E6658B">
        <w:rPr>
          <w:rFonts w:eastAsia="Times New Roman"/>
          <w:noProof/>
          <w:color w:val="000000" w:themeColor="text1"/>
        </w:rPr>
        <w:t>ingle investigational product core dossier</w:t>
      </w:r>
      <w:r w:rsidR="00223F98">
        <w:t>,</w:t>
      </w:r>
      <w:r w:rsidR="78D2F5CC" w:rsidRPr="26C54F61">
        <w:t xml:space="preserve"> a</w:t>
      </w:r>
      <w:r w:rsidR="21ADE9C5">
        <w:t xml:space="preserve">nd </w:t>
      </w:r>
      <w:r w:rsidR="00F2386D">
        <w:t>the possibility of submitting</w:t>
      </w:r>
      <w:r w:rsidR="00F2386D" w:rsidRPr="26C54F61">
        <w:t xml:space="preserve"> </w:t>
      </w:r>
      <w:r w:rsidR="000447FD">
        <w:t xml:space="preserve">applications for </w:t>
      </w:r>
      <w:r w:rsidR="000411DD" w:rsidRPr="4D70B412">
        <w:t>substantial</w:t>
      </w:r>
      <w:r w:rsidR="000411DD" w:rsidRPr="00400FD1">
        <w:t xml:space="preserve"> modification</w:t>
      </w:r>
      <w:r w:rsidR="000447FD">
        <w:t>s</w:t>
      </w:r>
      <w:r w:rsidR="000411DD">
        <w:t xml:space="preserve"> to </w:t>
      </w:r>
      <w:r w:rsidR="00BC73C3" w:rsidRPr="00BC73C3">
        <w:t xml:space="preserve">the clinical trial </w:t>
      </w:r>
      <w:r w:rsidR="00F26AAA">
        <w:t>in parallel</w:t>
      </w:r>
      <w:r w:rsidR="00BC73C3" w:rsidRPr="00BC73C3">
        <w:t xml:space="preserve"> after the notification of</w:t>
      </w:r>
      <w:r w:rsidR="005443B0">
        <w:t xml:space="preserve"> </w:t>
      </w:r>
      <w:r w:rsidR="009B4E65">
        <w:t xml:space="preserve">the authorisation </w:t>
      </w:r>
      <w:r w:rsidR="00F26AAA">
        <w:t>dec</w:t>
      </w:r>
      <w:r w:rsidR="00237E07">
        <w:t>i</w:t>
      </w:r>
      <w:r w:rsidR="00F26AAA">
        <w:t>sion</w:t>
      </w:r>
      <w:r w:rsidR="004E4A1A" w:rsidRPr="00400FD1">
        <w:t>. It is expected to yield direct cost savings in EU sponsor expenditure of approximately 5</w:t>
      </w:r>
      <w:r w:rsidR="00405618">
        <w:t>%</w:t>
      </w:r>
      <w:r w:rsidR="004E4A1A" w:rsidRPr="00400FD1">
        <w:t xml:space="preserve"> (EUR 1.5-3.1 billion per year). Indirect savings of a similar order are anticipated through shorter time-dependent costs, yielding aggregate </w:t>
      </w:r>
      <w:r w:rsidR="004E4A1A" w:rsidRPr="00514904">
        <w:rPr>
          <w:b/>
        </w:rPr>
        <w:t xml:space="preserve">annual financial gains </w:t>
      </w:r>
      <w:r w:rsidR="68B038EA" w:rsidRPr="00514904">
        <w:rPr>
          <w:b/>
        </w:rPr>
        <w:t xml:space="preserve">for sponsors </w:t>
      </w:r>
      <w:r w:rsidR="004E4A1A" w:rsidRPr="00514904">
        <w:rPr>
          <w:b/>
        </w:rPr>
        <w:t>potentially exceeding EUR 5 billion</w:t>
      </w:r>
      <w:r w:rsidR="004E4A1A" w:rsidRPr="00400FD1">
        <w:t xml:space="preserve">. Applying the </w:t>
      </w:r>
      <w:r w:rsidR="7DF3CFB0" w:rsidRPr="00514904">
        <w:t>Standard Cost Model</w:t>
      </w:r>
      <w:r w:rsidR="004E4A1A" w:rsidRPr="00514904">
        <w:t xml:space="preserve"> </w:t>
      </w:r>
      <w:r w:rsidR="169DBADD">
        <w:t>(</w:t>
      </w:r>
      <w:r w:rsidR="004E4A1A" w:rsidRPr="00400FD1">
        <w:t>SCM</w:t>
      </w:r>
      <w:r w:rsidR="07BE0D7A">
        <w:t>)</w:t>
      </w:r>
      <w:r w:rsidR="004E4A1A">
        <w:t>,</w:t>
      </w:r>
      <w:r w:rsidR="004E4A1A" w:rsidRPr="00400FD1">
        <w:t xml:space="preserve"> each multinational trial stands to save approximately EUR 2,700-4,</w:t>
      </w:r>
      <w:r w:rsidR="004E4A1A">
        <w:t>500</w:t>
      </w:r>
      <w:r w:rsidR="004E4A1A" w:rsidRPr="00400FD1">
        <w:t xml:space="preserve"> in sponsor administrative costs through</w:t>
      </w:r>
      <w:r w:rsidR="004E4A1A" w:rsidRPr="00630C53">
        <w:t xml:space="preserve"> </w:t>
      </w:r>
      <w:r w:rsidR="52045BD3">
        <w:t xml:space="preserve">alone </w:t>
      </w:r>
      <w:r w:rsidR="797A3BE2" w:rsidRPr="00462417">
        <w:t xml:space="preserve">a </w:t>
      </w:r>
      <w:r w:rsidR="5F5BC650" w:rsidRPr="00462417">
        <w:t>reduction in the staff time</w:t>
      </w:r>
      <w:r w:rsidR="5F5BC650">
        <w:t xml:space="preserve"> </w:t>
      </w:r>
      <w:r w:rsidR="4ED7D26B">
        <w:t>for regulatory interactions</w:t>
      </w:r>
      <w:r w:rsidR="5F5BC650" w:rsidRPr="00462417">
        <w:t xml:space="preserve"> by </w:t>
      </w:r>
      <w:r w:rsidR="797A3BE2" w:rsidRPr="00462417">
        <w:t>15</w:t>
      </w:r>
      <w:r w:rsidR="00D56857">
        <w:t>-</w:t>
      </w:r>
      <w:r w:rsidR="797A3BE2" w:rsidRPr="00462417">
        <w:t>25</w:t>
      </w:r>
      <w:r w:rsidR="00405618">
        <w:t>%</w:t>
      </w:r>
      <w:r w:rsidR="0A01A8F2" w:rsidRPr="00462417">
        <w:t>.</w:t>
      </w:r>
      <w:r w:rsidR="004E4A1A">
        <w:t xml:space="preserve"> </w:t>
      </w:r>
      <w:r w:rsidR="682746C2">
        <w:t>Additionally,</w:t>
      </w:r>
      <w:r w:rsidR="004E4A1A" w:rsidRPr="00400FD1">
        <w:t xml:space="preserve"> electronic submission and digitalisation measures </w:t>
      </w:r>
      <w:r w:rsidR="672ED839">
        <w:t xml:space="preserve">are </w:t>
      </w:r>
      <w:r w:rsidR="004E4A1A" w:rsidRPr="00400FD1">
        <w:t xml:space="preserve">estimated to generate EUR 112-225 million in industry savings over fifteen years. </w:t>
      </w:r>
      <w:r w:rsidR="5A7BDF90">
        <w:t>A simplified version of the cost-benefit analysis</w:t>
      </w:r>
      <w:r w:rsidR="5867EA23">
        <w:t>,</w:t>
      </w:r>
      <w:r w:rsidR="5A7BDF90">
        <w:t xml:space="preserve"> considering a subset of the policy measures included in the Bio</w:t>
      </w:r>
      <w:r w:rsidR="006D2A54">
        <w:t>t</w:t>
      </w:r>
      <w:r w:rsidR="5A7BDF90">
        <w:t>ech Act</w:t>
      </w:r>
      <w:r w:rsidR="6DF2EC80">
        <w:t>,</w:t>
      </w:r>
      <w:r w:rsidR="0B4E74B3">
        <w:t xml:space="preserve"> suggests an overall annual cost-saving of EUR 1.</w:t>
      </w:r>
      <w:r w:rsidR="00882E9B">
        <w:t>24</w:t>
      </w:r>
      <w:r w:rsidR="0B4E74B3">
        <w:t xml:space="preserve"> billion</w:t>
      </w:r>
      <w:r w:rsidR="00EF4E31">
        <w:rPr>
          <w:rStyle w:val="FootnoteReference"/>
        </w:rPr>
        <w:footnoteReference w:id="297"/>
      </w:r>
      <w:r w:rsidR="0B4E74B3">
        <w:t>.</w:t>
      </w:r>
      <w:r w:rsidR="6AFA05A9">
        <w:t xml:space="preserve"> </w:t>
      </w:r>
      <w:r w:rsidR="004E4A1A" w:rsidRPr="00400FD1">
        <w:t xml:space="preserve">The </w:t>
      </w:r>
      <w:r w:rsidR="00694FDD">
        <w:t xml:space="preserve">Biotech </w:t>
      </w:r>
      <w:r w:rsidR="006F2EA7">
        <w:t>Act</w:t>
      </w:r>
      <w:r w:rsidR="00694FDD">
        <w:t xml:space="preserve"> </w:t>
      </w:r>
      <w:r w:rsidR="00E431C9">
        <w:t>proposal</w:t>
      </w:r>
      <w:r w:rsidR="004E4A1A" w:rsidRPr="00400FD1">
        <w:t xml:space="preserve"> is expected to result in an </w:t>
      </w:r>
      <w:r w:rsidR="6BC04F76">
        <w:t xml:space="preserve">increase in </w:t>
      </w:r>
      <w:r w:rsidR="44286F7D">
        <w:t>commercial</w:t>
      </w:r>
      <w:r w:rsidR="6BC04F76">
        <w:t xml:space="preserve"> clinical trials</w:t>
      </w:r>
      <w:r w:rsidR="6A3E4BC0" w:rsidRPr="13E6658B">
        <w:rPr>
          <w:rFonts w:eastAsia="Times New Roman"/>
          <w:color w:val="000000" w:themeColor="text1"/>
          <w:lang w:val="en-US"/>
        </w:rPr>
        <w:t xml:space="preserve"> by </w:t>
      </w:r>
      <w:r w:rsidR="6A3E4BC0" w:rsidRPr="13E6658B">
        <w:rPr>
          <w:rFonts w:eastAsia="Times New Roman"/>
          <w:lang w:val="en-US"/>
        </w:rPr>
        <w:t>1</w:t>
      </w:r>
      <w:r w:rsidR="00A92BC6">
        <w:rPr>
          <w:rFonts w:eastAsia="Times New Roman"/>
          <w:lang w:val="en-US"/>
        </w:rPr>
        <w:t>0</w:t>
      </w:r>
      <w:r w:rsidR="00405618">
        <w:rPr>
          <w:rFonts w:eastAsia="Times New Roman"/>
          <w:lang w:val="en-US"/>
        </w:rPr>
        <w:t>%</w:t>
      </w:r>
      <w:r w:rsidR="6A3E4BC0" w:rsidRPr="13E6658B">
        <w:rPr>
          <w:rFonts w:eastAsia="Times New Roman"/>
          <w:lang w:val="en-US"/>
        </w:rPr>
        <w:t xml:space="preserve"> to 3</w:t>
      </w:r>
      <w:r w:rsidR="00A92BC6">
        <w:rPr>
          <w:rFonts w:eastAsia="Times New Roman"/>
          <w:lang w:val="en-US"/>
        </w:rPr>
        <w:t>0</w:t>
      </w:r>
      <w:r w:rsidR="00405618">
        <w:rPr>
          <w:rFonts w:eastAsia="Times New Roman"/>
          <w:lang w:val="en-US"/>
        </w:rPr>
        <w:t>%</w:t>
      </w:r>
      <w:r w:rsidR="73A63CD7" w:rsidRPr="13E6658B">
        <w:rPr>
          <w:rFonts w:eastAsia="Times New Roman"/>
          <w:lang w:val="en-US"/>
        </w:rPr>
        <w:t>,</w:t>
      </w:r>
      <w:r w:rsidR="004E4A1A" w:rsidRPr="00400FD1">
        <w:t xml:space="preserve"> estimated to generate approximately </w:t>
      </w:r>
      <w:r w:rsidR="004E4A1A" w:rsidRPr="00400FD1">
        <w:rPr>
          <w:rStyle w:val="Strong"/>
        </w:rPr>
        <w:t xml:space="preserve">EUR </w:t>
      </w:r>
      <w:r w:rsidR="00F35689">
        <w:rPr>
          <w:rStyle w:val="Strong"/>
        </w:rPr>
        <w:t>3.6</w:t>
      </w:r>
      <w:r w:rsidR="004E4A1A" w:rsidRPr="00400FD1">
        <w:rPr>
          <w:rStyle w:val="Strong"/>
        </w:rPr>
        <w:t xml:space="preserve"> billion </w:t>
      </w:r>
      <w:r w:rsidR="43A28453" w:rsidRPr="13E6658B">
        <w:rPr>
          <w:rStyle w:val="Strong"/>
        </w:rPr>
        <w:t>to</w:t>
      </w:r>
      <w:r w:rsidR="00F35689">
        <w:rPr>
          <w:rStyle w:val="Strong"/>
        </w:rPr>
        <w:t xml:space="preserve"> </w:t>
      </w:r>
      <w:r w:rsidR="003A5845">
        <w:rPr>
          <w:rStyle w:val="Strong"/>
        </w:rPr>
        <w:t>10.7</w:t>
      </w:r>
      <w:r w:rsidR="43A28453" w:rsidRPr="13E6658B">
        <w:rPr>
          <w:rStyle w:val="Strong"/>
        </w:rPr>
        <w:t xml:space="preserve"> billion </w:t>
      </w:r>
      <w:r w:rsidR="004E4A1A" w:rsidRPr="00400FD1">
        <w:rPr>
          <w:rStyle w:val="Strong"/>
        </w:rPr>
        <w:t>in economic gains and</w:t>
      </w:r>
      <w:r w:rsidR="003A5845">
        <w:rPr>
          <w:rStyle w:val="Strong"/>
        </w:rPr>
        <w:t xml:space="preserve"> 16,500</w:t>
      </w:r>
      <w:r w:rsidR="004E4A1A" w:rsidRPr="00400FD1">
        <w:rPr>
          <w:rStyle w:val="Strong"/>
        </w:rPr>
        <w:t xml:space="preserve"> </w:t>
      </w:r>
      <w:r w:rsidR="650FD231" w:rsidRPr="13E6658B">
        <w:rPr>
          <w:rStyle w:val="Strong"/>
        </w:rPr>
        <w:t>to</w:t>
      </w:r>
      <w:r w:rsidR="003A5845">
        <w:rPr>
          <w:rStyle w:val="Strong"/>
        </w:rPr>
        <w:t xml:space="preserve"> </w:t>
      </w:r>
      <w:r w:rsidR="006B05EE">
        <w:rPr>
          <w:rStyle w:val="Strong"/>
        </w:rPr>
        <w:t xml:space="preserve">49,500 </w:t>
      </w:r>
      <w:r w:rsidR="004E4A1A" w:rsidRPr="00400FD1">
        <w:rPr>
          <w:rStyle w:val="Strong"/>
        </w:rPr>
        <w:t>additional jobs</w:t>
      </w:r>
      <w:r w:rsidR="41E86173" w:rsidRPr="03B2D743">
        <w:rPr>
          <w:rStyle w:val="Strong"/>
        </w:rPr>
        <w:t>.</w:t>
      </w:r>
      <w:r w:rsidR="004E4A1A" w:rsidRPr="00400FD1">
        <w:rPr>
          <w:b/>
          <w:bCs/>
        </w:rPr>
        <w:t xml:space="preserve"> </w:t>
      </w:r>
    </w:p>
    <w:p w14:paraId="5361F284" w14:textId="6D09F986" w:rsidR="004E4A1A" w:rsidRPr="00400FD1" w:rsidRDefault="004E4A1A" w:rsidP="4813E2FD">
      <w:r w:rsidRPr="00400FD1">
        <w:t xml:space="preserve">These gains extend into adjacent product domains, where parallel reforms </w:t>
      </w:r>
      <w:r w:rsidR="00EF48F0">
        <w:t xml:space="preserve">are </w:t>
      </w:r>
      <w:r w:rsidRPr="00400FD1">
        <w:t>address</w:t>
      </w:r>
      <w:r w:rsidR="00EF48F0">
        <w:t>ing</w:t>
      </w:r>
      <w:r w:rsidRPr="00400FD1">
        <w:t xml:space="preserve"> sources of procedural duplication</w:t>
      </w:r>
      <w:r w:rsidR="00EF48F0">
        <w:t xml:space="preserve"> there</w:t>
      </w:r>
      <w:r w:rsidRPr="00400FD1">
        <w:t xml:space="preserve">. In the </w:t>
      </w:r>
      <w:r w:rsidRPr="00400FD1">
        <w:rPr>
          <w:b/>
        </w:rPr>
        <w:t>biosimilars</w:t>
      </w:r>
      <w:r w:rsidRPr="00400FD1">
        <w:t xml:space="preserve"> domain, the rationalisation of </w:t>
      </w:r>
      <w:r w:rsidR="00DA3D9E" w:rsidRPr="00462417">
        <w:rPr>
          <w:rFonts w:eastAsia="Palatino Linotype"/>
          <w:color w:val="353332"/>
        </w:rPr>
        <w:t>Comparative Efficacy Studies</w:t>
      </w:r>
      <w:r w:rsidRPr="00462417">
        <w:t xml:space="preserve"> </w:t>
      </w:r>
      <w:r w:rsidRPr="00400FD1">
        <w:t>requirements removes EUR 19-26 million in direct trial costs per product and shortens development timelines by 12-24 months, translating into sector-level savings of EUR 222-467 million annually for the 12-18 affected MAAs per year.</w:t>
      </w:r>
      <w:r w:rsidR="00462417">
        <w:t xml:space="preserve"> </w:t>
      </w:r>
      <w:r w:rsidRPr="00400FD1">
        <w:t xml:space="preserve">Thus, </w:t>
      </w:r>
      <w:r w:rsidRPr="005E632B">
        <w:rPr>
          <w:b/>
        </w:rPr>
        <w:t>combined annual regulatory cost relief for health biotech sponsors across clinical trial and biosimilar reforms approach (and potentially exceed) EUR 5.2-5.5 billion per year.</w:t>
      </w:r>
      <w:r w:rsidR="579D731E" w:rsidRPr="56D66956">
        <w:rPr>
          <w:rFonts w:eastAsia="Times New Roman"/>
        </w:rPr>
        <w:t xml:space="preserve"> </w:t>
      </w:r>
      <w:r w:rsidRPr="00400FD1">
        <w:t xml:space="preserve">Regarding </w:t>
      </w:r>
      <w:r w:rsidRPr="00400FD1">
        <w:rPr>
          <w:b/>
        </w:rPr>
        <w:t>ATMPs</w:t>
      </w:r>
      <w:r w:rsidRPr="00400FD1">
        <w:t xml:space="preserve">, eliminating the additional 50-day assessment period and granting risk-proportionate ERA exemptions for qualifying GMO-ATMPs </w:t>
      </w:r>
      <w:r>
        <w:t xml:space="preserve">is expected to </w:t>
      </w:r>
      <w:r w:rsidR="005E3512">
        <w:t>reduce regulatory timelines</w:t>
      </w:r>
      <w:r w:rsidRPr="005E632B">
        <w:t xml:space="preserve"> </w:t>
      </w:r>
      <w:r w:rsidRPr="00CF2C21">
        <w:t xml:space="preserve"> and remove non-value-adding procedural steps</w:t>
      </w:r>
      <w:r>
        <w:t>,</w:t>
      </w:r>
      <w:r w:rsidRPr="00400FD1">
        <w:t xml:space="preserve"> </w:t>
      </w:r>
      <w:r w:rsidRPr="00CD1C21">
        <w:t>potentially removing a burden of 0.15-0.3 FTE-years per clinical trial application</w:t>
      </w:r>
      <w:r w:rsidRPr="00400FD1">
        <w:t xml:space="preserve">, a reduction that disproportionately benefits the SME-dominated ATMP developer base, </w:t>
      </w:r>
      <w:r>
        <w:t xml:space="preserve">and is also </w:t>
      </w:r>
      <w:r>
        <w:rPr>
          <w:rFonts w:eastAsia="Times New Roman"/>
          <w:lang w:val="en-IE"/>
        </w:rPr>
        <w:t>expected to</w:t>
      </w:r>
      <w:r w:rsidRPr="117DD1BE">
        <w:rPr>
          <w:rFonts w:eastAsia="Times New Roman"/>
          <w:lang w:val="en-IE"/>
        </w:rPr>
        <w:t xml:space="preserve"> </w:t>
      </w:r>
      <w:r w:rsidRPr="7B79189A">
        <w:rPr>
          <w:rFonts w:eastAsia="Times New Roman"/>
          <w:lang w:val="en-IE"/>
        </w:rPr>
        <w:t>significantly influence sponsors’ decisions to conduct clinical trials in Europ</w:t>
      </w:r>
      <w:r>
        <w:rPr>
          <w:rFonts w:eastAsia="Times New Roman"/>
          <w:lang w:val="en-IE"/>
        </w:rPr>
        <w:t>e</w:t>
      </w:r>
      <w:r w:rsidRPr="00400FD1">
        <w:t>.</w:t>
      </w:r>
    </w:p>
    <w:p w14:paraId="6FA189B1" w14:textId="019E7BD9" w:rsidR="004E4A1A" w:rsidRPr="00400FD1" w:rsidRDefault="004E4A1A" w:rsidP="4813E2FD">
      <w:r w:rsidRPr="00400FD1">
        <w:t xml:space="preserve">For </w:t>
      </w:r>
      <w:r w:rsidR="08A2F352" w:rsidRPr="6A1AACC8">
        <w:rPr>
          <w:b/>
          <w:bCs/>
        </w:rPr>
        <w:t>VMP</w:t>
      </w:r>
      <w:r w:rsidRPr="6A1AACC8">
        <w:rPr>
          <w:b/>
          <w:bCs/>
        </w:rPr>
        <w:t>s</w:t>
      </w:r>
      <w:r w:rsidRPr="00400FD1">
        <w:t xml:space="preserve"> containing GMOs, the single regulatory pathway eliminates 30-90 days of process delay per CTA, aggregating to 240-1,350 product-days of delay removed annually at current pipeline volumes, with cumulative administrative cost savings of EUR 5-14.5 million till 2040. The uniform handling regime for variations not requiring assessment adds a further EUR 22.5 million in present-value savings over the same period.</w:t>
      </w:r>
    </w:p>
    <w:p w14:paraId="232C400B" w14:textId="5DB5DB8F" w:rsidR="004E4A1A" w:rsidRPr="00400FD1" w:rsidRDefault="004E4A1A" w:rsidP="4813E2FD">
      <w:r w:rsidRPr="00400FD1">
        <w:t xml:space="preserve">Beyond clinical development, the Act addresses the </w:t>
      </w:r>
      <w:r w:rsidRPr="00400FD1">
        <w:rPr>
          <w:b/>
        </w:rPr>
        <w:t>regulatory fragmentation</w:t>
      </w:r>
      <w:r w:rsidRPr="00400FD1">
        <w:t xml:space="preserve"> that </w:t>
      </w:r>
      <w:r w:rsidR="00C5429D">
        <w:t xml:space="preserve">so often </w:t>
      </w:r>
      <w:r w:rsidRPr="00400FD1">
        <w:t xml:space="preserve">compounds costs. Divergent national practices in risk classification, product categorisation, and procedural interpretation currently force applicants to navigate </w:t>
      </w:r>
      <w:r w:rsidR="00E80DBB">
        <w:t>several</w:t>
      </w:r>
      <w:r w:rsidR="00133187">
        <w:t xml:space="preserve"> different</w:t>
      </w:r>
      <w:r w:rsidR="00E80DBB">
        <w:t xml:space="preserve"> </w:t>
      </w:r>
      <w:r w:rsidRPr="00400FD1">
        <w:t>Member State-specific requirements for what is nominally the same regulatory</w:t>
      </w:r>
      <w:r w:rsidR="001B1EE0">
        <w:t xml:space="preserve"> </w:t>
      </w:r>
      <w:r w:rsidRPr="00400FD1">
        <w:t>procedure. The Act responds by establishing shared infrastructure</w:t>
      </w:r>
      <w:r>
        <w:t xml:space="preserve">, harmonising regulatory pathways, </w:t>
      </w:r>
      <w:r w:rsidR="00102D81">
        <w:t>reducing</w:t>
      </w:r>
      <w:r>
        <w:t xml:space="preserve"> legal ambiguities, and offering regulatory and procedural guidance</w:t>
      </w:r>
      <w:r w:rsidRPr="00400FD1">
        <w:t>.</w:t>
      </w:r>
    </w:p>
    <w:p w14:paraId="73A19978" w14:textId="7B53CE5F" w:rsidR="004E4A1A" w:rsidRPr="005E632B" w:rsidRDefault="004E4A1A" w:rsidP="4813E2FD">
      <w:pPr>
        <w:rPr>
          <w:lang w:val="en-US"/>
        </w:rPr>
      </w:pPr>
      <w:r w:rsidRPr="000602D8">
        <w:rPr>
          <w:lang w:val="en-US"/>
        </w:rPr>
        <w:t xml:space="preserve">Within this context, </w:t>
      </w:r>
      <w:r w:rsidR="00200BEF">
        <w:rPr>
          <w:lang w:val="en-US"/>
        </w:rPr>
        <w:t>t</w:t>
      </w:r>
      <w:r w:rsidRPr="000602D8">
        <w:rPr>
          <w:lang w:val="en-US"/>
        </w:rPr>
        <w:t xml:space="preserve">he Act's benefits are structurally tilted toward </w:t>
      </w:r>
      <w:r w:rsidRPr="00462417">
        <w:rPr>
          <w:b/>
          <w:lang w:val="en-US"/>
        </w:rPr>
        <w:t>SMEs and start-ups</w:t>
      </w:r>
      <w:r w:rsidRPr="000602D8">
        <w:rPr>
          <w:lang w:val="en-US"/>
        </w:rPr>
        <w:t xml:space="preserve">, for whom the reforms remove barriers to participation rather than merely reducing costs of ongoing operations. This </w:t>
      </w:r>
      <w:r w:rsidR="001C0A9C">
        <w:rPr>
          <w:lang w:val="en-US"/>
        </w:rPr>
        <w:t>happens</w:t>
      </w:r>
      <w:r w:rsidRPr="000602D8">
        <w:rPr>
          <w:lang w:val="en-US"/>
        </w:rPr>
        <w:t xml:space="preserve"> </w:t>
      </w:r>
      <w:r w:rsidR="001C0A9C">
        <w:rPr>
          <w:lang w:val="en-US"/>
        </w:rPr>
        <w:t>in</w:t>
      </w:r>
      <w:r w:rsidR="001C0A9C" w:rsidRPr="000602D8">
        <w:rPr>
          <w:lang w:val="en-US"/>
        </w:rPr>
        <w:t xml:space="preserve"> </w:t>
      </w:r>
      <w:r w:rsidRPr="000602D8">
        <w:rPr>
          <w:lang w:val="en-US"/>
        </w:rPr>
        <w:t xml:space="preserve">two distinct </w:t>
      </w:r>
      <w:r w:rsidR="001C0A9C">
        <w:rPr>
          <w:lang w:val="en-US"/>
        </w:rPr>
        <w:t>ways</w:t>
      </w:r>
      <w:r w:rsidRPr="000602D8">
        <w:rPr>
          <w:lang w:val="en-US"/>
        </w:rPr>
        <w:t>. First, regulatory simplification measures reduce fixed-cost compliance burdens (e.g., legal support, regulatory affairs staffing, dossier preparation, external consultancy, multi-jurisdictional coordination) that are largely invariant to firm size and therefore represent a substantially higher share of total expenditure for smaller firms</w:t>
      </w:r>
      <w:r w:rsidR="00B41AEE">
        <w:rPr>
          <w:lang w:val="en-US"/>
        </w:rPr>
        <w:t>. This is</w:t>
      </w:r>
      <w:r w:rsidRPr="000602D8">
        <w:rPr>
          <w:lang w:val="en-US"/>
        </w:rPr>
        <w:t xml:space="preserve"> particularly pronounced in ATMPs, where SMEs constitute the majority of developers, and in GMMs, where SMEs and start-ups represent the predominant developer base. Second, the Act addresses infrastructure and data access barriers that structurally exclude smaller firms from the innovation pipeline, most pronounced</w:t>
      </w:r>
      <w:r w:rsidR="00CC3921">
        <w:rPr>
          <w:lang w:val="en-US"/>
        </w:rPr>
        <w:t>ly</w:t>
      </w:r>
      <w:r w:rsidRPr="000602D8">
        <w:rPr>
          <w:lang w:val="en-US"/>
        </w:rPr>
        <w:t xml:space="preserve"> in the AI and data domain.</w:t>
      </w:r>
    </w:p>
    <w:p w14:paraId="198988A2" w14:textId="61C80F7A" w:rsidR="004E4A1A" w:rsidRDefault="004E4A1A" w:rsidP="4813E2FD">
      <w:pPr>
        <w:rPr>
          <w:rtl/>
        </w:rPr>
      </w:pPr>
      <w:r w:rsidRPr="0061335D">
        <w:t xml:space="preserve">These regulatory simplification gains for businesses </w:t>
      </w:r>
      <w:r w:rsidR="00CC3921">
        <w:t>come with</w:t>
      </w:r>
      <w:r w:rsidRPr="0061335D">
        <w:t xml:space="preserve"> new </w:t>
      </w:r>
      <w:r w:rsidRPr="0061335D">
        <w:rPr>
          <w:b/>
        </w:rPr>
        <w:t>governance obligations for public authorities and Member States</w:t>
      </w:r>
      <w:r w:rsidRPr="0061335D">
        <w:t>. The Act introduces a</w:t>
      </w:r>
      <w:r w:rsidR="00CC3921">
        <w:t xml:space="preserve">n </w:t>
      </w:r>
      <w:r w:rsidRPr="0061335D">
        <w:t>expanded public sector role</w:t>
      </w:r>
      <w:r w:rsidR="00C239D4">
        <w:t xml:space="preserve"> in certain areas</w:t>
      </w:r>
      <w:r w:rsidRPr="0061335D">
        <w:t xml:space="preserve">, </w:t>
      </w:r>
      <w:r w:rsidR="00F07037">
        <w:t>which includes</w:t>
      </w:r>
      <w:r w:rsidR="007F2A91" w:rsidRPr="0061335D">
        <w:t xml:space="preserve"> </w:t>
      </w:r>
      <w:r w:rsidRPr="0061335D">
        <w:t xml:space="preserve">new coordination and project permitting responsibilities, </w:t>
      </w:r>
      <w:r w:rsidR="00343A0D">
        <w:t>more</w:t>
      </w:r>
      <w:r w:rsidR="00343A0D" w:rsidRPr="0061335D">
        <w:t xml:space="preserve"> </w:t>
      </w:r>
      <w:r w:rsidRPr="0061335D">
        <w:t>clinical trial governance and enforcement, biosecurity screening and inspection obligations, and ecosystem coordination through the Steering Group and Support Network. The</w:t>
      </w:r>
      <w:r>
        <w:t xml:space="preserve"> resulting</w:t>
      </w:r>
      <w:r w:rsidRPr="0061335D">
        <w:t xml:space="preserve"> costs are expected to be front-loaded with activities such as designat</w:t>
      </w:r>
      <w:r w:rsidR="00343A0D">
        <w:t>ing</w:t>
      </w:r>
      <w:r w:rsidRPr="0061335D">
        <w:t xml:space="preserve"> competent authorities, establishing or adapting single points of contact, resource permitting functions, and develop</w:t>
      </w:r>
      <w:r w:rsidR="00343A0D">
        <w:t xml:space="preserve">ing </w:t>
      </w:r>
      <w:r w:rsidRPr="0061335D">
        <w:t xml:space="preserve">sector-specific expertise. However, the Act’s provisions are also designed in a way that limits the incremental burden to the extent possible by designating or adapting existing administrative coordination mechanisms rather than creating entirely new institutions. Over time, efficiency gains are expected as procedures standardise, digital handling matures, and coordination platforms reduce the unit cost of multi-authority interactions, partially offsetting the initial burden. Thus, the net balance is structurally positive: </w:t>
      </w:r>
      <w:r w:rsidR="00DC626E">
        <w:t>by removing</w:t>
      </w:r>
      <w:r w:rsidR="00DC626E" w:rsidRPr="0061335D">
        <w:t xml:space="preserve"> </w:t>
      </w:r>
      <w:r w:rsidRPr="0061335D">
        <w:t xml:space="preserve">procedural layers, </w:t>
      </w:r>
      <w:r w:rsidR="00DC626E">
        <w:t xml:space="preserve">the Act </w:t>
      </w:r>
      <w:r w:rsidRPr="0061335D">
        <w:t>generat</w:t>
      </w:r>
      <w:r w:rsidR="00DC626E">
        <w:t>es</w:t>
      </w:r>
      <w:r w:rsidRPr="0061335D">
        <w:t xml:space="preserve"> savings for businesses and healthcare systems that substantially exceed the incremental institutional costs and administrative burdens borne by public authorities</w:t>
      </w:r>
      <w:r>
        <w:t>.</w:t>
      </w:r>
    </w:p>
    <w:p w14:paraId="4AF043B2" w14:textId="4AB69292" w:rsidR="00074DD6" w:rsidRDefault="00074DD6" w:rsidP="00074DD6">
      <w:pPr>
        <w:rPr>
          <w:rFonts w:eastAsia="Calibri"/>
        </w:rPr>
      </w:pPr>
      <w:r w:rsidRPr="2FF63227">
        <w:rPr>
          <w:rFonts w:eastAsia="Calibri"/>
        </w:rPr>
        <w:t xml:space="preserve">Aggregated across the full package of simplification interventions, the Act delivers </w:t>
      </w:r>
      <w:r w:rsidRPr="2FF63227">
        <w:rPr>
          <w:rFonts w:eastAsia="Calibri"/>
          <w:b/>
          <w:bCs/>
        </w:rPr>
        <w:t>direct annual cost savings</w:t>
      </w:r>
      <w:r w:rsidRPr="2FF63227">
        <w:rPr>
          <w:rFonts w:eastAsia="Calibri"/>
        </w:rPr>
        <w:t xml:space="preserve"> for businesses in the order of </w:t>
      </w:r>
      <w:r w:rsidRPr="2FF63227">
        <w:rPr>
          <w:rFonts w:eastAsia="Calibri"/>
          <w:b/>
          <w:bCs/>
        </w:rPr>
        <w:t>EUR 5.2-5.5 billion</w:t>
      </w:r>
      <w:r w:rsidRPr="2FF63227">
        <w:rPr>
          <w:rFonts w:eastAsia="Calibri"/>
        </w:rPr>
        <w:t xml:space="preserve">, driven overwhelmingly by the clinical trials reform and biosimilars CES rationalisation, and supplemented by cumulative electronic-submission savings and VMP-related administrative and variation savings. Under the One-In-One-Out (OIOO) accounting, new administrative burdens on businesses of approximately EUR 16.6 million/year (dominated by biosecurity customer-side compliance) are partially offset by removed burdens totalling approximately EUR 4.3-8.0 million/year, yielding a </w:t>
      </w:r>
      <w:r w:rsidRPr="2FF63227">
        <w:rPr>
          <w:rFonts w:eastAsia="Calibri"/>
          <w:b/>
          <w:bCs/>
        </w:rPr>
        <w:t xml:space="preserve">net administrative increase </w:t>
      </w:r>
      <w:r w:rsidRPr="2FF63227">
        <w:rPr>
          <w:rFonts w:eastAsia="Calibri"/>
        </w:rPr>
        <w:t>of approximately</w:t>
      </w:r>
      <w:r w:rsidRPr="2FF63227">
        <w:rPr>
          <w:rFonts w:eastAsia="Calibri"/>
          <w:b/>
          <w:bCs/>
        </w:rPr>
        <w:t xml:space="preserve"> EUR 8.6-12.4 million/year</w:t>
      </w:r>
      <w:r w:rsidRPr="2FF63227">
        <w:rPr>
          <w:rFonts w:eastAsia="Calibri"/>
        </w:rPr>
        <w:t xml:space="preserve">. In parallel, </w:t>
      </w:r>
      <w:r w:rsidRPr="2FF63227">
        <w:rPr>
          <w:rFonts w:eastAsia="Calibri"/>
          <w:b/>
          <w:bCs/>
        </w:rPr>
        <w:t xml:space="preserve">adjustment costs on businesses </w:t>
      </w:r>
      <w:r w:rsidRPr="2FF63227">
        <w:rPr>
          <w:rFonts w:eastAsia="Calibri"/>
        </w:rPr>
        <w:t>amount to</w:t>
      </w:r>
      <w:r w:rsidRPr="2FF63227">
        <w:rPr>
          <w:rFonts w:eastAsia="Calibri"/>
          <w:b/>
          <w:bCs/>
        </w:rPr>
        <w:t xml:space="preserve"> EUR 8.16-27.32 million/year</w:t>
      </w:r>
      <w:r w:rsidRPr="2FF63227">
        <w:rPr>
          <w:rFonts w:eastAsia="Calibri"/>
        </w:rPr>
        <w:t xml:space="preserve">, with a further </w:t>
      </w:r>
      <w:r w:rsidRPr="2FF63227">
        <w:rPr>
          <w:rFonts w:eastAsia="Calibri"/>
          <w:b/>
          <w:bCs/>
        </w:rPr>
        <w:t>EUR 48.6-112.6 million/year</w:t>
      </w:r>
      <w:r w:rsidRPr="2FF63227">
        <w:rPr>
          <w:rFonts w:eastAsia="Calibri"/>
        </w:rPr>
        <w:t xml:space="preserve"> in recurrent monetised costs falling on public administrations, mainly stemming from biodefence collection infrastructure (EUR 46-110 million/year). </w:t>
      </w:r>
    </w:p>
    <w:p w14:paraId="7E61E465" w14:textId="3F7BA666" w:rsidR="00074DD6" w:rsidRDefault="00074DD6" w:rsidP="00074DD6">
      <w:pPr>
        <w:rPr>
          <w:rFonts w:eastAsia="Calibri"/>
        </w:rPr>
      </w:pPr>
      <w:r w:rsidRPr="2FF63227">
        <w:rPr>
          <w:rFonts w:eastAsia="Calibri"/>
        </w:rPr>
        <w:t xml:space="preserve">Even at the upper bound of identified incremental costs, and before accounting for the Act's downstream health, supply-resilience and innovation-enabling benefits, the </w:t>
      </w:r>
      <w:r w:rsidRPr="2FF63227">
        <w:rPr>
          <w:rFonts w:eastAsia="Calibri"/>
          <w:b/>
          <w:bCs/>
        </w:rPr>
        <w:t>direct business-level savings from regulatory simplification far exceed the full sum of monetised countervailing items</w:t>
      </w:r>
      <w:r w:rsidRPr="2FF63227">
        <w:rPr>
          <w:rFonts w:eastAsia="Calibri"/>
        </w:rPr>
        <w:t xml:space="preserve">, confirming that, in cumulative terms, the Biotech Act operates as a substantial </w:t>
      </w:r>
      <w:r w:rsidRPr="2FF63227">
        <w:rPr>
          <w:rFonts w:eastAsia="Calibri"/>
          <w:b/>
          <w:bCs/>
        </w:rPr>
        <w:t>net simplification instrument</w:t>
      </w:r>
      <w:r w:rsidRPr="2FF63227">
        <w:rPr>
          <w:rFonts w:eastAsia="Calibri"/>
        </w:rPr>
        <w:t xml:space="preserve"> for the EU biotechnology sector, with the residual OIOO increase concentrated in a single, security-motivated intervention whose justification rests on a distinct benefit-side case (biosecurity risk prevention monetised at EUR 2.9 billion/year in 2027, rising to EUR 5.5 billion/year by 2036).</w:t>
      </w:r>
    </w:p>
    <w:p w14:paraId="17274A1C" w14:textId="320BB7C4" w:rsidR="002578A9" w:rsidRPr="00F47290" w:rsidRDefault="002578A9" w:rsidP="002578A9">
      <w:pPr>
        <w:rPr>
          <w:rFonts w:eastAsia="Calibri"/>
          <w:i/>
          <w:iCs/>
          <w:lang w:val="en-US"/>
        </w:rPr>
      </w:pPr>
      <w:bookmarkStart w:id="266" w:name="_Hlk227750192"/>
      <w:r w:rsidRPr="00F47290">
        <w:rPr>
          <w:rFonts w:eastAsia="Calibri"/>
          <w:i/>
          <w:iCs/>
          <w:lang w:val="en-US"/>
        </w:rPr>
        <w:t>Distributional impacts</w:t>
      </w:r>
    </w:p>
    <w:p w14:paraId="066E47FE" w14:textId="0D827391" w:rsidR="002578A9" w:rsidRDefault="002578A9" w:rsidP="002578A9">
      <w:pPr>
        <w:rPr>
          <w:rFonts w:eastAsia="Calibri"/>
        </w:rPr>
      </w:pPr>
      <w:r w:rsidRPr="004358BF">
        <w:rPr>
          <w:rFonts w:eastAsia="Calibri"/>
          <w:lang w:val="en-US"/>
        </w:rPr>
        <w:t>While the aggregate cost</w:t>
      </w:r>
      <w:r>
        <w:rPr>
          <w:rFonts w:eastAsia="Calibri"/>
          <w:lang w:val="en-US"/>
        </w:rPr>
        <w:t>-</w:t>
      </w:r>
      <w:r w:rsidRPr="004358BF">
        <w:rPr>
          <w:rFonts w:eastAsia="Calibri"/>
          <w:lang w:val="en-US"/>
        </w:rPr>
        <w:t xml:space="preserve">benefit balance of the package is firmly positive, the Act produces material intra-EU transfers whose direction warrants explicit recognition (see Annex 3). The principal redistributive vector is the </w:t>
      </w:r>
      <w:r w:rsidRPr="004358BF">
        <w:rPr>
          <w:rFonts w:eastAsia="Calibri"/>
          <w:b/>
          <w:bCs/>
          <w:lang w:val="en-US"/>
        </w:rPr>
        <w:t>SPC extension</w:t>
      </w:r>
      <w:r w:rsidRPr="004358BF">
        <w:rPr>
          <w:rFonts w:eastAsia="Calibri"/>
          <w:lang w:val="en-US"/>
        </w:rPr>
        <w:t xml:space="preserve">, which is explicitly designed to transfer approximately </w:t>
      </w:r>
      <w:r w:rsidRPr="001B1EE0">
        <w:rPr>
          <w:rFonts w:eastAsia="Calibri"/>
          <w:lang w:val="en-US"/>
        </w:rPr>
        <w:t xml:space="preserve">EUR </w:t>
      </w:r>
      <w:r w:rsidR="00375456">
        <w:rPr>
          <w:rFonts w:eastAsia="Calibri"/>
          <w:lang w:val="en-US"/>
        </w:rPr>
        <w:t>690</w:t>
      </w:r>
      <w:r w:rsidRPr="001B1EE0">
        <w:rPr>
          <w:rFonts w:eastAsia="Calibri"/>
          <w:lang w:val="en-US"/>
        </w:rPr>
        <w:t xml:space="preserve"> million/year</w:t>
      </w:r>
      <w:r w:rsidRPr="004358BF">
        <w:rPr>
          <w:rFonts w:eastAsia="Calibri"/>
          <w:lang w:val="en-US"/>
        </w:rPr>
        <w:t xml:space="preserve"> in additional originator gross profit from biosimilar developers (around </w:t>
      </w:r>
      <w:r w:rsidRPr="001B1EE0">
        <w:rPr>
          <w:rFonts w:eastAsia="Calibri"/>
          <w:lang w:val="en-US"/>
        </w:rPr>
        <w:t xml:space="preserve">EUR </w:t>
      </w:r>
      <w:r w:rsidR="00392650">
        <w:rPr>
          <w:rFonts w:eastAsia="Calibri"/>
          <w:lang w:val="en-US"/>
        </w:rPr>
        <w:t>240</w:t>
      </w:r>
      <w:r w:rsidRPr="001B1EE0">
        <w:rPr>
          <w:rFonts w:eastAsia="Calibri"/>
          <w:lang w:val="en-US"/>
        </w:rPr>
        <w:t xml:space="preserve"> million/year</w:t>
      </w:r>
      <w:r w:rsidRPr="004358BF">
        <w:rPr>
          <w:rFonts w:eastAsia="Calibri"/>
          <w:lang w:val="en-US"/>
        </w:rPr>
        <w:t xml:space="preserve"> in foregone profits) and from payers and patients (combined social cost of around </w:t>
      </w:r>
      <w:r w:rsidRPr="001B1EE0">
        <w:rPr>
          <w:rFonts w:eastAsia="Calibri"/>
          <w:lang w:val="en-US"/>
        </w:rPr>
        <w:t>EUR 6</w:t>
      </w:r>
      <w:r w:rsidR="00392650">
        <w:rPr>
          <w:rFonts w:eastAsia="Calibri"/>
          <w:lang w:val="en-US"/>
        </w:rPr>
        <w:t>15</w:t>
      </w:r>
      <w:r w:rsidRPr="001B1EE0">
        <w:rPr>
          <w:rFonts w:eastAsia="Calibri"/>
          <w:lang w:val="en-US"/>
        </w:rPr>
        <w:t xml:space="preserve"> million/year</w:t>
      </w:r>
      <w:r w:rsidRPr="004358BF">
        <w:rPr>
          <w:rFonts w:eastAsia="Calibri"/>
          <w:lang w:val="en-US"/>
        </w:rPr>
        <w:t>), in exchange for conditional EU-based manufacturing and multi-Member State trial commitments. A</w:t>
      </w:r>
      <w:r w:rsidR="00187EF1">
        <w:rPr>
          <w:rFonts w:eastAsia="Calibri"/>
          <w:lang w:val="en-US"/>
        </w:rPr>
        <w:t xml:space="preserve"> </w:t>
      </w:r>
      <w:r w:rsidRPr="004358BF">
        <w:rPr>
          <w:rFonts w:eastAsia="Calibri"/>
          <w:lang w:val="en-US"/>
        </w:rPr>
        <w:t xml:space="preserve">second, structural transfer runs </w:t>
      </w:r>
      <w:r w:rsidRPr="004358BF">
        <w:rPr>
          <w:rFonts w:eastAsia="Calibri"/>
          <w:b/>
          <w:bCs/>
          <w:lang w:val="en-US"/>
        </w:rPr>
        <w:t>across firm size</w:t>
      </w:r>
      <w:r w:rsidRPr="004358BF">
        <w:rPr>
          <w:rFonts w:eastAsia="Calibri"/>
          <w:lang w:val="en-US"/>
        </w:rPr>
        <w:t xml:space="preserve">: because fixed compliance costs are largely size-invariant, simplification gains in clinical trials, ATMPs, GMMs and the AI and data framework accrue disproportionately to SMEs and start-ups, for whom they typically remove barriers to participation rather than merely reduce operating costs. A third runs </w:t>
      </w:r>
      <w:r w:rsidRPr="004358BF">
        <w:rPr>
          <w:rFonts w:eastAsia="Calibri"/>
          <w:b/>
          <w:bCs/>
          <w:lang w:val="en-US"/>
        </w:rPr>
        <w:t>across the public</w:t>
      </w:r>
      <w:r>
        <w:rPr>
          <w:rFonts w:eastAsia="Calibri"/>
          <w:b/>
          <w:bCs/>
          <w:lang w:val="en-US"/>
        </w:rPr>
        <w:t>-</w:t>
      </w:r>
      <w:r w:rsidRPr="004358BF">
        <w:rPr>
          <w:rFonts w:eastAsia="Calibri"/>
          <w:b/>
          <w:bCs/>
          <w:lang w:val="en-US"/>
        </w:rPr>
        <w:t>private interface</w:t>
      </w:r>
      <w:r w:rsidRPr="004358BF">
        <w:rPr>
          <w:rFonts w:eastAsia="Calibri"/>
          <w:lang w:val="en-US"/>
        </w:rPr>
        <w:t>: businesses and healthcare systems capture the bulk of regulatory and efficiency savings, while Member State authorities absorb front-loaded governance costs, which nonetheless remain orders of magnitude smaller than the corresponding business-side relief and associated prevention benefits. Crucially, the combination of measures generates additional distributional effects not visible at intervention level: CES rationalisation and strategic-project eligibility partly offset the SPC-driven loss to biosimilar developers; the SPC geographical conditionalities recycle part of the payer-to-originator transfer back into EU clinical and manufacturing activity; and the Support Network and cluster infrastructure narrow the capacity gap that would otherwise leave smaller firms less able to exploit complex regulatory architectures. On balance, patient welfare is strongly positive, as biosimilar-driven healthcare savings outweigh the SPC-related delay costs.</w:t>
      </w:r>
      <w:bookmarkEnd w:id="266"/>
    </w:p>
    <w:p w14:paraId="4C4B6207" w14:textId="77777777" w:rsidR="004E4A1A" w:rsidRPr="00462417" w:rsidRDefault="004E4A1A" w:rsidP="00462417">
      <w:pPr>
        <w:pStyle w:val="Heading2"/>
      </w:pPr>
      <w:bookmarkStart w:id="267" w:name="_Toc227941852"/>
      <w:bookmarkStart w:id="268" w:name="_Toc225974587"/>
      <w:bookmarkStart w:id="269" w:name="_Toc225975260"/>
      <w:bookmarkStart w:id="270" w:name="_Toc225975317"/>
      <w:bookmarkStart w:id="271" w:name="_Toc227941853"/>
      <w:bookmarkEnd w:id="267"/>
      <w:r w:rsidRPr="00462417">
        <w:t>Competitiveness and investment attractiveness</w:t>
      </w:r>
      <w:bookmarkEnd w:id="268"/>
      <w:bookmarkEnd w:id="269"/>
      <w:bookmarkEnd w:id="270"/>
      <w:bookmarkEnd w:id="271"/>
    </w:p>
    <w:p w14:paraId="02FC82B5" w14:textId="4C2A5498" w:rsidR="004E4A1A" w:rsidRPr="00400FD1" w:rsidRDefault="004E4A1A" w:rsidP="00462417">
      <w:r w:rsidRPr="00CD1C21">
        <w:t>The competitiveness rationale for the Biotech Act rests on a well-documented structural deficit</w:t>
      </w:r>
      <w:r w:rsidR="00AF1F5A">
        <w:rPr>
          <w:rStyle w:val="FootnoteReference"/>
          <w:color w:val="000000" w:themeColor="text1"/>
        </w:rPr>
        <w:footnoteReference w:id="298"/>
      </w:r>
      <w:r w:rsidR="000D0A41">
        <w:t>,</w:t>
      </w:r>
      <w:r w:rsidRPr="00CD1C21">
        <w:t xml:space="preserve"> </w:t>
      </w:r>
      <w:r w:rsidR="000D0A41" w:rsidRPr="00462417">
        <w:t xml:space="preserve">as evidenced by the </w:t>
      </w:r>
      <w:r w:rsidR="00073476">
        <w:t>EU’s</w:t>
      </w:r>
      <w:r w:rsidR="000D0A41" w:rsidRPr="00462417">
        <w:t xml:space="preserve"> limited capacity to scale innovative firms</w:t>
      </w:r>
      <w:r w:rsidR="000D0A41">
        <w:t>,</w:t>
      </w:r>
      <w:r w:rsidRPr="00CD1C21">
        <w:t xml:space="preserve"> and a persistent investment gap </w:t>
      </w:r>
      <w:r w:rsidR="000D0A41" w:rsidRPr="00462417">
        <w:t xml:space="preserve">(estimated </w:t>
      </w:r>
      <w:r w:rsidR="00F07037" w:rsidRPr="00462417">
        <w:t>at EUR</w:t>
      </w:r>
      <w:r w:rsidR="000D0A41" w:rsidRPr="00462417">
        <w:t xml:space="preserve"> 40 billion annually)</w:t>
      </w:r>
      <w:r w:rsidR="000D0A41">
        <w:t xml:space="preserve"> </w:t>
      </w:r>
      <w:r w:rsidRPr="00CD1C21">
        <w:t>in the EU biotechnology sector</w:t>
      </w:r>
      <w:r w:rsidRPr="002F2487">
        <w:t>.</w:t>
      </w:r>
      <w:r>
        <w:t xml:space="preserve"> </w:t>
      </w:r>
      <w:r w:rsidR="00555540">
        <w:t>Re</w:t>
      </w:r>
      <w:r w:rsidRPr="00400FD1">
        <w:t xml:space="preserve">gulatory simplification is a necessary condition for closing this gap, but it is not </w:t>
      </w:r>
      <w:r w:rsidR="00F07037">
        <w:t>enough</w:t>
      </w:r>
      <w:r w:rsidR="00F07037" w:rsidRPr="00400FD1">
        <w:t xml:space="preserve"> </w:t>
      </w:r>
      <w:r w:rsidRPr="00400FD1">
        <w:t>on its own. The Act therefore deploys a set of instruments that collectively alter the return profile for biotech investment</w:t>
      </w:r>
      <w:r w:rsidR="00AD6707">
        <w:t>s in the EU</w:t>
      </w:r>
      <w:r w:rsidR="00FE5690">
        <w:t xml:space="preserve"> by</w:t>
      </w:r>
      <w:r w:rsidRPr="00400FD1">
        <w:t xml:space="preserve"> targeting the specific stages and segments where market failures are most acute.</w:t>
      </w:r>
      <w:r w:rsidR="00FE5690">
        <w:t xml:space="preserve"> T</w:t>
      </w:r>
      <w:r w:rsidRPr="008B4A1B">
        <w:t>he Act's competitiveness provisions are designed to address a structural erosion of the EU's position relative to its principal global competitors and to reverse specific competitive disadvantages on the dimensions that drive investment and location decisions.</w:t>
      </w:r>
    </w:p>
    <w:p w14:paraId="2C2F1D44" w14:textId="699ED9A8" w:rsidR="004E4A1A" w:rsidRPr="00400FD1" w:rsidRDefault="004E4A1A" w:rsidP="00462417">
      <w:r w:rsidRPr="00400FD1">
        <w:t xml:space="preserve">The </w:t>
      </w:r>
      <w:r w:rsidRPr="00400FD1">
        <w:rPr>
          <w:b/>
        </w:rPr>
        <w:t>project recognition frameworks</w:t>
      </w:r>
      <w:r w:rsidRPr="00400FD1">
        <w:t xml:space="preserve"> (strategic and high-impact) </w:t>
      </w:r>
      <w:r w:rsidR="004430DC">
        <w:t>turn</w:t>
      </w:r>
      <w:r w:rsidR="004430DC" w:rsidRPr="00400FD1">
        <w:t xml:space="preserve"> </w:t>
      </w:r>
      <w:r w:rsidRPr="00400FD1">
        <w:t xml:space="preserve">what is currently an opaque, variable permitting landscape into a bounded, time-limited pathway, directly improving the bankability of industrial-scale deployments. The combined </w:t>
      </w:r>
      <w:r w:rsidR="00920435" w:rsidRPr="00400FD1">
        <w:t xml:space="preserve">potential </w:t>
      </w:r>
      <w:r w:rsidR="00920435">
        <w:t xml:space="preserve">for </w:t>
      </w:r>
      <w:r w:rsidRPr="00400FD1">
        <w:t>investment mobilisation is substantial</w:t>
      </w:r>
      <w:r w:rsidR="009577A1">
        <w:t>. S</w:t>
      </w:r>
      <w:r w:rsidRPr="00400FD1">
        <w:t>trategic project recognition alone could mobilise EUR 15-28 billion cumulatively by 2038 (under medium uptake; 60-70 recognised projects), while the high-impact flagship tier adds a further EUR 4-12 billion (medium, 12-15 projects) targeting catalytic infrastructure with cross-border reach</w:t>
      </w:r>
      <w:r>
        <w:t>,</w:t>
      </w:r>
      <w:r w:rsidRPr="00185E07">
        <w:t xml:space="preserve"> such as </w:t>
      </w:r>
      <w:r w:rsidRPr="005E632B">
        <w:t>integrated biotech testing and scale-up facilities</w:t>
      </w:r>
      <w:r w:rsidRPr="00185E07">
        <w:t xml:space="preserve"> and </w:t>
      </w:r>
      <w:r w:rsidRPr="005E632B">
        <w:t>centres of excellence for advanced therapies</w:t>
      </w:r>
      <w:r w:rsidRPr="00400FD1">
        <w:t xml:space="preserve">. Together, these frameworks </w:t>
      </w:r>
      <w:r>
        <w:t xml:space="preserve">could mobilise </w:t>
      </w:r>
      <w:r w:rsidRPr="00400FD1">
        <w:t>EUR 19-40 billion in total investment by 2038</w:t>
      </w:r>
      <w:r>
        <w:t xml:space="preserve">, </w:t>
      </w:r>
      <w:r w:rsidRPr="00E968DD">
        <w:t>depending on uptake and project composition</w:t>
      </w:r>
      <w:r>
        <w:t>,</w:t>
      </w:r>
      <w:r w:rsidRPr="00400FD1">
        <w:t xml:space="preserve"> and avoid </w:t>
      </w:r>
      <w:r w:rsidR="00F03F10" w:rsidRPr="00400FD1">
        <w:t xml:space="preserve">combined </w:t>
      </w:r>
      <w:r w:rsidRPr="00400FD1">
        <w:t xml:space="preserve">delay costs of EUR 265 million-1.16 billion (under medium uptake). Critically, these project pipelines also serve a signalling function; creating a structured </w:t>
      </w:r>
      <w:r w:rsidR="00B817F4">
        <w:t>‘</w:t>
      </w:r>
      <w:r w:rsidRPr="00400FD1">
        <w:t>investability</w:t>
      </w:r>
      <w:r w:rsidR="00B817F4">
        <w:t>’</w:t>
      </w:r>
      <w:r w:rsidRPr="00400FD1">
        <w:t xml:space="preserve"> channel that did not previously exist, facilitating faster financial close and more crowding-in of private capital. </w:t>
      </w:r>
    </w:p>
    <w:p w14:paraId="2682866F" w14:textId="1CF16C74" w:rsidR="004E4A1A" w:rsidRDefault="004E4A1A" w:rsidP="00462417">
      <w:r w:rsidRPr="00400FD1">
        <w:t xml:space="preserve">The </w:t>
      </w:r>
      <w:r w:rsidRPr="00400FD1">
        <w:rPr>
          <w:b/>
        </w:rPr>
        <w:t>financing instruments</w:t>
      </w:r>
      <w:r w:rsidRPr="00400FD1">
        <w:t xml:space="preserve"> reinforce this logic</w:t>
      </w:r>
      <w:r>
        <w:t>.</w:t>
      </w:r>
      <w:r w:rsidRPr="00400FD1">
        <w:t xml:space="preserve"> </w:t>
      </w:r>
      <w:r w:rsidRPr="00A852AF">
        <w:t xml:space="preserve">The </w:t>
      </w:r>
      <w:r w:rsidR="008212BC">
        <w:t>proposed</w:t>
      </w:r>
      <w:r w:rsidR="00A43981">
        <w:t xml:space="preserve"> EU Health Biotechnology</w:t>
      </w:r>
      <w:r w:rsidRPr="00A852AF">
        <w:t xml:space="preserve"> Investment Pilot targets the sector's structural EUR 40 billion annual investment gap</w:t>
      </w:r>
      <w:r w:rsidR="00596CE4">
        <w:t>, as</w:t>
      </w:r>
      <w:r w:rsidRPr="00A852AF">
        <w:t xml:space="preserve"> estimated by the EIB. </w:t>
      </w:r>
      <w:r w:rsidR="003333D5">
        <w:t>T</w:t>
      </w:r>
      <w:r w:rsidR="00701CCA">
        <w:t>h</w:t>
      </w:r>
      <w:r w:rsidR="003333D5">
        <w:t xml:space="preserve">e </w:t>
      </w:r>
      <w:r w:rsidR="00701CCA">
        <w:t xml:space="preserve">already launched </w:t>
      </w:r>
      <w:r w:rsidR="003333D5">
        <w:t xml:space="preserve">BioTechEU initiative </w:t>
      </w:r>
      <w:r w:rsidR="00701CCA">
        <w:t xml:space="preserve">backed </w:t>
      </w:r>
      <w:r w:rsidR="003333D5">
        <w:t>by</w:t>
      </w:r>
      <w:r w:rsidR="003333D5" w:rsidRPr="00A852AF">
        <w:t xml:space="preserve"> </w:t>
      </w:r>
      <w:r w:rsidRPr="00A852AF">
        <w:t xml:space="preserve">InvestEU is expected to mobilise up to EUR 10 billion in biotechnology investments in </w:t>
      </w:r>
      <w:r w:rsidRPr="007C435F">
        <w:t>2026</w:t>
      </w:r>
      <w:r>
        <w:t>-</w:t>
      </w:r>
      <w:r w:rsidRPr="007C435F">
        <w:t>2027</w:t>
      </w:r>
      <w:r w:rsidR="00177879">
        <w:t xml:space="preserve"> alone</w:t>
      </w:r>
      <w:r w:rsidRPr="00400FD1">
        <w:t>.</w:t>
      </w:r>
      <w:r>
        <w:t xml:space="preserve"> </w:t>
      </w:r>
      <w:r w:rsidRPr="00566C12">
        <w:t>Under the medium-ambition scenario (closing 25% of the EU</w:t>
      </w:r>
      <w:r>
        <w:t>-</w:t>
      </w:r>
      <w:r w:rsidRPr="00566C12">
        <w:t xml:space="preserve">US investment gap), the Pilot would </w:t>
      </w:r>
      <w:r w:rsidR="00C47874">
        <w:t>result in</w:t>
      </w:r>
      <w:r w:rsidR="00C47874" w:rsidRPr="00566C12">
        <w:t xml:space="preserve"> </w:t>
      </w:r>
      <w:r w:rsidRPr="00566C12">
        <w:t xml:space="preserve">approximately </w:t>
      </w:r>
      <w:r w:rsidRPr="00462417">
        <w:t>EUR 6.2 billion</w:t>
      </w:r>
      <w:r w:rsidRPr="00566C12">
        <w:t xml:space="preserve"> in direct investments over two years, supported by EC budgetary guarantees</w:t>
      </w:r>
      <w:r w:rsidR="001C353E">
        <w:t xml:space="preserve">. It </w:t>
      </w:r>
      <w:r w:rsidRPr="00566C12">
        <w:t xml:space="preserve">is expected to raise total investment mobilisation to approximately </w:t>
      </w:r>
      <w:r w:rsidRPr="00462417">
        <w:t>EUR 41.6 billion</w:t>
      </w:r>
      <w:r w:rsidRPr="00566C12">
        <w:t xml:space="preserve"> over the same period (compared with approximately </w:t>
      </w:r>
      <w:r w:rsidRPr="00462417">
        <w:t>EUR 21.6 billion</w:t>
      </w:r>
      <w:r w:rsidRPr="00566C12">
        <w:t xml:space="preserve"> under the baseline), consistent with reducing the annual investment gap by approximately </w:t>
      </w:r>
      <w:r w:rsidRPr="00462417">
        <w:t>EUR 10 billion per year</w:t>
      </w:r>
      <w:r w:rsidRPr="00566C12">
        <w:t>.</w:t>
      </w:r>
    </w:p>
    <w:p w14:paraId="01A11BB4" w14:textId="4230088C" w:rsidR="00D8178E" w:rsidRPr="00462417" w:rsidRDefault="004E4A1A" w:rsidP="00462417">
      <w:r w:rsidRPr="006AFD62">
        <w:t xml:space="preserve">A distinct competitive dimension concerns </w:t>
      </w:r>
      <w:r w:rsidRPr="006AFD62">
        <w:rPr>
          <w:b/>
        </w:rPr>
        <w:t>biosimilars</w:t>
      </w:r>
      <w:r w:rsidRPr="006AFD62">
        <w:t xml:space="preserve">, where the EU holds the world’s largest market (approximately </w:t>
      </w:r>
      <w:r w:rsidR="00B93B89" w:rsidRPr="00462417">
        <w:t>EUR 17</w:t>
      </w:r>
      <w:r w:rsidRPr="00462417">
        <w:t xml:space="preserve"> billion</w:t>
      </w:r>
      <w:r>
        <w:t xml:space="preserve"> at list prices</w:t>
      </w:r>
      <w:r w:rsidR="008C657A">
        <w:rPr>
          <w:rStyle w:val="FootnoteReference"/>
        </w:rPr>
        <w:footnoteReference w:id="299"/>
      </w:r>
      <w:r w:rsidRPr="006AFD62">
        <w:t xml:space="preserve">), </w:t>
      </w:r>
      <w:r w:rsidR="00501221">
        <w:t>but</w:t>
      </w:r>
      <w:r w:rsidR="00501221" w:rsidRPr="006AFD62">
        <w:t xml:space="preserve"> </w:t>
      </w:r>
      <w:r w:rsidRPr="006AFD62">
        <w:t xml:space="preserve">is experiencing manufacturing migration to Asia. </w:t>
      </w:r>
      <w:r w:rsidR="00501221">
        <w:t>S</w:t>
      </w:r>
      <w:r w:rsidRPr="006AFD62">
        <w:t>treamlining CES requirements serves a competitiveness objective: by reducing the cost threshold for biosimilar development, it accelerates market entry by 12-24 months per product and strengthens EU-based developers against jurisdictions already formalising such flexibility. Strategic project eligibility for biosimilar manufacturing reinforces this supply-side effect. While the share of EU-headquartered companies in EU biosimilar MAs is 49</w:t>
      </w:r>
      <w:r w:rsidR="00405618">
        <w:t>%</w:t>
      </w:r>
      <w:r w:rsidRPr="006AFD62">
        <w:t xml:space="preserve"> in 2025, projected to fall to 40-50% without intervention, it can be potentially maintained at 45-55</w:t>
      </w:r>
      <w:r w:rsidR="00405618">
        <w:t>%</w:t>
      </w:r>
      <w:r w:rsidRPr="006AFD62">
        <w:t xml:space="preserve"> with the proposed measures.  On the other hand, the </w:t>
      </w:r>
      <w:r w:rsidRPr="006AFD62">
        <w:rPr>
          <w:b/>
        </w:rPr>
        <w:t>SPC extension</w:t>
      </w:r>
      <w:r w:rsidRPr="006AFD62">
        <w:t xml:space="preserve"> </w:t>
      </w:r>
      <w:r w:rsidRPr="48531B3D">
        <w:t>incentivise</w:t>
      </w:r>
      <w:r w:rsidR="00C66768">
        <w:t>s</w:t>
      </w:r>
      <w:r w:rsidRPr="006AFD62">
        <w:t xml:space="preserve"> a very targeted set of innovative biotechnology medicines</w:t>
      </w:r>
      <w:r w:rsidRPr="48531B3D">
        <w:t>.</w:t>
      </w:r>
      <w:r w:rsidR="00650B70" w:rsidRPr="006AFD62">
        <w:t xml:space="preserve"> </w:t>
      </w:r>
      <w:r w:rsidR="00513191">
        <w:t>T</w:t>
      </w:r>
      <w:r w:rsidR="00513191" w:rsidRPr="6A848F65">
        <w:t xml:space="preserve">he SPC extension could potentially be awarded </w:t>
      </w:r>
      <w:r w:rsidR="001758AC">
        <w:t xml:space="preserve">to </w:t>
      </w:r>
      <w:r w:rsidR="00513191">
        <w:t xml:space="preserve">about </w:t>
      </w:r>
      <w:r w:rsidR="005805E8">
        <w:t>three</w:t>
      </w:r>
      <w:r w:rsidR="00513191">
        <w:t xml:space="preserve"> products annually</w:t>
      </w:r>
      <w:r w:rsidR="00250A59" w:rsidRPr="48531B3D">
        <w:rPr>
          <w:rStyle w:val="FootnoteReference"/>
        </w:rPr>
        <w:footnoteReference w:id="300"/>
      </w:r>
      <w:r w:rsidR="00044012">
        <w:t>. A</w:t>
      </w:r>
      <w:r w:rsidR="00DB169E" w:rsidRPr="6A848F65">
        <w:t>ccording</w:t>
      </w:r>
      <w:r w:rsidR="00513191" w:rsidRPr="6A848F65">
        <w:t xml:space="preserve"> to EMA</w:t>
      </w:r>
      <w:r w:rsidR="002F06AA">
        <w:t>’s</w:t>
      </w:r>
      <w:r w:rsidR="00513191" w:rsidRPr="6A848F65">
        <w:t xml:space="preserve"> data from 2016 to 2025, </w:t>
      </w:r>
      <w:r w:rsidR="002A51C1">
        <w:t xml:space="preserve">the </w:t>
      </w:r>
      <w:r w:rsidR="005805E8">
        <w:t>three</w:t>
      </w:r>
      <w:r w:rsidR="002A51C1">
        <w:t xml:space="preserve"> products</w:t>
      </w:r>
      <w:r w:rsidR="00513191" w:rsidRPr="6A848F65">
        <w:t xml:space="preserve"> </w:t>
      </w:r>
      <w:r w:rsidR="00513191">
        <w:t xml:space="preserve">could </w:t>
      </w:r>
      <w:r w:rsidR="002A51C1" w:rsidRPr="00462417">
        <w:t>grow to</w:t>
      </w:r>
      <w:r w:rsidR="00513191" w:rsidRPr="00462417">
        <w:t xml:space="preserve"> </w:t>
      </w:r>
      <w:r w:rsidR="00513191" w:rsidRPr="00462417">
        <w:rPr>
          <w:b/>
        </w:rPr>
        <w:t xml:space="preserve">about </w:t>
      </w:r>
      <w:r w:rsidR="005805E8">
        <w:rPr>
          <w:b/>
        </w:rPr>
        <w:t>five</w:t>
      </w:r>
      <w:r w:rsidR="00513191" w:rsidRPr="00462417">
        <w:rPr>
          <w:b/>
        </w:rPr>
        <w:t xml:space="preserve"> </w:t>
      </w:r>
      <w:r w:rsidR="00513191" w:rsidRPr="00462417">
        <w:t>per year</w:t>
      </w:r>
      <w:r w:rsidR="00513191" w:rsidRPr="00462417">
        <w:rPr>
          <w:b/>
        </w:rPr>
        <w:t xml:space="preserve"> </w:t>
      </w:r>
      <w:r w:rsidR="00513191" w:rsidRPr="00462417">
        <w:t>if developers changed their behaviour in response to the incentive</w:t>
      </w:r>
      <w:r w:rsidR="001E77F7" w:rsidRPr="00462417">
        <w:t xml:space="preserve"> (i.e. conducting part of their clinical trials and manufacturing in the EU)</w:t>
      </w:r>
      <w:r w:rsidR="00C6555F" w:rsidRPr="00462417">
        <w:t>,</w:t>
      </w:r>
      <w:r w:rsidR="00C8314B" w:rsidRPr="00462417">
        <w:t xml:space="preserve"> </w:t>
      </w:r>
      <w:r w:rsidR="00F2331B" w:rsidRPr="00462417">
        <w:t>thus</w:t>
      </w:r>
      <w:r w:rsidR="00C6555F" w:rsidRPr="00462417">
        <w:t xml:space="preserve"> </w:t>
      </w:r>
      <w:r w:rsidR="00A03180" w:rsidRPr="00462417">
        <w:rPr>
          <w:rFonts w:eastAsia="Times New Roman"/>
        </w:rPr>
        <w:t xml:space="preserve">bringing </w:t>
      </w:r>
      <w:r w:rsidR="00A03180" w:rsidRPr="00462417">
        <w:rPr>
          <w:rFonts w:eastAsia="Times New Roman"/>
          <w:b/>
        </w:rPr>
        <w:t>new transformative products</w:t>
      </w:r>
      <w:r w:rsidR="00A03180" w:rsidRPr="00462417">
        <w:rPr>
          <w:rFonts w:eastAsia="Times New Roman"/>
        </w:rPr>
        <w:t xml:space="preserve"> to the market</w:t>
      </w:r>
      <w:r w:rsidR="00C6555F" w:rsidRPr="00462417">
        <w:rPr>
          <w:rFonts w:eastAsia="Times New Roman"/>
        </w:rPr>
        <w:t xml:space="preserve"> and</w:t>
      </w:r>
      <w:r w:rsidR="00650B70" w:rsidRPr="00462417">
        <w:t xml:space="preserve"> a </w:t>
      </w:r>
      <w:r w:rsidR="00650B70" w:rsidRPr="00462417">
        <w:rPr>
          <w:b/>
        </w:rPr>
        <w:t>marginal positive impact</w:t>
      </w:r>
      <w:r w:rsidR="00650B70" w:rsidRPr="00462417">
        <w:t xml:space="preserve"> on the </w:t>
      </w:r>
      <w:r w:rsidR="00650B70" w:rsidRPr="00462417">
        <w:rPr>
          <w:b/>
        </w:rPr>
        <w:t>conduct of clinical trials</w:t>
      </w:r>
      <w:r w:rsidR="00650B70" w:rsidRPr="00462417">
        <w:t xml:space="preserve"> and </w:t>
      </w:r>
      <w:r w:rsidR="00650B70" w:rsidRPr="00462417">
        <w:rPr>
          <w:b/>
        </w:rPr>
        <w:t>manufacturing in the EU</w:t>
      </w:r>
      <w:r w:rsidR="00650B70" w:rsidRPr="00462417">
        <w:t xml:space="preserve">. </w:t>
      </w:r>
      <w:r w:rsidRPr="00462417">
        <w:t xml:space="preserve"> </w:t>
      </w:r>
    </w:p>
    <w:p w14:paraId="7F81DE4C" w14:textId="7495D863" w:rsidR="00170543" w:rsidRPr="001178F5" w:rsidRDefault="004E4A1A" w:rsidP="00462417">
      <w:r w:rsidRPr="00462417">
        <w:t xml:space="preserve">The extension </w:t>
      </w:r>
      <w:r w:rsidR="00363F8E" w:rsidRPr="00462417">
        <w:t xml:space="preserve">comes </w:t>
      </w:r>
      <w:r w:rsidRPr="00462417">
        <w:t>with</w:t>
      </w:r>
      <w:r w:rsidR="00AE4D5C" w:rsidRPr="00462417">
        <w:t xml:space="preserve"> an additional </w:t>
      </w:r>
      <w:r w:rsidR="00E3778A" w:rsidRPr="00462417">
        <w:t xml:space="preserve">gross </w:t>
      </w:r>
      <w:r w:rsidR="00AE4D5C" w:rsidRPr="00462417">
        <w:t xml:space="preserve">economic gain </w:t>
      </w:r>
      <w:r w:rsidR="00363F8E" w:rsidRPr="00462417">
        <w:t xml:space="preserve">of approximately EUR 230 million </w:t>
      </w:r>
      <w:r w:rsidR="00AE4D5C" w:rsidRPr="00462417">
        <w:t>per qualifying medicine per year</w:t>
      </w:r>
      <w:r w:rsidR="00363F8E" w:rsidRPr="00462417">
        <w:t>,</w:t>
      </w:r>
      <w:r w:rsidR="00AE4D5C" w:rsidRPr="00462417">
        <w:t xml:space="preserve"> and</w:t>
      </w:r>
      <w:r w:rsidRPr="00462417">
        <w:t xml:space="preserve"> a direct payer expenditure and monetised cost of</w:t>
      </w:r>
      <w:r w:rsidRPr="48531B3D">
        <w:t xml:space="preserve"> delayed patient access </w:t>
      </w:r>
      <w:r w:rsidR="006806C5">
        <w:t>which</w:t>
      </w:r>
      <w:r w:rsidR="006806C5" w:rsidRPr="48531B3D">
        <w:t xml:space="preserve"> </w:t>
      </w:r>
      <w:r w:rsidR="006806C5">
        <w:t>together</w:t>
      </w:r>
      <w:r w:rsidRPr="48531B3D">
        <w:t xml:space="preserve"> amount to </w:t>
      </w:r>
      <w:r w:rsidR="006806C5" w:rsidRPr="001178F5">
        <w:t xml:space="preserve">approximately </w:t>
      </w:r>
      <w:r w:rsidRPr="001178F5">
        <w:t xml:space="preserve">EUR 205 million per medicine. This corresponds to </w:t>
      </w:r>
      <w:r w:rsidR="00C73E2B" w:rsidRPr="001178F5">
        <w:t>a cost of</w:t>
      </w:r>
      <w:r w:rsidRPr="001178F5">
        <w:t xml:space="preserve"> approximately EUR 615 million </w:t>
      </w:r>
      <w:r w:rsidR="00C73E2B" w:rsidRPr="001178F5">
        <w:t xml:space="preserve">every year </w:t>
      </w:r>
      <w:r w:rsidRPr="001178F5">
        <w:t>at aggregate level</w:t>
      </w:r>
      <w:r w:rsidR="00C73E2B" w:rsidRPr="001178F5">
        <w:t>,</w:t>
      </w:r>
      <w:r w:rsidRPr="001178F5">
        <w:t xml:space="preserve"> based on an average of three qualifying medicines per year</w:t>
      </w:r>
      <w:r w:rsidR="004D5471" w:rsidRPr="001178F5">
        <w:t>.</w:t>
      </w:r>
    </w:p>
    <w:p w14:paraId="786C1ACD" w14:textId="644FA49D" w:rsidR="004E4A1A" w:rsidRPr="00400FD1" w:rsidRDefault="00AE4732" w:rsidP="00462417">
      <w:r w:rsidRPr="001178F5">
        <w:t xml:space="preserve">The </w:t>
      </w:r>
      <w:r w:rsidR="00453973" w:rsidRPr="001178F5">
        <w:t>extension</w:t>
      </w:r>
      <w:r w:rsidR="003918F9" w:rsidRPr="001178F5">
        <w:t xml:space="preserve"> </w:t>
      </w:r>
      <w:r w:rsidR="00AC0951" w:rsidRPr="001178F5">
        <w:t xml:space="preserve">focuses </w:t>
      </w:r>
      <w:r w:rsidR="00C73E2B" w:rsidRPr="001178F5">
        <w:t xml:space="preserve">specifically </w:t>
      </w:r>
      <w:r w:rsidR="00AC0951" w:rsidRPr="001178F5">
        <w:t xml:space="preserve">on </w:t>
      </w:r>
      <w:r w:rsidR="00F560EF" w:rsidRPr="001178F5">
        <w:t>reward</w:t>
      </w:r>
      <w:r w:rsidR="00AC0951" w:rsidRPr="001178F5">
        <w:t xml:space="preserve">ing </w:t>
      </w:r>
      <w:r w:rsidR="003918F9" w:rsidRPr="001178F5">
        <w:t xml:space="preserve">innovations that bring the </w:t>
      </w:r>
      <w:r w:rsidR="003918F9" w:rsidRPr="001178F5">
        <w:rPr>
          <w:b/>
          <w:bCs/>
        </w:rPr>
        <w:t>greatest value to patients</w:t>
      </w:r>
      <w:r w:rsidR="003918F9" w:rsidRPr="001178F5">
        <w:rPr>
          <w:rStyle w:val="FootnoteReference"/>
          <w:bCs/>
        </w:rPr>
        <w:footnoteReference w:id="301"/>
      </w:r>
      <w:r w:rsidR="003918F9" w:rsidRPr="001178F5">
        <w:t xml:space="preserve">, sending an important </w:t>
      </w:r>
      <w:r w:rsidR="003918F9" w:rsidRPr="001178F5">
        <w:rPr>
          <w:b/>
          <w:bCs/>
        </w:rPr>
        <w:t>signal to companies</w:t>
      </w:r>
      <w:r w:rsidR="003918F9" w:rsidRPr="001178F5">
        <w:t xml:space="preserve"> regarding investment</w:t>
      </w:r>
      <w:r w:rsidR="003918F9" w:rsidRPr="00676417">
        <w:t xml:space="preserve"> priorities. The geographical conditions ensure that this additional incentive also favours investment in the EU and helps strengthen the EU’s health biotech sector</w:t>
      </w:r>
      <w:r w:rsidR="002D11D1">
        <w:t>.</w:t>
      </w:r>
      <w:r w:rsidR="00CF5898">
        <w:t xml:space="preserve"> </w:t>
      </w:r>
      <w:r w:rsidR="004E4A1A" w:rsidRPr="006AFD62">
        <w:t xml:space="preserve"> </w:t>
      </w:r>
      <w:r w:rsidR="004E4A1A" w:rsidRPr="006AFD62" w:rsidDel="00650B70">
        <w:t xml:space="preserve"> </w:t>
      </w:r>
    </w:p>
    <w:p w14:paraId="664D1970" w14:textId="192D32C4" w:rsidR="004E4A1A" w:rsidRPr="00400FD1" w:rsidRDefault="00175147" w:rsidP="587090BC">
      <w:r>
        <w:rPr>
          <w:b/>
        </w:rPr>
        <w:t>C</w:t>
      </w:r>
      <w:r w:rsidR="004E4A1A" w:rsidRPr="00400FD1">
        <w:rPr>
          <w:b/>
        </w:rPr>
        <w:t xml:space="preserve">linical research </w:t>
      </w:r>
      <w:r w:rsidR="004E4A1A" w:rsidRPr="00400FD1">
        <w:t>is equally critical to the competitiveness proposition</w:t>
      </w:r>
      <w:r w:rsidR="00C73E2B">
        <w:t xml:space="preserve">. </w:t>
      </w:r>
      <w:r w:rsidR="008E1F41">
        <w:t>Despite significant global growth in clinical trials between 2013 and 2023, t</w:t>
      </w:r>
      <w:r w:rsidR="004E4A1A" w:rsidRPr="00400FD1">
        <w:t>he EU’s share of global commercial trials halved from 22</w:t>
      </w:r>
      <w:r w:rsidR="00405618">
        <w:t>%</w:t>
      </w:r>
      <w:r w:rsidR="004E4A1A" w:rsidRPr="00400FD1">
        <w:t xml:space="preserve"> to 12</w:t>
      </w:r>
      <w:r w:rsidR="00405618">
        <w:t>%</w:t>
      </w:r>
      <w:r w:rsidR="18143F9B">
        <w:t>,</w:t>
      </w:r>
      <w:r w:rsidR="286C53A7">
        <w:t xml:space="preserve"> </w:t>
      </w:r>
      <w:r w:rsidR="00C97ABB">
        <w:t>failing</w:t>
      </w:r>
      <w:r w:rsidR="453D94E8">
        <w:t xml:space="preserve"> </w:t>
      </w:r>
      <w:r w:rsidR="424F5327">
        <w:t>to</w:t>
      </w:r>
      <w:r w:rsidR="0B19C6DF">
        <w:t xml:space="preserve"> captur</w:t>
      </w:r>
      <w:r w:rsidR="78534C10">
        <w:t>e</w:t>
      </w:r>
      <w:r w:rsidR="0B19C6DF">
        <w:t xml:space="preserve"> the proportional share of </w:t>
      </w:r>
      <w:r w:rsidR="42D8A178">
        <w:t xml:space="preserve">the </w:t>
      </w:r>
      <w:r w:rsidR="008E1F41">
        <w:t>growth</w:t>
      </w:r>
      <w:r w:rsidR="5B5A6835">
        <w:t>.</w:t>
      </w:r>
      <w:r w:rsidR="440D52BA">
        <w:t xml:space="preserve"> </w:t>
      </w:r>
      <w:r w:rsidR="00340E24" w:rsidRPr="00400FD1">
        <w:t>Improved regulation</w:t>
      </w:r>
      <w:r w:rsidR="00340E24">
        <w:t>s</w:t>
      </w:r>
      <w:r w:rsidR="001A4A95">
        <w:t>, including</w:t>
      </w:r>
      <w:r w:rsidR="004E4A1A" w:rsidRPr="00400FD1">
        <w:t xml:space="preserve"> </w:t>
      </w:r>
      <w:r w:rsidR="1A6ABFEC">
        <w:t>simplified</w:t>
      </w:r>
      <w:r w:rsidR="004E4A1A">
        <w:t xml:space="preserve"> </w:t>
      </w:r>
      <w:r w:rsidR="7D27B0F7">
        <w:t xml:space="preserve">and more predictable </w:t>
      </w:r>
      <w:r w:rsidR="004E4A1A" w:rsidRPr="00400FD1">
        <w:t>procedures</w:t>
      </w:r>
      <w:r w:rsidR="65BC22A1">
        <w:t>,</w:t>
      </w:r>
      <w:r w:rsidR="15CF8AD3">
        <w:t xml:space="preserve"> </w:t>
      </w:r>
      <w:r w:rsidR="004E4A1A">
        <w:t>a</w:t>
      </w:r>
      <w:r w:rsidR="699429AF">
        <w:t>s well as</w:t>
      </w:r>
      <w:r w:rsidR="004E4A1A" w:rsidRPr="00400FD1">
        <w:t xml:space="preserve"> sandboxes work in concert to</w:t>
      </w:r>
      <w:r w:rsidR="17135EF3">
        <w:t xml:space="preserve"> make the EU/EEA more attractive for sponsors as a location for conducting clinical trials.</w:t>
      </w:r>
      <w:r w:rsidR="4FDEC92D">
        <w:t xml:space="preserve"> </w:t>
      </w:r>
      <w:r w:rsidR="38F5EABB">
        <w:t xml:space="preserve">Consequently, </w:t>
      </w:r>
      <w:r w:rsidR="5E5C1555">
        <w:t>a</w:t>
      </w:r>
      <w:r w:rsidR="001D64A4">
        <w:t xml:space="preserve"> better </w:t>
      </w:r>
      <w:r w:rsidR="38F5EABB">
        <w:t>regulatory environment is</w:t>
      </w:r>
      <w:r w:rsidR="4FDEC92D">
        <w:t xml:space="preserve"> expected to increase the number of clinical trials in the Union and possibly, depending on the development in ot</w:t>
      </w:r>
      <w:r w:rsidR="0C34DF7E">
        <w:t xml:space="preserve">her regions, </w:t>
      </w:r>
      <w:r w:rsidR="004E4A1A" w:rsidRPr="00400FD1">
        <w:t xml:space="preserve">reverse </w:t>
      </w:r>
      <w:r w:rsidR="004E4A1A">
        <w:t>th</w:t>
      </w:r>
      <w:r w:rsidR="6BFE4388">
        <w:t>e</w:t>
      </w:r>
      <w:r w:rsidR="004E4A1A" w:rsidRPr="00400FD1">
        <w:t xml:space="preserve"> structural decline </w:t>
      </w:r>
      <w:r w:rsidR="7F9B90A9">
        <w:t>of the EEA share of global trials.</w:t>
      </w:r>
      <w:r w:rsidR="012ED370">
        <w:t xml:space="preserve"> </w:t>
      </w:r>
      <w:r w:rsidR="382123B7">
        <w:t xml:space="preserve">The increase </w:t>
      </w:r>
      <w:r w:rsidR="55FDCBFE">
        <w:t>in trials</w:t>
      </w:r>
      <w:r w:rsidR="382123B7">
        <w:t xml:space="preserve"> is expected to range between 1</w:t>
      </w:r>
      <w:r w:rsidR="001C0C87">
        <w:t>0</w:t>
      </w:r>
      <w:r w:rsidR="00405618">
        <w:t>%</w:t>
      </w:r>
      <w:r w:rsidR="382123B7">
        <w:t xml:space="preserve"> and 3</w:t>
      </w:r>
      <w:r w:rsidR="001C0C87">
        <w:t>0</w:t>
      </w:r>
      <w:r w:rsidR="00405618">
        <w:t>%</w:t>
      </w:r>
      <w:r w:rsidR="382123B7">
        <w:t xml:space="preserve"> </w:t>
      </w:r>
      <w:r w:rsidR="223ADCC2">
        <w:t>based on two studies supporting the assessment</w:t>
      </w:r>
      <w:r w:rsidR="004E4A1A" w:rsidRPr="65F0CF56">
        <w:rPr>
          <w:vertAlign w:val="superscript"/>
        </w:rPr>
        <w:footnoteReference w:id="302"/>
      </w:r>
      <w:r w:rsidR="223ADCC2">
        <w:t>.</w:t>
      </w:r>
      <w:r w:rsidR="004E4A1A" w:rsidRPr="00400FD1">
        <w:t xml:space="preserve"> </w:t>
      </w:r>
      <w:r w:rsidR="007B0B86">
        <w:t>Together</w:t>
      </w:r>
      <w:r w:rsidR="004E4A1A" w:rsidRPr="00400FD1">
        <w:t>, these interventions form a coordinated competitiveness package</w:t>
      </w:r>
      <w:r w:rsidR="00F82630">
        <w:t>.</w:t>
      </w:r>
    </w:p>
    <w:p w14:paraId="36D5DE57" w14:textId="77777777" w:rsidR="004E4A1A" w:rsidRPr="00462417" w:rsidRDefault="004E4A1A" w:rsidP="00462417">
      <w:pPr>
        <w:pStyle w:val="Heading2"/>
      </w:pPr>
      <w:bookmarkStart w:id="272" w:name="_Toc225974588"/>
      <w:bookmarkStart w:id="273" w:name="_Toc225975261"/>
      <w:bookmarkStart w:id="274" w:name="_Toc225975318"/>
      <w:bookmarkStart w:id="275" w:name="_Toc227941854"/>
      <w:r w:rsidRPr="00462417">
        <w:t>Innovation and research</w:t>
      </w:r>
      <w:bookmarkEnd w:id="272"/>
      <w:bookmarkEnd w:id="273"/>
      <w:bookmarkEnd w:id="274"/>
      <w:bookmarkEnd w:id="275"/>
    </w:p>
    <w:p w14:paraId="45BF84B9" w14:textId="415262B9" w:rsidR="004E4A1A" w:rsidRPr="00400FD1" w:rsidRDefault="004E4A1A" w:rsidP="00462417">
      <w:r w:rsidRPr="006AFD62">
        <w:t>The EU’s core innovation challenge in biotechnology is not insufficient scientific output</w:t>
      </w:r>
      <w:r w:rsidR="00F82630">
        <w:t>.</w:t>
      </w:r>
      <w:r w:rsidRPr="006AFD62">
        <w:t xml:space="preserve"> European research organisations rank among global leaders in biotechnology publications, but there </w:t>
      </w:r>
      <w:r w:rsidR="008F52B7">
        <w:t>are</w:t>
      </w:r>
      <w:r w:rsidRPr="006AFD62">
        <w:t xml:space="preserve"> persistent </w:t>
      </w:r>
      <w:r w:rsidR="008F52B7">
        <w:t>barriers</w:t>
      </w:r>
      <w:r w:rsidR="71FAEFD5">
        <w:t xml:space="preserve"> </w:t>
      </w:r>
      <w:r w:rsidRPr="006AFD62">
        <w:t xml:space="preserve">to translate that output into clinical and commercial development. This is reflected in significantly </w:t>
      </w:r>
      <w:r w:rsidRPr="00DE6FF6">
        <w:t>weaker late-stage financing and a persistent investment gap in the EU compared to global peers</w:t>
      </w:r>
      <w:r w:rsidRPr="00DE6FF6">
        <w:rPr>
          <w:rStyle w:val="FootnoteReference"/>
          <w:color w:val="000000" w:themeColor="text1"/>
        </w:rPr>
        <w:footnoteReference w:id="303"/>
      </w:r>
      <w:r w:rsidRPr="00DE6FF6">
        <w:t xml:space="preserve">. While the competitiveness measures described above address the conditions under which capital is deployed in the EU, the innovation provisions target the conditions under which scientific discoveries </w:t>
      </w:r>
      <w:r w:rsidR="000E0E9B" w:rsidRPr="00DE6FF6">
        <w:t xml:space="preserve">are developed, validated and translated across the full R&amp;D continuum, including clinical research and scale-up activities, ensuring that innovation can progress </w:t>
      </w:r>
      <w:r w:rsidR="00F40D31" w:rsidRPr="00DE6FF6">
        <w:t xml:space="preserve">effectively </w:t>
      </w:r>
      <w:r w:rsidR="000E0E9B" w:rsidRPr="00DE6FF6">
        <w:t>from early-stage research</w:t>
      </w:r>
      <w:r w:rsidRPr="00DE6FF6">
        <w:t xml:space="preserve"> to market</w:t>
      </w:r>
      <w:r w:rsidR="000E0E9B" w:rsidRPr="00DE6FF6">
        <w:t xml:space="preserve"> deployment in the Union</w:t>
      </w:r>
      <w:r w:rsidRPr="00DE6FF6">
        <w:t xml:space="preserve">. The Act addresses this structural translation gap </w:t>
      </w:r>
      <w:r w:rsidR="00E11644" w:rsidRPr="00DE6FF6">
        <w:t>through</w:t>
      </w:r>
      <w:r w:rsidR="00F40D31" w:rsidRPr="00DE6FF6">
        <w:t xml:space="preserve"> </w:t>
      </w:r>
      <w:r w:rsidRPr="00DE6FF6">
        <w:t xml:space="preserve">three </w:t>
      </w:r>
      <w:r w:rsidR="0063582A" w:rsidRPr="00DE6FF6">
        <w:t>mutually reinforcing</w:t>
      </w:r>
      <w:r w:rsidRPr="00DE6FF6">
        <w:t xml:space="preserve"> channels.</w:t>
      </w:r>
    </w:p>
    <w:p w14:paraId="5F53943B" w14:textId="10A21E97" w:rsidR="004E4A1A" w:rsidRPr="00400FD1" w:rsidRDefault="004E4A1A" w:rsidP="00462417">
      <w:r w:rsidRPr="00400FD1">
        <w:t xml:space="preserve">First, </w:t>
      </w:r>
      <w:r w:rsidR="00F40D31">
        <w:t xml:space="preserve">introducing </w:t>
      </w:r>
      <w:r w:rsidRPr="00400FD1">
        <w:rPr>
          <w:b/>
        </w:rPr>
        <w:t>regulatory sandboxes</w:t>
      </w:r>
      <w:r w:rsidRPr="00400FD1">
        <w:t xml:space="preserve"> across clinical trials, food and feed, </w:t>
      </w:r>
      <w:r w:rsidR="65E78F22">
        <w:t>SoHO</w:t>
      </w:r>
      <w:r w:rsidRPr="00400FD1">
        <w:t xml:space="preserve">, and veterinary products creates, for the first time, structured pathways for innovations that currently </w:t>
      </w:r>
      <w:r w:rsidRPr="00B21A45">
        <w:t xml:space="preserve">face regulatory uncertainty or do not fit neatly </w:t>
      </w:r>
      <w:r w:rsidR="00F40D31">
        <w:t>into</w:t>
      </w:r>
      <w:r w:rsidR="00F40D31" w:rsidRPr="00B21A45">
        <w:t xml:space="preserve"> </w:t>
      </w:r>
      <w:r w:rsidRPr="00B21A45">
        <w:t>existing EU frameworks. In the absence of such mechanisms, highly novel products risk delays, fragmented assessments or the absence of a clear route to market, constraining their development and deployment in the Union</w:t>
      </w:r>
      <w:r>
        <w:t xml:space="preserve"> </w:t>
      </w:r>
      <w:r w:rsidR="00F40D31">
        <w:t>and</w:t>
      </w:r>
      <w:r w:rsidR="00F40D31" w:rsidRPr="005E632B">
        <w:t xml:space="preserve"> </w:t>
      </w:r>
      <w:r w:rsidRPr="005E632B">
        <w:t>delaying or preventing the Union from capturing benefits in terms of patient outcomes, innovation and economic activity</w:t>
      </w:r>
      <w:r w:rsidRPr="001221F5">
        <w:t>.</w:t>
      </w:r>
    </w:p>
    <w:p w14:paraId="246A9246" w14:textId="5549F266" w:rsidR="004E4A1A" w:rsidRPr="00400FD1" w:rsidRDefault="004E4A1A" w:rsidP="00462417">
      <w:r w:rsidRPr="00400FD1">
        <w:t xml:space="preserve">Second, the </w:t>
      </w:r>
      <w:r w:rsidR="009E2F47">
        <w:t>Biotech</w:t>
      </w:r>
      <w:r w:rsidRPr="00400FD1">
        <w:t xml:space="preserve"> Act </w:t>
      </w:r>
      <w:r w:rsidR="00365CAA">
        <w:t xml:space="preserve">addresses </w:t>
      </w:r>
      <w:r w:rsidRPr="00400FD1">
        <w:t xml:space="preserve">late-stage attrition by combining </w:t>
      </w:r>
      <w:r w:rsidRPr="00400FD1">
        <w:rPr>
          <w:b/>
        </w:rPr>
        <w:t>dedicated financing instruments</w:t>
      </w:r>
      <w:r w:rsidRPr="00400FD1">
        <w:t xml:space="preserve"> with catalytic infrastructure. The </w:t>
      </w:r>
      <w:r w:rsidR="009E2F47">
        <w:t>EU Health Biotechnology</w:t>
      </w:r>
      <w:r w:rsidRPr="00400FD1">
        <w:t xml:space="preserve"> Investment Pilot targets the sector’s EUR 40 billion annual funding gap</w:t>
      </w:r>
      <w:r w:rsidR="00BB2F60">
        <w:t xml:space="preserve">, as </w:t>
      </w:r>
      <w:r w:rsidRPr="00400FD1">
        <w:t xml:space="preserve">estimated by the EIB, </w:t>
      </w:r>
      <w:r w:rsidR="005A25F1">
        <w:t>building on the</w:t>
      </w:r>
      <w:r w:rsidR="005A25F1" w:rsidRPr="00400FD1">
        <w:t xml:space="preserve"> </w:t>
      </w:r>
      <w:r w:rsidRPr="00400FD1">
        <w:t xml:space="preserve">EUR 10 billion in mobilisation expected in 2026-2027 through the BioTechEU initiative and illustrative scenarios projecting </w:t>
      </w:r>
      <w:r w:rsidR="00BB2F60">
        <w:t xml:space="preserve">a </w:t>
      </w:r>
      <w:r w:rsidRPr="00400FD1">
        <w:t xml:space="preserve">gap reduction of EUR 10-20 billion per year at full scale. Simultaneously, high-impact project infrastructures </w:t>
      </w:r>
      <w:r>
        <w:t xml:space="preserve">are expected, </w:t>
      </w:r>
      <w:r w:rsidRPr="00FD2BF6">
        <w:t>under illustrative uptake scenarios</w:t>
      </w:r>
      <w:r>
        <w:t>, to support</w:t>
      </w:r>
      <w:r w:rsidRPr="00400FD1">
        <w:t xml:space="preserve"> 4-40 additional </w:t>
      </w:r>
      <w:r w:rsidRPr="00221113">
        <w:t>clinical trial applications</w:t>
      </w:r>
      <w:r>
        <w:t xml:space="preserve"> </w:t>
      </w:r>
      <w:r w:rsidRPr="00400FD1">
        <w:t>per year and serve 60-600 firms annually</w:t>
      </w:r>
      <w:r>
        <w:t>. These</w:t>
      </w:r>
      <w:r w:rsidRPr="00400FD1">
        <w:t xml:space="preserve"> ranges </w:t>
      </w:r>
      <w:r>
        <w:t>reflect</w:t>
      </w:r>
      <w:r w:rsidRPr="00400FD1">
        <w:t xml:space="preserve"> very low to very high uptake scenarios, with</w:t>
      </w:r>
      <w:r>
        <w:t xml:space="preserve"> impacts driven by</w:t>
      </w:r>
      <w:r w:rsidRPr="00400FD1">
        <w:t xml:space="preserve"> de-risking translation services</w:t>
      </w:r>
      <w:r>
        <w:t xml:space="preserve"> and</w:t>
      </w:r>
      <w:r w:rsidRPr="00400FD1">
        <w:t xml:space="preserve"> compressing development cycles. Together, the sandboxes </w:t>
      </w:r>
      <w:r>
        <w:t>are expected to</w:t>
      </w:r>
      <w:r w:rsidRPr="00400FD1">
        <w:t xml:space="preserve"> resolve pathway uncertainty for novel products, while financing instruments and catalytic infrastructure ensure that </w:t>
      </w:r>
      <w:r w:rsidR="001228FB">
        <w:t xml:space="preserve">developers of </w:t>
      </w:r>
      <w:r w:rsidRPr="00400FD1">
        <w:t xml:space="preserve">products with a </w:t>
      </w:r>
      <w:r>
        <w:t>clear regulatory route</w:t>
      </w:r>
      <w:r w:rsidRPr="00400FD1">
        <w:t xml:space="preserve"> can access the capital and facilities needed to </w:t>
      </w:r>
      <w:r>
        <w:t>reach the market</w:t>
      </w:r>
      <w:r w:rsidRPr="00400FD1">
        <w:t>.</w:t>
      </w:r>
    </w:p>
    <w:p w14:paraId="22BC3DE8" w14:textId="6BBB7746" w:rsidR="00D963BF" w:rsidRPr="00481651" w:rsidRDefault="004E4A1A" w:rsidP="00462417">
      <w:r w:rsidRPr="00481651">
        <w:t xml:space="preserve">Third, the </w:t>
      </w:r>
      <w:r w:rsidRPr="00481651">
        <w:rPr>
          <w:b/>
        </w:rPr>
        <w:t>AI and data framework</w:t>
      </w:r>
      <w:r w:rsidRPr="00481651">
        <w:t xml:space="preserve"> addresses a cross-cutting enabler that conditions the effectiveness of the first two channels. Depending on uptake, the recognised testing environments and data quality accelerators could serve approximately 1,100-3,400 companies and data users annually (under medium uptake projections), and trigger infrastructure investments of EUR 650 million to EUR 1.3 billion. Along with the harmonised guidance on deployment and use of systems based on advanced technologies, including AI in the lifecycle of medicinal products, these measures are expected to deliver </w:t>
      </w:r>
      <w:r w:rsidR="00D963BF" w:rsidRPr="00F93275">
        <w:rPr>
          <w:color w:val="000000" w:themeColor="text1"/>
        </w:rPr>
        <w:t xml:space="preserve">an 14-month </w:t>
      </w:r>
      <w:r w:rsidR="005E29AF" w:rsidRPr="00F93275">
        <w:rPr>
          <w:color w:val="000000" w:themeColor="text1"/>
        </w:rPr>
        <w:t xml:space="preserve">average </w:t>
      </w:r>
      <w:r w:rsidR="00D963BF" w:rsidRPr="00F93275">
        <w:rPr>
          <w:color w:val="000000" w:themeColor="text1"/>
        </w:rPr>
        <w:t>reduction in development timelines versus fragmented multi-vendor outsourcing, with best-case savings of up to 34 months across Phase I–III</w:t>
      </w:r>
      <w:r w:rsidR="00BA7F50">
        <w:rPr>
          <w:rStyle w:val="FootnoteReference"/>
          <w:color w:val="000000" w:themeColor="text1"/>
        </w:rPr>
        <w:footnoteReference w:id="304"/>
      </w:r>
      <w:r w:rsidR="00D963BF" w:rsidRPr="00F93275">
        <w:rPr>
          <w:color w:val="000000" w:themeColor="text1"/>
        </w:rPr>
        <w:t xml:space="preserve"> </w:t>
      </w:r>
      <w:r w:rsidR="00D963BF" w:rsidRPr="00462417">
        <w:rPr>
          <w:color w:val="000000" w:themeColor="text1"/>
        </w:rPr>
        <w:t>, with potential trial timeline reductions of 18</w:t>
      </w:r>
      <w:r w:rsidR="00405618">
        <w:rPr>
          <w:color w:val="000000" w:themeColor="text1"/>
        </w:rPr>
        <w:t>%</w:t>
      </w:r>
      <w:r w:rsidR="00D963BF" w:rsidRPr="00462417">
        <w:rPr>
          <w:color w:val="000000" w:themeColor="text1"/>
        </w:rPr>
        <w:t xml:space="preserve"> as AI integration matures, collectively positioning the EU to capture a greater share of the rapidly expanding AI-enabled drug discovery market</w:t>
      </w:r>
      <w:r w:rsidR="00696341" w:rsidRPr="00696341">
        <w:rPr>
          <w:color w:val="000000" w:themeColor="text1"/>
        </w:rPr>
        <w:t>.</w:t>
      </w:r>
    </w:p>
    <w:p w14:paraId="17AB6286" w14:textId="6F0B13E7" w:rsidR="004E4A1A" w:rsidRPr="00400FD1" w:rsidRDefault="002D1215" w:rsidP="00462417">
      <w:r>
        <w:t>T</w:t>
      </w:r>
      <w:r w:rsidR="004E4A1A" w:rsidRPr="00683CEA">
        <w:t xml:space="preserve">ogether, these three channels constitute the most comprehensive intervention the EU has undertaken to address the structural disconnect between its scientific output and its capacity to translate that output into clinical and commercial innovation. The Act </w:t>
      </w:r>
      <w:r w:rsidR="004E4A1A" w:rsidRPr="00C664FB">
        <w:t>strengthen</w:t>
      </w:r>
      <w:r>
        <w:t>s</w:t>
      </w:r>
      <w:r w:rsidR="004E4A1A" w:rsidRPr="00C664FB">
        <w:t xml:space="preserve"> the </w:t>
      </w:r>
      <w:r w:rsidR="004E4A1A" w:rsidRPr="00793A48">
        <w:rPr>
          <w:b/>
        </w:rPr>
        <w:t>EU's capacity to innovate</w:t>
      </w:r>
      <w:r w:rsidR="004E4A1A" w:rsidRPr="00C664FB">
        <w:t xml:space="preserve"> in biotechnology </w:t>
      </w:r>
      <w:r w:rsidR="004E4A1A">
        <w:t xml:space="preserve">by </w:t>
      </w:r>
      <w:r w:rsidR="004E4A1A" w:rsidRPr="00683CEA">
        <w:t>simultaneously lower</w:t>
      </w:r>
      <w:r w:rsidR="004E4A1A">
        <w:t>ing</w:t>
      </w:r>
      <w:r w:rsidR="004E4A1A" w:rsidRPr="00683CEA">
        <w:t xml:space="preserve"> the three barriers that currently determine whether a viable scientific discovery acquires a path to market in the EU: regulatory pathway uncertainty (addressed by sandboxes, the regulatory status repository, and the Foresight Panel), capital scarcity at the translation stage (addressed by the Investment Pilot and high-impact project infrastructure), and the absence of shared enabling infrastructure for AI-enabled development (addressed by testing environments and data quality accelerators).</w:t>
      </w:r>
      <w:r w:rsidR="00A931BE">
        <w:t xml:space="preserve"> </w:t>
      </w:r>
      <w:r w:rsidR="00A931BE" w:rsidRPr="00A931BE">
        <w:t>These interventions could also create synergies with other Union initiatives, including potential Important Projects of Common European Interest (IPCEIs</w:t>
      </w:r>
      <w:r w:rsidR="00C92EE3">
        <w:rPr>
          <w:rStyle w:val="FootnoteReference"/>
        </w:rPr>
        <w:footnoteReference w:id="305"/>
      </w:r>
      <w:r w:rsidR="00A931BE" w:rsidRPr="00A931BE">
        <w:t>), where relevant.</w:t>
      </w:r>
    </w:p>
    <w:p w14:paraId="24EF7471" w14:textId="77777777" w:rsidR="004E4A1A" w:rsidRPr="00462417" w:rsidRDefault="004E4A1A" w:rsidP="00462417">
      <w:pPr>
        <w:pStyle w:val="Heading2"/>
      </w:pPr>
      <w:bookmarkStart w:id="276" w:name="_Toc225974589"/>
      <w:bookmarkStart w:id="277" w:name="_Toc225975262"/>
      <w:bookmarkStart w:id="278" w:name="_Toc225975319"/>
      <w:bookmarkStart w:id="279" w:name="_Toc227941855"/>
      <w:r w:rsidRPr="00462417">
        <w:t>Public health and safety</w:t>
      </w:r>
      <w:bookmarkEnd w:id="276"/>
      <w:bookmarkEnd w:id="277"/>
      <w:bookmarkEnd w:id="278"/>
      <w:bookmarkEnd w:id="279"/>
    </w:p>
    <w:p w14:paraId="1152CAA7" w14:textId="59420D91" w:rsidR="004E4A1A" w:rsidRPr="00400FD1" w:rsidRDefault="004E4A1A" w:rsidP="00462417">
      <w:r w:rsidRPr="00400FD1">
        <w:t xml:space="preserve">The regulatory and economic reforms described in the preceding sections are not ends in themselves; their ultimate justification lies in their capacity to deliver measurable public health benefits. The Biotech Act’s public health impact </w:t>
      </w:r>
      <w:r w:rsidR="004C1A1A">
        <w:t>comes</w:t>
      </w:r>
      <w:r w:rsidR="004C1A1A" w:rsidRPr="00400FD1">
        <w:t xml:space="preserve"> </w:t>
      </w:r>
      <w:r w:rsidRPr="00400FD1">
        <w:t>through three reinforcing channels: accelerating patient access to biotechnology-derived treatments, strengthening supply resilience for essential medicines, and establishing a preventive framework against biosecurity risks.</w:t>
      </w:r>
    </w:p>
    <w:p w14:paraId="3035139A" w14:textId="2736EEEF" w:rsidR="004E4A1A" w:rsidRPr="00400FD1" w:rsidRDefault="004E4A1A" w:rsidP="00462417">
      <w:r w:rsidRPr="00400FD1">
        <w:t xml:space="preserve">The most quantifiable </w:t>
      </w:r>
      <w:r w:rsidRPr="00400FD1">
        <w:rPr>
          <w:b/>
        </w:rPr>
        <w:t>patient-access gains</w:t>
      </w:r>
      <w:r w:rsidRPr="00400FD1">
        <w:t xml:space="preserve"> </w:t>
      </w:r>
      <w:r w:rsidR="004A5A4E">
        <w:t>come from</w:t>
      </w:r>
      <w:r w:rsidRPr="00400FD1">
        <w:t xml:space="preserve"> biosimilars and organ transplantation. Accelerating and widening biosimilar competition is projected to increase annual healthcare system savings from approximately EUR 13 billion in 2024 to EUR 22-35 billion per year by 2035-2038 (cumulative EUR 300-450 billion), while preserving an unblemished safety record; no biosimilar has been withdrawn on safety grounds in 19 years. In parallel, reforms to organ processing standards are estimated to yield approximately 1,435 additional transplants per year by 2035, set against a waiting list exceeding 52,000 patients and approximately 3,366 waiting-list deaths annually, generating cumulative dialysis cost avoidance of approximately EUR 158 million. Beyond these gains, the organ processing reforms are expected to prevent 570-945 organ discards per year and avert 57-72 waiting-list deaths annually by 2035 (248-311 cumulatively over 2028-2035, valued at approximately EUR 285-537 million using the Commission's standard value of a statistical life year). Thus, the total monetised public health benefit of organ processing reforms over 2028-2035 is approximately EUR 443-695 million.</w:t>
      </w:r>
    </w:p>
    <w:p w14:paraId="7F3DD7DA" w14:textId="5D29E1E8" w:rsidR="004E4A1A" w:rsidRPr="00400FD1" w:rsidRDefault="004E4A1A" w:rsidP="00462417">
      <w:r w:rsidRPr="00400FD1">
        <w:t xml:space="preserve">The reforms to </w:t>
      </w:r>
      <w:r w:rsidRPr="005E632B">
        <w:rPr>
          <w:b/>
        </w:rPr>
        <w:t>clinical trial authorisation and the ATMP framework</w:t>
      </w:r>
      <w:r w:rsidRPr="00400FD1">
        <w:t xml:space="preserve"> compound these effects</w:t>
      </w:r>
      <w:r w:rsidR="00AC78AA">
        <w:t>.</w:t>
      </w:r>
      <w:r w:rsidR="00F80E20" w:rsidRPr="00442AF1">
        <w:rPr>
          <w:rFonts w:eastAsia="Times New Roman"/>
          <w:lang w:val="en-US" w:eastAsia="de-DE"/>
        </w:rPr>
        <w:t xml:space="preserve"> </w:t>
      </w:r>
      <w:r w:rsidR="00F80E20" w:rsidRPr="00442AF1">
        <w:rPr>
          <w:lang w:val="en-US"/>
        </w:rPr>
        <w:t>Given that around 5</w:t>
      </w:r>
      <w:r w:rsidR="00405618">
        <w:rPr>
          <w:lang w:val="en-US"/>
        </w:rPr>
        <w:t>%</w:t>
      </w:r>
      <w:r w:rsidR="00F80E20" w:rsidRPr="00442AF1">
        <w:rPr>
          <w:lang w:val="en-US"/>
        </w:rPr>
        <w:t xml:space="preserve"> to 10</w:t>
      </w:r>
      <w:r w:rsidR="00405618">
        <w:rPr>
          <w:lang w:val="en-US"/>
        </w:rPr>
        <w:t>%</w:t>
      </w:r>
      <w:r w:rsidR="00F80E20" w:rsidRPr="00442AF1">
        <w:rPr>
          <w:lang w:val="en-US"/>
        </w:rPr>
        <w:t xml:space="preserve"> of clinical trials result in a medicinal product reaching the market (an average of 8%), the proposed </w:t>
      </w:r>
      <w:r w:rsidR="00942357" w:rsidRPr="00442AF1">
        <w:rPr>
          <w:lang w:val="en-US"/>
        </w:rPr>
        <w:t>amendments to</w:t>
      </w:r>
      <w:r w:rsidR="00442AF1">
        <w:rPr>
          <w:lang w:val="en-US"/>
        </w:rPr>
        <w:t xml:space="preserve"> t</w:t>
      </w:r>
      <w:r w:rsidR="00942357" w:rsidRPr="00442AF1">
        <w:rPr>
          <w:lang w:val="en-US"/>
        </w:rPr>
        <w:t xml:space="preserve">he </w:t>
      </w:r>
      <w:r w:rsidR="00F80E20" w:rsidRPr="00442AF1">
        <w:rPr>
          <w:lang w:val="en-US"/>
        </w:rPr>
        <w:t>Cl</w:t>
      </w:r>
      <w:r w:rsidR="00942357" w:rsidRPr="00442AF1">
        <w:rPr>
          <w:lang w:val="en-US"/>
        </w:rPr>
        <w:t>inical Trial Regulation</w:t>
      </w:r>
      <w:r w:rsidR="00F80E20" w:rsidRPr="00442AF1">
        <w:rPr>
          <w:lang w:val="en-US"/>
        </w:rPr>
        <w:t xml:space="preserve"> could enable roughly 100 of the 2,500–3,000 products tested annually to launch up to six months earlier</w:t>
      </w:r>
      <w:r w:rsidR="00F80E20">
        <w:t>,</w:t>
      </w:r>
      <w:r w:rsidRPr="00400FD1">
        <w:t xml:space="preserve"> while ATMP reforms accelerate access to potentially curative therapies in high-unmet-need areas where the EU already lags </w:t>
      </w:r>
      <w:r w:rsidR="00A65176">
        <w:t xml:space="preserve">behind </w:t>
      </w:r>
      <w:r w:rsidRPr="00400FD1">
        <w:t>competing jurisdictions. The biosimilars framework further strengthens both access and affordability: by reducing the cost threshold for biosimilar development, the Act addresses a ‘biosimilar void’; some 79</w:t>
      </w:r>
      <w:r w:rsidR="00405618">
        <w:t>%</w:t>
      </w:r>
      <w:r w:rsidRPr="00400FD1">
        <w:t xml:space="preserve"> of the approximately 100 biologics losing exclusivity by 2032 have no biosimilars in development.</w:t>
      </w:r>
    </w:p>
    <w:p w14:paraId="3BB6F948" w14:textId="5D933D10" w:rsidR="004E4A1A" w:rsidRDefault="004E4A1A" w:rsidP="00462417">
      <w:pPr>
        <w:rPr>
          <w:lang w:val="en-US"/>
        </w:rPr>
      </w:pPr>
      <w:r w:rsidRPr="00400FD1">
        <w:t xml:space="preserve">On </w:t>
      </w:r>
      <w:r w:rsidRPr="00400FD1">
        <w:rPr>
          <w:b/>
        </w:rPr>
        <w:t>supply resilience</w:t>
      </w:r>
      <w:r w:rsidRPr="00400FD1">
        <w:t>, the strategic projects framework is expected to deliver 18-60 capacity-relevant EU-based biomanufacturing deployments by 2038 (depending on uptake), directly countering the structural vulnerability created by growing import dependence, currently increasing at 12</w:t>
      </w:r>
      <w:r w:rsidR="00405618">
        <w:t>%</w:t>
      </w:r>
      <w:r w:rsidRPr="00400FD1">
        <w:t xml:space="preserve"> annually for biosimilars alone.</w:t>
      </w:r>
      <w:r w:rsidRPr="009154C4">
        <w:rPr>
          <w:lang w:val="en-US"/>
        </w:rPr>
        <w:t xml:space="preserve"> </w:t>
      </w:r>
    </w:p>
    <w:p w14:paraId="758623B6" w14:textId="749A69B3" w:rsidR="004E4A1A" w:rsidRDefault="004E4A1A" w:rsidP="00462417">
      <w:pPr>
        <w:rPr>
          <w:lang w:val="en-US"/>
        </w:rPr>
      </w:pPr>
      <w:r>
        <w:rPr>
          <w:lang w:val="en-US"/>
        </w:rPr>
        <w:t>Supporting</w:t>
      </w:r>
      <w:r w:rsidRPr="00EF0DEA">
        <w:rPr>
          <w:lang w:val="en-US"/>
        </w:rPr>
        <w:t xml:space="preserve"> these </w:t>
      </w:r>
      <w:r>
        <w:rPr>
          <w:lang w:val="en-US"/>
        </w:rPr>
        <w:t>four impact areas</w:t>
      </w:r>
      <w:r w:rsidRPr="00EF0DEA">
        <w:rPr>
          <w:lang w:val="en-US"/>
        </w:rPr>
        <w:t xml:space="preserve"> is a set of </w:t>
      </w:r>
      <w:r w:rsidRPr="00EF0DEA">
        <w:rPr>
          <w:b/>
          <w:lang w:val="en-US"/>
        </w:rPr>
        <w:t>ecosystem-level enabling measures</w:t>
      </w:r>
      <w:r w:rsidRPr="00EF0DEA">
        <w:rPr>
          <w:lang w:val="en-US"/>
        </w:rPr>
        <w:t xml:space="preserve">, comprising the EU Health Biotechnology Support Network, networks of health biotechnology clusters, the strategic mapping of the </w:t>
      </w:r>
      <w:r w:rsidR="00073476">
        <w:rPr>
          <w:lang w:val="en-US"/>
        </w:rPr>
        <w:t>EU’s</w:t>
      </w:r>
      <w:r w:rsidRPr="00EF0DEA">
        <w:rPr>
          <w:lang w:val="en-US"/>
        </w:rPr>
        <w:t xml:space="preserve"> biotechnology ecosystem, and the European Health Biotechnology Steering Group, which provide the coordination, advisory, and connectivity infrastructure needed to translate individual regulatory reforms into system-level outcomes. The Support Network provides a single, locally accessible entry point for health biotechnology developers (particularly SMEs and start-ups) to navigate regulatory pathways, identify funding instruments, and connect with investors, while cluster networks facilitate cross-border collaboration, infrastructure access, and knowledge transfer. Together, these mechanisms </w:t>
      </w:r>
      <w:r w:rsidRPr="00EF0DEA">
        <w:rPr>
          <w:b/>
          <w:lang w:val="en-US"/>
        </w:rPr>
        <w:t>reduce the transaction costs</w:t>
      </w:r>
      <w:r w:rsidRPr="00EF0DEA">
        <w:rPr>
          <w:lang w:val="en-US"/>
        </w:rPr>
        <w:t xml:space="preserve"> that would otherwise limit the uptake and cumulative impact of the substantive reforms.</w:t>
      </w:r>
    </w:p>
    <w:p w14:paraId="2FEF75BE" w14:textId="67254814" w:rsidR="005805E8" w:rsidRPr="00400FD1" w:rsidRDefault="005805E8" w:rsidP="005805E8">
      <w:r w:rsidRPr="00400FD1">
        <w:t xml:space="preserve">Finally, the </w:t>
      </w:r>
      <w:r w:rsidRPr="00400FD1">
        <w:rPr>
          <w:b/>
        </w:rPr>
        <w:t>biosecurity framework</w:t>
      </w:r>
      <w:r w:rsidRPr="00400FD1">
        <w:t xml:space="preserve"> introduces </w:t>
      </w:r>
      <w:r w:rsidR="00B16FB7">
        <w:t xml:space="preserve">a </w:t>
      </w:r>
      <w:r w:rsidRPr="00400FD1">
        <w:t xml:space="preserve">screening </w:t>
      </w:r>
      <w:r w:rsidR="00B16FB7">
        <w:t xml:space="preserve">framework </w:t>
      </w:r>
      <w:r w:rsidRPr="00400FD1">
        <w:t>for synthe</w:t>
      </w:r>
      <w:r w:rsidR="00B16FB7">
        <w:t>sised</w:t>
      </w:r>
      <w:r w:rsidRPr="00400FD1">
        <w:t xml:space="preserve"> nucleic acids, addressing the specific risk that arises as biotechnology </w:t>
      </w:r>
      <w:r w:rsidR="001269A7">
        <w:t xml:space="preserve">products </w:t>
      </w:r>
      <w:r w:rsidRPr="00400FD1">
        <w:t>become more accessible and AI lowers barriers to misuse.</w:t>
      </w:r>
      <w:r>
        <w:t xml:space="preserve"> </w:t>
      </w:r>
    </w:p>
    <w:p w14:paraId="3614E4D2" w14:textId="77777777" w:rsidR="004E4A1A" w:rsidRPr="00462417" w:rsidRDefault="004E4A1A" w:rsidP="00462417">
      <w:pPr>
        <w:pStyle w:val="Heading2"/>
      </w:pPr>
      <w:bookmarkStart w:id="280" w:name="_Toc225974590"/>
      <w:bookmarkStart w:id="281" w:name="_Toc225975263"/>
      <w:bookmarkStart w:id="282" w:name="_Toc225975320"/>
      <w:bookmarkStart w:id="283" w:name="_Toc227941856"/>
      <w:r w:rsidRPr="00462417">
        <w:t>Environmental impacts</w:t>
      </w:r>
      <w:bookmarkEnd w:id="280"/>
      <w:bookmarkEnd w:id="281"/>
      <w:bookmarkEnd w:id="282"/>
      <w:bookmarkEnd w:id="283"/>
    </w:p>
    <w:p w14:paraId="5A9B0EC0" w14:textId="54FC388E" w:rsidR="004E4A1A" w:rsidRDefault="004E4A1A" w:rsidP="00462417">
      <w:r w:rsidRPr="00B5738E">
        <w:t xml:space="preserve">Beyond its primary economic and public health objectives, the Act is expected to generate material environmental and sustainability co-benefits across several interventions. The GMM regulatory reform enables the deployment of microbial applications in biofertilisation, biocontrol, bioremediation, and bioleaching (sectors with a combined global market exceeding </w:t>
      </w:r>
      <w:r w:rsidR="009432B1">
        <w:t>EUR</w:t>
      </w:r>
      <w:r w:rsidR="009432B1" w:rsidRPr="00B5738E">
        <w:t xml:space="preserve"> </w:t>
      </w:r>
      <w:r w:rsidR="009432B1">
        <w:t>29</w:t>
      </w:r>
      <w:r w:rsidRPr="00B5738E">
        <w:t xml:space="preserve"> billion and projected growth rates of 9-14</w:t>
      </w:r>
      <w:r w:rsidR="00405618">
        <w:t>%</w:t>
      </w:r>
      <w:r w:rsidRPr="00B5738E">
        <w:t xml:space="preserve"> annually), which are currently entirely blocked in the EU, where no GMM has been authorised for deliberate release under the existing framework. The veterinary medicines reform facilitates uptake of next-generation biotech vaccines in food-producing species, reducing reliance on antimicrobials in support of the EU's target of halving antimicrobial sales by 2030; empirical evidence associates a 10</w:t>
      </w:r>
      <w:r w:rsidR="00405618">
        <w:t>%</w:t>
      </w:r>
      <w:r w:rsidRPr="00B5738E">
        <w:t xml:space="preserve"> reduction in livestock disease levels with an 800 million tonne decrease in greenhouse gas emissions, equivalent to the annual emissions of 117 million Europeans. The biosecurity screening framework provides a direct environmental safeguard: mandatory nucleic acid screening, modelled to prevent 35% of deliberate attacks and 86</w:t>
      </w:r>
      <w:r w:rsidR="00405618">
        <w:t>%</w:t>
      </w:r>
      <w:r w:rsidRPr="00B5738E">
        <w:t xml:space="preserve"> of accidental releases, yielding expected benefits of EUR 2.9 billion in 2027, rising to EUR 5.5 billion by 2036,</w:t>
      </w:r>
      <w:r w:rsidRPr="00B5738E">
        <w:rPr>
          <w:b/>
        </w:rPr>
        <w:t xml:space="preserve"> </w:t>
      </w:r>
      <w:r w:rsidRPr="00B5738E">
        <w:t>set against implementation costs that are orders of magnitude smaller. In addition, the biothreat radar and biodefence provisions address the extreme tail of biological risk where market mechanisms cannot ensure preparedness. Meanwhile, the food chain sandbox framework creates structured pathways for pre-market testing of sustainable food production technologies</w:t>
      </w:r>
      <w:r w:rsidR="00D53B75">
        <w:t xml:space="preserve">, such as </w:t>
      </w:r>
      <w:r w:rsidR="007B3437">
        <w:t>GM food, food enzymes</w:t>
      </w:r>
      <w:r w:rsidR="00CA7260">
        <w:t>, as well as</w:t>
      </w:r>
      <w:r w:rsidR="00296E63">
        <w:t xml:space="preserve"> methodologies thereof, such as new approach methodologies for risk assessment</w:t>
      </w:r>
      <w:r w:rsidRPr="00B5738E">
        <w:t>. These provisions collectively position the Act as a contributor to the EU's broader sustainability commitments under the European Green Deal and the 2030 Agenda for Sustainable Development.</w:t>
      </w:r>
    </w:p>
    <w:p w14:paraId="0FC48294" w14:textId="150251AC" w:rsidR="004E4A1A" w:rsidRPr="0056528C" w:rsidRDefault="004E4A1A" w:rsidP="488421B7">
      <w:pPr>
        <w:rPr>
          <w:b/>
          <w:bCs/>
        </w:rPr>
      </w:pPr>
      <w:r w:rsidRPr="488421B7">
        <w:rPr>
          <w:b/>
          <w:bCs/>
        </w:rPr>
        <w:t>Taken together, these effects position the Biotech Act as a structural enabler of a more competitive, innovative and resilient EU biotechnology ecosystem, while contributing to societal objectives and embedding safeguards against emerging biosecurity risks, with system-level benefits materialising over time</w:t>
      </w:r>
      <w:r w:rsidR="7CF664A3" w:rsidRPr="488421B7">
        <w:rPr>
          <w:b/>
          <w:bCs/>
        </w:rPr>
        <w:t>.</w:t>
      </w:r>
      <w:r w:rsidRPr="488421B7">
        <w:rPr>
          <w:b/>
          <w:bCs/>
        </w:rPr>
        <w:t xml:space="preserve"> </w:t>
      </w:r>
      <w:r w:rsidR="53867FE2" w:rsidRPr="488421B7">
        <w:rPr>
          <w:b/>
          <w:bCs/>
        </w:rPr>
        <w:t>W</w:t>
      </w:r>
      <w:r w:rsidRPr="488421B7">
        <w:rPr>
          <w:b/>
          <w:bCs/>
        </w:rPr>
        <w:t>hile the magnitude of these benefits will depend on uptake, implementation and broader market conditions, the assessment indicates that the cumulative benefits of the package are expected to significantly outweigh the associated costs.</w:t>
      </w:r>
    </w:p>
    <w:p w14:paraId="49C475CF" w14:textId="274200AF" w:rsidR="00463311" w:rsidRDefault="00463311" w:rsidP="00442AF1">
      <w:pPr>
        <w:pStyle w:val="Heading2"/>
      </w:pPr>
      <w:bookmarkStart w:id="284" w:name="_Toc227941857"/>
      <w:r>
        <w:t>Digital by default principle</w:t>
      </w:r>
      <w:bookmarkEnd w:id="284"/>
    </w:p>
    <w:p w14:paraId="549C4385" w14:textId="4036DC7B" w:rsidR="00463311" w:rsidRDefault="006266BD" w:rsidP="00462417">
      <w:r w:rsidRPr="006266BD">
        <w:t xml:space="preserve">The Biotech Act supports the digital transformation of the EU biotechnology ecosystem by embedding a digital-by-default approach across regulatory, scientific and administrative processes. </w:t>
      </w:r>
      <w:r w:rsidR="008F23DB">
        <w:t>Through</w:t>
      </w:r>
      <w:r w:rsidRPr="006266BD">
        <w:t xml:space="preserve"> measures</w:t>
      </w:r>
      <w:r w:rsidR="00DD1E96">
        <w:t xml:space="preserve"> dedicated to AI and data, but also other measures embedded across the act</w:t>
      </w:r>
      <w:r w:rsidRPr="006266BD">
        <w:t>, digitalisation operates as a horizontal enabler that amplifies the effectiveness of the regulatory simplification, competitiveness and innovation interventions described in the preceding sections.</w:t>
      </w:r>
    </w:p>
    <w:p w14:paraId="5F524ECD" w14:textId="0A81877D" w:rsidR="00AF086B" w:rsidRPr="00AF086B" w:rsidRDefault="00AF086B" w:rsidP="00AF086B">
      <w:pPr>
        <w:rPr>
          <w:lang w:val="en-IE"/>
        </w:rPr>
      </w:pPr>
      <w:r w:rsidRPr="00AF086B">
        <w:rPr>
          <w:lang w:val="en-IE"/>
        </w:rPr>
        <w:t xml:space="preserve">Measures under the </w:t>
      </w:r>
      <w:r w:rsidR="002C7B7D">
        <w:rPr>
          <w:lang w:val="en-IE"/>
        </w:rPr>
        <w:t xml:space="preserve">Biotech </w:t>
      </w:r>
      <w:r w:rsidRPr="00AF086B">
        <w:rPr>
          <w:lang w:val="en-IE"/>
        </w:rPr>
        <w:t>Act promote the use of electronic submissions and coordinated approaches to data governance. This contributes to reducing administrative costs for businesses and streamlining interactions with public authorities.</w:t>
      </w:r>
    </w:p>
    <w:p w14:paraId="73A5FCB0" w14:textId="6115FED0" w:rsidR="00AF086B" w:rsidRPr="00AF086B" w:rsidRDefault="00894642" w:rsidP="00AF086B">
      <w:pPr>
        <w:rPr>
          <w:lang w:val="en-IE"/>
        </w:rPr>
      </w:pPr>
      <w:r>
        <w:rPr>
          <w:lang w:val="en-IE"/>
        </w:rPr>
        <w:t>T</w:t>
      </w:r>
      <w:r w:rsidR="00AF086B" w:rsidRPr="00AF086B">
        <w:rPr>
          <w:lang w:val="en-IE"/>
        </w:rPr>
        <w:t>he AI and data framework (Intervention n°15)</w:t>
      </w:r>
      <w:r>
        <w:rPr>
          <w:lang w:val="en-IE"/>
        </w:rPr>
        <w:t xml:space="preserve"> </w:t>
      </w:r>
      <w:r w:rsidR="00AF086B" w:rsidRPr="00AF086B">
        <w:rPr>
          <w:lang w:val="en-IE"/>
        </w:rPr>
        <w:t xml:space="preserve">establishes a coherent structure for the development, validation and regulatory use of advanced technologies, including </w:t>
      </w:r>
      <w:r>
        <w:rPr>
          <w:lang w:val="en-IE"/>
        </w:rPr>
        <w:t>AI</w:t>
      </w:r>
      <w:r w:rsidR="00AF086B" w:rsidRPr="00AF086B">
        <w:rPr>
          <w:lang w:val="en-IE"/>
        </w:rPr>
        <w:t xml:space="preserve">, across the lifecycle of medicinal products. The provision of non-binding guidance at Union level reduces uncertainty around data requirements and validation standards, enabling developers to design evidence generation strategies more efficiently and with greater regulatory certainty. In parallel, trusted testing environments and biotechnology data quality accelerators </w:t>
      </w:r>
      <w:r w:rsidR="00247C60">
        <w:rPr>
          <w:lang w:val="en-IE"/>
        </w:rPr>
        <w:t xml:space="preserve">are bound to </w:t>
      </w:r>
      <w:r w:rsidR="00AF086B" w:rsidRPr="00AF086B">
        <w:rPr>
          <w:lang w:val="en-IE"/>
        </w:rPr>
        <w:t>create shared infrastructures that allow companies, particularly SMEs and start-ups, to access high-quality datasets and computational resources that would otherwise remain out of reach.</w:t>
      </w:r>
    </w:p>
    <w:p w14:paraId="076E7CF1" w14:textId="1A2C139E" w:rsidR="00AF086B" w:rsidRDefault="00F90E07" w:rsidP="00462417">
      <w:r w:rsidRPr="00F90E07">
        <w:t>Taken together, these</w:t>
      </w:r>
      <w:r>
        <w:t xml:space="preserve"> contribute to</w:t>
      </w:r>
      <w:r w:rsidRPr="00F90E07">
        <w:t xml:space="preserve"> strengthening innovation and research capacity and shortening timelines</w:t>
      </w:r>
      <w:r w:rsidR="00A479E5">
        <w:t xml:space="preserve"> for innovations to reach the market, re</w:t>
      </w:r>
      <w:r w:rsidRPr="00F90E07">
        <w:t>inforc</w:t>
      </w:r>
      <w:r w:rsidR="00A479E5">
        <w:t>ing</w:t>
      </w:r>
      <w:r w:rsidRPr="00F90E07">
        <w:t xml:space="preserve"> the competitiveness and investment effects described in Section 6.2 by improving the risk-return profile of data-driven biotechnology projects and increasing the attractiveness of the Union as a location for AI-enabled development.</w:t>
      </w:r>
    </w:p>
    <w:p w14:paraId="235F40AF" w14:textId="0A58E6F3" w:rsidR="0067644F" w:rsidRPr="0067644F" w:rsidRDefault="0067644F" w:rsidP="0067644F">
      <w:pPr>
        <w:rPr>
          <w:lang w:val="en-IE"/>
        </w:rPr>
      </w:pPr>
      <w:r w:rsidRPr="0067644F">
        <w:rPr>
          <w:lang w:val="en-IE"/>
        </w:rPr>
        <w:t xml:space="preserve">For public authorities, the transition to digital-by-default entails upfront adjustment costs related to the development of digital infrastructures, data governance frameworks and technical expertise. These costs are expected to be </w:t>
      </w:r>
      <w:r>
        <w:rPr>
          <w:lang w:val="en-IE"/>
        </w:rPr>
        <w:t>largely</w:t>
      </w:r>
      <w:r w:rsidRPr="0067644F">
        <w:rPr>
          <w:lang w:val="en-IE"/>
        </w:rPr>
        <w:t xml:space="preserve"> offset over time as procedures standardise, digital handling matures and coordination across authorities improves. As systems scale, the unit cost of regulatory processing is expected to decline, contributing to greater administrative efficiency and more consistent decision-making.</w:t>
      </w:r>
    </w:p>
    <w:p w14:paraId="18671204" w14:textId="1A0C7DF4" w:rsidR="0067644F" w:rsidRPr="0067644F" w:rsidRDefault="0067644F" w:rsidP="0067644F">
      <w:pPr>
        <w:rPr>
          <w:lang w:val="en-IE"/>
        </w:rPr>
      </w:pPr>
      <w:r w:rsidRPr="0067644F">
        <w:rPr>
          <w:lang w:val="en-IE"/>
        </w:rPr>
        <w:t xml:space="preserve">Overall, </w:t>
      </w:r>
      <w:r w:rsidR="0049080D">
        <w:rPr>
          <w:lang w:val="en-IE"/>
        </w:rPr>
        <w:t>through measures touching upon</w:t>
      </w:r>
      <w:r w:rsidR="0049080D" w:rsidRPr="0067644F">
        <w:rPr>
          <w:lang w:val="en-IE"/>
        </w:rPr>
        <w:t xml:space="preserve"> </w:t>
      </w:r>
      <w:r w:rsidR="0049080D">
        <w:rPr>
          <w:lang w:val="en-IE"/>
        </w:rPr>
        <w:t xml:space="preserve">both </w:t>
      </w:r>
      <w:r w:rsidR="0049080D" w:rsidRPr="0067644F">
        <w:rPr>
          <w:lang w:val="en-IE"/>
        </w:rPr>
        <w:t xml:space="preserve">regulatory and innovation </w:t>
      </w:r>
      <w:r w:rsidR="0049080D">
        <w:rPr>
          <w:lang w:val="en-IE"/>
        </w:rPr>
        <w:t xml:space="preserve">aspects, </w:t>
      </w:r>
      <w:r w:rsidRPr="0067644F">
        <w:rPr>
          <w:lang w:val="en-IE"/>
        </w:rPr>
        <w:t xml:space="preserve">the digital-by-default approach </w:t>
      </w:r>
      <w:r w:rsidR="009D36E4">
        <w:rPr>
          <w:lang w:val="en-IE"/>
        </w:rPr>
        <w:t xml:space="preserve">therefore </w:t>
      </w:r>
      <w:r w:rsidRPr="0067644F">
        <w:rPr>
          <w:lang w:val="en-IE"/>
        </w:rPr>
        <w:t>acts as a systemic multiplier across the Biotech Act</w:t>
      </w:r>
      <w:r w:rsidR="0049080D">
        <w:rPr>
          <w:lang w:val="en-IE"/>
        </w:rPr>
        <w:t>.</w:t>
      </w:r>
      <w:r w:rsidR="006B404F">
        <w:rPr>
          <w:lang w:val="en-IE"/>
        </w:rPr>
        <w:t xml:space="preserve"> </w:t>
      </w:r>
    </w:p>
    <w:p w14:paraId="1B92D87B" w14:textId="30C9112B" w:rsidR="00C34128" w:rsidRDefault="00C34128" w:rsidP="000316AB">
      <w:pPr>
        <w:pStyle w:val="Heading1"/>
        <w:rPr>
          <w:rFonts w:eastAsiaTheme="minorHAnsi"/>
        </w:rPr>
      </w:pPr>
      <w:bookmarkStart w:id="285" w:name="_Toc227941505"/>
      <w:bookmarkStart w:id="286" w:name="_Toc227941518"/>
      <w:bookmarkStart w:id="287" w:name="_Toc227941858"/>
      <w:bookmarkStart w:id="288" w:name="_Toc227941519"/>
      <w:bookmarkStart w:id="289" w:name="_Toc227941859"/>
      <w:bookmarkEnd w:id="285"/>
      <w:bookmarkEnd w:id="286"/>
      <w:bookmarkEnd w:id="287"/>
      <w:r>
        <w:rPr>
          <w:rFonts w:eastAsiaTheme="minorHAnsi"/>
        </w:rPr>
        <w:t>Monitoring and evaluation</w:t>
      </w:r>
      <w:bookmarkEnd w:id="288"/>
      <w:bookmarkEnd w:id="289"/>
    </w:p>
    <w:p w14:paraId="5D864EB0" w14:textId="4CF47780" w:rsidR="0060041B" w:rsidRDefault="0060041B" w:rsidP="0060041B">
      <w:pPr>
        <w:pStyle w:val="Text1"/>
        <w:ind w:left="0"/>
      </w:pPr>
      <w:r w:rsidRPr="00DD3358">
        <w:rPr>
          <w:b/>
          <w:bCs/>
        </w:rPr>
        <w:t>Five years</w:t>
      </w:r>
      <w:r>
        <w:t xml:space="preserve"> after the Regulation</w:t>
      </w:r>
      <w:r w:rsidR="005F6F93">
        <w:t xml:space="preserve"> proposal</w:t>
      </w:r>
      <w:r>
        <w:t>’s entry into application, and every five years thereafter, the Commission will evaluate its implementation, effectiveness and impact.</w:t>
      </w:r>
      <w:r w:rsidR="00135F8A">
        <w:t xml:space="preserve"> </w:t>
      </w:r>
      <w:r w:rsidR="00D45114">
        <w:t>As regards the proposed Directive, it will also be evaluated in accordance with Better Regulation policy.</w:t>
      </w:r>
    </w:p>
    <w:p w14:paraId="0485A211" w14:textId="019FDBA7" w:rsidR="0060041B" w:rsidRDefault="0060041B" w:rsidP="0060041B">
      <w:pPr>
        <w:pStyle w:val="Text1"/>
        <w:ind w:left="0"/>
      </w:pPr>
      <w:r>
        <w:t xml:space="preserve">Progress towards the objectives of the </w:t>
      </w:r>
      <w:r w:rsidR="005A3241">
        <w:t>proposed</w:t>
      </w:r>
      <w:r>
        <w:t xml:space="preserve"> </w:t>
      </w:r>
      <w:r w:rsidR="005F6F93">
        <w:t xml:space="preserve">Regulation </w:t>
      </w:r>
      <w:r w:rsidR="00070263">
        <w:t xml:space="preserve">would </w:t>
      </w:r>
      <w:r>
        <w:t xml:space="preserve">be monitored using a set of quantitative and qualitative indicators. This assessment will draw on the </w:t>
      </w:r>
      <w:r w:rsidRPr="00DD3358">
        <w:rPr>
          <w:b/>
          <w:bCs/>
        </w:rPr>
        <w:t xml:space="preserve">strategic mapping of the </w:t>
      </w:r>
      <w:r w:rsidR="00073476">
        <w:rPr>
          <w:b/>
          <w:bCs/>
        </w:rPr>
        <w:t>EU’s</w:t>
      </w:r>
      <w:r w:rsidRPr="00DD3358">
        <w:rPr>
          <w:b/>
          <w:bCs/>
        </w:rPr>
        <w:t xml:space="preserve"> biotechnology ecosystem</w:t>
      </w:r>
      <w:r w:rsidR="00994C6A">
        <w:t xml:space="preserve"> that will be</w:t>
      </w:r>
      <w:r>
        <w:t xml:space="preserve"> established </w:t>
      </w:r>
      <w:r w:rsidR="00994C6A">
        <w:t xml:space="preserve">and periodically updated </w:t>
      </w:r>
      <w:r>
        <w:t>by the Commission.</w:t>
      </w:r>
      <w:r w:rsidRPr="00374DC5">
        <w:t xml:space="preserve"> </w:t>
      </w:r>
      <w:r>
        <w:t>It will also be based on continuous data</w:t>
      </w:r>
      <w:r w:rsidR="00994C6A">
        <w:t xml:space="preserve"> and other </w:t>
      </w:r>
      <w:r>
        <w:t xml:space="preserve">information available through the </w:t>
      </w:r>
      <w:r w:rsidR="000F372D">
        <w:t>implementation of</w:t>
      </w:r>
      <w:r>
        <w:t xml:space="preserve"> existing legislation and initiatives in the Commission and the European Medicines Agency. </w:t>
      </w:r>
    </w:p>
    <w:p w14:paraId="30DE73AD" w14:textId="54C931CF" w:rsidR="00C34128" w:rsidRPr="00DD0CE5" w:rsidRDefault="0060041B" w:rsidP="007574FC">
      <w:pPr>
        <w:pStyle w:val="Text2"/>
        <w:ind w:left="0"/>
      </w:pPr>
      <w:r>
        <w:t>Such monitoring shall be based on key performance indicators:</w:t>
      </w:r>
    </w:p>
    <w:tbl>
      <w:tblPr>
        <w:tblStyle w:val="TableGrid"/>
        <w:tblW w:w="0" w:type="auto"/>
        <w:tblInd w:w="-5" w:type="dxa"/>
        <w:tblLook w:val="04A0" w:firstRow="1" w:lastRow="0" w:firstColumn="1" w:lastColumn="0" w:noHBand="0" w:noVBand="1"/>
      </w:tblPr>
      <w:tblGrid>
        <w:gridCol w:w="5812"/>
        <w:gridCol w:w="2801"/>
      </w:tblGrid>
      <w:tr w:rsidR="004F27C4" w:rsidRPr="00B35AB1" w14:paraId="0DAFC173" w14:textId="77777777" w:rsidTr="003A6775">
        <w:trPr>
          <w:trHeight w:val="283"/>
        </w:trPr>
        <w:tc>
          <w:tcPr>
            <w:tcW w:w="5812" w:type="dxa"/>
          </w:tcPr>
          <w:p w14:paraId="282C735C" w14:textId="13B78B1E" w:rsidR="004F27C4" w:rsidRPr="0048203D" w:rsidRDefault="004F27C4" w:rsidP="003A6775">
            <w:pPr>
              <w:spacing w:after="0" w:line="276" w:lineRule="auto"/>
              <w:jc w:val="left"/>
              <w:rPr>
                <w:b/>
                <w:sz w:val="20"/>
                <w:szCs w:val="20"/>
              </w:rPr>
            </w:pPr>
            <w:r w:rsidRPr="0048203D">
              <w:rPr>
                <w:b/>
                <w:sz w:val="20"/>
                <w:szCs w:val="20"/>
              </w:rPr>
              <w:t>Indicator</w:t>
            </w:r>
          </w:p>
        </w:tc>
        <w:tc>
          <w:tcPr>
            <w:tcW w:w="2801" w:type="dxa"/>
          </w:tcPr>
          <w:p w14:paraId="4C5255BB" w14:textId="5702313F" w:rsidR="004F27C4" w:rsidRPr="0048203D" w:rsidRDefault="004F27C4" w:rsidP="003A6775">
            <w:pPr>
              <w:spacing w:after="0" w:line="276" w:lineRule="auto"/>
              <w:jc w:val="left"/>
              <w:rPr>
                <w:b/>
                <w:sz w:val="20"/>
                <w:szCs w:val="20"/>
              </w:rPr>
            </w:pPr>
            <w:r w:rsidRPr="0048203D">
              <w:rPr>
                <w:b/>
                <w:sz w:val="20"/>
                <w:szCs w:val="20"/>
              </w:rPr>
              <w:t>Source</w:t>
            </w:r>
          </w:p>
        </w:tc>
      </w:tr>
      <w:tr w:rsidR="004F27C4" w:rsidRPr="00B35AB1" w14:paraId="3217814B" w14:textId="77777777" w:rsidTr="003A6775">
        <w:trPr>
          <w:trHeight w:val="283"/>
        </w:trPr>
        <w:tc>
          <w:tcPr>
            <w:tcW w:w="5812" w:type="dxa"/>
          </w:tcPr>
          <w:p w14:paraId="2A9D1C70" w14:textId="4045853E" w:rsidR="004F27C4" w:rsidRPr="0048203D" w:rsidRDefault="08FFF74C" w:rsidP="003A6775">
            <w:pPr>
              <w:spacing w:after="0" w:line="276" w:lineRule="auto"/>
              <w:jc w:val="left"/>
              <w:rPr>
                <w:sz w:val="20"/>
                <w:szCs w:val="20"/>
              </w:rPr>
            </w:pPr>
            <w:r w:rsidRPr="0048203D">
              <w:rPr>
                <w:sz w:val="20"/>
                <w:szCs w:val="20"/>
              </w:rPr>
              <w:t>V</w:t>
            </w:r>
            <w:r w:rsidR="4232D74F" w:rsidRPr="0048203D">
              <w:rPr>
                <w:sz w:val="20"/>
                <w:szCs w:val="20"/>
              </w:rPr>
              <w:t>enture</w:t>
            </w:r>
            <w:r w:rsidR="004F27C4" w:rsidRPr="0048203D">
              <w:rPr>
                <w:sz w:val="20"/>
                <w:szCs w:val="20"/>
              </w:rPr>
              <w:t>-capital investment</w:t>
            </w:r>
            <w:r w:rsidR="00C105BA" w:rsidRPr="0048203D">
              <w:rPr>
                <w:sz w:val="20"/>
                <w:szCs w:val="20"/>
              </w:rPr>
              <w:t xml:space="preserve"> flows</w:t>
            </w:r>
            <w:r w:rsidR="004F27C4" w:rsidRPr="0048203D">
              <w:rPr>
                <w:sz w:val="20"/>
                <w:szCs w:val="20"/>
              </w:rPr>
              <w:t xml:space="preserve"> in biotechnology in the Union</w:t>
            </w:r>
            <w:r w:rsidR="00C105BA" w:rsidRPr="00B35AB1">
              <w:rPr>
                <w:rStyle w:val="FootnoteReference"/>
                <w:sz w:val="20"/>
                <w:szCs w:val="20"/>
              </w:rPr>
              <w:footnoteReference w:id="306"/>
            </w:r>
          </w:p>
        </w:tc>
        <w:tc>
          <w:tcPr>
            <w:tcW w:w="2801" w:type="dxa"/>
          </w:tcPr>
          <w:p w14:paraId="6858CF59" w14:textId="76711C30" w:rsidR="004F27C4" w:rsidRPr="0048203D" w:rsidRDefault="004F27C4" w:rsidP="003A6775">
            <w:pPr>
              <w:spacing w:after="0" w:line="276" w:lineRule="auto"/>
              <w:jc w:val="left"/>
              <w:rPr>
                <w:sz w:val="20"/>
                <w:szCs w:val="20"/>
              </w:rPr>
            </w:pPr>
            <w:r w:rsidRPr="0048203D">
              <w:rPr>
                <w:sz w:val="20"/>
                <w:szCs w:val="20"/>
              </w:rPr>
              <w:t>Invest Europe Annual activity statistics</w:t>
            </w:r>
          </w:p>
        </w:tc>
      </w:tr>
      <w:tr w:rsidR="00AA08D5" w:rsidRPr="00B35AB1" w14:paraId="1148341C" w14:textId="77777777" w:rsidTr="003A6775">
        <w:trPr>
          <w:trHeight w:val="283"/>
        </w:trPr>
        <w:tc>
          <w:tcPr>
            <w:tcW w:w="5812" w:type="dxa"/>
          </w:tcPr>
          <w:p w14:paraId="19B4F177" w14:textId="6E7138F1" w:rsidR="00AA08D5" w:rsidRPr="0048203D" w:rsidRDefault="00AA08D5" w:rsidP="003A6775">
            <w:pPr>
              <w:spacing w:after="0" w:line="276" w:lineRule="auto"/>
              <w:jc w:val="left"/>
              <w:rPr>
                <w:sz w:val="20"/>
                <w:szCs w:val="20"/>
              </w:rPr>
            </w:pPr>
            <w:r w:rsidRPr="0048203D">
              <w:rPr>
                <w:sz w:val="20"/>
                <w:szCs w:val="20"/>
              </w:rPr>
              <w:t>Number of strategic projects and high-impact strategic proj</w:t>
            </w:r>
            <w:r w:rsidR="003A6775" w:rsidRPr="0048203D">
              <w:rPr>
                <w:sz w:val="20"/>
                <w:szCs w:val="20"/>
              </w:rPr>
              <w:t>ects</w:t>
            </w:r>
          </w:p>
        </w:tc>
        <w:tc>
          <w:tcPr>
            <w:tcW w:w="2801" w:type="dxa"/>
          </w:tcPr>
          <w:p w14:paraId="4DA014BB" w14:textId="47CCAA2E" w:rsidR="00AA08D5" w:rsidRPr="0048203D" w:rsidRDefault="003A6775" w:rsidP="003A6775">
            <w:pPr>
              <w:spacing w:after="0" w:line="276" w:lineRule="auto"/>
              <w:jc w:val="left"/>
              <w:rPr>
                <w:sz w:val="20"/>
                <w:szCs w:val="20"/>
              </w:rPr>
            </w:pPr>
            <w:r w:rsidRPr="0048203D">
              <w:rPr>
                <w:sz w:val="20"/>
                <w:szCs w:val="20"/>
              </w:rPr>
              <w:t>Europea</w:t>
            </w:r>
            <w:r w:rsidR="00244103" w:rsidRPr="0048203D">
              <w:rPr>
                <w:sz w:val="20"/>
                <w:szCs w:val="20"/>
              </w:rPr>
              <w:t>n</w:t>
            </w:r>
            <w:r w:rsidRPr="0048203D">
              <w:rPr>
                <w:sz w:val="20"/>
                <w:szCs w:val="20"/>
              </w:rPr>
              <w:t xml:space="preserve"> Commission</w:t>
            </w:r>
          </w:p>
        </w:tc>
      </w:tr>
      <w:tr w:rsidR="00735C77" w:rsidRPr="00B35AB1" w14:paraId="4ACA929C" w14:textId="77777777" w:rsidTr="003A6775">
        <w:trPr>
          <w:trHeight w:val="283"/>
        </w:trPr>
        <w:tc>
          <w:tcPr>
            <w:tcW w:w="5812" w:type="dxa"/>
          </w:tcPr>
          <w:p w14:paraId="29AA2EEB" w14:textId="2DD703A8" w:rsidR="00735C77" w:rsidRPr="0048203D" w:rsidRDefault="00735C77" w:rsidP="003A6775">
            <w:pPr>
              <w:spacing w:after="0" w:line="276" w:lineRule="auto"/>
              <w:jc w:val="left"/>
              <w:rPr>
                <w:sz w:val="20"/>
                <w:szCs w:val="20"/>
              </w:rPr>
            </w:pPr>
            <w:r w:rsidRPr="0048203D">
              <w:rPr>
                <w:sz w:val="20"/>
                <w:szCs w:val="20"/>
              </w:rPr>
              <w:t>Number of products</w:t>
            </w:r>
            <w:r w:rsidR="00264ABA" w:rsidRPr="0048203D">
              <w:rPr>
                <w:sz w:val="20"/>
                <w:szCs w:val="20"/>
              </w:rPr>
              <w:t xml:space="preserve"> granted a supplementary protection certificate</w:t>
            </w:r>
          </w:p>
        </w:tc>
        <w:tc>
          <w:tcPr>
            <w:tcW w:w="2801" w:type="dxa"/>
          </w:tcPr>
          <w:p w14:paraId="00D6C830" w14:textId="664A457F" w:rsidR="00735C77" w:rsidRPr="0048203D" w:rsidRDefault="00331262" w:rsidP="003A6775">
            <w:pPr>
              <w:spacing w:after="0" w:line="276" w:lineRule="auto"/>
              <w:jc w:val="left"/>
              <w:rPr>
                <w:sz w:val="20"/>
                <w:szCs w:val="20"/>
              </w:rPr>
            </w:pPr>
            <w:r w:rsidRPr="0048203D">
              <w:rPr>
                <w:sz w:val="20"/>
                <w:szCs w:val="20"/>
              </w:rPr>
              <w:t>National patent offices</w:t>
            </w:r>
          </w:p>
        </w:tc>
      </w:tr>
      <w:tr w:rsidR="008A5415" w:rsidRPr="00B35AB1" w14:paraId="690F3B02" w14:textId="77777777" w:rsidTr="003A6775">
        <w:trPr>
          <w:trHeight w:val="283"/>
        </w:trPr>
        <w:tc>
          <w:tcPr>
            <w:tcW w:w="5812" w:type="dxa"/>
          </w:tcPr>
          <w:p w14:paraId="51B5C70A" w14:textId="0DD512EC" w:rsidR="008A5415" w:rsidRPr="0048203D" w:rsidRDefault="008A5415" w:rsidP="003A6775">
            <w:pPr>
              <w:spacing w:after="0" w:line="276" w:lineRule="auto"/>
              <w:jc w:val="left"/>
              <w:rPr>
                <w:sz w:val="20"/>
                <w:szCs w:val="20"/>
              </w:rPr>
            </w:pPr>
            <w:r w:rsidRPr="0048203D">
              <w:rPr>
                <w:sz w:val="20"/>
                <w:szCs w:val="20"/>
              </w:rPr>
              <w:t xml:space="preserve">Number of </w:t>
            </w:r>
            <w:r w:rsidR="00DE3AE9" w:rsidRPr="0048203D">
              <w:rPr>
                <w:sz w:val="20"/>
                <w:szCs w:val="20"/>
              </w:rPr>
              <w:t>additional multinational clinical trials authorised in the Union over the 5-year period of the reporting, compared to the average number of such clinical trials authorised per year in the Union as of 2025</w:t>
            </w:r>
            <w:r w:rsidR="00263318" w:rsidRPr="0048203D">
              <w:rPr>
                <w:sz w:val="20"/>
                <w:szCs w:val="20"/>
              </w:rPr>
              <w:t xml:space="preserve"> </w:t>
            </w:r>
          </w:p>
        </w:tc>
        <w:tc>
          <w:tcPr>
            <w:tcW w:w="2801" w:type="dxa"/>
          </w:tcPr>
          <w:p w14:paraId="45A1BE52" w14:textId="6CBA3DAD" w:rsidR="008A5415" w:rsidRPr="0048203D" w:rsidRDefault="5F9BE2BB" w:rsidP="003A6775">
            <w:pPr>
              <w:spacing w:after="0" w:line="276" w:lineRule="auto"/>
              <w:jc w:val="left"/>
              <w:rPr>
                <w:sz w:val="20"/>
                <w:szCs w:val="20"/>
              </w:rPr>
            </w:pPr>
            <w:r w:rsidRPr="0048203D">
              <w:rPr>
                <w:sz w:val="20"/>
                <w:szCs w:val="20"/>
              </w:rPr>
              <w:t>C</w:t>
            </w:r>
            <w:r w:rsidR="008560D0" w:rsidRPr="0048203D">
              <w:rPr>
                <w:sz w:val="20"/>
                <w:szCs w:val="20"/>
              </w:rPr>
              <w:t>lini</w:t>
            </w:r>
            <w:r w:rsidR="00DE3AE9" w:rsidRPr="0048203D">
              <w:rPr>
                <w:sz w:val="20"/>
                <w:szCs w:val="20"/>
              </w:rPr>
              <w:t xml:space="preserve">cal </w:t>
            </w:r>
            <w:r w:rsidRPr="0048203D">
              <w:rPr>
                <w:sz w:val="20"/>
                <w:szCs w:val="20"/>
              </w:rPr>
              <w:t>T</w:t>
            </w:r>
            <w:r w:rsidR="00DE3AE9" w:rsidRPr="0048203D">
              <w:rPr>
                <w:sz w:val="20"/>
                <w:szCs w:val="20"/>
              </w:rPr>
              <w:t xml:space="preserve">rials </w:t>
            </w:r>
            <w:r w:rsidRPr="0048203D">
              <w:rPr>
                <w:sz w:val="20"/>
                <w:szCs w:val="20"/>
              </w:rPr>
              <w:t>I</w:t>
            </w:r>
            <w:r w:rsidR="00DE3AE9" w:rsidRPr="0048203D">
              <w:rPr>
                <w:sz w:val="20"/>
                <w:szCs w:val="20"/>
              </w:rPr>
              <w:t xml:space="preserve">nformation </w:t>
            </w:r>
            <w:r w:rsidRPr="0048203D">
              <w:rPr>
                <w:sz w:val="20"/>
                <w:szCs w:val="20"/>
              </w:rPr>
              <w:t>S</w:t>
            </w:r>
            <w:r w:rsidR="00DE3AE9" w:rsidRPr="0048203D">
              <w:rPr>
                <w:sz w:val="20"/>
                <w:szCs w:val="20"/>
              </w:rPr>
              <w:t>ystem (CTIS)</w:t>
            </w:r>
            <w:r w:rsidRPr="0048203D">
              <w:rPr>
                <w:sz w:val="20"/>
                <w:szCs w:val="20"/>
              </w:rPr>
              <w:t xml:space="preserve"> </w:t>
            </w:r>
          </w:p>
        </w:tc>
      </w:tr>
      <w:tr w:rsidR="00045230" w:rsidRPr="00B35AB1" w14:paraId="5CB412EC" w14:textId="77777777" w:rsidTr="006AFD62">
        <w:trPr>
          <w:trHeight w:val="283"/>
        </w:trPr>
        <w:tc>
          <w:tcPr>
            <w:tcW w:w="5812" w:type="dxa"/>
          </w:tcPr>
          <w:p w14:paraId="7D45C4C4" w14:textId="2270821F" w:rsidR="00045230" w:rsidRPr="0048203D" w:rsidRDefault="00B4592B" w:rsidP="003A6775">
            <w:pPr>
              <w:spacing w:after="0" w:line="276" w:lineRule="auto"/>
              <w:jc w:val="left"/>
              <w:rPr>
                <w:sz w:val="20"/>
                <w:szCs w:val="20"/>
              </w:rPr>
            </w:pPr>
            <w:r w:rsidRPr="0048203D">
              <w:rPr>
                <w:sz w:val="20"/>
                <w:szCs w:val="20"/>
              </w:rPr>
              <w:t>N</w:t>
            </w:r>
            <w:r w:rsidR="00AD3B31" w:rsidRPr="0048203D">
              <w:rPr>
                <w:sz w:val="20"/>
                <w:szCs w:val="20"/>
              </w:rPr>
              <w:t xml:space="preserve">umber of clinical trials </w:t>
            </w:r>
            <w:r w:rsidR="00F907C4" w:rsidRPr="0048203D">
              <w:rPr>
                <w:sz w:val="20"/>
                <w:szCs w:val="20"/>
              </w:rPr>
              <w:t>concerning ATMP</w:t>
            </w:r>
            <w:r w:rsidR="00C13DF2" w:rsidRPr="0048203D">
              <w:rPr>
                <w:sz w:val="20"/>
                <w:szCs w:val="20"/>
              </w:rPr>
              <w:t>s authorised in the EU</w:t>
            </w:r>
          </w:p>
        </w:tc>
        <w:tc>
          <w:tcPr>
            <w:tcW w:w="2801" w:type="dxa"/>
          </w:tcPr>
          <w:p w14:paraId="789A90DB" w14:textId="58D35400" w:rsidR="00045230" w:rsidRPr="0048203D" w:rsidRDefault="001D3E7A" w:rsidP="003A6775">
            <w:pPr>
              <w:spacing w:after="0" w:line="276" w:lineRule="auto"/>
              <w:jc w:val="left"/>
              <w:rPr>
                <w:sz w:val="20"/>
                <w:szCs w:val="20"/>
              </w:rPr>
            </w:pPr>
            <w:r w:rsidRPr="0048203D">
              <w:rPr>
                <w:sz w:val="20"/>
                <w:szCs w:val="20"/>
              </w:rPr>
              <w:t>Clinical trials information system (EMA)</w:t>
            </w:r>
          </w:p>
        </w:tc>
      </w:tr>
      <w:tr w:rsidR="004F27C4" w:rsidRPr="00B35AB1" w14:paraId="49AE0991" w14:textId="77777777" w:rsidTr="003A6775">
        <w:trPr>
          <w:trHeight w:val="283"/>
        </w:trPr>
        <w:tc>
          <w:tcPr>
            <w:tcW w:w="5812" w:type="dxa"/>
          </w:tcPr>
          <w:p w14:paraId="72652C1A" w14:textId="4615725E" w:rsidR="004F27C4" w:rsidRPr="0048203D" w:rsidRDefault="00735C77" w:rsidP="003A6775">
            <w:pPr>
              <w:spacing w:after="0" w:line="276" w:lineRule="auto"/>
              <w:jc w:val="left"/>
              <w:rPr>
                <w:sz w:val="20"/>
                <w:szCs w:val="20"/>
              </w:rPr>
            </w:pPr>
            <w:r w:rsidRPr="0048203D">
              <w:rPr>
                <w:sz w:val="20"/>
                <w:szCs w:val="20"/>
              </w:rPr>
              <w:t xml:space="preserve">Number of ATMPs with EMA authorisation </w:t>
            </w:r>
            <w:r w:rsidR="00045230" w:rsidRPr="0048203D">
              <w:rPr>
                <w:sz w:val="20"/>
                <w:szCs w:val="20"/>
              </w:rPr>
              <w:t xml:space="preserve">in the </w:t>
            </w:r>
            <w:r w:rsidRPr="0048203D">
              <w:rPr>
                <w:sz w:val="20"/>
                <w:szCs w:val="20"/>
              </w:rPr>
              <w:t>EU</w:t>
            </w:r>
          </w:p>
        </w:tc>
        <w:tc>
          <w:tcPr>
            <w:tcW w:w="2801" w:type="dxa"/>
          </w:tcPr>
          <w:p w14:paraId="2E59E4DF" w14:textId="784D2A97" w:rsidR="004F27C4" w:rsidRPr="0048203D" w:rsidRDefault="00735C77" w:rsidP="003A6775">
            <w:pPr>
              <w:spacing w:after="0" w:line="276" w:lineRule="auto"/>
              <w:jc w:val="left"/>
              <w:rPr>
                <w:sz w:val="20"/>
                <w:szCs w:val="20"/>
              </w:rPr>
            </w:pPr>
            <w:r w:rsidRPr="0048203D">
              <w:rPr>
                <w:sz w:val="20"/>
                <w:szCs w:val="20"/>
              </w:rPr>
              <w:t>EMA annual report</w:t>
            </w:r>
          </w:p>
        </w:tc>
      </w:tr>
      <w:tr w:rsidR="00092EA4" w:rsidRPr="00B35AB1" w14:paraId="48FF85B8" w14:textId="77777777" w:rsidTr="003A6775">
        <w:trPr>
          <w:trHeight w:val="283"/>
        </w:trPr>
        <w:tc>
          <w:tcPr>
            <w:tcW w:w="5812" w:type="dxa"/>
          </w:tcPr>
          <w:p w14:paraId="047BD147" w14:textId="3D5F51D6" w:rsidR="00092EA4" w:rsidRPr="0048203D" w:rsidRDefault="00F21512" w:rsidP="003A6775">
            <w:pPr>
              <w:spacing w:after="0" w:line="276" w:lineRule="auto"/>
              <w:jc w:val="left"/>
              <w:rPr>
                <w:sz w:val="20"/>
                <w:szCs w:val="20"/>
              </w:rPr>
            </w:pPr>
            <w:r w:rsidRPr="0048203D">
              <w:rPr>
                <w:sz w:val="20"/>
                <w:szCs w:val="20"/>
              </w:rPr>
              <w:t xml:space="preserve">Number of GMM products authorised </w:t>
            </w:r>
            <w:r w:rsidR="078D3C3C" w:rsidRPr="0048203D">
              <w:rPr>
                <w:sz w:val="20"/>
                <w:szCs w:val="20"/>
              </w:rPr>
              <w:t xml:space="preserve">under Directive 2001/18/EC </w:t>
            </w:r>
            <w:r w:rsidRPr="0048203D">
              <w:rPr>
                <w:sz w:val="20"/>
                <w:szCs w:val="20"/>
              </w:rPr>
              <w:t>to b</w:t>
            </w:r>
            <w:r w:rsidR="00563189" w:rsidRPr="0048203D">
              <w:rPr>
                <w:sz w:val="20"/>
                <w:szCs w:val="20"/>
              </w:rPr>
              <w:t>e placed on the EU market</w:t>
            </w:r>
          </w:p>
        </w:tc>
        <w:tc>
          <w:tcPr>
            <w:tcW w:w="2801" w:type="dxa"/>
          </w:tcPr>
          <w:p w14:paraId="1D18519C" w14:textId="219A5552" w:rsidR="00092EA4" w:rsidRPr="0048203D" w:rsidRDefault="00563189" w:rsidP="003A6775">
            <w:pPr>
              <w:spacing w:after="0" w:line="276" w:lineRule="auto"/>
              <w:jc w:val="left"/>
              <w:rPr>
                <w:sz w:val="20"/>
                <w:szCs w:val="20"/>
              </w:rPr>
            </w:pPr>
            <w:r w:rsidRPr="0048203D">
              <w:rPr>
                <w:sz w:val="20"/>
                <w:szCs w:val="20"/>
              </w:rPr>
              <w:t>European Commission</w:t>
            </w:r>
          </w:p>
        </w:tc>
      </w:tr>
    </w:tbl>
    <w:p w14:paraId="280138D0" w14:textId="42A89475" w:rsidR="00625BEE" w:rsidRPr="00625BEE" w:rsidRDefault="00625BEE" w:rsidP="00CB6D39">
      <w:pPr>
        <w:spacing w:after="200" w:line="276" w:lineRule="auto"/>
        <w:jc w:val="left"/>
      </w:pPr>
    </w:p>
    <w:sectPr w:rsidR="00625BEE" w:rsidRPr="00625BEE" w:rsidSect="0053316B">
      <w:headerReference w:type="even" r:id="rId29"/>
      <w:headerReference w:type="default" r:id="rId30"/>
      <w:footerReference w:type="even" r:id="rId31"/>
      <w:footerReference w:type="default" r:id="rId32"/>
      <w:headerReference w:type="first" r:id="rId33"/>
      <w:footerReference w:type="first" r:id="rId34"/>
      <w:pgSz w:w="11906" w:h="16838"/>
      <w:pgMar w:top="1020" w:right="1701" w:bottom="1020" w:left="1587" w:header="601" w:footer="1077"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FA088E1" w14:textId="77777777" w:rsidR="0021441B" w:rsidRDefault="0021441B" w:rsidP="000E3086">
      <w:r>
        <w:separator/>
      </w:r>
    </w:p>
  </w:endnote>
  <w:endnote w:type="continuationSeparator" w:id="0">
    <w:p w14:paraId="76768F64" w14:textId="77777777" w:rsidR="0021441B" w:rsidRDefault="0021441B" w:rsidP="000E3086">
      <w:r>
        <w:continuationSeparator/>
      </w:r>
    </w:p>
  </w:endnote>
  <w:endnote w:type="continuationNotice" w:id="1">
    <w:p w14:paraId="5634F366" w14:textId="77777777" w:rsidR="0021441B" w:rsidRDefault="0021441B">
      <w:pPr>
        <w:spacing w:after="0"/>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orbel">
    <w:panose1 w:val="020B0503020204020204"/>
    <w:charset w:val="00"/>
    <w:family w:val="swiss"/>
    <w:pitch w:val="variable"/>
    <w:sig w:usb0="A00002EF" w:usb1="4000A44B" w:usb2="00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Palatino">
    <w:altName w:val="Palatino Linotype"/>
    <w:charset w:val="4D"/>
    <w:family w:val="auto"/>
    <w:pitch w:val="variable"/>
    <w:sig w:usb0="A00002FF" w:usb1="7800205A" w:usb2="14600000" w:usb3="00000000" w:csb0="00000193" w:csb1="00000000"/>
  </w:font>
  <w:font w:name="Palatino Linotype">
    <w:panose1 w:val="02040502050505030304"/>
    <w:charset w:val="00"/>
    <w:family w:val="roman"/>
    <w:pitch w:val="variable"/>
    <w:sig w:usb0="E0000287" w:usb1="40000013" w:usb2="00000000" w:usb3="00000000" w:csb0="0000019F" w:csb1="00000000"/>
  </w:font>
  <w:font w:name="Courier">
    <w:panose1 w:val="02070409020205020404"/>
    <w:charset w:val="00"/>
    <w:family w:val="modern"/>
    <w:pitch w:val="fixed"/>
    <w:sig w:usb0="00000003" w:usb1="00000000" w:usb2="00000000" w:usb3="00000000" w:csb0="00000001" w:csb1="00000000"/>
  </w:font>
  <w:font w:name="Times-Roman">
    <w:altName w:val="Times New Roman"/>
    <w:charset w:val="00"/>
    <w:family w:val="auto"/>
    <w:pitch w:val="variable"/>
    <w:sig w:usb0="00000003" w:usb1="00000000" w:usb2="00000000" w:usb3="00000000" w:csb0="00000001" w:csb1="00000000"/>
  </w:font>
  <w:font w:name="Georgia">
    <w:panose1 w:val="02040502050405020303"/>
    <w:charset w:val="00"/>
    <w:family w:val="roman"/>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Aptos Narrow">
    <w:altName w:val="Arial"/>
    <w:charset w:val="00"/>
    <w:family w:val="swiss"/>
    <w:pitch w:val="variable"/>
    <w:sig w:usb0="20000287" w:usb1="00000003" w:usb2="00000000" w:usb3="00000000" w:csb0="0000019F" w:csb1="00000000"/>
  </w:font>
  <w:font w:name="Segoe UI">
    <w:panose1 w:val="020B0502040204020203"/>
    <w:charset w:val="00"/>
    <w:family w:val="swiss"/>
    <w:pitch w:val="variable"/>
    <w:sig w:usb0="E4002EFF" w:usb1="C000E47F" w:usb2="00000009" w:usb3="00000000" w:csb0="000001FF" w:csb1="00000000"/>
  </w:font>
  <w:font w:name="Aptos">
    <w:charset w:val="00"/>
    <w:family w:val="swiss"/>
    <w:pitch w:val="variable"/>
    <w:sig w:usb0="20000287" w:usb1="00000003" w:usb2="00000000" w:usb3="00000000" w:csb0="0000019F" w:csb1="00000000"/>
  </w:font>
  <w:font w:name="system-ui">
    <w:altName w:val="Cambria"/>
    <w:panose1 w:val="00000000000000000000"/>
    <w:charset w:val="00"/>
    <w:family w:val="roman"/>
    <w:notTrueType/>
    <w:pitch w:val="default"/>
  </w:font>
  <w:font w:name="Google Sans Text">
    <w:altName w:val="Cambria"/>
    <w:panose1 w:val="00000000000000000000"/>
    <w:charset w:val="00"/>
    <w:family w:val="roman"/>
    <w:notTrueType/>
    <w:pitch w:val="default"/>
  </w:font>
  <w:font w:name="Cambria Math">
    <w:panose1 w:val="02040503050406030204"/>
    <w:charset w:val="00"/>
    <w:family w:val="roman"/>
    <w:pitch w:val="variable"/>
    <w:sig w:usb0="E00006FF" w:usb1="420024FF" w:usb2="02000000" w:usb3="00000000" w:csb0="0000019F" w:csb1="00000000"/>
  </w:font>
  <w:font w:name="Verdana">
    <w:panose1 w:val="020B0604030504040204"/>
    <w:charset w:val="00"/>
    <w:family w:val="swiss"/>
    <w:pitch w:val="variable"/>
    <w:sig w:usb0="A00006FF" w:usb1="4000205B" w:usb2="0000001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3E418CC" w14:textId="15F01DCB" w:rsidR="00817A9D" w:rsidRPr="006E33A5" w:rsidRDefault="006E33A5" w:rsidP="006E33A5">
    <w:pPr>
      <w:pStyle w:val="FooterCoverPage"/>
      <w:rPr>
        <w:rFonts w:ascii="Arial" w:hAnsi="Arial" w:cs="Arial"/>
        <w:b/>
        <w:sz w:val="48"/>
      </w:rPr>
    </w:pPr>
    <w:r w:rsidRPr="006E33A5">
      <w:rPr>
        <w:rFonts w:ascii="Arial" w:hAnsi="Arial" w:cs="Arial"/>
        <w:b/>
        <w:sz w:val="48"/>
      </w:rPr>
      <w:t>EN</w:t>
    </w:r>
    <w:r w:rsidRPr="006E33A5">
      <w:rPr>
        <w:rFonts w:ascii="Arial" w:hAnsi="Arial" w:cs="Arial"/>
        <w:b/>
        <w:sz w:val="48"/>
      </w:rPr>
      <w:tab/>
    </w:r>
    <w:r w:rsidRPr="006E33A5">
      <w:rPr>
        <w:rFonts w:ascii="Arial" w:hAnsi="Arial" w:cs="Arial"/>
        <w:b/>
        <w:sz w:val="48"/>
      </w:rPr>
      <w:tab/>
    </w:r>
    <w:r w:rsidRPr="006E33A5">
      <w:tab/>
    </w:r>
    <w:r w:rsidRPr="006E33A5">
      <w:rPr>
        <w:rFonts w:ascii="Arial" w:hAnsi="Arial" w:cs="Arial"/>
        <w:b/>
        <w:sz w:val="48"/>
      </w:rPr>
      <w:t>EN</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75D364F" w14:textId="04EAEB86" w:rsidR="00817A9D" w:rsidRPr="006E33A5" w:rsidRDefault="006E33A5" w:rsidP="006E33A5">
    <w:pPr>
      <w:pStyle w:val="FooterCoverPage"/>
      <w:rPr>
        <w:rFonts w:ascii="Arial" w:hAnsi="Arial" w:cs="Arial"/>
        <w:b/>
        <w:sz w:val="48"/>
      </w:rPr>
    </w:pPr>
    <w:r w:rsidRPr="006E33A5">
      <w:rPr>
        <w:rFonts w:ascii="Arial" w:hAnsi="Arial" w:cs="Arial"/>
        <w:b/>
        <w:sz w:val="48"/>
      </w:rPr>
      <w:t>EN</w:t>
    </w:r>
    <w:r w:rsidRPr="006E33A5">
      <w:rPr>
        <w:rFonts w:ascii="Arial" w:hAnsi="Arial" w:cs="Arial"/>
        <w:b/>
        <w:sz w:val="48"/>
      </w:rPr>
      <w:tab/>
    </w:r>
    <w:r w:rsidRPr="006E33A5">
      <w:rPr>
        <w:rFonts w:ascii="Arial" w:hAnsi="Arial" w:cs="Arial"/>
        <w:b/>
        <w:sz w:val="48"/>
      </w:rPr>
      <w:tab/>
    </w:r>
    <w:r w:rsidRPr="006E33A5">
      <w:tab/>
    </w:r>
    <w:r w:rsidRPr="006E33A5">
      <w:rPr>
        <w:rFonts w:ascii="Arial" w:hAnsi="Arial" w:cs="Arial"/>
        <w:b/>
        <w:sz w:val="48"/>
      </w:rPr>
      <w:t>EN</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AA94F71" w14:textId="77777777" w:rsidR="00817A9D" w:rsidRPr="006E33A5" w:rsidRDefault="00817A9D" w:rsidP="006E33A5">
    <w:pPr>
      <w:pStyle w:val="FooterCoverPage"/>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2044CD6" w14:textId="77777777" w:rsidR="00CB14B2" w:rsidRDefault="00CB14B2" w:rsidP="000E3086">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04090344"/>
      <w:docPartObj>
        <w:docPartGallery w:val="Page Numbers (Bottom of Page)"/>
        <w:docPartUnique/>
      </w:docPartObj>
    </w:sdtPr>
    <w:sdtEndPr>
      <w:rPr>
        <w:noProof/>
      </w:rPr>
    </w:sdtEndPr>
    <w:sdtContent>
      <w:p w14:paraId="24897D4D" w14:textId="018C6C10" w:rsidR="008F2068" w:rsidRDefault="008F2068">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37515927" w14:textId="77777777" w:rsidR="00CB14B2" w:rsidRPr="00CD516A" w:rsidRDefault="00CB14B2" w:rsidP="000E3086">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6C35B24" w14:textId="77777777" w:rsidR="00CB14B2" w:rsidRDefault="00CB14B2" w:rsidP="000E308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A34EA30" w14:textId="77777777" w:rsidR="0021441B" w:rsidRDefault="0021441B" w:rsidP="000E3086">
      <w:r>
        <w:separator/>
      </w:r>
    </w:p>
  </w:footnote>
  <w:footnote w:type="continuationSeparator" w:id="0">
    <w:p w14:paraId="08FB2454" w14:textId="77777777" w:rsidR="0021441B" w:rsidRDefault="0021441B" w:rsidP="000E3086">
      <w:r>
        <w:continuationSeparator/>
      </w:r>
    </w:p>
  </w:footnote>
  <w:footnote w:type="continuationNotice" w:id="1">
    <w:p w14:paraId="08463C14" w14:textId="77777777" w:rsidR="0021441B" w:rsidRDefault="0021441B">
      <w:pPr>
        <w:spacing w:after="0"/>
      </w:pPr>
    </w:p>
  </w:footnote>
  <w:footnote w:id="2">
    <w:p w14:paraId="7BBAF12E" w14:textId="3D858E7C" w:rsidR="00B5066C" w:rsidRPr="00064CB8" w:rsidRDefault="00B5066C">
      <w:pPr>
        <w:pStyle w:val="FootnoteText"/>
        <w:rPr>
          <w:sz w:val="18"/>
          <w:szCs w:val="18"/>
          <w:lang w:val="pt-PT"/>
        </w:rPr>
      </w:pPr>
      <w:r w:rsidRPr="002011F1">
        <w:rPr>
          <w:rStyle w:val="FootnoteReference"/>
          <w:sz w:val="18"/>
          <w:szCs w:val="18"/>
        </w:rPr>
        <w:footnoteRef/>
      </w:r>
      <w:r w:rsidR="002A5429" w:rsidRPr="00064CB8">
        <w:rPr>
          <w:lang w:val="pt-PT"/>
        </w:rPr>
        <w:t xml:space="preserve"> </w:t>
      </w:r>
      <w:hyperlink r:id="rId1">
        <w:r w:rsidR="000E770A" w:rsidRPr="00064CB8">
          <w:rPr>
            <w:rStyle w:val="Hyperlink"/>
            <w:sz w:val="18"/>
            <w:szCs w:val="18"/>
            <w:lang w:val="pt-PT"/>
          </w:rPr>
          <w:t>COM(2025) 1022 final</w:t>
        </w:r>
      </w:hyperlink>
      <w:r w:rsidR="000E770A" w:rsidRPr="00064CB8">
        <w:rPr>
          <w:sz w:val="18"/>
          <w:szCs w:val="18"/>
          <w:lang w:val="pt-PT"/>
        </w:rPr>
        <w:t xml:space="preserve">. </w:t>
      </w:r>
    </w:p>
  </w:footnote>
  <w:footnote w:id="3">
    <w:p w14:paraId="20FA7327" w14:textId="1E56F744" w:rsidR="000E770A" w:rsidRPr="00064CB8" w:rsidRDefault="000E770A">
      <w:pPr>
        <w:pStyle w:val="FootnoteText"/>
        <w:rPr>
          <w:sz w:val="18"/>
          <w:szCs w:val="18"/>
          <w:lang w:val="pt-PT"/>
        </w:rPr>
      </w:pPr>
      <w:r w:rsidRPr="002011F1">
        <w:rPr>
          <w:rStyle w:val="FootnoteReference"/>
          <w:sz w:val="18"/>
          <w:szCs w:val="18"/>
        </w:rPr>
        <w:footnoteRef/>
      </w:r>
      <w:r w:rsidRPr="00064CB8">
        <w:rPr>
          <w:sz w:val="18"/>
          <w:szCs w:val="18"/>
          <w:lang w:val="pt-PT"/>
        </w:rPr>
        <w:t xml:space="preserve"> </w:t>
      </w:r>
      <w:hyperlink r:id="rId2">
        <w:r w:rsidRPr="00064CB8">
          <w:rPr>
            <w:rStyle w:val="Hyperlink"/>
            <w:sz w:val="18"/>
            <w:szCs w:val="18"/>
            <w:lang w:val="pt-PT"/>
          </w:rPr>
          <w:t>COM(2025) 1031 final</w:t>
        </w:r>
      </w:hyperlink>
      <w:r w:rsidRPr="00064CB8">
        <w:rPr>
          <w:sz w:val="18"/>
          <w:szCs w:val="18"/>
          <w:lang w:val="pt-PT"/>
        </w:rPr>
        <w:t>.</w:t>
      </w:r>
    </w:p>
  </w:footnote>
  <w:footnote w:id="4">
    <w:p w14:paraId="2A6532AF" w14:textId="538B8861" w:rsidR="00F928C0" w:rsidRPr="00064CB8" w:rsidRDefault="00F928C0" w:rsidP="00A3193A">
      <w:pPr>
        <w:pStyle w:val="FootnoteText"/>
        <w:rPr>
          <w:sz w:val="18"/>
          <w:szCs w:val="18"/>
          <w:lang w:val="pt-PT"/>
        </w:rPr>
      </w:pPr>
      <w:r w:rsidRPr="000269B5">
        <w:rPr>
          <w:rStyle w:val="FootnoteReference"/>
          <w:sz w:val="18"/>
          <w:szCs w:val="18"/>
        </w:rPr>
        <w:footnoteRef/>
      </w:r>
      <w:r w:rsidR="278EFFF2" w:rsidRPr="00064CB8">
        <w:rPr>
          <w:sz w:val="18"/>
          <w:szCs w:val="18"/>
          <w:lang w:val="pt-PT"/>
        </w:rPr>
        <w:t xml:space="preserve"> </w:t>
      </w:r>
      <w:hyperlink r:id="rId3">
        <w:r w:rsidR="278EFFF2" w:rsidRPr="00064CB8">
          <w:rPr>
            <w:rStyle w:val="Hyperlink"/>
            <w:rFonts w:eastAsia="Arial Narrow"/>
            <w:sz w:val="18"/>
            <w:szCs w:val="18"/>
            <w:lang w:val="pt-PT"/>
          </w:rPr>
          <w:t>COM(2025) 30 final</w:t>
        </w:r>
      </w:hyperlink>
      <w:r w:rsidR="002011F1" w:rsidRPr="00064CB8">
        <w:rPr>
          <w:sz w:val="18"/>
          <w:szCs w:val="18"/>
          <w:lang w:val="pt-PT"/>
        </w:rPr>
        <w:t>.</w:t>
      </w:r>
    </w:p>
  </w:footnote>
  <w:footnote w:id="5">
    <w:p w14:paraId="31AD22E5" w14:textId="58CCC0D7" w:rsidR="00836942" w:rsidRPr="000269B5" w:rsidRDefault="00836942" w:rsidP="00A3193A">
      <w:pPr>
        <w:pStyle w:val="FootnoteText"/>
        <w:rPr>
          <w:sz w:val="18"/>
          <w:szCs w:val="18"/>
          <w:lang w:val="en-IE"/>
        </w:rPr>
      </w:pPr>
      <w:r w:rsidRPr="000269B5">
        <w:rPr>
          <w:rStyle w:val="FootnoteReference"/>
          <w:sz w:val="18"/>
          <w:szCs w:val="18"/>
        </w:rPr>
        <w:footnoteRef/>
      </w:r>
      <w:r w:rsidRPr="000269B5">
        <w:rPr>
          <w:sz w:val="18"/>
          <w:szCs w:val="18"/>
        </w:rPr>
        <w:t xml:space="preserve"> European Commission: Directorate-General for Research and Innovation, </w:t>
      </w:r>
      <w:r w:rsidRPr="000269B5">
        <w:rPr>
          <w:i/>
          <w:sz w:val="18"/>
          <w:szCs w:val="18"/>
        </w:rPr>
        <w:t>Science, research and innovation performance of the EU, 2024 – A competitive Europe for a sustainable future</w:t>
      </w:r>
      <w:r w:rsidRPr="000269B5">
        <w:rPr>
          <w:sz w:val="18"/>
          <w:szCs w:val="18"/>
        </w:rPr>
        <w:t xml:space="preserve">, Publications Office of the European Union, 2024, </w:t>
      </w:r>
      <w:hyperlink r:id="rId4">
        <w:r w:rsidR="278EFFF2" w:rsidRPr="000269B5">
          <w:rPr>
            <w:rStyle w:val="Hyperlink"/>
            <w:sz w:val="18"/>
            <w:szCs w:val="18"/>
          </w:rPr>
          <w:t>https://data.europa.eu/doi/10.2777/965670</w:t>
        </w:r>
      </w:hyperlink>
      <w:r w:rsidRPr="000269B5">
        <w:rPr>
          <w:sz w:val="18"/>
          <w:szCs w:val="18"/>
        </w:rPr>
        <w:t xml:space="preserve"> (see Chapter 3: Scientific knowledge production)</w:t>
      </w:r>
      <w:r w:rsidR="00E7340D">
        <w:rPr>
          <w:sz w:val="18"/>
          <w:szCs w:val="18"/>
        </w:rPr>
        <w:t>.</w:t>
      </w:r>
    </w:p>
  </w:footnote>
  <w:footnote w:id="6">
    <w:p w14:paraId="5E52385D" w14:textId="4E33619C" w:rsidR="00026F24" w:rsidRPr="0048203D" w:rsidRDefault="00026F24" w:rsidP="00A3193A">
      <w:pPr>
        <w:pStyle w:val="FootnoteText"/>
        <w:rPr>
          <w:sz w:val="18"/>
          <w:szCs w:val="18"/>
          <w:lang w:val="en-US"/>
        </w:rPr>
      </w:pPr>
      <w:r w:rsidRPr="000269B5">
        <w:rPr>
          <w:rStyle w:val="FootnoteReference"/>
          <w:rFonts w:eastAsia="Arial Narrow"/>
          <w:sz w:val="18"/>
          <w:szCs w:val="18"/>
        </w:rPr>
        <w:footnoteRef/>
      </w:r>
      <w:r w:rsidR="00B30332" w:rsidRPr="000269B5">
        <w:rPr>
          <w:rFonts w:eastAsia="Arial Narrow"/>
          <w:sz w:val="18"/>
          <w:szCs w:val="18"/>
          <w:lang w:val="en-US"/>
        </w:rPr>
        <w:t xml:space="preserve"> </w:t>
      </w:r>
      <w:r w:rsidR="0048203D">
        <w:rPr>
          <w:rFonts w:eastAsia="Arial Narrow"/>
          <w:sz w:val="18"/>
          <w:szCs w:val="18"/>
          <w:lang w:val="en-US"/>
        </w:rPr>
        <w:t>S</w:t>
      </w:r>
      <w:r w:rsidR="008E76E5" w:rsidRPr="000269B5">
        <w:rPr>
          <w:rFonts w:eastAsia="Arial Narrow"/>
          <w:sz w:val="18"/>
          <w:szCs w:val="18"/>
          <w:lang w:val="en-US"/>
        </w:rPr>
        <w:t xml:space="preserve">ee </w:t>
      </w:r>
      <w:r w:rsidR="008E76E5" w:rsidRPr="0048203D">
        <w:rPr>
          <w:rFonts w:eastAsia="Arial Narrow"/>
          <w:sz w:val="18"/>
          <w:szCs w:val="18"/>
          <w:lang w:val="en-US"/>
        </w:rPr>
        <w:t xml:space="preserve">footnote 1, page </w:t>
      </w:r>
      <w:r w:rsidR="00767C3B">
        <w:rPr>
          <w:rFonts w:eastAsia="Arial Narrow"/>
          <w:sz w:val="18"/>
          <w:szCs w:val="18"/>
          <w:lang w:val="en-US"/>
        </w:rPr>
        <w:t>5</w:t>
      </w:r>
      <w:r w:rsidR="00342300" w:rsidRPr="0048203D">
        <w:rPr>
          <w:rFonts w:eastAsia="Arial Narrow"/>
          <w:sz w:val="18"/>
          <w:szCs w:val="18"/>
          <w:lang w:val="en-US"/>
        </w:rPr>
        <w:t>.</w:t>
      </w:r>
    </w:p>
  </w:footnote>
  <w:footnote w:id="7">
    <w:p w14:paraId="43C051F2" w14:textId="757AB892" w:rsidR="006253D2" w:rsidRPr="0048203D" w:rsidRDefault="006253D2">
      <w:pPr>
        <w:pStyle w:val="FootnoteText"/>
        <w:rPr>
          <w:sz w:val="18"/>
          <w:szCs w:val="18"/>
          <w:lang w:val="en-IE"/>
        </w:rPr>
      </w:pPr>
      <w:r w:rsidRPr="0048203D">
        <w:rPr>
          <w:rStyle w:val="FootnoteReference"/>
          <w:sz w:val="18"/>
          <w:szCs w:val="18"/>
        </w:rPr>
        <w:footnoteRef/>
      </w:r>
      <w:r w:rsidRPr="0048203D">
        <w:rPr>
          <w:sz w:val="18"/>
          <w:szCs w:val="18"/>
          <w:lang w:val="en-IE"/>
        </w:rPr>
        <w:t xml:space="preserve"> </w:t>
      </w:r>
      <w:r w:rsidR="000942D1" w:rsidRPr="0048203D">
        <w:rPr>
          <w:sz w:val="18"/>
          <w:szCs w:val="18"/>
          <w:lang w:val="en-IE"/>
        </w:rPr>
        <w:t xml:space="preserve">Ursula von der Leyen, </w:t>
      </w:r>
      <w:hyperlink r:id="rId5" w:history="1">
        <w:r w:rsidR="000942D1" w:rsidRPr="0048203D">
          <w:rPr>
            <w:rStyle w:val="Hyperlink"/>
            <w:sz w:val="18"/>
            <w:szCs w:val="18"/>
            <w:lang w:val="en-IE"/>
          </w:rPr>
          <w:t>Mission Letter</w:t>
        </w:r>
        <w:r w:rsidR="00472F20" w:rsidRPr="0048203D">
          <w:rPr>
            <w:rStyle w:val="Hyperlink"/>
            <w:sz w:val="18"/>
            <w:szCs w:val="18"/>
            <w:lang w:val="en-IE"/>
          </w:rPr>
          <w:t xml:space="preserve"> </w:t>
        </w:r>
        <w:r w:rsidR="00BB2FF0" w:rsidRPr="0048203D">
          <w:rPr>
            <w:rStyle w:val="Hyperlink"/>
            <w:sz w:val="18"/>
            <w:szCs w:val="18"/>
            <w:lang w:val="en-IE"/>
          </w:rPr>
          <w:t>–</w:t>
        </w:r>
        <w:r w:rsidR="00472F20" w:rsidRPr="0048203D">
          <w:rPr>
            <w:rStyle w:val="Hyperlink"/>
            <w:sz w:val="18"/>
            <w:szCs w:val="18"/>
            <w:lang w:val="en-IE"/>
          </w:rPr>
          <w:t xml:space="preserve"> Oli</w:t>
        </w:r>
        <w:r w:rsidR="00D4115F" w:rsidRPr="0048203D">
          <w:rPr>
            <w:rStyle w:val="Hyperlink"/>
            <w:sz w:val="18"/>
            <w:szCs w:val="18"/>
            <w:lang w:val="en-IE"/>
          </w:rPr>
          <w:t>v</w:t>
        </w:r>
        <w:r w:rsidR="00BB2FF0" w:rsidRPr="0048203D">
          <w:rPr>
            <w:rStyle w:val="Hyperlink"/>
            <w:sz w:val="18"/>
            <w:szCs w:val="18"/>
            <w:lang w:val="en-IE"/>
          </w:rPr>
          <w:t>ér</w:t>
        </w:r>
        <w:r w:rsidR="00472F20" w:rsidRPr="0048203D">
          <w:rPr>
            <w:rStyle w:val="Hyperlink"/>
            <w:sz w:val="18"/>
            <w:szCs w:val="18"/>
            <w:lang w:val="en-IE"/>
          </w:rPr>
          <w:t>Várhelyi</w:t>
        </w:r>
        <w:r w:rsidR="00BB2FF0" w:rsidRPr="0048203D">
          <w:rPr>
            <w:rStyle w:val="Hyperlink"/>
            <w:sz w:val="18"/>
            <w:szCs w:val="18"/>
            <w:lang w:val="en-IE"/>
          </w:rPr>
          <w:t xml:space="preserve"> – Commissioner-designate for </w:t>
        </w:r>
        <w:r w:rsidR="00EE2BCA" w:rsidRPr="0048203D">
          <w:rPr>
            <w:rStyle w:val="Hyperlink"/>
            <w:sz w:val="18"/>
            <w:szCs w:val="18"/>
            <w:lang w:val="en-IE"/>
          </w:rPr>
          <w:t xml:space="preserve">Health and </w:t>
        </w:r>
        <w:r w:rsidR="00EE2BCA" w:rsidRPr="0048203D">
          <w:rPr>
            <w:rStyle w:val="Hyperlink"/>
            <w:noProof/>
            <w:sz w:val="18"/>
            <w:szCs w:val="18"/>
            <w:lang w:val="en-IE" w:eastAsia="en-GB"/>
          </w:rPr>
          <w:t>Animal Welfare</w:t>
        </w:r>
      </w:hyperlink>
      <w:r w:rsidR="00AC54CD" w:rsidRPr="0048203D">
        <w:rPr>
          <w:noProof/>
          <w:sz w:val="18"/>
          <w:szCs w:val="18"/>
          <w:lang w:val="en-IE" w:eastAsia="en-GB"/>
        </w:rPr>
        <w:t>, 17 September 2024</w:t>
      </w:r>
      <w:r w:rsidR="00E7340D" w:rsidRPr="0048203D">
        <w:rPr>
          <w:noProof/>
          <w:sz w:val="18"/>
          <w:szCs w:val="18"/>
          <w:lang w:val="en-IE" w:eastAsia="en-GB"/>
        </w:rPr>
        <w:t>.</w:t>
      </w:r>
    </w:p>
  </w:footnote>
  <w:footnote w:id="8">
    <w:p w14:paraId="16E154EE" w14:textId="4FA3B4EA" w:rsidR="00404D11" w:rsidRPr="0048203D" w:rsidRDefault="00404D11" w:rsidP="00A3193A">
      <w:pPr>
        <w:pStyle w:val="FootnoteText"/>
        <w:rPr>
          <w:sz w:val="18"/>
          <w:szCs w:val="18"/>
          <w:lang w:val="en-IE"/>
        </w:rPr>
      </w:pPr>
      <w:r w:rsidRPr="0048203D">
        <w:rPr>
          <w:rStyle w:val="FootnoteReference"/>
          <w:sz w:val="18"/>
          <w:szCs w:val="18"/>
        </w:rPr>
        <w:footnoteRef/>
      </w:r>
      <w:r w:rsidR="0048203D">
        <w:rPr>
          <w:sz w:val="18"/>
          <w:szCs w:val="18"/>
          <w:lang w:val="en-IE"/>
        </w:rPr>
        <w:t xml:space="preserve"> </w:t>
      </w:r>
      <w:r w:rsidRPr="0048203D">
        <w:rPr>
          <w:sz w:val="18"/>
          <w:szCs w:val="18"/>
          <w:lang w:val="en-IE"/>
        </w:rPr>
        <w:t>Commission Recommendation (EU) 2023/2113 of 3 October 2023, OJ L, 2023/2113</w:t>
      </w:r>
      <w:r w:rsidR="00664F61" w:rsidRPr="0048203D">
        <w:rPr>
          <w:sz w:val="18"/>
          <w:szCs w:val="18"/>
          <w:lang w:val="en-IE"/>
        </w:rPr>
        <w:t xml:space="preserve">, 11.10.2023, </w:t>
      </w:r>
      <w:r w:rsidRPr="0048203D">
        <w:rPr>
          <w:sz w:val="18"/>
          <w:szCs w:val="18"/>
          <w:lang w:val="en-IE"/>
        </w:rPr>
        <w:t>ELI: </w:t>
      </w:r>
      <w:hyperlink r:id="rId6">
        <w:r w:rsidR="278EFFF2" w:rsidRPr="0048203D">
          <w:rPr>
            <w:rStyle w:val="Hyperlink"/>
            <w:sz w:val="18"/>
            <w:szCs w:val="18"/>
            <w:lang w:val="en-IE"/>
          </w:rPr>
          <w:t>http://data.europa.eu/eli/reco/2023/2113/oj</w:t>
        </w:r>
      </w:hyperlink>
      <w:r w:rsidR="004A3263" w:rsidRPr="0048203D">
        <w:rPr>
          <w:sz w:val="18"/>
          <w:szCs w:val="18"/>
        </w:rPr>
        <w:t>.</w:t>
      </w:r>
    </w:p>
  </w:footnote>
  <w:footnote w:id="9">
    <w:p w14:paraId="63E5CD9B" w14:textId="5D1D7C1D" w:rsidR="00423CDC" w:rsidRPr="0048203D" w:rsidRDefault="00423CDC" w:rsidP="00A3193A">
      <w:pPr>
        <w:pStyle w:val="FootnoteText"/>
        <w:rPr>
          <w:sz w:val="18"/>
          <w:szCs w:val="18"/>
        </w:rPr>
      </w:pPr>
      <w:r w:rsidRPr="0048203D">
        <w:rPr>
          <w:rStyle w:val="FootnoteReference"/>
          <w:sz w:val="18"/>
          <w:szCs w:val="18"/>
        </w:rPr>
        <w:footnoteRef/>
      </w:r>
      <w:r w:rsidR="278EFFF2" w:rsidRPr="0048203D">
        <w:rPr>
          <w:sz w:val="18"/>
          <w:szCs w:val="18"/>
        </w:rPr>
        <w:t xml:space="preserve"> </w:t>
      </w:r>
      <w:hyperlink r:id="rId7">
        <w:r w:rsidR="278EFFF2" w:rsidRPr="0048203D">
          <w:rPr>
            <w:rStyle w:val="Hyperlink"/>
            <w:sz w:val="18"/>
            <w:szCs w:val="18"/>
          </w:rPr>
          <w:t>COM(2024) 137 final/2</w:t>
        </w:r>
      </w:hyperlink>
      <w:r w:rsidR="004A3263" w:rsidRPr="0048203D">
        <w:rPr>
          <w:sz w:val="18"/>
          <w:szCs w:val="18"/>
        </w:rPr>
        <w:t>.</w:t>
      </w:r>
    </w:p>
  </w:footnote>
  <w:footnote w:id="10">
    <w:p w14:paraId="1A645DA1" w14:textId="243481B4" w:rsidR="65DBCA83" w:rsidRPr="0048203D" w:rsidRDefault="65DBCA83" w:rsidP="0048203D">
      <w:pPr>
        <w:spacing w:after="0"/>
        <w:rPr>
          <w:rFonts w:eastAsia="Times New Roman"/>
          <w:sz w:val="18"/>
          <w:szCs w:val="18"/>
        </w:rPr>
      </w:pPr>
      <w:r w:rsidRPr="0048203D">
        <w:rPr>
          <w:sz w:val="18"/>
          <w:szCs w:val="18"/>
          <w:vertAlign w:val="superscript"/>
        </w:rPr>
        <w:footnoteRef/>
      </w:r>
      <w:r w:rsidR="4D2FE02A" w:rsidRPr="0048203D">
        <w:rPr>
          <w:sz w:val="18"/>
          <w:szCs w:val="18"/>
        </w:rPr>
        <w:t xml:space="preserve"> </w:t>
      </w:r>
      <w:hyperlink r:id="rId8">
        <w:r w:rsidR="4D2FE02A" w:rsidRPr="0048203D">
          <w:rPr>
            <w:rStyle w:val="Hyperlink"/>
            <w:rFonts w:eastAsia="Times New Roman"/>
            <w:color w:val="0000FF"/>
            <w:sz w:val="18"/>
            <w:szCs w:val="18"/>
            <w:lang w:val="en-IE"/>
          </w:rPr>
          <w:t>JOIN(2023) 20 final</w:t>
        </w:r>
      </w:hyperlink>
    </w:p>
  </w:footnote>
  <w:footnote w:id="11">
    <w:p w14:paraId="020D9ACA" w14:textId="603E934E" w:rsidR="00026F24" w:rsidRPr="0048203D" w:rsidRDefault="00026F24" w:rsidP="00A3193A">
      <w:pPr>
        <w:pStyle w:val="FootnoteText"/>
        <w:rPr>
          <w:sz w:val="18"/>
          <w:szCs w:val="18"/>
          <w:lang w:val="en-IE"/>
        </w:rPr>
      </w:pPr>
      <w:r w:rsidRPr="0048203D">
        <w:rPr>
          <w:rStyle w:val="FootnoteReference"/>
          <w:sz w:val="18"/>
          <w:szCs w:val="18"/>
        </w:rPr>
        <w:footnoteRef/>
      </w:r>
      <w:r w:rsidR="278EFFF2" w:rsidRPr="0048203D">
        <w:rPr>
          <w:sz w:val="18"/>
          <w:szCs w:val="18"/>
        </w:rPr>
        <w:t xml:space="preserve"> Enrico Letta, </w:t>
      </w:r>
      <w:hyperlink r:id="rId9">
        <w:r w:rsidR="278EFFF2" w:rsidRPr="0048203D">
          <w:rPr>
            <w:rStyle w:val="Hyperlink"/>
            <w:sz w:val="18"/>
            <w:szCs w:val="18"/>
          </w:rPr>
          <w:t>Much more than a Market</w:t>
        </w:r>
      </w:hyperlink>
      <w:r w:rsidR="278EFFF2" w:rsidRPr="0048203D">
        <w:rPr>
          <w:sz w:val="18"/>
          <w:szCs w:val="18"/>
        </w:rPr>
        <w:t>. April 2024</w:t>
      </w:r>
      <w:r w:rsidR="00E7340D" w:rsidRPr="0048203D">
        <w:rPr>
          <w:sz w:val="18"/>
          <w:szCs w:val="18"/>
        </w:rPr>
        <w:t>.</w:t>
      </w:r>
    </w:p>
  </w:footnote>
  <w:footnote w:id="12">
    <w:p w14:paraId="5EF7E4F0" w14:textId="77777777" w:rsidR="00026F24" w:rsidRPr="0048203D" w:rsidRDefault="00026F24" w:rsidP="00A3193A">
      <w:pPr>
        <w:pStyle w:val="FootnoteText"/>
        <w:rPr>
          <w:sz w:val="18"/>
          <w:szCs w:val="18"/>
        </w:rPr>
      </w:pPr>
      <w:r w:rsidRPr="0048203D">
        <w:rPr>
          <w:rStyle w:val="FootnoteReference"/>
          <w:sz w:val="18"/>
          <w:szCs w:val="18"/>
        </w:rPr>
        <w:footnoteRef/>
      </w:r>
      <w:r w:rsidR="278EFFF2" w:rsidRPr="0048203D">
        <w:rPr>
          <w:sz w:val="18"/>
          <w:szCs w:val="18"/>
        </w:rPr>
        <w:t xml:space="preserve"> Draghi, Mario. </w:t>
      </w:r>
      <w:hyperlink r:id="rId10">
        <w:r w:rsidR="278EFFF2" w:rsidRPr="0048203D">
          <w:rPr>
            <w:rStyle w:val="Hyperlink"/>
            <w:sz w:val="18"/>
            <w:szCs w:val="18"/>
          </w:rPr>
          <w:t>The future of European competitiveness: A competitiveness strategy for Europe</w:t>
        </w:r>
      </w:hyperlink>
      <w:r w:rsidR="278EFFF2" w:rsidRPr="0048203D">
        <w:rPr>
          <w:sz w:val="18"/>
          <w:szCs w:val="18"/>
        </w:rPr>
        <w:t>, European Commission, 9 September 2024.</w:t>
      </w:r>
    </w:p>
  </w:footnote>
  <w:footnote w:id="13">
    <w:p w14:paraId="35D2BB27" w14:textId="248F40C1" w:rsidR="000F3872" w:rsidRPr="0048203D" w:rsidRDefault="000F3872" w:rsidP="000F3872">
      <w:pPr>
        <w:pStyle w:val="FootnoteText"/>
        <w:rPr>
          <w:sz w:val="18"/>
          <w:szCs w:val="18"/>
          <w:lang w:val="en-IE"/>
        </w:rPr>
      </w:pPr>
      <w:r w:rsidRPr="0048203D">
        <w:rPr>
          <w:rStyle w:val="FootnoteReference"/>
          <w:sz w:val="18"/>
          <w:szCs w:val="18"/>
        </w:rPr>
        <w:footnoteRef/>
      </w:r>
      <w:r w:rsidRPr="0048203D">
        <w:rPr>
          <w:sz w:val="18"/>
          <w:szCs w:val="18"/>
        </w:rPr>
        <w:t xml:space="preserve"> Niinistö, Sauli </w:t>
      </w:r>
      <w:hyperlink r:id="rId11" w:history="1">
        <w:r w:rsidRPr="0048203D">
          <w:rPr>
            <w:rStyle w:val="Hyperlink"/>
            <w:sz w:val="18"/>
            <w:szCs w:val="18"/>
          </w:rPr>
          <w:t>Safer Together – Strengthening Europe’s Civilian and Military Preparedness and Readiness</w:t>
        </w:r>
      </w:hyperlink>
      <w:r w:rsidRPr="0048203D">
        <w:rPr>
          <w:sz w:val="18"/>
          <w:szCs w:val="18"/>
        </w:rPr>
        <w:t>, 30 October 2024</w:t>
      </w:r>
      <w:r w:rsidR="00E7340D" w:rsidRPr="0048203D">
        <w:rPr>
          <w:sz w:val="18"/>
          <w:szCs w:val="18"/>
        </w:rPr>
        <w:t>.</w:t>
      </w:r>
    </w:p>
  </w:footnote>
  <w:footnote w:id="14">
    <w:p w14:paraId="0B4F6F7C" w14:textId="1D6AD863" w:rsidR="00BC281A" w:rsidRPr="00A3193A" w:rsidRDefault="00BC281A" w:rsidP="00BC281A">
      <w:pPr>
        <w:pStyle w:val="FootnoteText"/>
        <w:rPr>
          <w:sz w:val="18"/>
          <w:szCs w:val="18"/>
          <w:lang w:val="en-IE"/>
        </w:rPr>
      </w:pPr>
      <w:r w:rsidRPr="000269B5">
        <w:rPr>
          <w:rStyle w:val="FootnoteReference"/>
          <w:sz w:val="18"/>
          <w:szCs w:val="18"/>
        </w:rPr>
        <w:footnoteRef/>
      </w:r>
      <w:r w:rsidRPr="000269B5">
        <w:rPr>
          <w:sz w:val="18"/>
          <w:szCs w:val="18"/>
        </w:rPr>
        <w:t xml:space="preserve"> European Council, </w:t>
      </w:r>
      <w:hyperlink r:id="rId12">
        <w:r w:rsidRPr="000269B5">
          <w:rPr>
            <w:rStyle w:val="Hyperlink"/>
            <w:sz w:val="18"/>
            <w:szCs w:val="18"/>
          </w:rPr>
          <w:t>Special meeting of the European Council (17 and 18 April 2024) – Conclusions</w:t>
        </w:r>
      </w:hyperlink>
      <w:r w:rsidRPr="000269B5">
        <w:rPr>
          <w:sz w:val="18"/>
          <w:szCs w:val="18"/>
        </w:rPr>
        <w:t>, EUCO 12/24</w:t>
      </w:r>
      <w:r w:rsidR="00E7340D">
        <w:rPr>
          <w:sz w:val="18"/>
          <w:szCs w:val="18"/>
        </w:rPr>
        <w:t>.</w:t>
      </w:r>
    </w:p>
  </w:footnote>
  <w:footnote w:id="15">
    <w:p w14:paraId="0AED727F" w14:textId="6AE1B423" w:rsidR="003A6A9C" w:rsidRPr="00E7340D" w:rsidRDefault="003A6A9C" w:rsidP="00A3193A">
      <w:pPr>
        <w:pStyle w:val="FootnoteText"/>
        <w:rPr>
          <w:sz w:val="18"/>
          <w:szCs w:val="18"/>
          <w:lang w:val="en-IE"/>
        </w:rPr>
      </w:pPr>
      <w:r w:rsidRPr="00E7340D">
        <w:rPr>
          <w:rStyle w:val="FootnoteReference"/>
          <w:sz w:val="18"/>
          <w:szCs w:val="18"/>
        </w:rPr>
        <w:footnoteRef/>
      </w:r>
      <w:r w:rsidR="278EFFF2" w:rsidRPr="00E7340D">
        <w:rPr>
          <w:sz w:val="18"/>
          <w:szCs w:val="18"/>
        </w:rPr>
        <w:t xml:space="preserve"> European Council, </w:t>
      </w:r>
      <w:hyperlink r:id="rId13">
        <w:r w:rsidR="278EFFF2" w:rsidRPr="00E7340D">
          <w:rPr>
            <w:rStyle w:val="Hyperlink"/>
            <w:sz w:val="18"/>
            <w:szCs w:val="18"/>
          </w:rPr>
          <w:t>The Versailles declaration</w:t>
        </w:r>
      </w:hyperlink>
      <w:r w:rsidR="278EFFF2" w:rsidRPr="00E7340D">
        <w:rPr>
          <w:sz w:val="18"/>
          <w:szCs w:val="18"/>
        </w:rPr>
        <w:t>, 10 and 11 March 2022</w:t>
      </w:r>
      <w:r w:rsidR="00571261">
        <w:rPr>
          <w:sz w:val="18"/>
          <w:szCs w:val="18"/>
        </w:rPr>
        <w:t>.</w:t>
      </w:r>
    </w:p>
  </w:footnote>
  <w:footnote w:id="16">
    <w:p w14:paraId="64E66827" w14:textId="6FC8A430" w:rsidR="00DC46DD" w:rsidRPr="00E7340D" w:rsidRDefault="00DC46DD" w:rsidP="00DC46DD">
      <w:pPr>
        <w:pStyle w:val="FootnoteText"/>
        <w:rPr>
          <w:sz w:val="18"/>
          <w:szCs w:val="18"/>
          <w:lang w:val="en-IE"/>
        </w:rPr>
      </w:pPr>
      <w:r w:rsidRPr="00E7340D">
        <w:rPr>
          <w:rStyle w:val="FootnoteReference"/>
          <w:sz w:val="18"/>
          <w:szCs w:val="18"/>
        </w:rPr>
        <w:footnoteRef/>
      </w:r>
      <w:r w:rsidRPr="00E7340D">
        <w:rPr>
          <w:sz w:val="18"/>
          <w:szCs w:val="18"/>
        </w:rPr>
        <w:t xml:space="preserve"> Council of the European Union, </w:t>
      </w:r>
      <w:hyperlink r:id="rId14">
        <w:r w:rsidRPr="00E7340D">
          <w:rPr>
            <w:rStyle w:val="Hyperlink"/>
            <w:sz w:val="18"/>
            <w:szCs w:val="18"/>
          </w:rPr>
          <w:t xml:space="preserve">A call for action on life sciences for the </w:t>
        </w:r>
        <w:r w:rsidR="00073476">
          <w:rPr>
            <w:rStyle w:val="Hyperlink"/>
            <w:sz w:val="18"/>
            <w:szCs w:val="18"/>
          </w:rPr>
          <w:t>EU’s</w:t>
        </w:r>
        <w:r w:rsidRPr="00E7340D">
          <w:rPr>
            <w:rStyle w:val="Hyperlink"/>
            <w:sz w:val="18"/>
            <w:szCs w:val="18"/>
          </w:rPr>
          <w:t xml:space="preserve"> competitiveness - Council conclusions</w:t>
        </w:r>
      </w:hyperlink>
      <w:r w:rsidRPr="00E7340D">
        <w:rPr>
          <w:sz w:val="18"/>
          <w:szCs w:val="18"/>
        </w:rPr>
        <w:t>, 13323/25, approved on 30 September 2025.</w:t>
      </w:r>
    </w:p>
  </w:footnote>
  <w:footnote w:id="17">
    <w:p w14:paraId="04CBA16D" w14:textId="587B5A65" w:rsidR="008628C5" w:rsidRPr="005A3019" w:rsidRDefault="008628C5">
      <w:pPr>
        <w:pStyle w:val="FootnoteText"/>
        <w:rPr>
          <w:sz w:val="18"/>
          <w:szCs w:val="18"/>
          <w:lang w:val="en-IE"/>
        </w:rPr>
      </w:pPr>
      <w:r w:rsidRPr="005A3019">
        <w:rPr>
          <w:rStyle w:val="FootnoteReference"/>
          <w:sz w:val="18"/>
          <w:szCs w:val="18"/>
        </w:rPr>
        <w:footnoteRef/>
      </w:r>
      <w:hyperlink r:id="rId15" w:anchor="ipcei-candidates-in-the-design-support-hub" w:history="1">
        <w:r w:rsidR="00992772" w:rsidRPr="00992772">
          <w:rPr>
            <w:rStyle w:val="Hyperlink"/>
            <w:sz w:val="18"/>
            <w:szCs w:val="18"/>
          </w:rPr>
          <w:t>https://competition-policy.ec.europa.eu/state-aid/ipcei/design-support-hub_en#ipcei-candidates-in-the-design-support-hub</w:t>
        </w:r>
      </w:hyperlink>
      <w:r w:rsidR="003B4361">
        <w:rPr>
          <w:sz w:val="18"/>
          <w:szCs w:val="18"/>
        </w:rPr>
        <w:t xml:space="preserve">. </w:t>
      </w:r>
    </w:p>
  </w:footnote>
  <w:footnote w:id="18">
    <w:p w14:paraId="1B7BF7A8" w14:textId="77777777" w:rsidR="001A57C1" w:rsidRPr="00E7340D" w:rsidRDefault="001A57C1" w:rsidP="001A57C1">
      <w:pPr>
        <w:pStyle w:val="FootnoteText"/>
        <w:rPr>
          <w:sz w:val="18"/>
          <w:szCs w:val="18"/>
          <w:lang w:val="en-US"/>
        </w:rPr>
      </w:pPr>
      <w:r w:rsidRPr="00E7340D">
        <w:rPr>
          <w:rStyle w:val="FootnoteReference"/>
          <w:sz w:val="18"/>
          <w:szCs w:val="18"/>
        </w:rPr>
        <w:footnoteRef/>
      </w:r>
      <w:r w:rsidRPr="00E7340D">
        <w:rPr>
          <w:sz w:val="18"/>
          <w:szCs w:val="18"/>
        </w:rPr>
        <w:t xml:space="preserve"> European Parliament, </w:t>
      </w:r>
      <w:hyperlink r:id="rId16">
        <w:r w:rsidRPr="00E7340D">
          <w:rPr>
            <w:rStyle w:val="Hyperlink"/>
            <w:sz w:val="18"/>
            <w:szCs w:val="18"/>
          </w:rPr>
          <w:t>2025/2008(INI)</w:t>
        </w:r>
      </w:hyperlink>
      <w:r w:rsidRPr="00E7340D">
        <w:rPr>
          <w:sz w:val="18"/>
          <w:szCs w:val="18"/>
        </w:rPr>
        <w:t>, 10 July 2025.</w:t>
      </w:r>
    </w:p>
  </w:footnote>
  <w:footnote w:id="19">
    <w:p w14:paraId="4E7E66C9" w14:textId="5D86A5BE" w:rsidR="00B6373C" w:rsidRPr="00E7340D" w:rsidRDefault="00B6373C" w:rsidP="00A3193A">
      <w:pPr>
        <w:pStyle w:val="FootnoteText"/>
        <w:rPr>
          <w:sz w:val="18"/>
          <w:szCs w:val="18"/>
          <w:lang w:val="en-IE"/>
        </w:rPr>
      </w:pPr>
      <w:r w:rsidRPr="00E7340D">
        <w:rPr>
          <w:rStyle w:val="FootnoteReference"/>
          <w:sz w:val="18"/>
          <w:szCs w:val="18"/>
        </w:rPr>
        <w:footnoteRef/>
      </w:r>
      <w:r w:rsidR="278EFFF2" w:rsidRPr="00E7340D">
        <w:rPr>
          <w:sz w:val="18"/>
          <w:szCs w:val="18"/>
        </w:rPr>
        <w:t xml:space="preserve"> European Parliament: </w:t>
      </w:r>
      <w:hyperlink r:id="rId17">
        <w:r w:rsidR="278EFFF2" w:rsidRPr="00E7340D">
          <w:rPr>
            <w:rStyle w:val="Hyperlink"/>
            <w:sz w:val="18"/>
            <w:szCs w:val="18"/>
          </w:rPr>
          <w:t>2025/2087(INI)</w:t>
        </w:r>
      </w:hyperlink>
      <w:r w:rsidR="00571261">
        <w:rPr>
          <w:sz w:val="18"/>
          <w:szCs w:val="18"/>
        </w:rPr>
        <w:t>.</w:t>
      </w:r>
    </w:p>
  </w:footnote>
  <w:footnote w:id="20">
    <w:p w14:paraId="2EF4C335" w14:textId="62F5A5DB" w:rsidR="00C827EE" w:rsidRPr="00064CB8" w:rsidRDefault="00C827EE" w:rsidP="004613D6">
      <w:pPr>
        <w:pStyle w:val="FootnoteText"/>
        <w:jc w:val="left"/>
        <w:rPr>
          <w:sz w:val="18"/>
          <w:szCs w:val="18"/>
          <w:lang w:val="pt-PT"/>
        </w:rPr>
      </w:pPr>
      <w:r w:rsidRPr="00E7340D">
        <w:rPr>
          <w:rStyle w:val="FootnoteReference"/>
          <w:rFonts w:eastAsia="Arial Narrow"/>
          <w:sz w:val="18"/>
          <w:szCs w:val="18"/>
        </w:rPr>
        <w:footnoteRef/>
      </w:r>
      <w:r w:rsidR="006014A2" w:rsidRPr="00064CB8">
        <w:rPr>
          <w:rFonts w:eastAsia="Arial Narrow"/>
          <w:sz w:val="18"/>
          <w:szCs w:val="18"/>
          <w:lang w:val="pt-PT"/>
        </w:rPr>
        <w:t xml:space="preserve"> </w:t>
      </w:r>
      <w:r w:rsidR="006936B8" w:rsidRPr="00064CB8">
        <w:rPr>
          <w:rFonts w:eastAsia="Arial Narrow"/>
          <w:sz w:val="18"/>
          <w:szCs w:val="18"/>
          <w:lang w:val="pt-PT"/>
        </w:rPr>
        <w:t>Regulation</w:t>
      </w:r>
      <w:r w:rsidRPr="00064CB8">
        <w:rPr>
          <w:rFonts w:eastAsia="Arial Narrow"/>
          <w:sz w:val="18"/>
          <w:szCs w:val="18"/>
          <w:lang w:val="pt-PT"/>
        </w:rPr>
        <w:t xml:space="preserve"> (EU) No 536/2014, OJ L 158, 27.5.2014, pp. 1–76. ELI:</w:t>
      </w:r>
      <w:r w:rsidR="00CB4B9C" w:rsidRPr="00064CB8">
        <w:rPr>
          <w:rFonts w:eastAsia="Arial Narrow"/>
          <w:sz w:val="18"/>
          <w:szCs w:val="18"/>
          <w:lang w:val="pt-PT"/>
        </w:rPr>
        <w:t xml:space="preserve"> </w:t>
      </w:r>
      <w:hyperlink r:id="rId18">
        <w:r w:rsidR="278EFFF2" w:rsidRPr="00064CB8">
          <w:rPr>
            <w:rStyle w:val="Hyperlink"/>
            <w:rFonts w:eastAsia="Arial Narrow"/>
            <w:sz w:val="18"/>
            <w:szCs w:val="18"/>
            <w:lang w:val="pt-PT"/>
          </w:rPr>
          <w:t>http://data.europa.eu/eli/reg/2014/536/oj</w:t>
        </w:r>
      </w:hyperlink>
      <w:r w:rsidR="278EFFF2" w:rsidRPr="00064CB8">
        <w:rPr>
          <w:sz w:val="18"/>
          <w:szCs w:val="18"/>
          <w:lang w:val="pt-PT"/>
        </w:rPr>
        <w:t>.</w:t>
      </w:r>
    </w:p>
  </w:footnote>
  <w:footnote w:id="21">
    <w:p w14:paraId="7EF19A99" w14:textId="00DC5F4A" w:rsidR="00C827EE" w:rsidRPr="00E7340D" w:rsidRDefault="00C827EE" w:rsidP="00A3193A">
      <w:pPr>
        <w:pStyle w:val="FootnoteText"/>
        <w:rPr>
          <w:sz w:val="18"/>
          <w:szCs w:val="18"/>
          <w:lang w:val="sv-SE"/>
        </w:rPr>
      </w:pPr>
      <w:r w:rsidRPr="00E7340D">
        <w:rPr>
          <w:rStyle w:val="FootnoteReference"/>
          <w:rFonts w:eastAsia="Arial Narrow"/>
          <w:sz w:val="18"/>
          <w:szCs w:val="18"/>
        </w:rPr>
        <w:footnoteRef/>
      </w:r>
      <w:r w:rsidR="0057543D" w:rsidRPr="00BB6DA3">
        <w:rPr>
          <w:rFonts w:eastAsia="Arial Narrow"/>
          <w:sz w:val="18"/>
          <w:szCs w:val="18"/>
          <w:lang w:val="pt-PT"/>
        </w:rPr>
        <w:t xml:space="preserve"> </w:t>
      </w:r>
      <w:r w:rsidRPr="00BB6DA3">
        <w:rPr>
          <w:rFonts w:eastAsia="Arial Narrow"/>
          <w:sz w:val="18"/>
          <w:szCs w:val="18"/>
          <w:lang w:val="pt-PT"/>
        </w:rPr>
        <w:t xml:space="preserve">Regulation (EC) No 1394/2007, OJ L 324, 10.12.2007, pp. 121–137. </w:t>
      </w:r>
      <w:r w:rsidRPr="00E7340D">
        <w:rPr>
          <w:rFonts w:eastAsia="Arial Narrow"/>
          <w:sz w:val="18"/>
          <w:szCs w:val="18"/>
          <w:lang w:val="sv-SE"/>
        </w:rPr>
        <w:t>ELI:</w:t>
      </w:r>
      <w:r w:rsidR="00CB4B9C" w:rsidRPr="00E7340D">
        <w:rPr>
          <w:rFonts w:eastAsia="Arial Narrow"/>
          <w:sz w:val="18"/>
          <w:szCs w:val="18"/>
          <w:lang w:val="sv-SE"/>
        </w:rPr>
        <w:t xml:space="preserve"> </w:t>
      </w:r>
      <w:hyperlink r:id="rId19">
        <w:r w:rsidR="278EFFF2" w:rsidRPr="00E7340D">
          <w:rPr>
            <w:rStyle w:val="Hyperlink"/>
            <w:rFonts w:eastAsia="Arial Narrow"/>
            <w:sz w:val="18"/>
            <w:szCs w:val="18"/>
            <w:lang w:val="sv-SE"/>
          </w:rPr>
          <w:t>http://data.europa.eu/eli/reg/2007/1394/oj</w:t>
        </w:r>
      </w:hyperlink>
      <w:r w:rsidR="278EFFF2" w:rsidRPr="00E7340D">
        <w:rPr>
          <w:sz w:val="18"/>
          <w:szCs w:val="18"/>
          <w:lang w:val="sv-SE"/>
        </w:rPr>
        <w:t>.</w:t>
      </w:r>
    </w:p>
  </w:footnote>
  <w:footnote w:id="22">
    <w:p w14:paraId="15C4D153" w14:textId="659345CB" w:rsidR="00C827EE" w:rsidRPr="00BE1C1B" w:rsidRDefault="00C827EE" w:rsidP="00A3193A">
      <w:pPr>
        <w:pStyle w:val="FootnoteText"/>
        <w:rPr>
          <w:sz w:val="18"/>
          <w:szCs w:val="18"/>
          <w:lang w:val="sv-SE"/>
        </w:rPr>
      </w:pPr>
      <w:r w:rsidRPr="00E7340D">
        <w:rPr>
          <w:rStyle w:val="FootnoteReference"/>
          <w:rFonts w:eastAsia="Arial Narrow"/>
          <w:sz w:val="18"/>
          <w:szCs w:val="18"/>
        </w:rPr>
        <w:footnoteRef/>
      </w:r>
      <w:r w:rsidR="0057543D" w:rsidRPr="00E7340D">
        <w:rPr>
          <w:rFonts w:eastAsia="Arial Narrow"/>
          <w:sz w:val="18"/>
          <w:szCs w:val="18"/>
          <w:lang w:val="sv-SE"/>
        </w:rPr>
        <w:t xml:space="preserve"> </w:t>
      </w:r>
      <w:r w:rsidRPr="00E7340D">
        <w:rPr>
          <w:rFonts w:eastAsia="Arial Narrow"/>
          <w:sz w:val="18"/>
          <w:szCs w:val="18"/>
          <w:lang w:val="sv-SE"/>
        </w:rPr>
        <w:t xml:space="preserve">Regulation (EU) 2024/1938, OJ L, 2024/1938, 17.7.2024. </w:t>
      </w:r>
      <w:r w:rsidR="278EFFF2" w:rsidRPr="00BE1C1B">
        <w:rPr>
          <w:rFonts w:eastAsia="Arial Narrow"/>
          <w:sz w:val="18"/>
          <w:szCs w:val="18"/>
          <w:lang w:val="sv-SE"/>
        </w:rPr>
        <w:t xml:space="preserve">ELI: </w:t>
      </w:r>
      <w:hyperlink r:id="rId20">
        <w:r w:rsidR="278EFFF2" w:rsidRPr="00BE1C1B">
          <w:rPr>
            <w:rStyle w:val="Hyperlink"/>
            <w:sz w:val="18"/>
            <w:szCs w:val="18"/>
            <w:lang w:val="sv-SE"/>
          </w:rPr>
          <w:t>http://data.europa.eu/eli/reg/2024/1938/oj</w:t>
        </w:r>
      </w:hyperlink>
      <w:r w:rsidR="278EFFF2" w:rsidRPr="00BE1C1B">
        <w:rPr>
          <w:sz w:val="18"/>
          <w:szCs w:val="18"/>
          <w:lang w:val="sv-SE"/>
        </w:rPr>
        <w:t>.</w:t>
      </w:r>
    </w:p>
  </w:footnote>
  <w:footnote w:id="23">
    <w:p w14:paraId="6156F8DE" w14:textId="5A1A8C92" w:rsidR="00A026FF" w:rsidRPr="00BE1C1B" w:rsidRDefault="00A026FF" w:rsidP="00A3193A">
      <w:pPr>
        <w:pStyle w:val="FootnoteText"/>
        <w:rPr>
          <w:sz w:val="18"/>
          <w:szCs w:val="18"/>
          <w:lang w:val="sv-SE"/>
        </w:rPr>
      </w:pPr>
      <w:r w:rsidRPr="00E7340D">
        <w:rPr>
          <w:rStyle w:val="FootnoteReference"/>
          <w:sz w:val="18"/>
          <w:szCs w:val="18"/>
        </w:rPr>
        <w:footnoteRef/>
      </w:r>
      <w:r w:rsidRPr="00BE1C1B">
        <w:rPr>
          <w:sz w:val="18"/>
          <w:szCs w:val="18"/>
          <w:lang w:val="sv-SE"/>
        </w:rPr>
        <w:t xml:space="preserve"> Di</w:t>
      </w:r>
      <w:r w:rsidRPr="00BE1C1B">
        <w:rPr>
          <w:rFonts w:eastAsia="Segoe UI"/>
          <w:color w:val="333333"/>
          <w:sz w:val="18"/>
          <w:szCs w:val="18"/>
          <w:lang w:val="sv-SE"/>
        </w:rPr>
        <w:t xml:space="preserve">rective </w:t>
      </w:r>
      <w:r w:rsidRPr="00BE1C1B">
        <w:rPr>
          <w:rFonts w:eastAsia="Segoe UI"/>
          <w:sz w:val="18"/>
          <w:szCs w:val="18"/>
          <w:lang w:val="sv-SE"/>
        </w:rPr>
        <w:t>2010/53/</w:t>
      </w:r>
      <w:r w:rsidR="000269B5" w:rsidRPr="00405618">
        <w:rPr>
          <w:rFonts w:eastAsia="Segoe UI"/>
          <w:sz w:val="18"/>
          <w:szCs w:val="18"/>
          <w:lang w:val="sv-SE"/>
        </w:rPr>
        <w:t>EU</w:t>
      </w:r>
      <w:r w:rsidR="000269B5" w:rsidRPr="00405618">
        <w:rPr>
          <w:rFonts w:eastAsia="Segoe UI"/>
          <w:color w:val="333333"/>
          <w:sz w:val="18"/>
          <w:szCs w:val="18"/>
          <w:lang w:val="sv-SE"/>
        </w:rPr>
        <w:t>,</w:t>
      </w:r>
      <w:r w:rsidRPr="00BE1C1B">
        <w:rPr>
          <w:rFonts w:eastAsia="Segoe UI"/>
          <w:color w:val="333333"/>
          <w:sz w:val="18"/>
          <w:szCs w:val="18"/>
          <w:lang w:val="sv-SE"/>
        </w:rPr>
        <w:t xml:space="preserve"> OJ L 207, 6.8.2010, p. 14, ELI: </w:t>
      </w:r>
      <w:hyperlink r:id="rId21" w:history="1">
        <w:r w:rsidRPr="00BE1C1B">
          <w:rPr>
            <w:rStyle w:val="Hyperlink"/>
            <w:rFonts w:eastAsia="Segoe UI"/>
            <w:sz w:val="18"/>
            <w:szCs w:val="18"/>
            <w:lang w:val="sv-SE"/>
          </w:rPr>
          <w:t>http://data.europa.eu/eli/dir/2010/53/oj</w:t>
        </w:r>
      </w:hyperlink>
      <w:r w:rsidRPr="00BE1C1B">
        <w:rPr>
          <w:rFonts w:eastAsia="Segoe UI"/>
          <w:color w:val="333333"/>
          <w:sz w:val="18"/>
          <w:szCs w:val="18"/>
          <w:lang w:val="sv-SE"/>
        </w:rPr>
        <w:t>.</w:t>
      </w:r>
    </w:p>
  </w:footnote>
  <w:footnote w:id="24">
    <w:p w14:paraId="3A9F2CCD" w14:textId="16D6798C" w:rsidR="00C827EE" w:rsidRPr="00817A9D" w:rsidRDefault="00C827EE" w:rsidP="00A3193A">
      <w:pPr>
        <w:pStyle w:val="FootnoteText"/>
        <w:rPr>
          <w:sz w:val="18"/>
          <w:szCs w:val="18"/>
          <w:lang w:val="en-IE"/>
        </w:rPr>
      </w:pPr>
      <w:r w:rsidRPr="00E7340D">
        <w:rPr>
          <w:rStyle w:val="FootnoteReference"/>
          <w:rFonts w:eastAsia="Arial Narrow"/>
          <w:sz w:val="18"/>
          <w:szCs w:val="18"/>
        </w:rPr>
        <w:footnoteRef/>
      </w:r>
      <w:r w:rsidR="0057543D" w:rsidRPr="00E7340D">
        <w:rPr>
          <w:rFonts w:eastAsia="Arial Narrow"/>
          <w:sz w:val="18"/>
          <w:szCs w:val="18"/>
          <w:lang w:val="sv-SE"/>
        </w:rPr>
        <w:t xml:space="preserve"> </w:t>
      </w:r>
      <w:r w:rsidRPr="00E7340D">
        <w:rPr>
          <w:rFonts w:eastAsia="Arial Narrow"/>
          <w:sz w:val="18"/>
          <w:szCs w:val="18"/>
          <w:lang w:val="sv-SE"/>
        </w:rPr>
        <w:t xml:space="preserve">Regulation (EU) 2019/6, OJ L 4, 7.1.2019, pp. 43–167. </w:t>
      </w:r>
      <w:r w:rsidRPr="00817A9D">
        <w:rPr>
          <w:rFonts w:eastAsia="Arial Narrow"/>
          <w:sz w:val="18"/>
          <w:szCs w:val="18"/>
          <w:lang w:val="en-IE"/>
        </w:rPr>
        <w:t>ELI:</w:t>
      </w:r>
      <w:r w:rsidR="00CB4B9C" w:rsidRPr="00817A9D">
        <w:rPr>
          <w:rFonts w:eastAsia="Arial Narrow"/>
          <w:sz w:val="18"/>
          <w:szCs w:val="18"/>
          <w:lang w:val="en-IE"/>
        </w:rPr>
        <w:t xml:space="preserve"> </w:t>
      </w:r>
      <w:hyperlink r:id="rId22" w:history="1">
        <w:r w:rsidR="00CB4B9C" w:rsidRPr="00817A9D">
          <w:rPr>
            <w:rStyle w:val="Hyperlink"/>
            <w:sz w:val="18"/>
            <w:szCs w:val="18"/>
            <w:lang w:val="en-IE"/>
          </w:rPr>
          <w:t>http://data.europa.eu/eli/reg/2019/6/oj</w:t>
        </w:r>
      </w:hyperlink>
      <w:r w:rsidRPr="00817A9D">
        <w:rPr>
          <w:sz w:val="18"/>
          <w:szCs w:val="18"/>
          <w:lang w:val="en-IE"/>
        </w:rPr>
        <w:t>.</w:t>
      </w:r>
    </w:p>
  </w:footnote>
  <w:footnote w:id="25">
    <w:p w14:paraId="0786918A" w14:textId="44BE8F8E" w:rsidR="00C827EE" w:rsidRPr="00571261" w:rsidRDefault="00C827EE" w:rsidP="00A3193A">
      <w:pPr>
        <w:pStyle w:val="FootnoteText"/>
        <w:rPr>
          <w:sz w:val="18"/>
          <w:szCs w:val="18"/>
          <w:lang w:val="pl-PL"/>
        </w:rPr>
      </w:pPr>
      <w:r w:rsidRPr="00571261">
        <w:rPr>
          <w:rStyle w:val="FootnoteReference"/>
          <w:rFonts w:eastAsia="Arial Narrow"/>
          <w:sz w:val="18"/>
          <w:szCs w:val="18"/>
        </w:rPr>
        <w:footnoteRef/>
      </w:r>
      <w:r w:rsidR="00692B2B" w:rsidRPr="00BE1C1B">
        <w:rPr>
          <w:rFonts w:eastAsia="Arial Narrow"/>
          <w:sz w:val="18"/>
          <w:szCs w:val="18"/>
          <w:lang w:val="sv-SE"/>
        </w:rPr>
        <w:t xml:space="preserve"> </w:t>
      </w:r>
      <w:r w:rsidRPr="00BE1C1B">
        <w:rPr>
          <w:rFonts w:eastAsia="Arial Narrow"/>
          <w:sz w:val="18"/>
          <w:szCs w:val="18"/>
          <w:lang w:val="sv-SE"/>
        </w:rPr>
        <w:t xml:space="preserve">Regulation (EC) No 178/2002, OJ L 31, 1.2.2002, pp. 1–24. </w:t>
      </w:r>
      <w:r w:rsidRPr="00571261">
        <w:rPr>
          <w:rFonts w:eastAsia="Arial Narrow"/>
          <w:sz w:val="18"/>
          <w:szCs w:val="18"/>
          <w:lang w:val="pl-PL"/>
        </w:rPr>
        <w:t>ELI:</w:t>
      </w:r>
      <w:r w:rsidR="00CB4B9C" w:rsidRPr="00571261">
        <w:rPr>
          <w:rFonts w:eastAsia="Arial Narrow"/>
          <w:sz w:val="18"/>
          <w:szCs w:val="18"/>
          <w:lang w:val="pl-PL"/>
        </w:rPr>
        <w:t xml:space="preserve"> </w:t>
      </w:r>
      <w:hyperlink r:id="rId23" w:history="1">
        <w:r w:rsidR="00CB4B9C" w:rsidRPr="00571261">
          <w:rPr>
            <w:rStyle w:val="Hyperlink"/>
            <w:sz w:val="18"/>
            <w:szCs w:val="18"/>
            <w:lang w:val="pl-PL"/>
          </w:rPr>
          <w:t>http://data.europa.eu/eli/reg/2002/178/oj</w:t>
        </w:r>
      </w:hyperlink>
      <w:r w:rsidRPr="00571261">
        <w:rPr>
          <w:sz w:val="18"/>
          <w:szCs w:val="18"/>
          <w:lang w:val="pl-PL"/>
        </w:rPr>
        <w:t>.</w:t>
      </w:r>
    </w:p>
  </w:footnote>
  <w:footnote w:id="26">
    <w:p w14:paraId="1B614C8F" w14:textId="160A8929" w:rsidR="00917020" w:rsidRPr="00571261" w:rsidRDefault="00917020" w:rsidP="00A3193A">
      <w:pPr>
        <w:pStyle w:val="FootnoteText"/>
        <w:rPr>
          <w:sz w:val="18"/>
          <w:szCs w:val="18"/>
          <w:lang w:val="en-IE"/>
        </w:rPr>
      </w:pPr>
      <w:r w:rsidRPr="00571261">
        <w:rPr>
          <w:rStyle w:val="FootnoteReference"/>
          <w:sz w:val="18"/>
          <w:szCs w:val="18"/>
        </w:rPr>
        <w:footnoteRef/>
      </w:r>
      <w:r w:rsidRPr="00571261">
        <w:rPr>
          <w:sz w:val="18"/>
          <w:szCs w:val="18"/>
        </w:rPr>
        <w:t xml:space="preserve"> E.g. genetically modified food and feed is subject to Regulation (EC) No 1829/2003, OJ L 268, 18.10.2003, pp. 1–23. ELI: </w:t>
      </w:r>
      <w:hyperlink r:id="rId24" w:history="1">
        <w:r w:rsidR="000316AB" w:rsidRPr="00571261">
          <w:rPr>
            <w:rStyle w:val="Hyperlink"/>
            <w:sz w:val="18"/>
            <w:szCs w:val="18"/>
          </w:rPr>
          <w:t>http://data.europa.eu/eli/reg/2003/1829/oj</w:t>
        </w:r>
      </w:hyperlink>
      <w:r w:rsidRPr="00571261">
        <w:rPr>
          <w:sz w:val="18"/>
          <w:szCs w:val="18"/>
        </w:rPr>
        <w:t>. </w:t>
      </w:r>
    </w:p>
  </w:footnote>
  <w:footnote w:id="27">
    <w:p w14:paraId="5089FF2C" w14:textId="22AD2DBB" w:rsidR="00C827EE" w:rsidRPr="004613D6" w:rsidRDefault="00C827EE" w:rsidP="00A3193A">
      <w:pPr>
        <w:pStyle w:val="FootnoteText"/>
        <w:rPr>
          <w:sz w:val="18"/>
          <w:szCs w:val="18"/>
          <w:lang w:val="pl-PL"/>
        </w:rPr>
      </w:pPr>
      <w:r w:rsidRPr="00571261">
        <w:rPr>
          <w:rStyle w:val="FootnoteReference"/>
          <w:rFonts w:eastAsia="Arial Narrow"/>
          <w:sz w:val="18"/>
          <w:szCs w:val="18"/>
        </w:rPr>
        <w:footnoteRef/>
      </w:r>
      <w:r w:rsidR="00692B2B" w:rsidRPr="00571261">
        <w:rPr>
          <w:rFonts w:eastAsia="Arial Narrow"/>
          <w:sz w:val="18"/>
          <w:szCs w:val="18"/>
          <w:lang w:val="en-IE"/>
        </w:rPr>
        <w:t xml:space="preserve"> </w:t>
      </w:r>
      <w:r w:rsidRPr="00571261">
        <w:rPr>
          <w:rFonts w:eastAsia="Arial Narrow"/>
          <w:sz w:val="18"/>
          <w:szCs w:val="18"/>
          <w:lang w:val="en-IE"/>
        </w:rPr>
        <w:t xml:space="preserve">Directive 2001/18/EC, OJ L 106, 17.4.2001, pp. 1–39. </w:t>
      </w:r>
      <w:r w:rsidRPr="004613D6">
        <w:rPr>
          <w:rFonts w:eastAsia="Arial Narrow"/>
          <w:sz w:val="18"/>
          <w:szCs w:val="18"/>
          <w:lang w:val="pl-PL"/>
        </w:rPr>
        <w:t>ELI</w:t>
      </w:r>
      <w:r w:rsidR="00CB4B9C" w:rsidRPr="004613D6">
        <w:rPr>
          <w:rFonts w:eastAsia="Arial Narrow"/>
          <w:sz w:val="18"/>
          <w:szCs w:val="18"/>
          <w:lang w:val="pl-PL"/>
        </w:rPr>
        <w:t xml:space="preserve">: </w:t>
      </w:r>
      <w:hyperlink r:id="rId25" w:history="1">
        <w:r w:rsidR="00CB4B9C" w:rsidRPr="004613D6">
          <w:rPr>
            <w:rStyle w:val="Hyperlink"/>
            <w:sz w:val="18"/>
            <w:szCs w:val="18"/>
            <w:lang w:val="pl-PL"/>
          </w:rPr>
          <w:t>http://data.europa.eu/eli/dir/2001/18/oj</w:t>
        </w:r>
      </w:hyperlink>
      <w:r w:rsidRPr="004613D6">
        <w:rPr>
          <w:rFonts w:eastAsia="Arial Narrow"/>
          <w:sz w:val="18"/>
          <w:szCs w:val="18"/>
          <w:lang w:val="pl-PL"/>
        </w:rPr>
        <w:t>.</w:t>
      </w:r>
    </w:p>
  </w:footnote>
  <w:footnote w:id="28">
    <w:p w14:paraId="34BDFBE2" w14:textId="0E35BF89" w:rsidR="00C827EE" w:rsidRPr="00571261" w:rsidRDefault="00C827EE" w:rsidP="00A3193A">
      <w:pPr>
        <w:pStyle w:val="FootnoteText"/>
        <w:rPr>
          <w:sz w:val="18"/>
          <w:szCs w:val="18"/>
          <w:lang w:val="en-IE"/>
        </w:rPr>
      </w:pPr>
      <w:r w:rsidRPr="00571261">
        <w:rPr>
          <w:rStyle w:val="FootnoteReference"/>
          <w:rFonts w:eastAsia="Arial Narrow"/>
          <w:sz w:val="18"/>
          <w:szCs w:val="18"/>
        </w:rPr>
        <w:footnoteRef/>
      </w:r>
      <w:r w:rsidR="278EFFF2" w:rsidRPr="00571261">
        <w:rPr>
          <w:rFonts w:eastAsia="Arial Narrow"/>
          <w:sz w:val="18"/>
          <w:szCs w:val="18"/>
          <w:lang w:val="en-IE"/>
        </w:rPr>
        <w:t xml:space="preserve"> </w:t>
      </w:r>
      <w:r w:rsidR="278EFFF2" w:rsidRPr="00571261">
        <w:rPr>
          <w:rFonts w:eastAsia="Arial Narrow"/>
          <w:sz w:val="18"/>
          <w:szCs w:val="18"/>
        </w:rPr>
        <w:t>European Commission website</w:t>
      </w:r>
      <w:r w:rsidR="278EFFF2" w:rsidRPr="00571261">
        <w:rPr>
          <w:sz w:val="18"/>
          <w:szCs w:val="18"/>
        </w:rPr>
        <w:t xml:space="preserve">, </w:t>
      </w:r>
      <w:hyperlink r:id="rId26">
        <w:r w:rsidR="278EFFF2" w:rsidRPr="00571261">
          <w:rPr>
            <w:rStyle w:val="Hyperlink"/>
            <w:rFonts w:eastAsia="Arial Narrow"/>
            <w:sz w:val="18"/>
            <w:szCs w:val="18"/>
          </w:rPr>
          <w:t>Critical medicines Act</w:t>
        </w:r>
      </w:hyperlink>
      <w:r w:rsidR="00571261">
        <w:rPr>
          <w:rFonts w:eastAsia="Arial Narrow"/>
          <w:sz w:val="18"/>
          <w:szCs w:val="18"/>
          <w:lang w:val="en-IE"/>
        </w:rPr>
        <w:t>.</w:t>
      </w:r>
    </w:p>
  </w:footnote>
  <w:footnote w:id="29">
    <w:p w14:paraId="7774DAE0" w14:textId="3255E75A" w:rsidR="00C827EE" w:rsidRPr="00571261" w:rsidRDefault="00C827EE" w:rsidP="00A3193A">
      <w:pPr>
        <w:pStyle w:val="FootnoteText"/>
        <w:rPr>
          <w:sz w:val="18"/>
          <w:szCs w:val="18"/>
        </w:rPr>
      </w:pPr>
      <w:r w:rsidRPr="00571261">
        <w:rPr>
          <w:rStyle w:val="FootnoteReference"/>
          <w:rFonts w:eastAsia="Arial Narrow"/>
          <w:sz w:val="18"/>
          <w:szCs w:val="18"/>
        </w:rPr>
        <w:footnoteRef/>
      </w:r>
      <w:r w:rsidR="278EFFF2" w:rsidRPr="00571261">
        <w:rPr>
          <w:sz w:val="18"/>
          <w:szCs w:val="18"/>
        </w:rPr>
        <w:t xml:space="preserve"> </w:t>
      </w:r>
      <w:hyperlink r:id="rId27">
        <w:r w:rsidR="278EFFF2" w:rsidRPr="00571261">
          <w:rPr>
            <w:rStyle w:val="Hyperlink"/>
            <w:sz w:val="18"/>
            <w:szCs w:val="18"/>
          </w:rPr>
          <w:t>COM(2020) 761 final</w:t>
        </w:r>
      </w:hyperlink>
      <w:r w:rsidR="00571261">
        <w:rPr>
          <w:sz w:val="18"/>
          <w:szCs w:val="18"/>
        </w:rPr>
        <w:t>.</w:t>
      </w:r>
    </w:p>
  </w:footnote>
  <w:footnote w:id="30">
    <w:p w14:paraId="58FDB20B" w14:textId="5A8B5417" w:rsidR="00C827EE" w:rsidRPr="00571261" w:rsidRDefault="00C827EE" w:rsidP="00A3193A">
      <w:pPr>
        <w:pStyle w:val="FootnoteText"/>
        <w:rPr>
          <w:sz w:val="18"/>
          <w:szCs w:val="18"/>
        </w:rPr>
      </w:pPr>
      <w:r w:rsidRPr="00571261">
        <w:rPr>
          <w:rStyle w:val="FootnoteReference"/>
          <w:rFonts w:eastAsia="Arial Narrow"/>
          <w:sz w:val="18"/>
          <w:szCs w:val="18"/>
        </w:rPr>
        <w:footnoteRef/>
      </w:r>
      <w:r w:rsidR="278EFFF2" w:rsidRPr="00571261">
        <w:rPr>
          <w:rFonts w:eastAsia="Arial Narrow"/>
          <w:sz w:val="18"/>
          <w:szCs w:val="18"/>
        </w:rPr>
        <w:t xml:space="preserve"> European Commission website, </w:t>
      </w:r>
      <w:hyperlink r:id="rId28">
        <w:r w:rsidR="278EFFF2" w:rsidRPr="00571261">
          <w:rPr>
            <w:rStyle w:val="Hyperlink"/>
            <w:rFonts w:eastAsia="Arial Narrow"/>
            <w:sz w:val="18"/>
            <w:szCs w:val="18"/>
          </w:rPr>
          <w:t>Reform of the EU pharmaceutical legislation</w:t>
        </w:r>
      </w:hyperlink>
      <w:r w:rsidR="00571261">
        <w:rPr>
          <w:sz w:val="18"/>
          <w:szCs w:val="18"/>
        </w:rPr>
        <w:t>.</w:t>
      </w:r>
    </w:p>
  </w:footnote>
  <w:footnote w:id="31">
    <w:p w14:paraId="636283F1" w14:textId="374AE52B" w:rsidR="00131F08" w:rsidRPr="00571261" w:rsidRDefault="00131F08" w:rsidP="00A3193A">
      <w:pPr>
        <w:pStyle w:val="FootnoteText"/>
        <w:rPr>
          <w:sz w:val="18"/>
          <w:szCs w:val="18"/>
        </w:rPr>
      </w:pPr>
      <w:r w:rsidRPr="00571261">
        <w:rPr>
          <w:rStyle w:val="FootnoteReference"/>
          <w:sz w:val="18"/>
          <w:szCs w:val="18"/>
        </w:rPr>
        <w:footnoteRef/>
      </w:r>
      <w:r w:rsidRPr="00571261">
        <w:rPr>
          <w:sz w:val="18"/>
          <w:szCs w:val="18"/>
        </w:rPr>
        <w:t xml:space="preserve"> European Commission website</w:t>
      </w:r>
      <w:r w:rsidR="00711341" w:rsidRPr="00571261">
        <w:rPr>
          <w:sz w:val="18"/>
          <w:szCs w:val="18"/>
        </w:rPr>
        <w:t xml:space="preserve">, </w:t>
      </w:r>
      <w:hyperlink r:id="rId29" w:history="1">
        <w:r w:rsidR="00711341" w:rsidRPr="00571261">
          <w:rPr>
            <w:rStyle w:val="Hyperlink"/>
            <w:sz w:val="18"/>
            <w:szCs w:val="18"/>
          </w:rPr>
          <w:t>Simpler and more effective rules for medical devices</w:t>
        </w:r>
      </w:hyperlink>
      <w:r w:rsidR="00571261">
        <w:rPr>
          <w:sz w:val="18"/>
          <w:szCs w:val="18"/>
        </w:rPr>
        <w:t>.</w:t>
      </w:r>
    </w:p>
  </w:footnote>
  <w:footnote w:id="32">
    <w:p w14:paraId="666C27A7" w14:textId="77777777" w:rsidR="002D5495" w:rsidRPr="006A5819" w:rsidRDefault="002D5495" w:rsidP="002D5495">
      <w:pPr>
        <w:pStyle w:val="FootnoteText"/>
        <w:rPr>
          <w:sz w:val="18"/>
          <w:szCs w:val="18"/>
          <w:lang w:val="de-DE"/>
        </w:rPr>
      </w:pPr>
      <w:r w:rsidRPr="00571261">
        <w:rPr>
          <w:rStyle w:val="FootnoteReference"/>
          <w:sz w:val="18"/>
          <w:szCs w:val="18"/>
        </w:rPr>
        <w:footnoteRef/>
      </w:r>
      <w:r w:rsidRPr="006A5819">
        <w:rPr>
          <w:sz w:val="18"/>
          <w:szCs w:val="18"/>
          <w:lang w:val="fr-BE"/>
        </w:rPr>
        <w:t xml:space="preserve"> </w:t>
      </w:r>
      <w:r w:rsidRPr="006A5819">
        <w:rPr>
          <w:rFonts w:eastAsia="Arial Narrow"/>
          <w:sz w:val="18"/>
          <w:szCs w:val="18"/>
          <w:lang w:val="fr-BE"/>
        </w:rPr>
        <w:t xml:space="preserve">Regulations (EU) 2017/745, OJ L 117, 5.5.2017, pp. 1–175. </w:t>
      </w:r>
      <w:r w:rsidRPr="006A5819">
        <w:rPr>
          <w:rFonts w:eastAsia="Arial Narrow"/>
          <w:sz w:val="18"/>
          <w:szCs w:val="18"/>
          <w:lang w:val="de-DE"/>
        </w:rPr>
        <w:t>ELI: </w:t>
      </w:r>
      <w:hyperlink r:id="rId30">
        <w:r w:rsidRPr="006A5819">
          <w:rPr>
            <w:rStyle w:val="Hyperlink"/>
            <w:sz w:val="18"/>
            <w:szCs w:val="18"/>
            <w:lang w:val="de-DE"/>
          </w:rPr>
          <w:t>http://data.europa.eu/eli/reg/2017/745/oj</w:t>
        </w:r>
      </w:hyperlink>
      <w:r w:rsidRPr="006A5819">
        <w:rPr>
          <w:rFonts w:eastAsia="Arial Narrow"/>
          <w:sz w:val="18"/>
          <w:szCs w:val="18"/>
          <w:lang w:val="de-DE"/>
        </w:rPr>
        <w:t xml:space="preserve"> and (EU) 2017/746, OJ L 117, 5.5.2017, pp. 176–332. ELI: </w:t>
      </w:r>
      <w:hyperlink r:id="rId31">
        <w:r w:rsidRPr="006A5819">
          <w:rPr>
            <w:rStyle w:val="Hyperlink"/>
            <w:sz w:val="18"/>
            <w:szCs w:val="18"/>
            <w:lang w:val="de-DE"/>
          </w:rPr>
          <w:t>http://data.europa.eu/eli/reg/2017/746/oj</w:t>
        </w:r>
      </w:hyperlink>
      <w:r w:rsidRPr="006A5819">
        <w:rPr>
          <w:sz w:val="18"/>
          <w:szCs w:val="18"/>
          <w:lang w:val="de-DE"/>
        </w:rPr>
        <w:t>.</w:t>
      </w:r>
    </w:p>
  </w:footnote>
  <w:footnote w:id="33">
    <w:p w14:paraId="5E3A14F2" w14:textId="77777777" w:rsidR="002D5495" w:rsidRPr="006A5819" w:rsidRDefault="002D5495" w:rsidP="002D5495">
      <w:pPr>
        <w:pStyle w:val="FootnoteText"/>
        <w:rPr>
          <w:sz w:val="18"/>
          <w:szCs w:val="18"/>
          <w:lang w:val="sv-SE"/>
        </w:rPr>
      </w:pPr>
      <w:r w:rsidRPr="00571261">
        <w:rPr>
          <w:rStyle w:val="FootnoteReference"/>
          <w:sz w:val="18"/>
          <w:szCs w:val="18"/>
        </w:rPr>
        <w:footnoteRef/>
      </w:r>
      <w:r w:rsidRPr="006A5819">
        <w:rPr>
          <w:sz w:val="18"/>
          <w:szCs w:val="18"/>
          <w:lang w:val="sv-SE"/>
        </w:rPr>
        <w:t xml:space="preserve"> Regulation (EU) 2021/2282, OJ L 458, 22.12.2021, pp. 1–32. ELI: http://data.europa.eu/eli/reg/2021/2282/oj</w:t>
      </w:r>
    </w:p>
  </w:footnote>
  <w:footnote w:id="34">
    <w:p w14:paraId="07E02CF2" w14:textId="0E39AF97" w:rsidR="00F35D62" w:rsidRPr="00A3193A" w:rsidRDefault="00F35D62" w:rsidP="00A3193A">
      <w:pPr>
        <w:pStyle w:val="FootnoteText"/>
        <w:rPr>
          <w:sz w:val="18"/>
          <w:szCs w:val="18"/>
        </w:rPr>
      </w:pPr>
      <w:r w:rsidRPr="00571261">
        <w:rPr>
          <w:rStyle w:val="FootnoteReference"/>
          <w:sz w:val="18"/>
          <w:szCs w:val="18"/>
        </w:rPr>
        <w:footnoteRef/>
      </w:r>
      <w:r w:rsidR="001642F1" w:rsidRPr="00571261">
        <w:rPr>
          <w:sz w:val="18"/>
          <w:szCs w:val="18"/>
        </w:rPr>
        <w:t xml:space="preserve"> </w:t>
      </w:r>
      <w:r w:rsidR="00E31E4C" w:rsidRPr="00571261">
        <w:rPr>
          <w:sz w:val="18"/>
          <w:szCs w:val="18"/>
        </w:rPr>
        <w:t>see</w:t>
      </w:r>
      <w:r w:rsidR="001B0B0F" w:rsidRPr="00571261">
        <w:rPr>
          <w:sz w:val="18"/>
          <w:szCs w:val="18"/>
        </w:rPr>
        <w:t xml:space="preserve"> footnote </w:t>
      </w:r>
      <w:r w:rsidR="00E31E4C" w:rsidRPr="00571261">
        <w:rPr>
          <w:sz w:val="18"/>
          <w:szCs w:val="18"/>
        </w:rPr>
        <w:t>4</w:t>
      </w:r>
      <w:r w:rsidR="001B0B0F" w:rsidRPr="00571261">
        <w:rPr>
          <w:sz w:val="18"/>
          <w:szCs w:val="18"/>
        </w:rPr>
        <w:t>, page</w:t>
      </w:r>
      <w:r w:rsidR="00342300" w:rsidRPr="00571261">
        <w:rPr>
          <w:sz w:val="18"/>
          <w:szCs w:val="18"/>
        </w:rPr>
        <w:t xml:space="preserve"> </w:t>
      </w:r>
      <w:r w:rsidR="00953AEE">
        <w:rPr>
          <w:sz w:val="18"/>
          <w:szCs w:val="18"/>
        </w:rPr>
        <w:t>5</w:t>
      </w:r>
      <w:r w:rsidR="00E31E4C" w:rsidRPr="00571261">
        <w:rPr>
          <w:sz w:val="18"/>
          <w:szCs w:val="18"/>
        </w:rPr>
        <w:t>.</w:t>
      </w:r>
    </w:p>
  </w:footnote>
  <w:footnote w:id="35">
    <w:p w14:paraId="320E69FA" w14:textId="01402DB6" w:rsidR="00E97821" w:rsidRPr="00064CB8" w:rsidRDefault="00E97821" w:rsidP="00A3193A">
      <w:pPr>
        <w:pStyle w:val="FootnoteText"/>
        <w:rPr>
          <w:sz w:val="18"/>
          <w:szCs w:val="18"/>
          <w:lang w:val="pt-PT"/>
        </w:rPr>
      </w:pPr>
      <w:r w:rsidRPr="00571261">
        <w:rPr>
          <w:rStyle w:val="FootnoteReference"/>
          <w:sz w:val="18"/>
          <w:szCs w:val="18"/>
        </w:rPr>
        <w:footnoteRef/>
      </w:r>
      <w:r w:rsidRPr="00064CB8">
        <w:rPr>
          <w:sz w:val="18"/>
          <w:szCs w:val="18"/>
          <w:lang w:val="pt-PT"/>
        </w:rPr>
        <w:t xml:space="preserve"> </w:t>
      </w:r>
      <w:hyperlink r:id="rId32" w:history="1">
        <w:r w:rsidR="00361F43" w:rsidRPr="00064CB8">
          <w:rPr>
            <w:rStyle w:val="Hyperlink"/>
            <w:sz w:val="18"/>
            <w:szCs w:val="18"/>
            <w:lang w:val="pt-PT"/>
          </w:rPr>
          <w:t>COM/20</w:t>
        </w:r>
        <w:bookmarkStart w:id="27" w:name="_Hlt224299359"/>
        <w:bookmarkStart w:id="28" w:name="_Hlt224299360"/>
        <w:bookmarkEnd w:id="27"/>
        <w:bookmarkEnd w:id="28"/>
        <w:r w:rsidR="00361F43" w:rsidRPr="00064CB8">
          <w:rPr>
            <w:rStyle w:val="Hyperlink"/>
            <w:sz w:val="18"/>
            <w:szCs w:val="18"/>
            <w:lang w:val="pt-PT"/>
          </w:rPr>
          <w:t>25/47 final</w:t>
        </w:r>
      </w:hyperlink>
      <w:r w:rsidR="00D63DC4" w:rsidRPr="00064CB8">
        <w:rPr>
          <w:sz w:val="18"/>
          <w:szCs w:val="18"/>
          <w:lang w:val="pt-PT"/>
        </w:rPr>
        <w:t>.</w:t>
      </w:r>
    </w:p>
  </w:footnote>
  <w:footnote w:id="36">
    <w:p w14:paraId="3E28E813" w14:textId="6FAEC0B4" w:rsidR="00F35D62" w:rsidRPr="00064CB8" w:rsidRDefault="00F35D62" w:rsidP="00A3193A">
      <w:pPr>
        <w:pStyle w:val="FootnoteText"/>
        <w:rPr>
          <w:sz w:val="18"/>
          <w:szCs w:val="18"/>
          <w:lang w:val="pt-PT"/>
        </w:rPr>
      </w:pPr>
      <w:r w:rsidRPr="00571261">
        <w:rPr>
          <w:rStyle w:val="FootnoteReference"/>
          <w:sz w:val="18"/>
          <w:szCs w:val="18"/>
        </w:rPr>
        <w:footnoteRef/>
      </w:r>
      <w:r w:rsidR="278EFFF2" w:rsidRPr="00064CB8">
        <w:rPr>
          <w:rFonts w:eastAsia="Arial Narrow"/>
          <w:sz w:val="18"/>
          <w:szCs w:val="18"/>
          <w:lang w:val="pt-PT"/>
        </w:rPr>
        <w:t xml:space="preserve"> </w:t>
      </w:r>
      <w:hyperlink r:id="rId33">
        <w:r w:rsidR="278EFFF2" w:rsidRPr="00064CB8">
          <w:rPr>
            <w:rStyle w:val="Hyperlink"/>
            <w:rFonts w:eastAsia="Arial Narrow"/>
            <w:sz w:val="18"/>
            <w:szCs w:val="18"/>
            <w:lang w:val="pt-PT"/>
          </w:rPr>
          <w:t>COM(2025) 525 final</w:t>
        </w:r>
      </w:hyperlink>
      <w:r w:rsidR="00D63DC4" w:rsidRPr="00064CB8">
        <w:rPr>
          <w:sz w:val="18"/>
          <w:szCs w:val="18"/>
          <w:lang w:val="pt-PT"/>
        </w:rPr>
        <w:t>.</w:t>
      </w:r>
    </w:p>
  </w:footnote>
  <w:footnote w:id="37">
    <w:p w14:paraId="0D4CB24D" w14:textId="78586CA2" w:rsidR="003869A2" w:rsidRPr="00064CB8" w:rsidRDefault="003869A2" w:rsidP="00A3193A">
      <w:pPr>
        <w:pStyle w:val="FootnoteText"/>
        <w:rPr>
          <w:sz w:val="18"/>
          <w:szCs w:val="18"/>
          <w:lang w:val="pt-PT"/>
        </w:rPr>
      </w:pPr>
      <w:r w:rsidRPr="00571261">
        <w:rPr>
          <w:rStyle w:val="FootnoteReference"/>
          <w:sz w:val="18"/>
          <w:szCs w:val="18"/>
        </w:rPr>
        <w:footnoteRef/>
      </w:r>
      <w:r w:rsidRPr="00064CB8">
        <w:rPr>
          <w:sz w:val="18"/>
          <w:szCs w:val="18"/>
          <w:lang w:val="pt-PT"/>
        </w:rPr>
        <w:t xml:space="preserve"> </w:t>
      </w:r>
      <w:hyperlink r:id="rId34" w:history="1">
        <w:r w:rsidRPr="00064CB8">
          <w:rPr>
            <w:rStyle w:val="Hyperlink"/>
            <w:sz w:val="18"/>
            <w:szCs w:val="18"/>
            <w:lang w:val="pt-PT"/>
          </w:rPr>
          <w:t>COM(2025)</w:t>
        </w:r>
        <w:r w:rsidR="00246EF7" w:rsidRPr="00064CB8">
          <w:rPr>
            <w:rStyle w:val="Hyperlink"/>
            <w:sz w:val="18"/>
            <w:szCs w:val="18"/>
            <w:lang w:val="pt-PT"/>
          </w:rPr>
          <w:t xml:space="preserve"> </w:t>
        </w:r>
        <w:r w:rsidRPr="00064CB8">
          <w:rPr>
            <w:rStyle w:val="Hyperlink"/>
            <w:sz w:val="18"/>
            <w:szCs w:val="18"/>
            <w:lang w:val="pt-PT"/>
          </w:rPr>
          <w:t>124 final</w:t>
        </w:r>
      </w:hyperlink>
      <w:r w:rsidR="00D63DC4" w:rsidRPr="00064CB8">
        <w:rPr>
          <w:sz w:val="18"/>
          <w:szCs w:val="18"/>
          <w:lang w:val="pt-PT"/>
        </w:rPr>
        <w:t>.</w:t>
      </w:r>
    </w:p>
  </w:footnote>
  <w:footnote w:id="38">
    <w:p w14:paraId="425C0887" w14:textId="061A663A" w:rsidR="00F35D62" w:rsidRPr="00571261" w:rsidRDefault="00F35D62" w:rsidP="00A3193A">
      <w:pPr>
        <w:pStyle w:val="FootnoteText"/>
        <w:rPr>
          <w:sz w:val="18"/>
          <w:szCs w:val="18"/>
          <w:lang w:val="en-IE"/>
        </w:rPr>
      </w:pPr>
      <w:r w:rsidRPr="00571261">
        <w:rPr>
          <w:rStyle w:val="FootnoteReference"/>
          <w:sz w:val="18"/>
          <w:szCs w:val="18"/>
        </w:rPr>
        <w:footnoteRef/>
      </w:r>
      <w:r w:rsidRPr="00571261">
        <w:rPr>
          <w:sz w:val="18"/>
          <w:szCs w:val="18"/>
        </w:rPr>
        <w:t xml:space="preserve"> </w:t>
      </w:r>
      <w:hyperlink r:id="rId35" w:history="1">
        <w:r w:rsidRPr="00571261">
          <w:rPr>
            <w:rStyle w:val="Hyperlink"/>
            <w:sz w:val="18"/>
            <w:szCs w:val="18"/>
          </w:rPr>
          <w:t>COM</w:t>
        </w:r>
        <w:r w:rsidR="00053D6A" w:rsidRPr="00571261">
          <w:rPr>
            <w:rStyle w:val="Hyperlink"/>
            <w:sz w:val="18"/>
            <w:szCs w:val="18"/>
          </w:rPr>
          <w:t>(</w:t>
        </w:r>
        <w:r w:rsidRPr="00571261">
          <w:rPr>
            <w:rStyle w:val="Hyperlink"/>
            <w:sz w:val="18"/>
            <w:szCs w:val="18"/>
          </w:rPr>
          <w:t>2025</w:t>
        </w:r>
        <w:r w:rsidR="00053D6A" w:rsidRPr="00571261">
          <w:rPr>
            <w:rStyle w:val="Hyperlink"/>
            <w:sz w:val="18"/>
            <w:szCs w:val="18"/>
          </w:rPr>
          <w:t>)</w:t>
        </w:r>
        <w:r w:rsidR="00246EF7" w:rsidRPr="00571261">
          <w:rPr>
            <w:rStyle w:val="Hyperlink"/>
            <w:sz w:val="18"/>
            <w:szCs w:val="18"/>
          </w:rPr>
          <w:t xml:space="preserve"> </w:t>
        </w:r>
        <w:r w:rsidRPr="00571261">
          <w:rPr>
            <w:rStyle w:val="Hyperlink"/>
            <w:sz w:val="18"/>
            <w:szCs w:val="18"/>
          </w:rPr>
          <w:t>270 final</w:t>
        </w:r>
      </w:hyperlink>
      <w:r w:rsidR="00D63DC4">
        <w:rPr>
          <w:sz w:val="18"/>
          <w:szCs w:val="18"/>
        </w:rPr>
        <w:t>.</w:t>
      </w:r>
    </w:p>
  </w:footnote>
  <w:footnote w:id="39">
    <w:p w14:paraId="2BBB4FCA" w14:textId="6482DBE2" w:rsidR="4A97AF12" w:rsidRPr="00571261" w:rsidRDefault="4A97AF12" w:rsidP="00A3193A">
      <w:pPr>
        <w:spacing w:after="0"/>
        <w:rPr>
          <w:rFonts w:eastAsia="Calibri"/>
          <w:sz w:val="18"/>
          <w:szCs w:val="18"/>
        </w:rPr>
      </w:pPr>
      <w:r w:rsidRPr="00571261">
        <w:rPr>
          <w:sz w:val="18"/>
          <w:szCs w:val="18"/>
          <w:vertAlign w:val="superscript"/>
        </w:rPr>
        <w:footnoteRef/>
      </w:r>
      <w:r w:rsidR="39B61950" w:rsidRPr="00571261">
        <w:rPr>
          <w:sz w:val="18"/>
          <w:szCs w:val="18"/>
        </w:rPr>
        <w:t xml:space="preserve"> </w:t>
      </w:r>
      <w:hyperlink r:id="rId36" w:history="1">
        <w:r w:rsidR="39B61950" w:rsidRPr="00571261">
          <w:rPr>
            <w:rStyle w:val="Hyperlink"/>
            <w:rFonts w:eastAsia="Calibri"/>
            <w:sz w:val="18"/>
            <w:szCs w:val="18"/>
          </w:rPr>
          <w:t>Scaleup Europe Fund - European Innovation Council - European Commission</w:t>
        </w:r>
      </w:hyperlink>
      <w:r w:rsidR="00D63DC4">
        <w:rPr>
          <w:sz w:val="18"/>
          <w:szCs w:val="18"/>
        </w:rPr>
        <w:t>.</w:t>
      </w:r>
    </w:p>
  </w:footnote>
  <w:footnote w:id="40">
    <w:p w14:paraId="25C33D7F" w14:textId="5611DA84" w:rsidR="00AD2C1E" w:rsidRPr="00391434" w:rsidRDefault="00AD2C1E">
      <w:pPr>
        <w:pStyle w:val="FootnoteText"/>
        <w:rPr>
          <w:sz w:val="18"/>
          <w:szCs w:val="18"/>
          <w:lang w:val="en-IE"/>
        </w:rPr>
      </w:pPr>
      <w:r w:rsidRPr="00391434">
        <w:rPr>
          <w:rStyle w:val="FootnoteReference"/>
          <w:sz w:val="18"/>
          <w:szCs w:val="18"/>
        </w:rPr>
        <w:footnoteRef/>
      </w:r>
      <w:r w:rsidRPr="00391434">
        <w:rPr>
          <w:sz w:val="18"/>
          <w:szCs w:val="18"/>
          <w:lang w:val="en-IE"/>
        </w:rPr>
        <w:t xml:space="preserve"> </w:t>
      </w:r>
      <w:hyperlink r:id="rId37" w:history="1">
        <w:r w:rsidR="004D2CF9" w:rsidRPr="00391434">
          <w:rPr>
            <w:rStyle w:val="Hyperlink"/>
            <w:sz w:val="18"/>
            <w:szCs w:val="18"/>
            <w:lang w:val="en-IE"/>
          </w:rPr>
          <w:t>JOIN</w:t>
        </w:r>
        <w:r w:rsidR="00582D96" w:rsidRPr="00391434">
          <w:rPr>
            <w:rStyle w:val="Hyperlink"/>
            <w:sz w:val="18"/>
            <w:szCs w:val="18"/>
            <w:lang w:val="en-IE"/>
          </w:rPr>
          <w:t>(2023) 20 final</w:t>
        </w:r>
      </w:hyperlink>
      <w:r w:rsidR="00D63DC4" w:rsidRPr="001B1EE0">
        <w:rPr>
          <w:sz w:val="18"/>
          <w:szCs w:val="18"/>
          <w:lang w:val="en-IE"/>
        </w:rPr>
        <w:t>.</w:t>
      </w:r>
    </w:p>
  </w:footnote>
  <w:footnote w:id="41">
    <w:p w14:paraId="6F51369E" w14:textId="65678114" w:rsidR="00F35D62" w:rsidRPr="00817A9D" w:rsidRDefault="00F35D62" w:rsidP="00A3193A">
      <w:pPr>
        <w:pStyle w:val="FootnoteText"/>
        <w:rPr>
          <w:sz w:val="18"/>
          <w:szCs w:val="18"/>
          <w:lang w:val="en-IE"/>
        </w:rPr>
      </w:pPr>
      <w:r w:rsidRPr="00571261">
        <w:rPr>
          <w:rStyle w:val="FootnoteReference"/>
          <w:sz w:val="18"/>
          <w:szCs w:val="18"/>
        </w:rPr>
        <w:footnoteRef/>
      </w:r>
      <w:r w:rsidR="00EE12E0" w:rsidRPr="00391434">
        <w:rPr>
          <w:sz w:val="18"/>
          <w:szCs w:val="18"/>
          <w:lang w:val="en-US"/>
        </w:rPr>
        <w:t xml:space="preserve"> </w:t>
      </w:r>
      <w:r w:rsidRPr="00391434">
        <w:rPr>
          <w:sz w:val="18"/>
          <w:szCs w:val="18"/>
          <w:lang w:val="en-US"/>
        </w:rPr>
        <w:t>Regulation (EU) 2022/2371, OJ L 314, 6.12.2022,</w:t>
      </w:r>
      <w:r w:rsidR="001642F1" w:rsidRPr="00391434">
        <w:rPr>
          <w:sz w:val="18"/>
          <w:szCs w:val="18"/>
          <w:lang w:val="en-US"/>
        </w:rPr>
        <w:t xml:space="preserve"> </w:t>
      </w:r>
      <w:r w:rsidRPr="00391434">
        <w:rPr>
          <w:sz w:val="18"/>
          <w:szCs w:val="18"/>
          <w:lang w:val="en-US"/>
        </w:rPr>
        <w:t xml:space="preserve">pp. 26–63. </w:t>
      </w:r>
      <w:r w:rsidRPr="00817A9D">
        <w:rPr>
          <w:sz w:val="18"/>
          <w:szCs w:val="18"/>
          <w:lang w:val="en-IE"/>
        </w:rPr>
        <w:t>ELI:</w:t>
      </w:r>
      <w:r w:rsidR="001642F1" w:rsidRPr="00817A9D">
        <w:rPr>
          <w:sz w:val="18"/>
          <w:szCs w:val="18"/>
          <w:lang w:val="en-IE"/>
        </w:rPr>
        <w:t xml:space="preserve"> </w:t>
      </w:r>
      <w:hyperlink r:id="rId38" w:tooltip="Gives access to this document through its ELI URI." w:history="1">
        <w:r w:rsidRPr="00817A9D">
          <w:rPr>
            <w:rStyle w:val="Hyperlink"/>
            <w:sz w:val="18"/>
            <w:szCs w:val="18"/>
            <w:lang w:val="en-IE"/>
          </w:rPr>
          <w:t>http://data.europa.eu/eli/reg/2022/2371/oj</w:t>
        </w:r>
      </w:hyperlink>
      <w:r w:rsidRPr="00817A9D">
        <w:rPr>
          <w:sz w:val="18"/>
          <w:szCs w:val="18"/>
          <w:lang w:val="en-IE"/>
        </w:rPr>
        <w:t>.</w:t>
      </w:r>
    </w:p>
  </w:footnote>
  <w:footnote w:id="42">
    <w:p w14:paraId="72286B01" w14:textId="503A00F9" w:rsidR="00B42835" w:rsidRPr="00064CB8" w:rsidRDefault="00B42835">
      <w:pPr>
        <w:pStyle w:val="FootnoteText"/>
        <w:rPr>
          <w:lang w:val="pt-PT"/>
        </w:rPr>
      </w:pPr>
      <w:r w:rsidRPr="00391434">
        <w:rPr>
          <w:rStyle w:val="FootnoteReference"/>
          <w:sz w:val="18"/>
          <w:szCs w:val="18"/>
        </w:rPr>
        <w:footnoteRef/>
      </w:r>
      <w:r w:rsidRPr="00064CB8">
        <w:rPr>
          <w:sz w:val="18"/>
          <w:szCs w:val="18"/>
          <w:lang w:val="pt-PT"/>
        </w:rPr>
        <w:t xml:space="preserve"> </w:t>
      </w:r>
      <w:hyperlink r:id="rId39" w:history="1">
        <w:r w:rsidR="00A12332" w:rsidRPr="00064CB8">
          <w:rPr>
            <w:rStyle w:val="Hyperlink"/>
            <w:sz w:val="18"/>
            <w:szCs w:val="18"/>
            <w:lang w:val="pt-PT"/>
          </w:rPr>
          <w:t>COM/2025/529 final</w:t>
        </w:r>
      </w:hyperlink>
      <w:r w:rsidR="00D63DC4" w:rsidRPr="00064CB8">
        <w:rPr>
          <w:sz w:val="18"/>
          <w:szCs w:val="18"/>
          <w:lang w:val="pt-PT"/>
        </w:rPr>
        <w:t>.</w:t>
      </w:r>
    </w:p>
  </w:footnote>
  <w:footnote w:id="43">
    <w:p w14:paraId="7225B6DB" w14:textId="333488A6" w:rsidR="00113E2F" w:rsidRPr="00064CB8" w:rsidRDefault="00113E2F" w:rsidP="00A3193A">
      <w:pPr>
        <w:pStyle w:val="FootnoteText"/>
        <w:rPr>
          <w:sz w:val="18"/>
          <w:szCs w:val="18"/>
          <w:lang w:val="pt-PT"/>
        </w:rPr>
      </w:pPr>
      <w:r w:rsidRPr="00571261">
        <w:rPr>
          <w:rStyle w:val="FootnoteReference"/>
          <w:sz w:val="18"/>
          <w:szCs w:val="18"/>
        </w:rPr>
        <w:footnoteRef/>
      </w:r>
      <w:r w:rsidRPr="00064CB8">
        <w:rPr>
          <w:sz w:val="18"/>
          <w:szCs w:val="18"/>
          <w:lang w:val="pt-PT"/>
        </w:rPr>
        <w:t xml:space="preserve"> </w:t>
      </w:r>
      <w:hyperlink r:id="rId40" w:history="1">
        <w:r w:rsidRPr="00064CB8">
          <w:rPr>
            <w:rStyle w:val="Hyperlink"/>
            <w:sz w:val="18"/>
            <w:szCs w:val="18"/>
            <w:lang w:val="pt-PT"/>
          </w:rPr>
          <w:t>COM(2025)</w:t>
        </w:r>
        <w:r w:rsidR="00246EF7" w:rsidRPr="00064CB8">
          <w:rPr>
            <w:rStyle w:val="Hyperlink"/>
            <w:sz w:val="18"/>
            <w:szCs w:val="18"/>
            <w:lang w:val="pt-PT"/>
          </w:rPr>
          <w:t xml:space="preserve"> </w:t>
        </w:r>
        <w:r w:rsidRPr="00064CB8">
          <w:rPr>
            <w:rStyle w:val="Hyperlink"/>
            <w:sz w:val="18"/>
            <w:szCs w:val="18"/>
            <w:lang w:val="pt-PT"/>
          </w:rPr>
          <w:t>90 final</w:t>
        </w:r>
      </w:hyperlink>
      <w:r w:rsidR="00D63DC4" w:rsidRPr="00064CB8">
        <w:rPr>
          <w:sz w:val="18"/>
          <w:szCs w:val="18"/>
          <w:lang w:val="pt-PT"/>
        </w:rPr>
        <w:t>.</w:t>
      </w:r>
    </w:p>
  </w:footnote>
  <w:footnote w:id="44">
    <w:p w14:paraId="02B3EC8E" w14:textId="4B9CDB42" w:rsidR="00A84AC5" w:rsidRPr="00064CB8" w:rsidRDefault="00A84AC5">
      <w:pPr>
        <w:pStyle w:val="FootnoteText"/>
        <w:rPr>
          <w:lang w:val="pt-PT"/>
        </w:rPr>
      </w:pPr>
      <w:r>
        <w:rPr>
          <w:rStyle w:val="FootnoteReference"/>
        </w:rPr>
        <w:footnoteRef/>
      </w:r>
      <w:r w:rsidRPr="00064CB8">
        <w:rPr>
          <w:lang w:val="pt-PT"/>
        </w:rPr>
        <w:t xml:space="preserve"> </w:t>
      </w:r>
      <w:hyperlink r:id="rId41" w:history="1">
        <w:r w:rsidRPr="00064CB8">
          <w:rPr>
            <w:rStyle w:val="Hyperlink"/>
            <w:sz w:val="18"/>
            <w:szCs w:val="18"/>
            <w:lang w:val="pt-PT"/>
          </w:rPr>
          <w:t>COM</w:t>
        </w:r>
        <w:r w:rsidR="004A6713" w:rsidRPr="00064CB8">
          <w:rPr>
            <w:rStyle w:val="Hyperlink"/>
            <w:sz w:val="18"/>
            <w:szCs w:val="18"/>
            <w:lang w:val="pt-PT"/>
          </w:rPr>
          <w:t>(2025) 497 final</w:t>
        </w:r>
      </w:hyperlink>
      <w:r w:rsidR="00D63DC4" w:rsidRPr="00064CB8">
        <w:rPr>
          <w:sz w:val="18"/>
          <w:szCs w:val="18"/>
          <w:lang w:val="pt-PT"/>
        </w:rPr>
        <w:t>.</w:t>
      </w:r>
    </w:p>
  </w:footnote>
  <w:footnote w:id="45">
    <w:p w14:paraId="1C7FA3E7" w14:textId="1F8EB1B2" w:rsidR="007763AA" w:rsidRPr="00571261" w:rsidRDefault="007763AA" w:rsidP="00A3193A">
      <w:pPr>
        <w:pStyle w:val="FootnoteText"/>
        <w:rPr>
          <w:sz w:val="18"/>
          <w:szCs w:val="18"/>
          <w:lang w:val="en-IE"/>
        </w:rPr>
      </w:pPr>
      <w:r w:rsidRPr="00571261">
        <w:rPr>
          <w:rStyle w:val="FootnoteReference"/>
          <w:sz w:val="18"/>
          <w:szCs w:val="18"/>
        </w:rPr>
        <w:footnoteRef/>
      </w:r>
      <w:r w:rsidR="5EF04AB1" w:rsidRPr="00571261">
        <w:rPr>
          <w:sz w:val="18"/>
          <w:szCs w:val="18"/>
        </w:rPr>
        <w:t xml:space="preserve"> </w:t>
      </w:r>
      <w:r w:rsidR="520AE0B0" w:rsidRPr="00571261">
        <w:rPr>
          <w:sz w:val="18"/>
          <w:szCs w:val="18"/>
        </w:rPr>
        <w:t>European Investment</w:t>
      </w:r>
      <w:r w:rsidR="4B726D82" w:rsidRPr="00571261">
        <w:rPr>
          <w:sz w:val="18"/>
          <w:szCs w:val="18"/>
        </w:rPr>
        <w:t xml:space="preserve"> Bank</w:t>
      </w:r>
      <w:r w:rsidR="23B864B7" w:rsidRPr="00571261">
        <w:rPr>
          <w:sz w:val="18"/>
          <w:szCs w:val="18"/>
        </w:rPr>
        <w:t>.</w:t>
      </w:r>
      <w:r w:rsidR="00A77947">
        <w:rPr>
          <w:sz w:val="18"/>
          <w:szCs w:val="18"/>
        </w:rPr>
        <w:t xml:space="preserve"> </w:t>
      </w:r>
      <w:r w:rsidR="00571261" w:rsidRPr="00571261">
        <w:rPr>
          <w:sz w:val="18"/>
          <w:szCs w:val="18"/>
        </w:rPr>
        <w:t>”Tech EU</w:t>
      </w:r>
      <w:r w:rsidR="23B864B7" w:rsidRPr="00571261">
        <w:rPr>
          <w:sz w:val="18"/>
          <w:szCs w:val="18"/>
        </w:rPr>
        <w:t xml:space="preserve">. </w:t>
      </w:r>
      <w:r w:rsidR="02990F08" w:rsidRPr="00571261">
        <w:rPr>
          <w:sz w:val="18"/>
          <w:szCs w:val="18"/>
        </w:rPr>
        <w:t>The EU's largest ever financing programme to support Europe's innovators from idea to IPO and from lab to leadership</w:t>
      </w:r>
      <w:r w:rsidR="1A068CA0" w:rsidRPr="00571261">
        <w:rPr>
          <w:sz w:val="18"/>
          <w:szCs w:val="18"/>
        </w:rPr>
        <w:t>.”</w:t>
      </w:r>
      <w:r w:rsidR="21C647D1" w:rsidRPr="00571261">
        <w:rPr>
          <w:sz w:val="18"/>
          <w:szCs w:val="18"/>
        </w:rPr>
        <w:t xml:space="preserve"> </w:t>
      </w:r>
      <w:r w:rsidR="57D31EA2" w:rsidRPr="00571261">
        <w:rPr>
          <w:sz w:val="18"/>
          <w:szCs w:val="18"/>
        </w:rPr>
        <w:t xml:space="preserve">European Investment Bank website </w:t>
      </w:r>
      <w:r w:rsidR="57D31EA2" w:rsidRPr="00571261">
        <w:rPr>
          <w:rFonts w:eastAsia="MS Mincho"/>
          <w:color w:val="000000" w:themeColor="text1"/>
          <w:sz w:val="18"/>
          <w:szCs w:val="18"/>
        </w:rPr>
        <w:t>accessed 12 March 2026</w:t>
      </w:r>
      <w:r w:rsidR="6B95F93E" w:rsidRPr="00571261">
        <w:rPr>
          <w:rFonts w:eastAsia="MS Mincho"/>
          <w:color w:val="000000" w:themeColor="text1"/>
          <w:sz w:val="18"/>
          <w:szCs w:val="18"/>
        </w:rPr>
        <w:t xml:space="preserve">, </w:t>
      </w:r>
      <w:hyperlink r:id="rId42" w:history="1">
        <w:r w:rsidRPr="00571261">
          <w:rPr>
            <w:rStyle w:val="Hyperlink"/>
            <w:sz w:val="18"/>
            <w:szCs w:val="18"/>
          </w:rPr>
          <w:t>https://www.eif.org/flagship-initiatives/techeu</w:t>
        </w:r>
      </w:hyperlink>
      <w:r w:rsidR="57D31EA2" w:rsidRPr="00571261">
        <w:rPr>
          <w:rStyle w:val="Hyperlink"/>
          <w:rFonts w:eastAsia="MS Mincho"/>
          <w:sz w:val="18"/>
          <w:szCs w:val="18"/>
        </w:rPr>
        <w:t>https://www.eif.org/flagship-initiatives/techeu</w:t>
      </w:r>
      <w:r w:rsidR="3E3C7890" w:rsidRPr="00571261">
        <w:rPr>
          <w:rStyle w:val="Hyperlink"/>
          <w:rFonts w:eastAsia="MS Mincho"/>
          <w:sz w:val="18"/>
          <w:szCs w:val="18"/>
        </w:rPr>
        <w:t>.</w:t>
      </w:r>
    </w:p>
  </w:footnote>
  <w:footnote w:id="46">
    <w:p w14:paraId="14F0A9F0" w14:textId="22E71E32" w:rsidR="62435EC3" w:rsidRPr="00571261" w:rsidRDefault="62435EC3" w:rsidP="00A3193A">
      <w:pPr>
        <w:pStyle w:val="FootnoteText"/>
        <w:rPr>
          <w:sz w:val="18"/>
          <w:szCs w:val="18"/>
          <w:lang w:val="en-IE"/>
        </w:rPr>
      </w:pPr>
      <w:r w:rsidRPr="00571261">
        <w:rPr>
          <w:rStyle w:val="FootnoteReference"/>
          <w:sz w:val="18"/>
          <w:szCs w:val="18"/>
        </w:rPr>
        <w:footnoteRef/>
      </w:r>
      <w:r w:rsidR="3933E54A" w:rsidRPr="00571261">
        <w:rPr>
          <w:sz w:val="18"/>
          <w:szCs w:val="18"/>
        </w:rPr>
        <w:t xml:space="preserve"> </w:t>
      </w:r>
      <w:r w:rsidR="3933E54A" w:rsidRPr="00571261">
        <w:rPr>
          <w:rFonts w:eastAsia="MS Mincho"/>
          <w:sz w:val="18"/>
          <w:szCs w:val="18"/>
        </w:rPr>
        <w:t>European Investment Bank</w:t>
      </w:r>
      <w:r w:rsidR="7C468AE2" w:rsidRPr="00571261">
        <w:rPr>
          <w:rFonts w:eastAsia="MS Mincho"/>
          <w:sz w:val="18"/>
          <w:szCs w:val="18"/>
        </w:rPr>
        <w:t>.</w:t>
      </w:r>
      <w:r w:rsidR="00A77947">
        <w:rPr>
          <w:rFonts w:eastAsia="MS Mincho"/>
          <w:sz w:val="18"/>
          <w:szCs w:val="18"/>
        </w:rPr>
        <w:t xml:space="preserve"> </w:t>
      </w:r>
      <w:r w:rsidR="00571261" w:rsidRPr="00571261">
        <w:rPr>
          <w:rFonts w:eastAsia="MS Mincho"/>
          <w:sz w:val="18"/>
          <w:szCs w:val="18"/>
        </w:rPr>
        <w:t>”European</w:t>
      </w:r>
      <w:r w:rsidR="7A77F43E" w:rsidRPr="00571261">
        <w:rPr>
          <w:rFonts w:eastAsia="MS Mincho"/>
          <w:sz w:val="18"/>
          <w:szCs w:val="18"/>
        </w:rPr>
        <w:t xml:space="preserve"> Tech Champions Initiative</w:t>
      </w:r>
      <w:r w:rsidR="4FE32309" w:rsidRPr="00571261">
        <w:rPr>
          <w:rFonts w:eastAsia="MS Mincho"/>
          <w:sz w:val="18"/>
          <w:szCs w:val="18"/>
        </w:rPr>
        <w:t xml:space="preserve">. </w:t>
      </w:r>
      <w:r w:rsidR="662A21E9" w:rsidRPr="00571261">
        <w:rPr>
          <w:rFonts w:eastAsia="MS Mincho"/>
          <w:sz w:val="18"/>
          <w:szCs w:val="18"/>
        </w:rPr>
        <w:t>Overview.”</w:t>
      </w:r>
      <w:r w:rsidR="44976189" w:rsidRPr="00571261">
        <w:rPr>
          <w:rFonts w:eastAsia="MS Mincho"/>
          <w:sz w:val="18"/>
          <w:szCs w:val="18"/>
        </w:rPr>
        <w:t xml:space="preserve"> European Investment Bank website </w:t>
      </w:r>
      <w:r w:rsidR="44976189" w:rsidRPr="00571261">
        <w:rPr>
          <w:rFonts w:eastAsia="MS Mincho"/>
          <w:color w:val="000000" w:themeColor="text1"/>
          <w:sz w:val="18"/>
          <w:szCs w:val="18"/>
        </w:rPr>
        <w:t>accessed 12 March 2026</w:t>
      </w:r>
      <w:r w:rsidR="30156D5D" w:rsidRPr="00571261">
        <w:rPr>
          <w:rFonts w:eastAsia="MS Mincho"/>
          <w:color w:val="000000" w:themeColor="text1"/>
          <w:sz w:val="18"/>
          <w:szCs w:val="18"/>
        </w:rPr>
        <w:t>,</w:t>
      </w:r>
      <w:r w:rsidR="7BA53D97" w:rsidRPr="00571261">
        <w:rPr>
          <w:sz w:val="18"/>
          <w:szCs w:val="18"/>
        </w:rPr>
        <w:t xml:space="preserve"> </w:t>
      </w:r>
      <w:hyperlink r:id="rId43" w:history="1">
        <w:r w:rsidR="00624FF8" w:rsidRPr="00571261">
          <w:rPr>
            <w:rStyle w:val="Hyperlink"/>
            <w:sz w:val="18"/>
            <w:szCs w:val="18"/>
          </w:rPr>
          <w:t>https://www.eif.org/flagship-initiatives/european-tech-champions-initiative/overview</w:t>
        </w:r>
      </w:hyperlink>
      <w:r w:rsidR="5861341F" w:rsidRPr="00571261">
        <w:rPr>
          <w:sz w:val="18"/>
          <w:szCs w:val="18"/>
        </w:rPr>
        <w:t>.</w:t>
      </w:r>
    </w:p>
  </w:footnote>
  <w:footnote w:id="47">
    <w:p w14:paraId="3C79F098" w14:textId="77777777" w:rsidR="0052413A" w:rsidRPr="00064CB8" w:rsidRDefault="0052413A" w:rsidP="00A3193A">
      <w:pPr>
        <w:pStyle w:val="FootnoteText"/>
        <w:rPr>
          <w:sz w:val="18"/>
          <w:szCs w:val="18"/>
          <w:lang w:val="pt-PT"/>
        </w:rPr>
      </w:pPr>
      <w:r w:rsidRPr="00571261">
        <w:rPr>
          <w:rStyle w:val="FootnoteReference"/>
          <w:sz w:val="18"/>
          <w:szCs w:val="18"/>
        </w:rPr>
        <w:footnoteRef/>
      </w:r>
      <w:r w:rsidRPr="00064CB8">
        <w:rPr>
          <w:sz w:val="18"/>
          <w:szCs w:val="18"/>
          <w:lang w:val="pt-PT"/>
        </w:rPr>
        <w:t xml:space="preserve"> </w:t>
      </w:r>
      <w:hyperlink r:id="rId44" w:history="1">
        <w:r w:rsidRPr="00064CB8">
          <w:rPr>
            <w:rStyle w:val="Hyperlink"/>
            <w:sz w:val="18"/>
            <w:szCs w:val="18"/>
            <w:lang w:val="pt-PT"/>
          </w:rPr>
          <w:t>COM(2025) 724 final</w:t>
        </w:r>
      </w:hyperlink>
    </w:p>
  </w:footnote>
  <w:footnote w:id="48">
    <w:p w14:paraId="0D4AB5C4" w14:textId="5AA90C02" w:rsidR="00F35D62" w:rsidRPr="00064CB8" w:rsidRDefault="00F35D62" w:rsidP="00A3193A">
      <w:pPr>
        <w:pStyle w:val="FootnoteText"/>
        <w:rPr>
          <w:sz w:val="18"/>
          <w:szCs w:val="18"/>
          <w:lang w:val="pt-PT"/>
        </w:rPr>
      </w:pPr>
      <w:r w:rsidRPr="00571261">
        <w:rPr>
          <w:rStyle w:val="FootnoteReference"/>
          <w:rFonts w:eastAsia="Arial Narrow"/>
          <w:sz w:val="18"/>
          <w:szCs w:val="18"/>
        </w:rPr>
        <w:footnoteRef/>
      </w:r>
      <w:r w:rsidRPr="00064CB8">
        <w:rPr>
          <w:sz w:val="18"/>
          <w:szCs w:val="18"/>
          <w:lang w:val="pt-PT"/>
        </w:rPr>
        <w:t xml:space="preserve"> </w:t>
      </w:r>
      <w:hyperlink r:id="rId45" w:history="1">
        <w:r w:rsidRPr="00064CB8">
          <w:rPr>
            <w:rStyle w:val="Hyperlink"/>
            <w:sz w:val="18"/>
            <w:szCs w:val="18"/>
            <w:lang w:val="pt-PT"/>
          </w:rPr>
          <w:t>COM</w:t>
        </w:r>
        <w:r w:rsidR="00246EF7" w:rsidRPr="00064CB8">
          <w:rPr>
            <w:rStyle w:val="Hyperlink"/>
            <w:sz w:val="18"/>
            <w:szCs w:val="18"/>
            <w:lang w:val="pt-PT"/>
          </w:rPr>
          <w:t>(</w:t>
        </w:r>
        <w:r w:rsidRPr="00064CB8">
          <w:rPr>
            <w:rStyle w:val="Hyperlink"/>
            <w:sz w:val="18"/>
            <w:szCs w:val="18"/>
            <w:lang w:val="pt-PT"/>
          </w:rPr>
          <w:t>2025</w:t>
        </w:r>
        <w:r w:rsidR="00246EF7" w:rsidRPr="00064CB8">
          <w:rPr>
            <w:rStyle w:val="Hyperlink"/>
            <w:sz w:val="18"/>
            <w:szCs w:val="18"/>
            <w:lang w:val="pt-PT"/>
          </w:rPr>
          <w:t xml:space="preserve">) </w:t>
        </w:r>
        <w:r w:rsidRPr="00064CB8">
          <w:rPr>
            <w:rStyle w:val="Hyperlink"/>
            <w:sz w:val="18"/>
            <w:szCs w:val="18"/>
            <w:lang w:val="pt-PT"/>
          </w:rPr>
          <w:t>723 final</w:t>
        </w:r>
      </w:hyperlink>
      <w:r w:rsidR="00571261" w:rsidRPr="00064CB8">
        <w:rPr>
          <w:sz w:val="18"/>
          <w:szCs w:val="18"/>
          <w:lang w:val="pt-PT"/>
        </w:rPr>
        <w:t>.</w:t>
      </w:r>
    </w:p>
  </w:footnote>
  <w:footnote w:id="49">
    <w:p w14:paraId="062BE118" w14:textId="777E059B" w:rsidR="00F35D62" w:rsidRPr="00064CB8" w:rsidRDefault="00F35D62" w:rsidP="00A3193A">
      <w:pPr>
        <w:pStyle w:val="FootnoteText"/>
        <w:rPr>
          <w:sz w:val="18"/>
          <w:szCs w:val="18"/>
          <w:lang w:val="pt-PT"/>
        </w:rPr>
      </w:pPr>
      <w:r w:rsidRPr="00571261">
        <w:rPr>
          <w:rStyle w:val="FootnoteReference"/>
          <w:sz w:val="18"/>
          <w:szCs w:val="18"/>
        </w:rPr>
        <w:footnoteRef/>
      </w:r>
      <w:r w:rsidR="00BF7784" w:rsidRPr="00064CB8">
        <w:rPr>
          <w:sz w:val="18"/>
          <w:szCs w:val="18"/>
          <w:lang w:val="pt-PT"/>
        </w:rPr>
        <w:t xml:space="preserve"> </w:t>
      </w:r>
      <w:hyperlink r:id="rId46" w:history="1">
        <w:r w:rsidR="00F46511" w:rsidRPr="00064CB8">
          <w:rPr>
            <w:rStyle w:val="Hyperlink"/>
            <w:sz w:val="18"/>
            <w:szCs w:val="18"/>
            <w:lang w:val="pt-PT"/>
          </w:rPr>
          <w:t>COM(2025)</w:t>
        </w:r>
        <w:r w:rsidR="005625C0" w:rsidRPr="00064CB8">
          <w:rPr>
            <w:rStyle w:val="Hyperlink"/>
            <w:sz w:val="18"/>
            <w:szCs w:val="18"/>
            <w:lang w:val="pt-PT"/>
          </w:rPr>
          <w:t xml:space="preserve"> 165 final</w:t>
        </w:r>
      </w:hyperlink>
      <w:r w:rsidR="00571261" w:rsidRPr="00064CB8">
        <w:rPr>
          <w:sz w:val="18"/>
          <w:szCs w:val="18"/>
          <w:lang w:val="pt-PT"/>
        </w:rPr>
        <w:t>.</w:t>
      </w:r>
    </w:p>
  </w:footnote>
  <w:footnote w:id="50">
    <w:p w14:paraId="5C6714BB" w14:textId="12137B5B" w:rsidR="00F35D62" w:rsidRPr="00540AAE" w:rsidRDefault="00F35D62" w:rsidP="00A3193A">
      <w:pPr>
        <w:pStyle w:val="FootnoteText"/>
        <w:rPr>
          <w:sz w:val="18"/>
          <w:szCs w:val="18"/>
          <w:lang w:val="sv-SE"/>
        </w:rPr>
      </w:pPr>
      <w:r w:rsidRPr="00571261">
        <w:rPr>
          <w:rStyle w:val="FootnoteReference"/>
          <w:sz w:val="18"/>
          <w:szCs w:val="18"/>
        </w:rPr>
        <w:footnoteRef/>
      </w:r>
      <w:r w:rsidR="009B70AE" w:rsidRPr="00540AAE">
        <w:rPr>
          <w:sz w:val="18"/>
          <w:szCs w:val="18"/>
          <w:lang w:val="sv-SE"/>
        </w:rPr>
        <w:t xml:space="preserve"> </w:t>
      </w:r>
      <w:r w:rsidRPr="00540AAE">
        <w:rPr>
          <w:sz w:val="18"/>
          <w:szCs w:val="18"/>
          <w:lang w:val="sv-SE"/>
        </w:rPr>
        <w:t>Regulation (EU) 2024/1689, OJ L, 2024/1689, 12.7.2024,</w:t>
      </w:r>
      <w:r w:rsidR="00A733AB" w:rsidRPr="00540AAE">
        <w:rPr>
          <w:sz w:val="18"/>
          <w:szCs w:val="18"/>
          <w:lang w:val="sv-SE"/>
        </w:rPr>
        <w:t xml:space="preserve"> </w:t>
      </w:r>
      <w:r w:rsidR="278EFFF2" w:rsidRPr="00540AAE">
        <w:rPr>
          <w:sz w:val="18"/>
          <w:szCs w:val="18"/>
          <w:lang w:val="sv-SE"/>
        </w:rPr>
        <w:t xml:space="preserve">ELI: </w:t>
      </w:r>
      <w:hyperlink r:id="rId47">
        <w:r w:rsidR="278EFFF2" w:rsidRPr="00540AAE">
          <w:rPr>
            <w:rStyle w:val="Hyperlink"/>
            <w:sz w:val="18"/>
            <w:szCs w:val="18"/>
            <w:lang w:val="sv-SE"/>
          </w:rPr>
          <w:t>http://data.europa.eu/eli/reg/2024/1689/oj</w:t>
        </w:r>
      </w:hyperlink>
      <w:r w:rsidR="278EFFF2" w:rsidRPr="00540AAE">
        <w:rPr>
          <w:sz w:val="18"/>
          <w:szCs w:val="18"/>
          <w:lang w:val="sv-SE"/>
        </w:rPr>
        <w:t>.</w:t>
      </w:r>
    </w:p>
  </w:footnote>
  <w:footnote w:id="51">
    <w:p w14:paraId="799340EB" w14:textId="3D801DEC" w:rsidR="00F35D62" w:rsidRPr="00064CB8" w:rsidRDefault="00F35D62" w:rsidP="00A3193A">
      <w:pPr>
        <w:pStyle w:val="FootnoteText"/>
        <w:rPr>
          <w:sz w:val="18"/>
          <w:szCs w:val="18"/>
          <w:lang w:val="pt-PT"/>
        </w:rPr>
      </w:pPr>
      <w:r w:rsidRPr="00571261">
        <w:rPr>
          <w:rStyle w:val="FootnoteReference"/>
          <w:sz w:val="18"/>
          <w:szCs w:val="18"/>
        </w:rPr>
        <w:footnoteRef/>
      </w:r>
      <w:r w:rsidR="009B70AE" w:rsidRPr="00064CB8">
        <w:rPr>
          <w:sz w:val="18"/>
          <w:szCs w:val="18"/>
          <w:lang w:val="pt-PT"/>
        </w:rPr>
        <w:t xml:space="preserve"> </w:t>
      </w:r>
      <w:hyperlink r:id="rId48" w:history="1">
        <w:r w:rsidRPr="00064CB8">
          <w:rPr>
            <w:rStyle w:val="Hyperlink"/>
            <w:rFonts w:eastAsia="Arial Narrow"/>
            <w:sz w:val="18"/>
            <w:szCs w:val="18"/>
            <w:lang w:val="pt-PT"/>
          </w:rPr>
          <w:t>COM(2025) 835 final</w:t>
        </w:r>
      </w:hyperlink>
      <w:r w:rsidR="00571261" w:rsidRPr="00064CB8">
        <w:rPr>
          <w:sz w:val="18"/>
          <w:szCs w:val="18"/>
          <w:lang w:val="pt-PT"/>
        </w:rPr>
        <w:t>.</w:t>
      </w:r>
    </w:p>
  </w:footnote>
  <w:footnote w:id="52">
    <w:p w14:paraId="0A2BF5F5" w14:textId="55288E10" w:rsidR="00CC580E" w:rsidRPr="00817A9D" w:rsidRDefault="00CC580E" w:rsidP="00A3193A">
      <w:pPr>
        <w:pStyle w:val="FootnoteText"/>
        <w:rPr>
          <w:sz w:val="18"/>
          <w:szCs w:val="18"/>
          <w:lang w:val="pt-PT"/>
        </w:rPr>
      </w:pPr>
      <w:r w:rsidRPr="00571261">
        <w:rPr>
          <w:rStyle w:val="FootnoteReference"/>
          <w:sz w:val="18"/>
          <w:szCs w:val="18"/>
        </w:rPr>
        <w:footnoteRef/>
      </w:r>
      <w:r w:rsidRPr="00064CB8">
        <w:rPr>
          <w:sz w:val="18"/>
          <w:szCs w:val="18"/>
          <w:lang w:val="pt-PT"/>
        </w:rPr>
        <w:t xml:space="preserve"> Regulation (EU) 2019/881, OJ L 151, 7.6.2019, pp. 15–69</w:t>
      </w:r>
      <w:r w:rsidRPr="00064CB8">
        <w:rPr>
          <w:i/>
          <w:sz w:val="18"/>
          <w:szCs w:val="18"/>
          <w:lang w:val="pt-PT"/>
        </w:rPr>
        <w:t xml:space="preserve">. </w:t>
      </w:r>
      <w:r w:rsidRPr="00817A9D">
        <w:rPr>
          <w:sz w:val="18"/>
          <w:szCs w:val="18"/>
          <w:lang w:val="pt-PT"/>
        </w:rPr>
        <w:t xml:space="preserve">ELI: </w:t>
      </w:r>
      <w:hyperlink r:id="rId49" w:tooltip="Gives access to this document through its ELI URI." w:history="1">
        <w:r w:rsidRPr="00817A9D">
          <w:rPr>
            <w:rStyle w:val="Hyperlink"/>
            <w:sz w:val="18"/>
            <w:szCs w:val="18"/>
            <w:lang w:val="pt-PT"/>
          </w:rPr>
          <w:t>http://data.europa.eu/eli/reg/2019/881/oj</w:t>
        </w:r>
      </w:hyperlink>
      <w:r w:rsidR="00571261" w:rsidRPr="00817A9D">
        <w:rPr>
          <w:sz w:val="18"/>
          <w:szCs w:val="18"/>
          <w:lang w:val="pt-PT"/>
        </w:rPr>
        <w:t>.</w:t>
      </w:r>
    </w:p>
  </w:footnote>
  <w:footnote w:id="53">
    <w:p w14:paraId="184A1781" w14:textId="1DE358A4" w:rsidR="0070565D" w:rsidRPr="00817A9D" w:rsidRDefault="0070565D" w:rsidP="00A3193A">
      <w:pPr>
        <w:pStyle w:val="FootnoteText"/>
        <w:rPr>
          <w:sz w:val="18"/>
          <w:szCs w:val="18"/>
          <w:lang w:val="pt-PT"/>
        </w:rPr>
      </w:pPr>
      <w:r w:rsidRPr="00571261">
        <w:rPr>
          <w:rStyle w:val="FootnoteReference"/>
          <w:sz w:val="18"/>
          <w:szCs w:val="18"/>
        </w:rPr>
        <w:footnoteRef/>
      </w:r>
      <w:r w:rsidRPr="00571261">
        <w:rPr>
          <w:sz w:val="18"/>
          <w:szCs w:val="18"/>
          <w:lang w:val="sv-SE"/>
        </w:rPr>
        <w:t xml:space="preserve"> Regulation (EU) 2025/327</w:t>
      </w:r>
      <w:r w:rsidR="00C20098" w:rsidRPr="00571261">
        <w:rPr>
          <w:sz w:val="18"/>
          <w:szCs w:val="18"/>
          <w:lang w:val="sv-SE"/>
        </w:rPr>
        <w:t xml:space="preserve">, OJ L, 2025/327, 5.3.2025. </w:t>
      </w:r>
      <w:r w:rsidR="00C20098" w:rsidRPr="00817A9D">
        <w:rPr>
          <w:sz w:val="18"/>
          <w:szCs w:val="18"/>
          <w:lang w:val="pt-PT"/>
        </w:rPr>
        <w:t xml:space="preserve">ELI: </w:t>
      </w:r>
      <w:hyperlink r:id="rId50" w:history="1">
        <w:r w:rsidR="00624FF8" w:rsidRPr="00817A9D">
          <w:rPr>
            <w:rStyle w:val="Hyperlink"/>
            <w:sz w:val="18"/>
            <w:szCs w:val="18"/>
            <w:lang w:val="pt-PT"/>
          </w:rPr>
          <w:t>http://data.europa.eu/eli/reg/2025/327/oj</w:t>
        </w:r>
      </w:hyperlink>
      <w:r w:rsidR="00C20098" w:rsidRPr="00817A9D">
        <w:rPr>
          <w:sz w:val="18"/>
          <w:szCs w:val="18"/>
          <w:lang w:val="pt-PT"/>
        </w:rPr>
        <w:t>.</w:t>
      </w:r>
    </w:p>
  </w:footnote>
  <w:footnote w:id="54">
    <w:p w14:paraId="120B6038" w14:textId="4AFD4218" w:rsidR="00954631" w:rsidRPr="00817A9D" w:rsidRDefault="00954631" w:rsidP="00A3193A">
      <w:pPr>
        <w:pStyle w:val="FootnoteText"/>
        <w:rPr>
          <w:sz w:val="18"/>
          <w:szCs w:val="18"/>
          <w:lang w:val="en-IE"/>
        </w:rPr>
      </w:pPr>
      <w:r w:rsidRPr="00571261">
        <w:rPr>
          <w:rStyle w:val="FootnoteReference"/>
          <w:sz w:val="18"/>
          <w:szCs w:val="18"/>
        </w:rPr>
        <w:footnoteRef/>
      </w:r>
      <w:r w:rsidRPr="00817A9D">
        <w:rPr>
          <w:sz w:val="18"/>
          <w:szCs w:val="18"/>
          <w:lang w:val="en-IE"/>
        </w:rPr>
        <w:t xml:space="preserve"> </w:t>
      </w:r>
      <w:hyperlink r:id="rId51" w:history="1">
        <w:r w:rsidR="00C24660" w:rsidRPr="00817A9D">
          <w:rPr>
            <w:rStyle w:val="Hyperlink"/>
            <w:sz w:val="18"/>
            <w:szCs w:val="18"/>
            <w:lang w:val="en-IE"/>
          </w:rPr>
          <w:t>COM/2025/835 final</w:t>
        </w:r>
      </w:hyperlink>
      <w:r w:rsidR="00571261" w:rsidRPr="00817A9D">
        <w:rPr>
          <w:sz w:val="18"/>
          <w:szCs w:val="18"/>
          <w:lang w:val="en-IE"/>
        </w:rPr>
        <w:t>.</w:t>
      </w:r>
    </w:p>
  </w:footnote>
  <w:footnote w:id="55">
    <w:p w14:paraId="2E2F3DF6" w14:textId="3147E97B" w:rsidR="00A23DED" w:rsidRPr="00817A9D" w:rsidRDefault="00A23DED">
      <w:pPr>
        <w:pStyle w:val="FootnoteText"/>
        <w:rPr>
          <w:sz w:val="18"/>
          <w:szCs w:val="18"/>
          <w:lang w:val="en-IE"/>
        </w:rPr>
      </w:pPr>
      <w:r w:rsidRPr="00E63328">
        <w:rPr>
          <w:rStyle w:val="FootnoteReference"/>
          <w:sz w:val="18"/>
          <w:szCs w:val="18"/>
        </w:rPr>
        <w:footnoteRef/>
      </w:r>
      <w:r w:rsidR="00E63328" w:rsidRPr="00817A9D">
        <w:rPr>
          <w:sz w:val="18"/>
          <w:szCs w:val="18"/>
          <w:lang w:val="en-IE"/>
        </w:rPr>
        <w:t xml:space="preserve"> </w:t>
      </w:r>
      <w:r w:rsidRPr="00817A9D">
        <w:rPr>
          <w:sz w:val="18"/>
          <w:szCs w:val="18"/>
          <w:lang w:val="en-IE"/>
        </w:rPr>
        <w:t xml:space="preserve">Regulation (EU) 2023/2854, </w:t>
      </w:r>
      <w:r w:rsidR="00E63328" w:rsidRPr="00817A9D">
        <w:rPr>
          <w:sz w:val="18"/>
          <w:szCs w:val="18"/>
          <w:lang w:val="en-IE"/>
        </w:rPr>
        <w:t xml:space="preserve">OJ L, 2023/2854, 22.12.2023, ELI: </w:t>
      </w:r>
      <w:hyperlink r:id="rId52" w:history="1">
        <w:r w:rsidR="00E63328" w:rsidRPr="00817A9D">
          <w:rPr>
            <w:rStyle w:val="Hyperlink"/>
            <w:sz w:val="18"/>
            <w:szCs w:val="18"/>
            <w:lang w:val="en-IE"/>
          </w:rPr>
          <w:t>http://data.europa.eu/eli/reg/2023/2854/oj</w:t>
        </w:r>
      </w:hyperlink>
      <w:r w:rsidR="00E63328" w:rsidRPr="00817A9D">
        <w:rPr>
          <w:sz w:val="18"/>
          <w:szCs w:val="18"/>
          <w:lang w:val="en-IE"/>
        </w:rPr>
        <w:t xml:space="preserve">. </w:t>
      </w:r>
    </w:p>
  </w:footnote>
  <w:footnote w:id="56">
    <w:p w14:paraId="212E624C" w14:textId="2958FC81" w:rsidR="00F35D62" w:rsidRPr="00817A9D" w:rsidRDefault="00F35D62" w:rsidP="00A3193A">
      <w:pPr>
        <w:pStyle w:val="FootnoteText"/>
        <w:rPr>
          <w:sz w:val="18"/>
          <w:szCs w:val="18"/>
          <w:lang w:val="en-IE"/>
        </w:rPr>
      </w:pPr>
      <w:r w:rsidRPr="00571261">
        <w:rPr>
          <w:rStyle w:val="FootnoteReference"/>
          <w:sz w:val="18"/>
          <w:szCs w:val="18"/>
        </w:rPr>
        <w:footnoteRef/>
      </w:r>
      <w:r w:rsidRPr="00817A9D">
        <w:rPr>
          <w:rFonts w:eastAsia="Arial Narrow"/>
          <w:sz w:val="18"/>
          <w:szCs w:val="18"/>
          <w:lang w:val="en-IE"/>
        </w:rPr>
        <w:t xml:space="preserve"> </w:t>
      </w:r>
      <w:hyperlink r:id="rId53" w:history="1">
        <w:r w:rsidRPr="00817A9D">
          <w:rPr>
            <w:rStyle w:val="Hyperlink"/>
            <w:rFonts w:eastAsia="Arial Narrow"/>
            <w:sz w:val="18"/>
            <w:szCs w:val="18"/>
            <w:lang w:val="en-IE"/>
          </w:rPr>
          <w:t>COM/2025/75 final</w:t>
        </w:r>
      </w:hyperlink>
      <w:r w:rsidR="00571261" w:rsidRPr="00817A9D">
        <w:rPr>
          <w:sz w:val="18"/>
          <w:szCs w:val="18"/>
          <w:lang w:val="en-IE"/>
        </w:rPr>
        <w:t>.</w:t>
      </w:r>
    </w:p>
  </w:footnote>
  <w:footnote w:id="57">
    <w:p w14:paraId="5C2E6A3A" w14:textId="0E28BEBD" w:rsidR="00657158" w:rsidRPr="00817A9D" w:rsidRDefault="00657158" w:rsidP="00A3193A">
      <w:pPr>
        <w:pStyle w:val="FootnoteText"/>
        <w:rPr>
          <w:sz w:val="18"/>
          <w:szCs w:val="18"/>
          <w:lang w:val="en-IE"/>
        </w:rPr>
      </w:pPr>
      <w:r w:rsidRPr="00571261">
        <w:rPr>
          <w:rStyle w:val="FootnoteReference"/>
          <w:sz w:val="18"/>
          <w:szCs w:val="18"/>
        </w:rPr>
        <w:footnoteRef/>
      </w:r>
      <w:r w:rsidRPr="00817A9D">
        <w:rPr>
          <w:sz w:val="18"/>
          <w:szCs w:val="18"/>
          <w:lang w:val="en-IE"/>
        </w:rPr>
        <w:t xml:space="preserve"> </w:t>
      </w:r>
      <w:hyperlink r:id="rId54" w:history="1">
        <w:r w:rsidR="00895012" w:rsidRPr="00817A9D">
          <w:rPr>
            <w:rStyle w:val="Hyperlink"/>
            <w:sz w:val="18"/>
            <w:szCs w:val="18"/>
            <w:lang w:val="en-IE"/>
          </w:rPr>
          <w:t>COM/2023/411 final</w:t>
        </w:r>
      </w:hyperlink>
      <w:r w:rsidR="00571261" w:rsidRPr="00817A9D">
        <w:rPr>
          <w:sz w:val="18"/>
          <w:szCs w:val="18"/>
          <w:lang w:val="en-IE"/>
        </w:rPr>
        <w:t>.</w:t>
      </w:r>
    </w:p>
  </w:footnote>
  <w:footnote w:id="58">
    <w:p w14:paraId="23EE15CB" w14:textId="77777777" w:rsidR="00E5018F" w:rsidRPr="00817A9D" w:rsidRDefault="00E5018F" w:rsidP="00E5018F">
      <w:pPr>
        <w:pStyle w:val="FootnoteText"/>
        <w:rPr>
          <w:sz w:val="18"/>
          <w:szCs w:val="18"/>
          <w:lang w:val="en-IE"/>
        </w:rPr>
      </w:pPr>
      <w:r w:rsidRPr="00571261">
        <w:rPr>
          <w:rStyle w:val="FootnoteReference"/>
          <w:rFonts w:eastAsia="Arial Narrow"/>
          <w:sz w:val="18"/>
          <w:szCs w:val="18"/>
        </w:rPr>
        <w:footnoteRef/>
      </w:r>
      <w:r w:rsidRPr="00817A9D">
        <w:rPr>
          <w:rFonts w:eastAsia="Arial Narrow"/>
          <w:sz w:val="18"/>
          <w:szCs w:val="18"/>
          <w:lang w:val="en-IE"/>
        </w:rPr>
        <w:t xml:space="preserve"> </w:t>
      </w:r>
      <w:hyperlink r:id="rId55" w:history="1">
        <w:r w:rsidRPr="00817A9D">
          <w:rPr>
            <w:rStyle w:val="Hyperlink"/>
            <w:rFonts w:eastAsia="Arial Narrow"/>
            <w:sz w:val="18"/>
            <w:szCs w:val="18"/>
            <w:lang w:val="en-IE"/>
          </w:rPr>
          <w:t>COM/2025/960 final</w:t>
        </w:r>
      </w:hyperlink>
      <w:r w:rsidRPr="00817A9D">
        <w:rPr>
          <w:rFonts w:eastAsia="Arial Narrow"/>
          <w:sz w:val="18"/>
          <w:szCs w:val="18"/>
          <w:lang w:val="en-IE"/>
        </w:rPr>
        <w:t>.</w:t>
      </w:r>
    </w:p>
  </w:footnote>
  <w:footnote w:id="59">
    <w:p w14:paraId="034C19E9" w14:textId="541E9733" w:rsidR="00F35D62" w:rsidRPr="00817A9D" w:rsidRDefault="00F35D62" w:rsidP="00A3193A">
      <w:pPr>
        <w:pStyle w:val="FootnoteText"/>
        <w:rPr>
          <w:sz w:val="18"/>
          <w:szCs w:val="18"/>
          <w:lang w:val="en-IE"/>
        </w:rPr>
      </w:pPr>
      <w:r w:rsidRPr="00571261">
        <w:rPr>
          <w:rStyle w:val="FootnoteReference"/>
          <w:sz w:val="18"/>
          <w:szCs w:val="18"/>
        </w:rPr>
        <w:footnoteRef/>
      </w:r>
      <w:r w:rsidR="00CC3A66" w:rsidRPr="00571261">
        <w:rPr>
          <w:sz w:val="18"/>
          <w:szCs w:val="18"/>
          <w:lang w:val="sv-SE"/>
        </w:rPr>
        <w:t xml:space="preserve"> </w:t>
      </w:r>
      <w:r w:rsidRPr="00571261">
        <w:rPr>
          <w:sz w:val="18"/>
          <w:szCs w:val="18"/>
          <w:lang w:val="sv-SE"/>
        </w:rPr>
        <w:t>Regulation (EU) 2021/1119</w:t>
      </w:r>
      <w:r w:rsidR="00CC3A66" w:rsidRPr="00571261">
        <w:rPr>
          <w:sz w:val="18"/>
          <w:szCs w:val="18"/>
          <w:lang w:val="sv-SE"/>
        </w:rPr>
        <w:t xml:space="preserve">, </w:t>
      </w:r>
      <w:r w:rsidRPr="00571261">
        <w:rPr>
          <w:sz w:val="18"/>
          <w:szCs w:val="18"/>
          <w:lang w:val="sv-SE"/>
        </w:rPr>
        <w:t xml:space="preserve">OJ L 243, 9.7.2021, pp. 1–17. </w:t>
      </w:r>
      <w:r w:rsidRPr="00817A9D">
        <w:rPr>
          <w:sz w:val="18"/>
          <w:szCs w:val="18"/>
          <w:lang w:val="en-IE"/>
        </w:rPr>
        <w:t xml:space="preserve">ELI: </w:t>
      </w:r>
      <w:hyperlink r:id="rId56" w:history="1">
        <w:r w:rsidRPr="00817A9D">
          <w:rPr>
            <w:rStyle w:val="Hyperlink"/>
            <w:sz w:val="18"/>
            <w:szCs w:val="18"/>
            <w:lang w:val="en-IE"/>
          </w:rPr>
          <w:t>http://data.europa.eu/eli/reg/2021/1119/oj</w:t>
        </w:r>
      </w:hyperlink>
      <w:r w:rsidRPr="00817A9D">
        <w:rPr>
          <w:sz w:val="18"/>
          <w:szCs w:val="18"/>
          <w:lang w:val="en-IE"/>
        </w:rPr>
        <w:t xml:space="preserve">. </w:t>
      </w:r>
    </w:p>
  </w:footnote>
  <w:footnote w:id="60">
    <w:p w14:paraId="198AB209" w14:textId="3193AB4A" w:rsidR="00F35D62" w:rsidRPr="00817A9D" w:rsidRDefault="00F35D62" w:rsidP="00A3193A">
      <w:pPr>
        <w:pStyle w:val="FootnoteText"/>
        <w:rPr>
          <w:sz w:val="18"/>
          <w:szCs w:val="18"/>
          <w:lang w:val="en-IE"/>
        </w:rPr>
      </w:pPr>
      <w:r w:rsidRPr="00571261">
        <w:rPr>
          <w:rStyle w:val="FootnoteReference"/>
          <w:sz w:val="18"/>
          <w:szCs w:val="18"/>
        </w:rPr>
        <w:footnoteRef/>
      </w:r>
      <w:r w:rsidRPr="00817A9D">
        <w:rPr>
          <w:sz w:val="18"/>
          <w:szCs w:val="18"/>
          <w:lang w:val="en-IE"/>
        </w:rPr>
        <w:t xml:space="preserve"> </w:t>
      </w:r>
      <w:hyperlink r:id="rId57" w:history="1">
        <w:r w:rsidRPr="00817A9D">
          <w:rPr>
            <w:rStyle w:val="Hyperlink"/>
            <w:sz w:val="18"/>
            <w:szCs w:val="18"/>
            <w:lang w:val="en-IE"/>
          </w:rPr>
          <w:t>COM/2021/82 final</w:t>
        </w:r>
      </w:hyperlink>
      <w:r w:rsidR="00571261" w:rsidRPr="00817A9D">
        <w:rPr>
          <w:sz w:val="18"/>
          <w:szCs w:val="18"/>
          <w:lang w:val="en-IE"/>
        </w:rPr>
        <w:t>.</w:t>
      </w:r>
    </w:p>
  </w:footnote>
  <w:footnote w:id="61">
    <w:p w14:paraId="78DCCFCF" w14:textId="09521ADE" w:rsidR="00F35D62" w:rsidRPr="00817A9D" w:rsidRDefault="00F35D62" w:rsidP="00A3193A">
      <w:pPr>
        <w:pStyle w:val="FootnoteText"/>
        <w:jc w:val="left"/>
        <w:rPr>
          <w:rFonts w:eastAsia="Times New Roman"/>
          <w:sz w:val="18"/>
          <w:szCs w:val="18"/>
          <w:lang w:val="en-IE"/>
        </w:rPr>
      </w:pPr>
      <w:r w:rsidRPr="00571261">
        <w:rPr>
          <w:rStyle w:val="FootnoteReference"/>
          <w:sz w:val="18"/>
          <w:szCs w:val="18"/>
        </w:rPr>
        <w:footnoteRef/>
      </w:r>
      <w:r w:rsidR="00554D93" w:rsidRPr="00817A9D">
        <w:rPr>
          <w:sz w:val="18"/>
          <w:szCs w:val="18"/>
          <w:lang w:val="en-IE"/>
        </w:rPr>
        <w:t xml:space="preserve"> </w:t>
      </w:r>
      <w:r w:rsidRPr="00817A9D">
        <w:rPr>
          <w:rFonts w:eastAsia="Times New Roman"/>
          <w:sz w:val="18"/>
          <w:szCs w:val="18"/>
          <w:lang w:val="en-IE"/>
        </w:rPr>
        <w:t>Consolidated text: Regulation (EC) No 1907/2006</w:t>
      </w:r>
      <w:r w:rsidR="00742975" w:rsidRPr="00817A9D">
        <w:rPr>
          <w:rFonts w:eastAsia="Times New Roman"/>
          <w:sz w:val="18"/>
          <w:szCs w:val="18"/>
          <w:lang w:val="en-IE"/>
        </w:rPr>
        <w:t>,</w:t>
      </w:r>
      <w:r w:rsidR="00A733AB" w:rsidRPr="00817A9D">
        <w:rPr>
          <w:rFonts w:eastAsia="Times New Roman"/>
          <w:sz w:val="18"/>
          <w:szCs w:val="18"/>
          <w:lang w:val="en-IE"/>
        </w:rPr>
        <w:t xml:space="preserve"> </w:t>
      </w:r>
      <w:r w:rsidR="278EFFF2" w:rsidRPr="00817A9D">
        <w:rPr>
          <w:rFonts w:eastAsia="Times New Roman"/>
          <w:sz w:val="18"/>
          <w:szCs w:val="18"/>
          <w:lang w:val="en-IE"/>
        </w:rPr>
        <w:t xml:space="preserve">ELI: </w:t>
      </w:r>
      <w:hyperlink r:id="rId58">
        <w:r w:rsidR="278EFFF2" w:rsidRPr="00817A9D">
          <w:rPr>
            <w:rStyle w:val="Hyperlink"/>
            <w:rFonts w:eastAsia="Times New Roman"/>
            <w:sz w:val="18"/>
            <w:szCs w:val="18"/>
            <w:lang w:val="en-IE"/>
          </w:rPr>
          <w:t>http://data.europa.eu/eli/reg/2006/1907/2025-09-01</w:t>
        </w:r>
      </w:hyperlink>
      <w:r w:rsidR="00571261" w:rsidRPr="00817A9D">
        <w:rPr>
          <w:sz w:val="18"/>
          <w:szCs w:val="18"/>
          <w:lang w:val="en-IE"/>
        </w:rPr>
        <w:t>.</w:t>
      </w:r>
    </w:p>
  </w:footnote>
  <w:footnote w:id="62">
    <w:p w14:paraId="4A1D2ACD" w14:textId="3067C774" w:rsidR="00F35D62" w:rsidRPr="00571261" w:rsidRDefault="00F35D62" w:rsidP="00A3193A">
      <w:pPr>
        <w:pStyle w:val="FootnoteText"/>
        <w:rPr>
          <w:rFonts w:eastAsia="Times New Roman"/>
          <w:sz w:val="18"/>
          <w:szCs w:val="18"/>
          <w:lang w:val="en-IE"/>
        </w:rPr>
      </w:pPr>
      <w:r w:rsidRPr="00571261">
        <w:rPr>
          <w:rStyle w:val="FootnoteReference"/>
          <w:sz w:val="18"/>
          <w:szCs w:val="18"/>
        </w:rPr>
        <w:footnoteRef/>
      </w:r>
      <w:r w:rsidR="278EFFF2" w:rsidRPr="00571261">
        <w:rPr>
          <w:sz w:val="18"/>
          <w:szCs w:val="18"/>
        </w:rPr>
        <w:t xml:space="preserve"> </w:t>
      </w:r>
      <w:r w:rsidR="278EFFF2" w:rsidRPr="00571261">
        <w:rPr>
          <w:rFonts w:eastAsia="Times New Roman"/>
          <w:sz w:val="18"/>
          <w:szCs w:val="18"/>
        </w:rPr>
        <w:t xml:space="preserve">Consolidated text: Regulation (EU) 2024/1735, </w:t>
      </w:r>
      <w:r w:rsidR="278EFFF2" w:rsidRPr="00571261">
        <w:rPr>
          <w:rFonts w:eastAsia="Times New Roman"/>
          <w:sz w:val="18"/>
          <w:szCs w:val="18"/>
          <w:lang w:val="en-IE"/>
        </w:rPr>
        <w:t xml:space="preserve">ELI: </w:t>
      </w:r>
      <w:hyperlink r:id="rId59">
        <w:r w:rsidR="278EFFF2" w:rsidRPr="00571261">
          <w:rPr>
            <w:rStyle w:val="Hyperlink"/>
            <w:rFonts w:eastAsia="Times New Roman"/>
            <w:sz w:val="18"/>
            <w:szCs w:val="18"/>
            <w:lang w:val="en-IE"/>
          </w:rPr>
          <w:t>http://data.europa.eu/eli/reg/2024/1735/2025-08-17</w:t>
        </w:r>
      </w:hyperlink>
      <w:r w:rsidR="00571261">
        <w:rPr>
          <w:sz w:val="18"/>
          <w:szCs w:val="18"/>
        </w:rPr>
        <w:t>.</w:t>
      </w:r>
    </w:p>
  </w:footnote>
  <w:footnote w:id="63">
    <w:p w14:paraId="702E9F5C" w14:textId="6D255774" w:rsidR="00A41783" w:rsidRPr="00A3193A" w:rsidRDefault="00A41783" w:rsidP="00A3193A">
      <w:pPr>
        <w:pStyle w:val="FootnoteText"/>
        <w:rPr>
          <w:sz w:val="18"/>
          <w:szCs w:val="18"/>
          <w:lang w:val="en-IE"/>
        </w:rPr>
      </w:pPr>
      <w:r w:rsidRPr="00571261">
        <w:rPr>
          <w:rStyle w:val="FootnoteReference"/>
          <w:sz w:val="18"/>
          <w:szCs w:val="18"/>
        </w:rPr>
        <w:footnoteRef/>
      </w:r>
      <w:r w:rsidRPr="00571261">
        <w:rPr>
          <w:sz w:val="18"/>
          <w:szCs w:val="18"/>
        </w:rPr>
        <w:t xml:space="preserve"> </w:t>
      </w:r>
      <w:hyperlink r:id="rId60" w:history="1">
        <w:r w:rsidR="00A77AE8" w:rsidRPr="00571261">
          <w:rPr>
            <w:rStyle w:val="Hyperlink"/>
            <w:sz w:val="18"/>
            <w:szCs w:val="18"/>
          </w:rPr>
          <w:t>COM(2025) 1022 final</w:t>
        </w:r>
      </w:hyperlink>
      <w:r w:rsidR="00624FF8" w:rsidRPr="00594DC8">
        <w:rPr>
          <w:sz w:val="18"/>
          <w:szCs w:val="18"/>
        </w:rPr>
        <w:t>,</w:t>
      </w:r>
      <w:r w:rsidR="00A77AE8" w:rsidRPr="00571261">
        <w:rPr>
          <w:sz w:val="18"/>
          <w:szCs w:val="18"/>
          <w:lang w:val="en-IE"/>
        </w:rPr>
        <w:t xml:space="preserve"> </w:t>
      </w:r>
      <w:r w:rsidR="005D75F1" w:rsidRPr="00571261">
        <w:rPr>
          <w:sz w:val="18"/>
          <w:szCs w:val="18"/>
        </w:rPr>
        <w:t>A</w:t>
      </w:r>
      <w:r w:rsidRPr="00571261">
        <w:rPr>
          <w:sz w:val="18"/>
          <w:szCs w:val="18"/>
        </w:rPr>
        <w:t>rt</w:t>
      </w:r>
      <w:r w:rsidR="005D75F1" w:rsidRPr="00571261">
        <w:rPr>
          <w:sz w:val="18"/>
          <w:szCs w:val="18"/>
        </w:rPr>
        <w:t>icle</w:t>
      </w:r>
      <w:r w:rsidRPr="00571261">
        <w:rPr>
          <w:sz w:val="18"/>
          <w:szCs w:val="18"/>
        </w:rPr>
        <w:t xml:space="preserve"> 2 (1)</w:t>
      </w:r>
      <w:r w:rsidR="00571261">
        <w:rPr>
          <w:sz w:val="18"/>
          <w:szCs w:val="18"/>
        </w:rPr>
        <w:t>.</w:t>
      </w:r>
    </w:p>
  </w:footnote>
  <w:footnote w:id="64">
    <w:p w14:paraId="424A81B4" w14:textId="290BBB20" w:rsidR="00A41783" w:rsidRPr="00833CA7" w:rsidRDefault="00A41783" w:rsidP="00A3193A">
      <w:pPr>
        <w:pStyle w:val="FootnoteText"/>
        <w:rPr>
          <w:sz w:val="18"/>
          <w:szCs w:val="18"/>
          <w:lang w:val="en-IE"/>
        </w:rPr>
      </w:pPr>
      <w:r w:rsidRPr="00833CA7">
        <w:rPr>
          <w:rStyle w:val="FootnoteReference"/>
          <w:sz w:val="18"/>
          <w:szCs w:val="18"/>
        </w:rPr>
        <w:footnoteRef/>
      </w:r>
      <w:r w:rsidRPr="00833CA7">
        <w:rPr>
          <w:sz w:val="18"/>
          <w:szCs w:val="18"/>
        </w:rPr>
        <w:t xml:space="preserve"> </w:t>
      </w:r>
      <w:r w:rsidR="00012D48" w:rsidRPr="00833CA7">
        <w:rPr>
          <w:sz w:val="18"/>
          <w:szCs w:val="18"/>
        </w:rPr>
        <w:t>Andreas Haaf and Vera Sale</w:t>
      </w:r>
      <w:r w:rsidR="001D7E84" w:rsidRPr="00833CA7">
        <w:rPr>
          <w:sz w:val="18"/>
          <w:szCs w:val="18"/>
        </w:rPr>
        <w:t xml:space="preserve">, </w:t>
      </w:r>
      <w:hyperlink r:id="rId61" w:history="1">
        <w:r w:rsidR="001D7E84" w:rsidRPr="00833CA7">
          <w:rPr>
            <w:rStyle w:val="Hyperlink"/>
            <w:sz w:val="18"/>
            <w:szCs w:val="18"/>
          </w:rPr>
          <w:t>Measuring the Economic Footprint of the Biotechnology Industry in the European Union</w:t>
        </w:r>
      </w:hyperlink>
      <w:r w:rsidR="009D36CB" w:rsidRPr="00833CA7">
        <w:rPr>
          <w:sz w:val="18"/>
          <w:szCs w:val="18"/>
        </w:rPr>
        <w:t>, Research Report March 2025,</w:t>
      </w:r>
      <w:r w:rsidR="00012D48" w:rsidRPr="00833CA7">
        <w:rPr>
          <w:sz w:val="18"/>
          <w:szCs w:val="18"/>
        </w:rPr>
        <w:t xml:space="preserve"> WiFOR</w:t>
      </w:r>
      <w:r w:rsidR="009D36CB" w:rsidRPr="00833CA7">
        <w:rPr>
          <w:sz w:val="18"/>
          <w:szCs w:val="18"/>
        </w:rPr>
        <w:t xml:space="preserve"> (</w:t>
      </w:r>
      <w:r w:rsidR="001D7E84" w:rsidRPr="00833CA7">
        <w:rPr>
          <w:sz w:val="18"/>
          <w:szCs w:val="18"/>
        </w:rPr>
        <w:t>Prepared for EuropaBio – The European Association for Bioindustries</w:t>
      </w:r>
      <w:r w:rsidR="009D36CB" w:rsidRPr="00833CA7">
        <w:rPr>
          <w:sz w:val="18"/>
          <w:szCs w:val="18"/>
        </w:rPr>
        <w:t>)</w:t>
      </w:r>
      <w:r w:rsidR="00833CA7">
        <w:rPr>
          <w:sz w:val="18"/>
          <w:szCs w:val="18"/>
        </w:rPr>
        <w:t>.</w:t>
      </w:r>
    </w:p>
  </w:footnote>
  <w:footnote w:id="65">
    <w:p w14:paraId="5DD1C5EB" w14:textId="6E7FE207" w:rsidR="00882023" w:rsidRPr="00833CA7" w:rsidRDefault="00882023" w:rsidP="00A3193A">
      <w:pPr>
        <w:pStyle w:val="FootnoteText"/>
        <w:rPr>
          <w:sz w:val="18"/>
          <w:szCs w:val="18"/>
          <w:lang w:val="en-IE"/>
        </w:rPr>
      </w:pPr>
      <w:r w:rsidRPr="00833CA7">
        <w:rPr>
          <w:rStyle w:val="FootnoteReference"/>
          <w:sz w:val="18"/>
          <w:szCs w:val="18"/>
        </w:rPr>
        <w:footnoteRef/>
      </w:r>
      <w:r w:rsidRPr="00833CA7">
        <w:rPr>
          <w:sz w:val="18"/>
          <w:szCs w:val="18"/>
        </w:rPr>
        <w:t xml:space="preserve"> Landscape analysis study</w:t>
      </w:r>
      <w:r w:rsidR="00833CA7">
        <w:rPr>
          <w:sz w:val="18"/>
          <w:szCs w:val="18"/>
        </w:rPr>
        <w:t>.</w:t>
      </w:r>
    </w:p>
  </w:footnote>
  <w:footnote w:id="66">
    <w:p w14:paraId="13442619" w14:textId="6054C368" w:rsidR="00DA10BB" w:rsidRPr="00833CA7" w:rsidRDefault="00DA10BB" w:rsidP="00A3193A">
      <w:pPr>
        <w:pStyle w:val="FootnoteText"/>
        <w:rPr>
          <w:sz w:val="18"/>
          <w:szCs w:val="18"/>
          <w:lang w:val="en-IE"/>
        </w:rPr>
      </w:pPr>
      <w:r w:rsidRPr="00833CA7">
        <w:rPr>
          <w:rStyle w:val="FootnoteReference"/>
          <w:sz w:val="18"/>
          <w:szCs w:val="18"/>
        </w:rPr>
        <w:footnoteRef/>
      </w:r>
      <w:r w:rsidRPr="00833CA7">
        <w:rPr>
          <w:sz w:val="18"/>
          <w:szCs w:val="18"/>
        </w:rPr>
        <w:t xml:space="preserve"> </w:t>
      </w:r>
      <w:r w:rsidR="00F111C7" w:rsidRPr="00833CA7">
        <w:rPr>
          <w:sz w:val="18"/>
          <w:szCs w:val="18"/>
          <w:lang w:val="en-IE"/>
        </w:rPr>
        <w:t>Landscape analysis study;</w:t>
      </w:r>
      <w:r w:rsidR="00641A81" w:rsidRPr="00833CA7">
        <w:rPr>
          <w:sz w:val="18"/>
          <w:szCs w:val="18"/>
          <w:lang w:val="en-IE"/>
        </w:rPr>
        <w:t xml:space="preserve"> </w:t>
      </w:r>
      <w:r w:rsidR="00CD2C77" w:rsidRPr="00833CA7">
        <w:rPr>
          <w:sz w:val="18"/>
          <w:szCs w:val="18"/>
          <w:lang w:val="en-IE"/>
        </w:rPr>
        <w:t xml:space="preserve">Biotech R&amp;D firms are firms that perform </w:t>
      </w:r>
      <w:r w:rsidR="009762D5" w:rsidRPr="00833CA7">
        <w:rPr>
          <w:sz w:val="18"/>
          <w:szCs w:val="18"/>
          <w:lang w:val="en-IE"/>
        </w:rPr>
        <w:t>biotechnology R&amp;D.</w:t>
      </w:r>
      <w:r w:rsidR="00F111C7" w:rsidRPr="00833CA7">
        <w:rPr>
          <w:sz w:val="18"/>
          <w:szCs w:val="18"/>
          <w:lang w:val="en-IE"/>
        </w:rPr>
        <w:t xml:space="preserve"> </w:t>
      </w:r>
    </w:p>
  </w:footnote>
  <w:footnote w:id="67">
    <w:p w14:paraId="678833E9" w14:textId="5DDB510C" w:rsidR="7E3D644D" w:rsidRPr="00833CA7" w:rsidRDefault="7E3D644D" w:rsidP="00A3193A">
      <w:pPr>
        <w:pStyle w:val="FootnoteText"/>
        <w:rPr>
          <w:sz w:val="18"/>
          <w:szCs w:val="18"/>
          <w:lang w:val="en-IE"/>
        </w:rPr>
      </w:pPr>
      <w:r w:rsidRPr="00833CA7">
        <w:rPr>
          <w:rStyle w:val="FootnoteReference"/>
          <w:sz w:val="18"/>
          <w:szCs w:val="18"/>
        </w:rPr>
        <w:footnoteRef/>
      </w:r>
      <w:r w:rsidRPr="00833CA7">
        <w:rPr>
          <w:sz w:val="18"/>
          <w:szCs w:val="18"/>
        </w:rPr>
        <w:t xml:space="preserve"> Landscape analysis study</w:t>
      </w:r>
      <w:r w:rsidR="00833CA7">
        <w:rPr>
          <w:sz w:val="18"/>
          <w:szCs w:val="18"/>
        </w:rPr>
        <w:t>.</w:t>
      </w:r>
    </w:p>
  </w:footnote>
  <w:footnote w:id="68">
    <w:p w14:paraId="73A9ABC3" w14:textId="4AB0BAF1" w:rsidR="00A41783" w:rsidRPr="00833CA7" w:rsidRDefault="00A41783" w:rsidP="00A3193A">
      <w:pPr>
        <w:pStyle w:val="FootnoteText"/>
        <w:rPr>
          <w:sz w:val="18"/>
          <w:szCs w:val="18"/>
          <w:lang w:val="en-IE"/>
        </w:rPr>
      </w:pPr>
      <w:r w:rsidRPr="00833CA7">
        <w:rPr>
          <w:rStyle w:val="FootnoteReference"/>
          <w:sz w:val="18"/>
          <w:szCs w:val="18"/>
        </w:rPr>
        <w:footnoteRef/>
      </w:r>
      <w:r w:rsidRPr="00833CA7">
        <w:rPr>
          <w:sz w:val="18"/>
          <w:szCs w:val="18"/>
        </w:rPr>
        <w:t xml:space="preserve"> Landscape analysis study</w:t>
      </w:r>
      <w:r w:rsidR="00833CA7">
        <w:rPr>
          <w:sz w:val="18"/>
          <w:szCs w:val="18"/>
        </w:rPr>
        <w:t>.</w:t>
      </w:r>
    </w:p>
  </w:footnote>
  <w:footnote w:id="69">
    <w:p w14:paraId="65E9F466" w14:textId="0BC5CC8B" w:rsidR="00A41783" w:rsidRPr="00833CA7" w:rsidRDefault="00A41783" w:rsidP="00A3193A">
      <w:pPr>
        <w:pStyle w:val="FootnoteText"/>
        <w:rPr>
          <w:sz w:val="18"/>
          <w:szCs w:val="18"/>
        </w:rPr>
      </w:pPr>
      <w:r w:rsidRPr="00833CA7">
        <w:rPr>
          <w:rStyle w:val="FootnoteReference"/>
          <w:sz w:val="18"/>
          <w:szCs w:val="18"/>
        </w:rPr>
        <w:footnoteRef/>
      </w:r>
      <w:r w:rsidRPr="00833CA7">
        <w:rPr>
          <w:sz w:val="18"/>
          <w:szCs w:val="18"/>
        </w:rPr>
        <w:t xml:space="preserve"> Landscape analysis study</w:t>
      </w:r>
      <w:r w:rsidR="00833CA7">
        <w:rPr>
          <w:sz w:val="18"/>
          <w:szCs w:val="18"/>
        </w:rPr>
        <w:t>.</w:t>
      </w:r>
    </w:p>
  </w:footnote>
  <w:footnote w:id="70">
    <w:p w14:paraId="0511933A" w14:textId="0ED4759B" w:rsidR="00416652" w:rsidRPr="00833CA7" w:rsidRDefault="00416652" w:rsidP="00A3193A">
      <w:pPr>
        <w:pStyle w:val="FootnoteText"/>
        <w:rPr>
          <w:sz w:val="18"/>
          <w:szCs w:val="18"/>
          <w:lang w:val="en-IE"/>
        </w:rPr>
      </w:pPr>
      <w:r w:rsidRPr="00833CA7">
        <w:rPr>
          <w:rStyle w:val="FootnoteReference"/>
          <w:sz w:val="18"/>
          <w:szCs w:val="18"/>
        </w:rPr>
        <w:footnoteRef/>
      </w:r>
      <w:r w:rsidR="5A0495E4" w:rsidRPr="00833CA7">
        <w:rPr>
          <w:sz w:val="18"/>
          <w:szCs w:val="18"/>
        </w:rPr>
        <w:t xml:space="preserve"> </w:t>
      </w:r>
      <w:r w:rsidR="5A0495E4" w:rsidRPr="00833CA7">
        <w:rPr>
          <w:rFonts w:eastAsia="MS Mincho"/>
          <w:sz w:val="18"/>
          <w:szCs w:val="18"/>
        </w:rPr>
        <w:t xml:space="preserve">European Commission: Directorate-General for Research and Innovation, </w:t>
      </w:r>
      <w:r w:rsidR="5A0495E4" w:rsidRPr="00833CA7">
        <w:rPr>
          <w:rFonts w:eastAsia="MS Mincho"/>
          <w:i/>
          <w:iCs/>
          <w:sz w:val="18"/>
          <w:szCs w:val="18"/>
        </w:rPr>
        <w:t>Science, research and innovation performance of the EU, 2024 – A competitive Europe for a sustainable future</w:t>
      </w:r>
      <w:r w:rsidR="5A0495E4" w:rsidRPr="00833CA7">
        <w:rPr>
          <w:rFonts w:eastAsia="MS Mincho"/>
          <w:sz w:val="18"/>
          <w:szCs w:val="18"/>
        </w:rPr>
        <w:t>, Publications Office of the European Union, 2024, pp. 151-</w:t>
      </w:r>
      <w:r w:rsidR="0E072C05" w:rsidRPr="00833CA7">
        <w:rPr>
          <w:rFonts w:eastAsia="MS Mincho"/>
          <w:sz w:val="18"/>
          <w:szCs w:val="18"/>
        </w:rPr>
        <w:t>229</w:t>
      </w:r>
      <w:r w:rsidR="5A0495E4" w:rsidRPr="00833CA7">
        <w:rPr>
          <w:rFonts w:eastAsia="MS Mincho"/>
          <w:sz w:val="18"/>
          <w:szCs w:val="18"/>
        </w:rPr>
        <w:t xml:space="preserve"> </w:t>
      </w:r>
      <w:hyperlink r:id="rId62" w:history="1">
        <w:r w:rsidR="5A0495E4" w:rsidRPr="00833CA7">
          <w:rPr>
            <w:rStyle w:val="Hyperlink"/>
            <w:rFonts w:eastAsia="MS Mincho"/>
            <w:sz w:val="18"/>
            <w:szCs w:val="18"/>
            <w:u w:val="none"/>
          </w:rPr>
          <w:t>https://data.europa.eu/doi/10.2777/965670</w:t>
        </w:r>
        <w:r w:rsidR="48FA95F1" w:rsidRPr="00833CA7">
          <w:rPr>
            <w:rStyle w:val="Hyperlink"/>
            <w:rFonts w:eastAsia="MS Mincho"/>
            <w:sz w:val="18"/>
            <w:szCs w:val="18"/>
            <w:u w:val="none"/>
          </w:rPr>
          <w:t>.</w:t>
        </w:r>
      </w:hyperlink>
      <w:r w:rsidR="00225A30" w:rsidRPr="00833CA7">
        <w:rPr>
          <w:sz w:val="18"/>
          <w:szCs w:val="18"/>
        </w:rPr>
        <w:t xml:space="preserve"> </w:t>
      </w:r>
      <w:hyperlink r:id="rId63" w:history="1">
        <w:r w:rsidR="00225A30" w:rsidRPr="00833CA7">
          <w:rPr>
            <w:rStyle w:val="Hyperlink"/>
            <w:sz w:val="18"/>
            <w:szCs w:val="18"/>
          </w:rPr>
          <w:t>https://ec.europa.eu/assets/rtd/srip/2024/ec_rtd_srip-report-2024-chap-03.pdf</w:t>
        </w:r>
      </w:hyperlink>
      <w:r w:rsidR="00833CA7">
        <w:rPr>
          <w:sz w:val="18"/>
          <w:szCs w:val="18"/>
        </w:rPr>
        <w:t>.</w:t>
      </w:r>
    </w:p>
  </w:footnote>
  <w:footnote w:id="71">
    <w:p w14:paraId="5B51C851" w14:textId="77777777" w:rsidR="00A41783" w:rsidRPr="00833CA7" w:rsidRDefault="00A41783" w:rsidP="00A3193A">
      <w:pPr>
        <w:pStyle w:val="FootnoteText"/>
        <w:rPr>
          <w:sz w:val="18"/>
          <w:szCs w:val="18"/>
          <w:lang w:val="en-IE"/>
        </w:rPr>
      </w:pPr>
      <w:r w:rsidRPr="00833CA7">
        <w:rPr>
          <w:rStyle w:val="FootnoteReference"/>
          <w:sz w:val="18"/>
          <w:szCs w:val="18"/>
        </w:rPr>
        <w:footnoteRef/>
      </w:r>
      <w:r w:rsidRPr="00833CA7">
        <w:rPr>
          <w:sz w:val="18"/>
          <w:szCs w:val="18"/>
        </w:rPr>
        <w:t xml:space="preserve"> Landscape analysis study</w:t>
      </w:r>
      <w:r w:rsidRPr="00833CA7">
        <w:rPr>
          <w:sz w:val="18"/>
          <w:szCs w:val="18"/>
          <w:lang w:val="en-IE"/>
        </w:rPr>
        <w:t>.</w:t>
      </w:r>
    </w:p>
  </w:footnote>
  <w:footnote w:id="72">
    <w:p w14:paraId="6A8F5CBC" w14:textId="156ED85E" w:rsidR="001C61F2" w:rsidRPr="00A3193A" w:rsidRDefault="001C61F2" w:rsidP="00A3193A">
      <w:pPr>
        <w:pStyle w:val="FootnoteText"/>
        <w:rPr>
          <w:sz w:val="18"/>
          <w:szCs w:val="18"/>
          <w:lang w:val="en-IE"/>
        </w:rPr>
      </w:pPr>
      <w:r w:rsidRPr="00833CA7">
        <w:rPr>
          <w:rStyle w:val="FootnoteReference"/>
          <w:sz w:val="18"/>
          <w:szCs w:val="18"/>
        </w:rPr>
        <w:footnoteRef/>
      </w:r>
      <w:r w:rsidRPr="00833CA7">
        <w:rPr>
          <w:sz w:val="18"/>
          <w:szCs w:val="18"/>
        </w:rPr>
        <w:t xml:space="preserve"> </w:t>
      </w:r>
      <w:r w:rsidR="00792889" w:rsidRPr="00833CA7">
        <w:rPr>
          <w:sz w:val="18"/>
          <w:szCs w:val="18"/>
        </w:rPr>
        <w:t xml:space="preserve">U.S. House of Representatives (2025), </w:t>
      </w:r>
      <w:r w:rsidR="00792889" w:rsidRPr="00833CA7">
        <w:rPr>
          <w:i/>
          <w:sz w:val="18"/>
          <w:szCs w:val="18"/>
        </w:rPr>
        <w:t>Congressional Biotechnology Caucus announcement</w:t>
      </w:r>
      <w:r w:rsidR="00792889" w:rsidRPr="00833CA7">
        <w:rPr>
          <w:sz w:val="18"/>
          <w:szCs w:val="18"/>
        </w:rPr>
        <w:t xml:space="preserve">, June 2025; National Security Commission on Emerging Biotechnology (NSCEB) (2025), </w:t>
      </w:r>
      <w:r w:rsidR="00792889" w:rsidRPr="00833CA7">
        <w:rPr>
          <w:i/>
          <w:sz w:val="18"/>
          <w:szCs w:val="18"/>
        </w:rPr>
        <w:t>Report to Congress</w:t>
      </w:r>
      <w:r w:rsidR="00792889" w:rsidRPr="00833CA7">
        <w:rPr>
          <w:sz w:val="18"/>
          <w:szCs w:val="18"/>
        </w:rPr>
        <w:t>, April 2025</w:t>
      </w:r>
      <w:r w:rsidR="00513F03">
        <w:rPr>
          <w:sz w:val="18"/>
          <w:szCs w:val="18"/>
        </w:rPr>
        <w:t xml:space="preserve">; </w:t>
      </w:r>
      <w:r w:rsidR="00513F03" w:rsidRPr="00513F03">
        <w:rPr>
          <w:sz w:val="18"/>
          <w:szCs w:val="18"/>
        </w:rPr>
        <w:t xml:space="preserve">The White House (2022), </w:t>
      </w:r>
      <w:r w:rsidR="00513F03" w:rsidRPr="00513F03">
        <w:rPr>
          <w:i/>
          <w:iCs/>
          <w:sz w:val="18"/>
          <w:szCs w:val="18"/>
        </w:rPr>
        <w:t>Executive Order on Advancing Biotechnology and Biomanufacturing Innovation for a Sustainable, Safe, and Secure American Bioeconomy</w:t>
      </w:r>
      <w:r w:rsidR="00513F03" w:rsidRPr="00513F03">
        <w:rPr>
          <w:sz w:val="18"/>
          <w:szCs w:val="18"/>
        </w:rPr>
        <w:t xml:space="preserve"> (establishing the National Biotechnology and Biomanufacturing Initiative)</w:t>
      </w:r>
      <w:r w:rsidR="00513F03">
        <w:rPr>
          <w:sz w:val="18"/>
          <w:szCs w:val="18"/>
        </w:rPr>
        <w:t>.</w:t>
      </w:r>
    </w:p>
  </w:footnote>
  <w:footnote w:id="73">
    <w:p w14:paraId="4D752EE7" w14:textId="6B7D8DE4" w:rsidR="00A41783" w:rsidRPr="00ED7EE5" w:rsidRDefault="00A41783" w:rsidP="00A3193A">
      <w:pPr>
        <w:pStyle w:val="FootnoteText"/>
        <w:rPr>
          <w:sz w:val="18"/>
          <w:szCs w:val="18"/>
        </w:rPr>
      </w:pPr>
      <w:r w:rsidRPr="00ED7EE5">
        <w:rPr>
          <w:rStyle w:val="FootnoteReference"/>
          <w:sz w:val="18"/>
          <w:szCs w:val="18"/>
        </w:rPr>
        <w:footnoteRef/>
      </w:r>
      <w:r w:rsidRPr="00ED7EE5">
        <w:rPr>
          <w:sz w:val="18"/>
          <w:szCs w:val="18"/>
        </w:rPr>
        <w:t xml:space="preserve"> Landscape analysis study. Based on World Economic Forum. (2025, January 7). The Future of Jobs Report 2025. </w:t>
      </w:r>
      <w:hyperlink r:id="rId64">
        <w:r w:rsidR="278EFFF2" w:rsidRPr="00ED7EE5">
          <w:rPr>
            <w:rStyle w:val="Hyperlink"/>
            <w:sz w:val="18"/>
            <w:szCs w:val="18"/>
          </w:rPr>
          <w:t>https://www.weforum.org/publications/the-future-of-jobs-report-2025/digest/</w:t>
        </w:r>
      </w:hyperlink>
      <w:r w:rsidR="00ED7EE5">
        <w:rPr>
          <w:sz w:val="18"/>
          <w:szCs w:val="18"/>
        </w:rPr>
        <w:t>.</w:t>
      </w:r>
    </w:p>
  </w:footnote>
  <w:footnote w:id="74">
    <w:p w14:paraId="7ABF9CDA" w14:textId="0F421250" w:rsidR="00056B6E" w:rsidRPr="00C437E1" w:rsidRDefault="00056B6E">
      <w:pPr>
        <w:pStyle w:val="FootnoteText"/>
        <w:rPr>
          <w:sz w:val="18"/>
          <w:szCs w:val="18"/>
          <w:lang w:val="en-IE"/>
        </w:rPr>
      </w:pPr>
      <w:r>
        <w:rPr>
          <w:rStyle w:val="FootnoteReference"/>
        </w:rPr>
        <w:footnoteRef/>
      </w:r>
      <w:r>
        <w:t xml:space="preserve"> </w:t>
      </w:r>
      <w:r w:rsidRPr="00833CA7">
        <w:rPr>
          <w:sz w:val="18"/>
          <w:szCs w:val="18"/>
        </w:rPr>
        <w:t xml:space="preserve">Andreas Haaf and Vera Sale, </w:t>
      </w:r>
      <w:hyperlink r:id="rId65" w:history="1">
        <w:r w:rsidRPr="00833CA7">
          <w:rPr>
            <w:rStyle w:val="Hyperlink"/>
            <w:sz w:val="18"/>
            <w:szCs w:val="18"/>
          </w:rPr>
          <w:t>Measuring the Economic Footprint of the Biotechnology Industry in the European Union</w:t>
        </w:r>
      </w:hyperlink>
      <w:r w:rsidRPr="00833CA7">
        <w:rPr>
          <w:sz w:val="18"/>
          <w:szCs w:val="18"/>
        </w:rPr>
        <w:t>, Research Report March 2025, WiFOR (Prepared for EuropaBio – The European Association for Bioindustries)</w:t>
      </w:r>
      <w:r>
        <w:rPr>
          <w:sz w:val="18"/>
          <w:szCs w:val="18"/>
        </w:rPr>
        <w:t>.</w:t>
      </w:r>
    </w:p>
  </w:footnote>
  <w:footnote w:id="75">
    <w:p w14:paraId="07A82CF3" w14:textId="4262C97F" w:rsidR="00F079DD" w:rsidRPr="00ED7EE5" w:rsidRDefault="00F079DD" w:rsidP="00F079DD">
      <w:pPr>
        <w:pStyle w:val="FootnoteText"/>
        <w:rPr>
          <w:sz w:val="18"/>
          <w:szCs w:val="18"/>
          <w:lang w:val="en-IE"/>
        </w:rPr>
      </w:pPr>
      <w:r w:rsidRPr="00ED7EE5">
        <w:rPr>
          <w:rStyle w:val="FootnoteReference"/>
          <w:sz w:val="18"/>
          <w:szCs w:val="18"/>
        </w:rPr>
        <w:footnoteRef/>
      </w:r>
      <w:r w:rsidR="002E518B">
        <w:rPr>
          <w:sz w:val="18"/>
          <w:szCs w:val="18"/>
        </w:rPr>
        <w:t xml:space="preserve"> </w:t>
      </w:r>
      <w:r w:rsidR="002E518B" w:rsidRPr="002E518B">
        <w:rPr>
          <w:sz w:val="18"/>
          <w:szCs w:val="18"/>
        </w:rPr>
        <w:t xml:space="preserve">European Commission, </w:t>
      </w:r>
      <w:r w:rsidR="002E518B" w:rsidRPr="002E518B">
        <w:rPr>
          <w:i/>
          <w:iCs/>
          <w:sz w:val="18"/>
          <w:szCs w:val="18"/>
        </w:rPr>
        <w:t>Open Public Consultation on a European Biotech Act</w:t>
      </w:r>
      <w:r w:rsidR="002E518B" w:rsidRPr="002E518B">
        <w:rPr>
          <w:sz w:val="18"/>
          <w:szCs w:val="18"/>
        </w:rPr>
        <w:t xml:space="preserve">, 2025, available at: </w:t>
      </w:r>
      <w:hyperlink r:id="rId66" w:tgtFrame="_new" w:history="1">
        <w:r w:rsidR="002E518B" w:rsidRPr="002E518B">
          <w:rPr>
            <w:rStyle w:val="Hyperlink"/>
            <w:sz w:val="18"/>
            <w:szCs w:val="18"/>
          </w:rPr>
          <w:t>https://ec.europa.eu/info/law/better-regulation/have-your-say/initiatives/14627-Biotech-Act/public-consultation_en</w:t>
        </w:r>
      </w:hyperlink>
      <w:r w:rsidRPr="00ED7EE5">
        <w:rPr>
          <w:sz w:val="18"/>
          <w:szCs w:val="18"/>
          <w:lang w:val="en-IE"/>
        </w:rPr>
        <w:t xml:space="preserve">. </w:t>
      </w:r>
    </w:p>
  </w:footnote>
  <w:footnote w:id="76">
    <w:p w14:paraId="3957A7C9" w14:textId="00983187" w:rsidR="00A41783" w:rsidRPr="00ED7EE5" w:rsidRDefault="00A41783" w:rsidP="00A3193A">
      <w:pPr>
        <w:pStyle w:val="FootnoteText"/>
        <w:rPr>
          <w:rFonts w:eastAsia="MS Mincho"/>
          <w:sz w:val="18"/>
          <w:szCs w:val="18"/>
        </w:rPr>
      </w:pPr>
      <w:r w:rsidRPr="00ED7EE5">
        <w:rPr>
          <w:rStyle w:val="FootnoteReference"/>
          <w:sz w:val="18"/>
          <w:szCs w:val="18"/>
        </w:rPr>
        <w:footnoteRef/>
      </w:r>
      <w:r w:rsidR="001D4E33" w:rsidRPr="00ED7EE5">
        <w:rPr>
          <w:sz w:val="18"/>
          <w:szCs w:val="18"/>
        </w:rPr>
        <w:t xml:space="preserve"> </w:t>
      </w:r>
      <w:r w:rsidR="00920ADD" w:rsidRPr="00ED7EE5">
        <w:rPr>
          <w:sz w:val="18"/>
          <w:szCs w:val="18"/>
        </w:rPr>
        <w:t>P</w:t>
      </w:r>
      <w:r w:rsidR="00225A30" w:rsidRPr="00ED7EE5">
        <w:rPr>
          <w:sz w:val="18"/>
          <w:szCs w:val="18"/>
        </w:rPr>
        <w:t>ublic consultation, see</w:t>
      </w:r>
      <w:r w:rsidR="00C238BE" w:rsidRPr="00ED7EE5">
        <w:rPr>
          <w:sz w:val="18"/>
          <w:szCs w:val="18"/>
        </w:rPr>
        <w:t xml:space="preserve"> footnote </w:t>
      </w:r>
      <w:r w:rsidR="002E518B">
        <w:rPr>
          <w:sz w:val="18"/>
          <w:szCs w:val="18"/>
        </w:rPr>
        <w:t>74</w:t>
      </w:r>
      <w:r w:rsidR="00C238BE" w:rsidRPr="00ED7EE5">
        <w:rPr>
          <w:sz w:val="18"/>
          <w:szCs w:val="18"/>
        </w:rPr>
        <w:t>.</w:t>
      </w:r>
    </w:p>
  </w:footnote>
  <w:footnote w:id="77">
    <w:p w14:paraId="5319156C" w14:textId="4E8E1F10" w:rsidR="00920ADD" w:rsidRPr="00C437E1" w:rsidRDefault="00920ADD">
      <w:pPr>
        <w:pStyle w:val="FootnoteText"/>
        <w:rPr>
          <w:rFonts w:eastAsia="MS Mincho"/>
          <w:sz w:val="18"/>
          <w:szCs w:val="18"/>
        </w:rPr>
      </w:pPr>
      <w:r w:rsidRPr="00C437E1">
        <w:rPr>
          <w:rStyle w:val="FootnoteReference"/>
          <w:sz w:val="18"/>
          <w:szCs w:val="18"/>
        </w:rPr>
        <w:footnoteRef/>
      </w:r>
      <w:r w:rsidRPr="00C437E1">
        <w:rPr>
          <w:sz w:val="18"/>
          <w:szCs w:val="18"/>
        </w:rPr>
        <w:t xml:space="preserve"> P</w:t>
      </w:r>
      <w:r w:rsidRPr="00ED7EE5">
        <w:rPr>
          <w:sz w:val="18"/>
          <w:szCs w:val="18"/>
        </w:rPr>
        <w:t xml:space="preserve">ublic consultation, see footnote </w:t>
      </w:r>
      <w:r w:rsidR="002E518B">
        <w:rPr>
          <w:sz w:val="18"/>
          <w:szCs w:val="18"/>
        </w:rPr>
        <w:t>74</w:t>
      </w:r>
      <w:r w:rsidRPr="00ED7EE5">
        <w:rPr>
          <w:sz w:val="18"/>
          <w:szCs w:val="18"/>
        </w:rPr>
        <w:t>.</w:t>
      </w:r>
    </w:p>
  </w:footnote>
  <w:footnote w:id="78">
    <w:p w14:paraId="19987F2B" w14:textId="0FDB2CDD" w:rsidR="7E3D644D" w:rsidRPr="00ED7EE5" w:rsidRDefault="7E3D644D" w:rsidP="00A3193A">
      <w:pPr>
        <w:spacing w:after="0"/>
        <w:rPr>
          <w:sz w:val="18"/>
          <w:szCs w:val="18"/>
        </w:rPr>
      </w:pPr>
      <w:r w:rsidRPr="00ED7EE5">
        <w:rPr>
          <w:sz w:val="18"/>
          <w:szCs w:val="18"/>
          <w:vertAlign w:val="superscript"/>
        </w:rPr>
        <w:footnoteRef/>
      </w:r>
      <w:r w:rsidRPr="00ED7EE5" w:rsidDel="7E3D644D">
        <w:rPr>
          <w:sz w:val="18"/>
          <w:szCs w:val="18"/>
        </w:rPr>
        <w:t xml:space="preserve"> </w:t>
      </w:r>
      <w:r w:rsidRPr="00ED7EE5">
        <w:rPr>
          <w:sz w:val="18"/>
          <w:szCs w:val="18"/>
        </w:rPr>
        <w:t>Qie B, Tuo J, Chen F, Ding H, Lyu L. Gene therapy for genetic diseases: challenges and future directions. MedComm. 2025;6:e70091. https://doi.org/10.1002/mco2.70091</w:t>
      </w:r>
      <w:r w:rsidR="00ED7EE5">
        <w:rPr>
          <w:sz w:val="18"/>
          <w:szCs w:val="18"/>
        </w:rPr>
        <w:t>.</w:t>
      </w:r>
    </w:p>
  </w:footnote>
  <w:footnote w:id="79">
    <w:p w14:paraId="58A77EEA" w14:textId="7DA955B0" w:rsidR="25DA6FCE" w:rsidRPr="00A3193A" w:rsidRDefault="25DA6FCE" w:rsidP="00A3193A">
      <w:pPr>
        <w:spacing w:after="0"/>
        <w:rPr>
          <w:sz w:val="18"/>
          <w:szCs w:val="18"/>
        </w:rPr>
      </w:pPr>
      <w:r w:rsidRPr="00ED7EE5">
        <w:rPr>
          <w:sz w:val="18"/>
          <w:szCs w:val="18"/>
          <w:vertAlign w:val="superscript"/>
        </w:rPr>
        <w:footnoteRef/>
      </w:r>
      <w:r w:rsidR="69059B06" w:rsidRPr="00ED7EE5">
        <w:rPr>
          <w:sz w:val="18"/>
          <w:szCs w:val="18"/>
        </w:rPr>
        <w:t xml:space="preserve"> Aida V, Pliasas VC, Neasham PJ, North JF, McWhorter KL, Glover SR and Kyriakis CS (2021) Novel Vaccine Technologies in Veterinary Medicine: A Herald to Human Medicine Vaccines. Front. Vet. Sci. 8:654289. doi: 10.3389/fvets.2021.654289</w:t>
      </w:r>
      <w:r w:rsidR="00ED7EE5">
        <w:rPr>
          <w:sz w:val="18"/>
          <w:szCs w:val="18"/>
        </w:rPr>
        <w:t>.</w:t>
      </w:r>
    </w:p>
  </w:footnote>
  <w:footnote w:id="80">
    <w:p w14:paraId="606C924D" w14:textId="6DFA77B5" w:rsidR="0053404F" w:rsidRPr="00296A2F" w:rsidRDefault="0053404F">
      <w:pPr>
        <w:pStyle w:val="FootnoteText"/>
        <w:rPr>
          <w:sz w:val="18"/>
          <w:szCs w:val="18"/>
          <w:lang w:val="en-IE"/>
        </w:rPr>
      </w:pPr>
      <w:r w:rsidRPr="00296A2F">
        <w:rPr>
          <w:rStyle w:val="FootnoteReference"/>
          <w:sz w:val="18"/>
          <w:szCs w:val="18"/>
        </w:rPr>
        <w:footnoteRef/>
      </w:r>
      <w:r w:rsidRPr="00296A2F">
        <w:rPr>
          <w:sz w:val="18"/>
          <w:szCs w:val="18"/>
        </w:rPr>
        <w:t xml:space="preserve"> </w:t>
      </w:r>
      <w:r w:rsidRPr="00296A2F">
        <w:rPr>
          <w:sz w:val="18"/>
          <w:szCs w:val="18"/>
          <w:lang w:val="en-IE"/>
        </w:rPr>
        <w:t xml:space="preserve">See also Landscape </w:t>
      </w:r>
      <w:r w:rsidRPr="00DD47F1">
        <w:rPr>
          <w:sz w:val="18"/>
          <w:szCs w:val="18"/>
        </w:rPr>
        <w:t>analysis study</w:t>
      </w:r>
      <w:r w:rsidRPr="00344F4D">
        <w:rPr>
          <w:sz w:val="18"/>
          <w:szCs w:val="18"/>
        </w:rPr>
        <w:t xml:space="preserve">, forthcoming, for further details on </w:t>
      </w:r>
      <w:r w:rsidR="0028413F" w:rsidRPr="00344F4D">
        <w:rPr>
          <w:sz w:val="18"/>
          <w:szCs w:val="18"/>
        </w:rPr>
        <w:t>the aspects summarised here.</w:t>
      </w:r>
    </w:p>
  </w:footnote>
  <w:footnote w:id="81">
    <w:p w14:paraId="1F44938E" w14:textId="1A05939D" w:rsidR="008A1F2F" w:rsidRPr="000314B2" w:rsidRDefault="008A1F2F" w:rsidP="00A3193A">
      <w:pPr>
        <w:pStyle w:val="FootnoteText"/>
        <w:rPr>
          <w:sz w:val="18"/>
          <w:szCs w:val="18"/>
          <w:lang w:val="en-IE"/>
        </w:rPr>
      </w:pPr>
      <w:r w:rsidRPr="000314B2">
        <w:rPr>
          <w:rStyle w:val="FootnoteReference"/>
          <w:sz w:val="18"/>
          <w:szCs w:val="18"/>
        </w:rPr>
        <w:footnoteRef/>
      </w:r>
      <w:r w:rsidRPr="000314B2">
        <w:rPr>
          <w:sz w:val="18"/>
          <w:szCs w:val="18"/>
          <w:lang w:val="en-IE"/>
        </w:rPr>
        <w:t xml:space="preserve"> Landscape analysis study</w:t>
      </w:r>
      <w:r w:rsidR="000314B2">
        <w:rPr>
          <w:sz w:val="18"/>
          <w:szCs w:val="18"/>
          <w:lang w:val="en-IE"/>
        </w:rPr>
        <w:t>.</w:t>
      </w:r>
    </w:p>
  </w:footnote>
  <w:footnote w:id="82">
    <w:p w14:paraId="5BB198E0" w14:textId="48419048" w:rsidR="00502B77" w:rsidRPr="00DD47F1" w:rsidRDefault="00502B77" w:rsidP="00A3193A">
      <w:pPr>
        <w:pStyle w:val="FootnoteText"/>
        <w:rPr>
          <w:sz w:val="18"/>
          <w:szCs w:val="18"/>
        </w:rPr>
      </w:pPr>
      <w:r w:rsidRPr="000314B2">
        <w:rPr>
          <w:rStyle w:val="FootnoteReference"/>
          <w:sz w:val="18"/>
          <w:szCs w:val="18"/>
        </w:rPr>
        <w:footnoteRef/>
      </w:r>
      <w:r w:rsidRPr="000314B2">
        <w:rPr>
          <w:sz w:val="18"/>
          <w:szCs w:val="18"/>
        </w:rPr>
        <w:t xml:space="preserve"> Landscape analysis study</w:t>
      </w:r>
      <w:r w:rsidR="00B74EC0" w:rsidRPr="000314B2">
        <w:rPr>
          <w:sz w:val="18"/>
          <w:szCs w:val="18"/>
        </w:rPr>
        <w:t xml:space="preserve">: 12 </w:t>
      </w:r>
      <w:r w:rsidR="008F4904">
        <w:rPr>
          <w:sz w:val="18"/>
          <w:szCs w:val="18"/>
        </w:rPr>
        <w:t>health</w:t>
      </w:r>
      <w:r w:rsidR="008F4904" w:rsidRPr="000314B2">
        <w:rPr>
          <w:sz w:val="18"/>
          <w:szCs w:val="18"/>
        </w:rPr>
        <w:t xml:space="preserve"> </w:t>
      </w:r>
      <w:r w:rsidR="00B74EC0" w:rsidRPr="000314B2">
        <w:rPr>
          <w:sz w:val="18"/>
          <w:szCs w:val="18"/>
        </w:rPr>
        <w:t xml:space="preserve">biotech firms, 5 </w:t>
      </w:r>
      <w:r w:rsidR="008F4904">
        <w:rPr>
          <w:sz w:val="18"/>
          <w:szCs w:val="18"/>
        </w:rPr>
        <w:t>industrial</w:t>
      </w:r>
      <w:r w:rsidR="008F4904" w:rsidRPr="000314B2">
        <w:rPr>
          <w:sz w:val="18"/>
          <w:szCs w:val="18"/>
        </w:rPr>
        <w:t xml:space="preserve"> </w:t>
      </w:r>
      <w:r w:rsidR="00B74EC0" w:rsidRPr="000314B2">
        <w:rPr>
          <w:sz w:val="18"/>
          <w:szCs w:val="18"/>
        </w:rPr>
        <w:t xml:space="preserve">biotech firms, one in </w:t>
      </w:r>
      <w:r w:rsidR="008F4904">
        <w:rPr>
          <w:sz w:val="18"/>
          <w:szCs w:val="18"/>
        </w:rPr>
        <w:t>agricultural</w:t>
      </w:r>
      <w:r w:rsidR="008F4904" w:rsidRPr="000314B2">
        <w:rPr>
          <w:sz w:val="18"/>
          <w:szCs w:val="18"/>
        </w:rPr>
        <w:t xml:space="preserve"> </w:t>
      </w:r>
      <w:r w:rsidR="00B74EC0" w:rsidRPr="000314B2">
        <w:rPr>
          <w:sz w:val="18"/>
          <w:szCs w:val="18"/>
        </w:rPr>
        <w:t>biotechnology and none in marine biotechnology have raised more than EUR 200 million</w:t>
      </w:r>
      <w:r w:rsidR="000314B2">
        <w:rPr>
          <w:sz w:val="18"/>
          <w:szCs w:val="18"/>
        </w:rPr>
        <w:t>.</w:t>
      </w:r>
    </w:p>
  </w:footnote>
  <w:footnote w:id="83">
    <w:p w14:paraId="5E92B091" w14:textId="5188812F" w:rsidR="00B250BE" w:rsidRPr="00296A2F" w:rsidRDefault="00B250BE">
      <w:pPr>
        <w:pStyle w:val="FootnoteText"/>
        <w:rPr>
          <w:sz w:val="18"/>
          <w:szCs w:val="18"/>
        </w:rPr>
      </w:pPr>
      <w:r w:rsidRPr="00296A2F">
        <w:rPr>
          <w:rStyle w:val="FootnoteReference"/>
          <w:sz w:val="18"/>
          <w:szCs w:val="18"/>
        </w:rPr>
        <w:footnoteRef/>
      </w:r>
      <w:r w:rsidRPr="00296A2F">
        <w:rPr>
          <w:sz w:val="18"/>
          <w:szCs w:val="18"/>
        </w:rPr>
        <w:t xml:space="preserve"> </w:t>
      </w:r>
      <w:hyperlink r:id="rId67" w:history="1">
        <w:r w:rsidR="00296A2F" w:rsidRPr="00143972">
          <w:rPr>
            <w:rStyle w:val="Hyperlink"/>
            <w:sz w:val="18"/>
            <w:szCs w:val="18"/>
          </w:rPr>
          <w:t>https://ec.europa.eu/eurostat/web/products-eurostat-news/w/ddn-20251211-2</w:t>
        </w:r>
      </w:hyperlink>
      <w:r w:rsidR="00296A2F">
        <w:rPr>
          <w:sz w:val="18"/>
          <w:szCs w:val="18"/>
        </w:rPr>
        <w:t xml:space="preserve">. </w:t>
      </w:r>
    </w:p>
  </w:footnote>
  <w:footnote w:id="84">
    <w:p w14:paraId="60C6EFD1" w14:textId="2BA4A875" w:rsidR="00331B58" w:rsidRPr="000314B2" w:rsidRDefault="00331B58" w:rsidP="00A3193A">
      <w:pPr>
        <w:pStyle w:val="FootnoteText"/>
        <w:rPr>
          <w:sz w:val="18"/>
          <w:szCs w:val="18"/>
          <w:lang w:val="en-IE"/>
        </w:rPr>
      </w:pPr>
      <w:r w:rsidRPr="000314B2">
        <w:rPr>
          <w:rStyle w:val="FootnoteReference"/>
          <w:sz w:val="18"/>
          <w:szCs w:val="18"/>
        </w:rPr>
        <w:footnoteRef/>
      </w:r>
      <w:r w:rsidR="278EFFF2" w:rsidRPr="000314B2">
        <w:rPr>
          <w:sz w:val="18"/>
          <w:szCs w:val="18"/>
          <w:lang w:val="en-IE"/>
        </w:rPr>
        <w:t xml:space="preserve"> </w:t>
      </w:r>
      <w:r w:rsidR="000316AB" w:rsidRPr="000314B2">
        <w:rPr>
          <w:sz w:val="18"/>
          <w:szCs w:val="18"/>
          <w:lang w:val="en-IE"/>
        </w:rPr>
        <w:t>See</w:t>
      </w:r>
      <w:r w:rsidR="278EFFF2" w:rsidRPr="000314B2">
        <w:rPr>
          <w:sz w:val="18"/>
          <w:szCs w:val="18"/>
          <w:lang w:val="en-IE"/>
        </w:rPr>
        <w:t xml:space="preserve"> </w:t>
      </w:r>
      <w:r w:rsidR="00AC56EE" w:rsidRPr="000314B2">
        <w:rPr>
          <w:sz w:val="18"/>
          <w:szCs w:val="18"/>
          <w:lang w:val="en-IE"/>
        </w:rPr>
        <w:t>footnote 10</w:t>
      </w:r>
      <w:r w:rsidR="000C3F7B" w:rsidRPr="000314B2">
        <w:rPr>
          <w:sz w:val="18"/>
          <w:szCs w:val="18"/>
          <w:lang w:val="en-IE"/>
        </w:rPr>
        <w:t>.</w:t>
      </w:r>
    </w:p>
  </w:footnote>
  <w:footnote w:id="85">
    <w:p w14:paraId="181EBC83" w14:textId="0EDB8A72" w:rsidR="00F17643" w:rsidRPr="000314B2" w:rsidRDefault="00F17643" w:rsidP="00A3193A">
      <w:pPr>
        <w:pStyle w:val="FootnoteText"/>
        <w:tabs>
          <w:tab w:val="left" w:pos="2066"/>
        </w:tabs>
        <w:rPr>
          <w:sz w:val="18"/>
          <w:szCs w:val="18"/>
        </w:rPr>
      </w:pPr>
      <w:r w:rsidRPr="000314B2">
        <w:rPr>
          <w:rStyle w:val="FootnoteReference"/>
          <w:sz w:val="18"/>
          <w:szCs w:val="18"/>
        </w:rPr>
        <w:footnoteRef/>
      </w:r>
      <w:r w:rsidRPr="000314B2">
        <w:rPr>
          <w:sz w:val="18"/>
          <w:szCs w:val="18"/>
        </w:rPr>
        <w:t xml:space="preserve"> </w:t>
      </w:r>
      <w:r w:rsidR="002E518B">
        <w:rPr>
          <w:sz w:val="18"/>
          <w:szCs w:val="18"/>
        </w:rPr>
        <w:t>Public consultation, see footnote 74</w:t>
      </w:r>
      <w:r w:rsidR="00C1062A" w:rsidRPr="000314B2">
        <w:rPr>
          <w:sz w:val="18"/>
          <w:szCs w:val="18"/>
        </w:rPr>
        <w:t>.</w:t>
      </w:r>
    </w:p>
  </w:footnote>
  <w:footnote w:id="86">
    <w:p w14:paraId="68D261F0" w14:textId="189EADFB" w:rsidR="00840336" w:rsidRPr="000314B2" w:rsidRDefault="00840336" w:rsidP="00A3193A">
      <w:pPr>
        <w:pStyle w:val="FootnoteText"/>
        <w:rPr>
          <w:sz w:val="18"/>
          <w:szCs w:val="18"/>
        </w:rPr>
      </w:pPr>
      <w:r w:rsidRPr="000314B2">
        <w:rPr>
          <w:rStyle w:val="FootnoteReference"/>
          <w:sz w:val="18"/>
          <w:szCs w:val="18"/>
        </w:rPr>
        <w:footnoteRef/>
      </w:r>
      <w:r w:rsidRPr="000314B2">
        <w:rPr>
          <w:sz w:val="18"/>
          <w:szCs w:val="18"/>
        </w:rPr>
        <w:t xml:space="preserve"> </w:t>
      </w:r>
      <w:r w:rsidR="00664DE9">
        <w:rPr>
          <w:sz w:val="18"/>
          <w:szCs w:val="18"/>
        </w:rPr>
        <w:t xml:space="preserve">Public consultation: </w:t>
      </w:r>
      <w:r w:rsidR="00D21012" w:rsidRPr="000314B2">
        <w:rPr>
          <w:sz w:val="18"/>
          <w:szCs w:val="18"/>
        </w:rPr>
        <w:t xml:space="preserve">Three-quarter of the respondents indicated </w:t>
      </w:r>
      <w:bookmarkStart w:id="56" w:name="_Hlk214453893"/>
      <w:r w:rsidR="00D21012" w:rsidRPr="000314B2">
        <w:rPr>
          <w:sz w:val="18"/>
          <w:szCs w:val="18"/>
        </w:rPr>
        <w:t>regulatory barriers i</w:t>
      </w:r>
      <w:bookmarkEnd w:id="56"/>
      <w:r w:rsidR="00D21012" w:rsidRPr="000314B2">
        <w:rPr>
          <w:sz w:val="18"/>
          <w:szCs w:val="18"/>
        </w:rPr>
        <w:t>n the assessment and market authorisation (77</w:t>
      </w:r>
      <w:r w:rsidR="00405618">
        <w:rPr>
          <w:sz w:val="18"/>
          <w:szCs w:val="18"/>
        </w:rPr>
        <w:t>%</w:t>
      </w:r>
      <w:r w:rsidR="00D21012" w:rsidRPr="000314B2">
        <w:rPr>
          <w:sz w:val="18"/>
          <w:szCs w:val="18"/>
        </w:rPr>
        <w:t>). About 70</w:t>
      </w:r>
      <w:r w:rsidR="00405618">
        <w:rPr>
          <w:sz w:val="18"/>
          <w:szCs w:val="18"/>
        </w:rPr>
        <w:t>%</w:t>
      </w:r>
      <w:r w:rsidR="00D21012" w:rsidRPr="000314B2">
        <w:rPr>
          <w:sz w:val="18"/>
          <w:szCs w:val="18"/>
        </w:rPr>
        <w:t xml:space="preserve"> indicated </w:t>
      </w:r>
      <w:bookmarkStart w:id="57" w:name="_Hlk214453851"/>
      <w:r w:rsidR="00D21012" w:rsidRPr="000314B2">
        <w:rPr>
          <w:sz w:val="18"/>
          <w:szCs w:val="18"/>
        </w:rPr>
        <w:t>pre-commercial testing or clinical trials</w:t>
      </w:r>
      <w:bookmarkEnd w:id="57"/>
      <w:r w:rsidR="00D21012" w:rsidRPr="000314B2">
        <w:rPr>
          <w:sz w:val="18"/>
          <w:szCs w:val="18"/>
        </w:rPr>
        <w:t>, 68</w:t>
      </w:r>
      <w:r w:rsidR="00405618">
        <w:rPr>
          <w:sz w:val="18"/>
          <w:szCs w:val="18"/>
        </w:rPr>
        <w:t>%</w:t>
      </w:r>
      <w:r w:rsidR="00D21012" w:rsidRPr="000314B2">
        <w:rPr>
          <w:sz w:val="18"/>
          <w:szCs w:val="18"/>
        </w:rPr>
        <w:t xml:space="preserve"> noted impediments </w:t>
      </w:r>
      <w:bookmarkStart w:id="58" w:name="_Hlk214453867"/>
      <w:r w:rsidR="00D21012" w:rsidRPr="000314B2">
        <w:rPr>
          <w:sz w:val="18"/>
          <w:szCs w:val="18"/>
        </w:rPr>
        <w:t>in commercialising products and 67</w:t>
      </w:r>
      <w:r w:rsidR="00405618">
        <w:rPr>
          <w:sz w:val="18"/>
          <w:szCs w:val="18"/>
        </w:rPr>
        <w:t>%</w:t>
      </w:r>
      <w:r w:rsidR="00D21012" w:rsidRPr="000314B2">
        <w:rPr>
          <w:sz w:val="18"/>
          <w:szCs w:val="18"/>
        </w:rPr>
        <w:t xml:space="preserve"> in scaling-up production or manufacturing, while 64</w:t>
      </w:r>
      <w:r w:rsidR="00405618">
        <w:rPr>
          <w:sz w:val="18"/>
          <w:szCs w:val="18"/>
        </w:rPr>
        <w:t>%</w:t>
      </w:r>
      <w:r w:rsidR="00D21012" w:rsidRPr="000314B2">
        <w:rPr>
          <w:sz w:val="18"/>
          <w:szCs w:val="18"/>
        </w:rPr>
        <w:t xml:space="preserve"> </w:t>
      </w:r>
      <w:bookmarkEnd w:id="58"/>
      <w:r w:rsidR="00D21012" w:rsidRPr="000314B2">
        <w:rPr>
          <w:sz w:val="18"/>
          <w:szCs w:val="18"/>
        </w:rPr>
        <w:t>signalled regulatory barriers in product development matters.</w:t>
      </w:r>
    </w:p>
  </w:footnote>
  <w:footnote w:id="87">
    <w:p w14:paraId="34A2A4A0" w14:textId="240732C3" w:rsidR="001B7515" w:rsidRPr="000314B2" w:rsidRDefault="001B7515" w:rsidP="00A3193A">
      <w:pPr>
        <w:pStyle w:val="FootnoteText"/>
        <w:rPr>
          <w:sz w:val="18"/>
          <w:szCs w:val="18"/>
          <w:highlight w:val="yellow"/>
        </w:rPr>
      </w:pPr>
      <w:r w:rsidRPr="000314B2">
        <w:rPr>
          <w:rStyle w:val="FootnoteReference"/>
          <w:sz w:val="18"/>
          <w:szCs w:val="18"/>
        </w:rPr>
        <w:footnoteRef/>
      </w:r>
      <w:r w:rsidRPr="000314B2">
        <w:rPr>
          <w:sz w:val="18"/>
          <w:szCs w:val="18"/>
        </w:rPr>
        <w:t xml:space="preserve"> </w:t>
      </w:r>
      <w:r w:rsidR="007A61E1">
        <w:rPr>
          <w:sz w:val="18"/>
          <w:szCs w:val="18"/>
        </w:rPr>
        <w:t xml:space="preserve">Public consultation: </w:t>
      </w:r>
      <w:r w:rsidRPr="000314B2">
        <w:rPr>
          <w:sz w:val="18"/>
          <w:szCs w:val="18"/>
        </w:rPr>
        <w:t>21</w:t>
      </w:r>
      <w:r w:rsidR="00405618">
        <w:rPr>
          <w:sz w:val="18"/>
          <w:szCs w:val="18"/>
        </w:rPr>
        <w:t>%</w:t>
      </w:r>
      <w:r w:rsidRPr="000314B2">
        <w:rPr>
          <w:sz w:val="18"/>
          <w:szCs w:val="18"/>
        </w:rPr>
        <w:t xml:space="preserve"> </w:t>
      </w:r>
      <w:r w:rsidR="003B6179" w:rsidRPr="000314B2">
        <w:rPr>
          <w:sz w:val="18"/>
          <w:szCs w:val="18"/>
        </w:rPr>
        <w:t>agree</w:t>
      </w:r>
      <w:r w:rsidR="00D12D51">
        <w:rPr>
          <w:sz w:val="18"/>
          <w:szCs w:val="18"/>
        </w:rPr>
        <w:t>d</w:t>
      </w:r>
      <w:r w:rsidR="003B6179" w:rsidRPr="000314B2">
        <w:rPr>
          <w:sz w:val="18"/>
          <w:szCs w:val="18"/>
        </w:rPr>
        <w:t xml:space="preserve"> or strongly agree</w:t>
      </w:r>
      <w:r w:rsidR="00D12D51">
        <w:rPr>
          <w:sz w:val="18"/>
          <w:szCs w:val="18"/>
        </w:rPr>
        <w:t>d</w:t>
      </w:r>
      <w:r w:rsidR="003B6179" w:rsidRPr="000314B2">
        <w:rPr>
          <w:sz w:val="18"/>
          <w:szCs w:val="18"/>
        </w:rPr>
        <w:t xml:space="preserve"> and</w:t>
      </w:r>
      <w:r w:rsidRPr="000314B2">
        <w:rPr>
          <w:sz w:val="18"/>
          <w:szCs w:val="18"/>
        </w:rPr>
        <w:t xml:space="preserve"> 43</w:t>
      </w:r>
      <w:r w:rsidR="00405618">
        <w:rPr>
          <w:sz w:val="18"/>
          <w:szCs w:val="18"/>
        </w:rPr>
        <w:t>%</w:t>
      </w:r>
      <w:r w:rsidRPr="000314B2">
        <w:rPr>
          <w:sz w:val="18"/>
          <w:szCs w:val="18"/>
        </w:rPr>
        <w:t xml:space="preserve"> disagree</w:t>
      </w:r>
      <w:r w:rsidR="00D12D51">
        <w:rPr>
          <w:sz w:val="18"/>
          <w:szCs w:val="18"/>
        </w:rPr>
        <w:t>d</w:t>
      </w:r>
      <w:r w:rsidRPr="000314B2">
        <w:rPr>
          <w:sz w:val="18"/>
          <w:szCs w:val="18"/>
        </w:rPr>
        <w:t xml:space="preserve"> or strongly disagree</w:t>
      </w:r>
      <w:r w:rsidR="00D12D51">
        <w:rPr>
          <w:sz w:val="18"/>
          <w:szCs w:val="18"/>
        </w:rPr>
        <w:t>d</w:t>
      </w:r>
      <w:r w:rsidRPr="000314B2">
        <w:rPr>
          <w:sz w:val="18"/>
          <w:szCs w:val="18"/>
        </w:rPr>
        <w:t xml:space="preserve"> that</w:t>
      </w:r>
      <w:r w:rsidR="003B6179" w:rsidRPr="000314B2">
        <w:rPr>
          <w:sz w:val="18"/>
          <w:szCs w:val="18"/>
        </w:rPr>
        <w:t xml:space="preserve"> </w:t>
      </w:r>
      <w:r w:rsidR="00EA7CF2" w:rsidRPr="000314B2">
        <w:rPr>
          <w:sz w:val="18"/>
          <w:szCs w:val="18"/>
        </w:rPr>
        <w:t>the EU regulatory environment is more predictable in comparison with some countries outside of the EU</w:t>
      </w:r>
      <w:r w:rsidRPr="000314B2">
        <w:rPr>
          <w:sz w:val="18"/>
          <w:szCs w:val="18"/>
        </w:rPr>
        <w:t>.</w:t>
      </w:r>
    </w:p>
  </w:footnote>
  <w:footnote w:id="88">
    <w:p w14:paraId="434AB0D8" w14:textId="480C9F93" w:rsidR="0073659E" w:rsidRPr="000314B2" w:rsidRDefault="0073659E" w:rsidP="00A3193A">
      <w:pPr>
        <w:pStyle w:val="FootnoteText"/>
        <w:rPr>
          <w:sz w:val="18"/>
          <w:szCs w:val="18"/>
        </w:rPr>
      </w:pPr>
      <w:r w:rsidRPr="000314B2">
        <w:rPr>
          <w:rStyle w:val="FootnoteReference"/>
          <w:sz w:val="18"/>
          <w:szCs w:val="18"/>
        </w:rPr>
        <w:footnoteRef/>
      </w:r>
      <w:r w:rsidRPr="000314B2">
        <w:rPr>
          <w:sz w:val="18"/>
          <w:szCs w:val="18"/>
        </w:rPr>
        <w:t xml:space="preserve"> </w:t>
      </w:r>
      <w:r w:rsidR="007A61E1">
        <w:rPr>
          <w:sz w:val="18"/>
          <w:szCs w:val="18"/>
        </w:rPr>
        <w:t xml:space="preserve">Public consultation: </w:t>
      </w:r>
      <w:r w:rsidR="00795DA8" w:rsidRPr="009236B1">
        <w:rPr>
          <w:sz w:val="18"/>
          <w:szCs w:val="18"/>
        </w:rPr>
        <w:t>A</w:t>
      </w:r>
      <w:r w:rsidR="00B742A0" w:rsidRPr="009236B1">
        <w:rPr>
          <w:sz w:val="18"/>
          <w:szCs w:val="18"/>
        </w:rPr>
        <w:t>bout 9-10</w:t>
      </w:r>
      <w:r w:rsidR="00405618">
        <w:rPr>
          <w:sz w:val="18"/>
          <w:szCs w:val="18"/>
        </w:rPr>
        <w:t>%</w:t>
      </w:r>
      <w:r w:rsidR="00B742A0" w:rsidRPr="009236B1">
        <w:rPr>
          <w:sz w:val="18"/>
          <w:szCs w:val="18"/>
        </w:rPr>
        <w:t xml:space="preserve"> agreed or strongly agreed</w:t>
      </w:r>
      <w:r w:rsidR="00B742A0" w:rsidRPr="00D12D51">
        <w:rPr>
          <w:sz w:val="18"/>
          <w:szCs w:val="18"/>
        </w:rPr>
        <w:t xml:space="preserve"> </w:t>
      </w:r>
      <w:r w:rsidR="00795DA8" w:rsidRPr="00D12D51">
        <w:rPr>
          <w:sz w:val="18"/>
          <w:szCs w:val="18"/>
        </w:rPr>
        <w:t>and</w:t>
      </w:r>
      <w:r w:rsidR="00795DA8">
        <w:rPr>
          <w:sz w:val="18"/>
          <w:szCs w:val="18"/>
        </w:rPr>
        <w:t xml:space="preserve"> b</w:t>
      </w:r>
      <w:r w:rsidRPr="000314B2">
        <w:rPr>
          <w:sz w:val="18"/>
          <w:szCs w:val="18"/>
        </w:rPr>
        <w:t>etween 64</w:t>
      </w:r>
      <w:r w:rsidR="00405618">
        <w:rPr>
          <w:sz w:val="18"/>
          <w:szCs w:val="18"/>
        </w:rPr>
        <w:t>%</w:t>
      </w:r>
      <w:r w:rsidRPr="000314B2">
        <w:rPr>
          <w:sz w:val="18"/>
          <w:szCs w:val="18"/>
        </w:rPr>
        <w:t xml:space="preserve"> and 68</w:t>
      </w:r>
      <w:r w:rsidR="00405618">
        <w:rPr>
          <w:sz w:val="18"/>
          <w:szCs w:val="18"/>
        </w:rPr>
        <w:t>%</w:t>
      </w:r>
      <w:r w:rsidRPr="000314B2">
        <w:rPr>
          <w:sz w:val="18"/>
          <w:szCs w:val="18"/>
        </w:rPr>
        <w:t xml:space="preserve"> disagree</w:t>
      </w:r>
      <w:r w:rsidR="00D12D51">
        <w:rPr>
          <w:sz w:val="18"/>
          <w:szCs w:val="18"/>
        </w:rPr>
        <w:t>d</w:t>
      </w:r>
      <w:r w:rsidRPr="000314B2">
        <w:rPr>
          <w:sz w:val="18"/>
          <w:szCs w:val="18"/>
        </w:rPr>
        <w:t xml:space="preserve"> or strongly disagree</w:t>
      </w:r>
      <w:r w:rsidR="00D12D51">
        <w:rPr>
          <w:sz w:val="18"/>
          <w:szCs w:val="18"/>
        </w:rPr>
        <w:t>d</w:t>
      </w:r>
      <w:r w:rsidR="00E542EB" w:rsidRPr="000314B2">
        <w:rPr>
          <w:sz w:val="18"/>
          <w:szCs w:val="18"/>
        </w:rPr>
        <w:t xml:space="preserve"> </w:t>
      </w:r>
      <w:r w:rsidRPr="000314B2">
        <w:rPr>
          <w:sz w:val="18"/>
          <w:szCs w:val="18"/>
        </w:rPr>
        <w:t>that</w:t>
      </w:r>
      <w:r w:rsidR="00E542EB" w:rsidRPr="000314B2">
        <w:rPr>
          <w:sz w:val="18"/>
          <w:szCs w:val="18"/>
        </w:rPr>
        <w:t xml:space="preserve"> EU regulatory environment enab</w:t>
      </w:r>
      <w:r w:rsidR="0007319A" w:rsidRPr="000314B2">
        <w:rPr>
          <w:sz w:val="18"/>
          <w:szCs w:val="18"/>
        </w:rPr>
        <w:t xml:space="preserve">les products to </w:t>
      </w:r>
      <w:r w:rsidR="00AE7797" w:rsidRPr="000314B2">
        <w:rPr>
          <w:sz w:val="18"/>
          <w:szCs w:val="18"/>
        </w:rPr>
        <w:t>reach</w:t>
      </w:r>
      <w:r w:rsidR="0007319A" w:rsidRPr="000314B2">
        <w:rPr>
          <w:sz w:val="18"/>
          <w:szCs w:val="18"/>
        </w:rPr>
        <w:t xml:space="preserve"> the market </w:t>
      </w:r>
      <w:r w:rsidR="00AE7797" w:rsidRPr="000314B2">
        <w:rPr>
          <w:sz w:val="18"/>
          <w:szCs w:val="18"/>
        </w:rPr>
        <w:t xml:space="preserve">faster, </w:t>
      </w:r>
      <w:r w:rsidR="001B2B8D" w:rsidRPr="000314B2">
        <w:rPr>
          <w:sz w:val="18"/>
          <w:szCs w:val="18"/>
        </w:rPr>
        <w:t>is less complex and clearer, or leads to lower compliance costs</w:t>
      </w:r>
      <w:r w:rsidR="0007319A" w:rsidRPr="000314B2">
        <w:rPr>
          <w:sz w:val="18"/>
          <w:szCs w:val="18"/>
        </w:rPr>
        <w:t xml:space="preserve"> </w:t>
      </w:r>
      <w:r w:rsidR="00E542EB" w:rsidRPr="000314B2">
        <w:rPr>
          <w:sz w:val="18"/>
          <w:szCs w:val="18"/>
        </w:rPr>
        <w:t>in comparison with some countries outside of the EU.</w:t>
      </w:r>
      <w:r w:rsidR="001B2B8D" w:rsidRPr="000314B2">
        <w:rPr>
          <w:sz w:val="18"/>
          <w:szCs w:val="18"/>
          <w:lang w:val="en-IE"/>
        </w:rPr>
        <w:t xml:space="preserve"> </w:t>
      </w:r>
    </w:p>
  </w:footnote>
  <w:footnote w:id="89">
    <w:p w14:paraId="13A5F8D2" w14:textId="5F82AD6A" w:rsidR="00921A75" w:rsidRPr="00A3193A" w:rsidRDefault="00921A75" w:rsidP="00A3193A">
      <w:pPr>
        <w:pStyle w:val="FootnoteText"/>
        <w:rPr>
          <w:sz w:val="18"/>
          <w:szCs w:val="18"/>
        </w:rPr>
      </w:pPr>
      <w:r w:rsidRPr="000314B2">
        <w:rPr>
          <w:rStyle w:val="FootnoteReference"/>
          <w:sz w:val="18"/>
          <w:szCs w:val="18"/>
        </w:rPr>
        <w:footnoteRef/>
      </w:r>
      <w:r w:rsidRPr="000314B2">
        <w:rPr>
          <w:sz w:val="18"/>
          <w:szCs w:val="18"/>
        </w:rPr>
        <w:t xml:space="preserve"> Sponsor a</w:t>
      </w:r>
      <w:r w:rsidR="00EB0844" w:rsidRPr="000314B2">
        <w:rPr>
          <w:sz w:val="18"/>
          <w:szCs w:val="18"/>
        </w:rPr>
        <w:t>s defined in the CTR</w:t>
      </w:r>
      <w:r w:rsidR="00B65A6D" w:rsidRPr="000314B2">
        <w:rPr>
          <w:sz w:val="18"/>
          <w:szCs w:val="18"/>
        </w:rPr>
        <w:t>, Article (2)</w:t>
      </w:r>
      <w:r w:rsidR="00EB0844" w:rsidRPr="000314B2">
        <w:rPr>
          <w:sz w:val="18"/>
          <w:szCs w:val="18"/>
        </w:rPr>
        <w:t xml:space="preserve"> </w:t>
      </w:r>
      <w:r w:rsidR="00B65A6D" w:rsidRPr="000314B2">
        <w:rPr>
          <w:sz w:val="18"/>
          <w:szCs w:val="18"/>
        </w:rPr>
        <w:t>`</w:t>
      </w:r>
      <w:r w:rsidR="00EB0844" w:rsidRPr="000314B2">
        <w:rPr>
          <w:sz w:val="18"/>
          <w:szCs w:val="18"/>
        </w:rPr>
        <w:t>means</w:t>
      </w:r>
      <w:r w:rsidRPr="000314B2">
        <w:rPr>
          <w:sz w:val="18"/>
          <w:szCs w:val="18"/>
        </w:rPr>
        <w:t xml:space="preserve"> </w:t>
      </w:r>
      <w:r w:rsidR="00B65A6D" w:rsidRPr="000314B2">
        <w:rPr>
          <w:sz w:val="18"/>
          <w:szCs w:val="18"/>
        </w:rPr>
        <w:t>an</w:t>
      </w:r>
      <w:r w:rsidRPr="000314B2">
        <w:rPr>
          <w:sz w:val="18"/>
          <w:szCs w:val="18"/>
        </w:rPr>
        <w:t xml:space="preserve"> individual, company, institution or organisation which takes responsibility for the initiation, for the management and for setting up the financing of the clinical trial</w:t>
      </w:r>
      <w:r w:rsidR="00B65A6D" w:rsidRPr="000314B2">
        <w:rPr>
          <w:sz w:val="18"/>
          <w:szCs w:val="18"/>
        </w:rPr>
        <w:t>’</w:t>
      </w:r>
      <w:r w:rsidRPr="000314B2">
        <w:rPr>
          <w:sz w:val="18"/>
          <w:szCs w:val="18"/>
        </w:rPr>
        <w:t>.</w:t>
      </w:r>
    </w:p>
  </w:footnote>
  <w:footnote w:id="90">
    <w:p w14:paraId="5DCB1DD0" w14:textId="0B0DC52F" w:rsidR="606DC77C" w:rsidRDefault="606DC77C" w:rsidP="008B0887">
      <w:pPr>
        <w:spacing w:after="0"/>
      </w:pPr>
      <w:r w:rsidRPr="008B0887">
        <w:rPr>
          <w:sz w:val="18"/>
          <w:szCs w:val="18"/>
          <w:vertAlign w:val="superscript"/>
        </w:rPr>
        <w:footnoteRef/>
      </w:r>
      <w:r w:rsidR="5609F1C9">
        <w:t xml:space="preserve"> </w:t>
      </w:r>
      <w:hyperlink r:id="rId68" w:history="1">
        <w:r w:rsidR="011B2E8D" w:rsidRPr="003369BC">
          <w:rPr>
            <w:rStyle w:val="Hyperlink"/>
            <w:rFonts w:eastAsia="Times New Roman"/>
            <w:color w:val="000000" w:themeColor="text1"/>
            <w:sz w:val="18"/>
            <w:szCs w:val="18"/>
            <w:u w:val="none"/>
          </w:rPr>
          <w:t xml:space="preserve">Reflection paper on a tailored clinical approach in biosimilar development: </w:t>
        </w:r>
      </w:hyperlink>
      <w:r w:rsidR="011B2E8D" w:rsidRPr="003369BC">
        <w:rPr>
          <w:color w:val="000000" w:themeColor="text1"/>
          <w:sz w:val="18"/>
          <w:szCs w:val="18"/>
        </w:rPr>
        <w:t>”</w:t>
      </w:r>
      <w:r w:rsidR="5609F1C9" w:rsidRPr="003369BC">
        <w:rPr>
          <w:rFonts w:eastAsia="Times New Roman"/>
          <w:color w:val="000000" w:themeColor="text1"/>
          <w:sz w:val="18"/>
          <w:szCs w:val="18"/>
        </w:rPr>
        <w:t>Based on the advancements in analytical technology and the regulatory experience gained, a tailored approach for clinical development of biosimilar candidates is possible. CES are no longer expected to be required for approval of biosimilars that can be thoroughly characterised using state-of-the-art analytical methods and have demonstrated similarity in physicochemical and functional properties. Comparative clinical PK studies are still essential elements in the biosimilar development and can provide supportive safety and immunogenicity data. This tailored clinical approach is expected to be applicable for the majority of biosimilar candidates. A regulatory option that, under certain conditions, allows authorisation of biosimilars based on demonstrated comparability at the analytical level with a limited clinical data package streamlines the development process without compromising efficacy and safety</w:t>
      </w:r>
      <w:r w:rsidR="34B895BC" w:rsidRPr="003369BC">
        <w:rPr>
          <w:rFonts w:eastAsia="Times New Roman"/>
          <w:color w:val="000000" w:themeColor="text1"/>
          <w:sz w:val="18"/>
          <w:szCs w:val="18"/>
        </w:rPr>
        <w:t>”</w:t>
      </w:r>
      <w:r w:rsidR="004064C1" w:rsidRPr="003369BC">
        <w:rPr>
          <w:rFonts w:eastAsia="Times New Roman"/>
          <w:color w:val="000000" w:themeColor="text1"/>
          <w:sz w:val="18"/>
          <w:szCs w:val="18"/>
        </w:rPr>
        <w:t>.</w:t>
      </w:r>
      <w:r w:rsidR="34B895BC" w:rsidRPr="0071146A">
        <w:rPr>
          <w:rFonts w:eastAsia="Times New Roman"/>
          <w:color w:val="000000" w:themeColor="text1"/>
        </w:rPr>
        <w:t xml:space="preserve"> </w:t>
      </w:r>
    </w:p>
  </w:footnote>
  <w:footnote w:id="91">
    <w:p w14:paraId="425A571E" w14:textId="65B85654" w:rsidR="00DC44C8" w:rsidRPr="006F34C8" w:rsidRDefault="00DC44C8" w:rsidP="00A3193A">
      <w:pPr>
        <w:spacing w:after="0"/>
        <w:rPr>
          <w:color w:val="000000"/>
          <w:sz w:val="18"/>
          <w:szCs w:val="18"/>
        </w:rPr>
      </w:pPr>
      <w:r w:rsidRPr="006F34C8">
        <w:rPr>
          <w:rStyle w:val="FootnoteReference"/>
          <w:sz w:val="18"/>
          <w:szCs w:val="18"/>
        </w:rPr>
        <w:footnoteRef/>
      </w:r>
      <w:r w:rsidR="005A4C53" w:rsidRPr="006F34C8">
        <w:rPr>
          <w:color w:val="000000"/>
          <w:sz w:val="18"/>
          <w:szCs w:val="18"/>
        </w:rPr>
        <w:t xml:space="preserve"> E.g. </w:t>
      </w:r>
      <w:r w:rsidRPr="006F34C8">
        <w:rPr>
          <w:color w:val="000000"/>
          <w:sz w:val="18"/>
          <w:szCs w:val="18"/>
        </w:rPr>
        <w:t>substances used in food and feed (such as additives, enzymes,</w:t>
      </w:r>
      <w:r w:rsidRPr="006F34C8">
        <w:rPr>
          <w:sz w:val="18"/>
          <w:szCs w:val="18"/>
        </w:rPr>
        <w:t xml:space="preserve"> </w:t>
      </w:r>
      <w:r w:rsidRPr="006F34C8">
        <w:rPr>
          <w:color w:val="000000"/>
          <w:sz w:val="18"/>
          <w:szCs w:val="18"/>
        </w:rPr>
        <w:t xml:space="preserve">flavourings, and nutrient sources), </w:t>
      </w:r>
      <w:r w:rsidR="005A4C53" w:rsidRPr="006F34C8">
        <w:rPr>
          <w:color w:val="000000"/>
          <w:sz w:val="18"/>
          <w:szCs w:val="18"/>
        </w:rPr>
        <w:t xml:space="preserve">novel foods, </w:t>
      </w:r>
      <w:r w:rsidRPr="006F34C8">
        <w:rPr>
          <w:color w:val="000000"/>
          <w:sz w:val="18"/>
          <w:szCs w:val="18"/>
        </w:rPr>
        <w:t xml:space="preserve">food contact materials, genetically modified organisms, </w:t>
      </w:r>
      <w:r w:rsidR="00810AD2" w:rsidRPr="006F34C8">
        <w:rPr>
          <w:color w:val="000000"/>
          <w:sz w:val="18"/>
          <w:szCs w:val="18"/>
        </w:rPr>
        <w:t xml:space="preserve">plant protection products etc. </w:t>
      </w:r>
    </w:p>
  </w:footnote>
  <w:footnote w:id="92">
    <w:p w14:paraId="4610C5DB" w14:textId="14D56B4E" w:rsidR="00797BDD" w:rsidRPr="00CC56A5" w:rsidRDefault="00797BDD">
      <w:pPr>
        <w:pStyle w:val="FootnoteText"/>
        <w:rPr>
          <w:rFonts w:eastAsia="MS Mincho"/>
          <w:sz w:val="18"/>
          <w:szCs w:val="18"/>
        </w:rPr>
      </w:pPr>
      <w:r w:rsidRPr="00CC56A5">
        <w:rPr>
          <w:rStyle w:val="FootnoteReference"/>
          <w:sz w:val="18"/>
          <w:szCs w:val="18"/>
        </w:rPr>
        <w:footnoteRef/>
      </w:r>
      <w:r w:rsidRPr="00CC56A5">
        <w:rPr>
          <w:sz w:val="18"/>
          <w:szCs w:val="18"/>
        </w:rPr>
        <w:t xml:space="preserve"> </w:t>
      </w:r>
      <w:r w:rsidR="002E518B">
        <w:rPr>
          <w:sz w:val="18"/>
          <w:szCs w:val="18"/>
        </w:rPr>
        <w:t>Public consultation, see footnote 74</w:t>
      </w:r>
      <w:r w:rsidRPr="006F34C8">
        <w:rPr>
          <w:sz w:val="18"/>
          <w:szCs w:val="18"/>
        </w:rPr>
        <w:t>.</w:t>
      </w:r>
    </w:p>
  </w:footnote>
  <w:footnote w:id="93">
    <w:p w14:paraId="1FB4AA46" w14:textId="3FA722E0" w:rsidR="000A0A72" w:rsidRPr="00A3193A" w:rsidRDefault="000A0A72" w:rsidP="00A3193A">
      <w:pPr>
        <w:pStyle w:val="FootnoteText"/>
        <w:rPr>
          <w:sz w:val="18"/>
          <w:szCs w:val="18"/>
          <w:lang w:val="en-IE"/>
        </w:rPr>
      </w:pPr>
      <w:r w:rsidRPr="00A3193A">
        <w:rPr>
          <w:rStyle w:val="FootnoteReference"/>
          <w:sz w:val="18"/>
          <w:szCs w:val="18"/>
        </w:rPr>
        <w:footnoteRef/>
      </w:r>
      <w:r w:rsidRPr="00A3193A">
        <w:rPr>
          <w:sz w:val="18"/>
          <w:szCs w:val="18"/>
        </w:rPr>
        <w:t xml:space="preserve"> </w:t>
      </w:r>
      <w:r w:rsidRPr="00A3193A">
        <w:rPr>
          <w:sz w:val="18"/>
          <w:szCs w:val="18"/>
          <w:lang w:val="en-IE"/>
        </w:rPr>
        <w:t xml:space="preserve">Based on </w:t>
      </w:r>
      <w:r w:rsidR="002220F6" w:rsidRPr="00A3193A">
        <w:rPr>
          <w:sz w:val="18"/>
          <w:szCs w:val="18"/>
        </w:rPr>
        <w:t>Landscape analysis study</w:t>
      </w:r>
      <w:r w:rsidR="006F34C8">
        <w:rPr>
          <w:sz w:val="18"/>
          <w:szCs w:val="18"/>
        </w:rPr>
        <w:t>.</w:t>
      </w:r>
    </w:p>
  </w:footnote>
  <w:footnote w:id="94">
    <w:p w14:paraId="340BF160" w14:textId="2D342521" w:rsidR="3D5DF754" w:rsidRDefault="3D5DF754" w:rsidP="3D5DF754">
      <w:pPr>
        <w:spacing w:after="0"/>
        <w:jc w:val="left"/>
        <w:rPr>
          <w:sz w:val="18"/>
          <w:szCs w:val="18"/>
          <w:lang w:val="en-IE"/>
        </w:rPr>
      </w:pPr>
      <w:r w:rsidRPr="3D5DF754">
        <w:rPr>
          <w:sz w:val="18"/>
          <w:szCs w:val="18"/>
          <w:vertAlign w:val="superscript"/>
        </w:rPr>
        <w:footnoteRef/>
      </w:r>
      <w:r w:rsidRPr="3D5DF754">
        <w:rPr>
          <w:sz w:val="18"/>
          <w:szCs w:val="18"/>
          <w:lang w:val="en-IE"/>
        </w:rPr>
        <w:t xml:space="preserve"> </w:t>
      </w:r>
      <w:r w:rsidRPr="3D5DF754">
        <w:rPr>
          <w:sz w:val="18"/>
          <w:szCs w:val="18"/>
        </w:rPr>
        <w:t>The EIB Group uses industry data of EUR 69.7 billion investment for the US vs EUR 26.5 billion in the EU in 2021, resulting in a gap of ca. EUR 40 billion.</w:t>
      </w:r>
    </w:p>
  </w:footnote>
  <w:footnote w:id="95">
    <w:p w14:paraId="2D516A82" w14:textId="5E751DCF" w:rsidR="3D5DF754" w:rsidRDefault="3D5DF754" w:rsidP="3D5DF754">
      <w:pPr>
        <w:pStyle w:val="FootnoteText"/>
        <w:rPr>
          <w:sz w:val="18"/>
          <w:szCs w:val="18"/>
          <w:lang w:val="en-IE"/>
        </w:rPr>
      </w:pPr>
      <w:r w:rsidRPr="3D5DF754">
        <w:rPr>
          <w:rStyle w:val="FootnoteReference"/>
          <w:sz w:val="18"/>
          <w:szCs w:val="18"/>
        </w:rPr>
        <w:footnoteRef/>
      </w:r>
      <w:r w:rsidRPr="3D5DF754">
        <w:rPr>
          <w:sz w:val="18"/>
          <w:szCs w:val="18"/>
        </w:rPr>
        <w:t xml:space="preserve"> </w:t>
      </w:r>
      <w:r w:rsidRPr="3D5DF754">
        <w:rPr>
          <w:sz w:val="18"/>
          <w:szCs w:val="18"/>
          <w:lang w:val="en-IE"/>
        </w:rPr>
        <w:t>Landscape analysis study.</w:t>
      </w:r>
    </w:p>
  </w:footnote>
  <w:footnote w:id="96">
    <w:p w14:paraId="540906C0" w14:textId="6794B0C5" w:rsidR="3D5DF754" w:rsidRDefault="3D5DF754" w:rsidP="3D5DF754">
      <w:pPr>
        <w:pStyle w:val="FootnoteText"/>
        <w:rPr>
          <w:rFonts w:eastAsia="Segoe UI"/>
          <w:color w:val="FFFFFF" w:themeColor="background1"/>
          <w:sz w:val="18"/>
          <w:szCs w:val="18"/>
          <w:lang w:val="en-IE"/>
        </w:rPr>
      </w:pPr>
      <w:r w:rsidRPr="3D5DF754">
        <w:rPr>
          <w:rStyle w:val="FootnoteReference"/>
          <w:sz w:val="18"/>
          <w:szCs w:val="18"/>
        </w:rPr>
        <w:footnoteRef/>
      </w:r>
      <w:r w:rsidRPr="3D5DF754">
        <w:rPr>
          <w:sz w:val="18"/>
          <w:szCs w:val="18"/>
        </w:rPr>
        <w:t xml:space="preserve"> </w:t>
      </w:r>
      <w:r w:rsidRPr="3D5DF754">
        <w:rPr>
          <w:sz w:val="18"/>
          <w:szCs w:val="18"/>
          <w:lang w:val="en-IE"/>
        </w:rPr>
        <w:t>Kempen &amp; Co analysis, Liquidity slides for dual listed companies, 2021.</w:t>
      </w:r>
    </w:p>
  </w:footnote>
  <w:footnote w:id="97">
    <w:p w14:paraId="473B7757" w14:textId="56621781" w:rsidR="008D2114" w:rsidRPr="00905BB9" w:rsidRDefault="008D2114" w:rsidP="00A3193A">
      <w:pPr>
        <w:pStyle w:val="FootnoteText"/>
        <w:rPr>
          <w:sz w:val="18"/>
          <w:szCs w:val="18"/>
          <w:lang w:val="en-IE"/>
        </w:rPr>
      </w:pPr>
      <w:r w:rsidRPr="00905BB9">
        <w:rPr>
          <w:rStyle w:val="FootnoteReference"/>
          <w:sz w:val="18"/>
          <w:szCs w:val="18"/>
        </w:rPr>
        <w:footnoteRef/>
      </w:r>
      <w:r w:rsidRPr="00905BB9">
        <w:rPr>
          <w:sz w:val="18"/>
          <w:szCs w:val="18"/>
        </w:rPr>
        <w:t xml:space="preserve"> </w:t>
      </w:r>
      <w:r w:rsidR="00A769A8" w:rsidRPr="00905BB9">
        <w:rPr>
          <w:sz w:val="18"/>
          <w:szCs w:val="18"/>
          <w:lang w:val="en-IE"/>
        </w:rPr>
        <w:t>Landscape analysis study</w:t>
      </w:r>
      <w:r w:rsidR="006F34C8" w:rsidRPr="00905BB9">
        <w:rPr>
          <w:sz w:val="18"/>
          <w:szCs w:val="18"/>
          <w:lang w:val="en-IE"/>
        </w:rPr>
        <w:t>.</w:t>
      </w:r>
    </w:p>
  </w:footnote>
  <w:footnote w:id="98">
    <w:p w14:paraId="00388DDA" w14:textId="4826038C" w:rsidR="0032379B" w:rsidRPr="00905BB9" w:rsidRDefault="0032379B">
      <w:pPr>
        <w:pStyle w:val="FootnoteText"/>
        <w:rPr>
          <w:sz w:val="18"/>
          <w:szCs w:val="18"/>
        </w:rPr>
      </w:pPr>
      <w:r w:rsidRPr="00905BB9">
        <w:rPr>
          <w:rStyle w:val="FootnoteReference"/>
          <w:sz w:val="18"/>
          <w:szCs w:val="18"/>
        </w:rPr>
        <w:footnoteRef/>
      </w:r>
      <w:r w:rsidRPr="00905BB9">
        <w:rPr>
          <w:sz w:val="18"/>
          <w:szCs w:val="18"/>
        </w:rPr>
        <w:t xml:space="preserve"> Public consultation, see footnote </w:t>
      </w:r>
      <w:r w:rsidR="00F0204B">
        <w:rPr>
          <w:sz w:val="18"/>
          <w:szCs w:val="18"/>
        </w:rPr>
        <w:t>74</w:t>
      </w:r>
      <w:r w:rsidRPr="00905BB9">
        <w:rPr>
          <w:sz w:val="18"/>
          <w:szCs w:val="18"/>
        </w:rPr>
        <w:t>.</w:t>
      </w:r>
    </w:p>
  </w:footnote>
  <w:footnote w:id="99">
    <w:p w14:paraId="4F18A9AA" w14:textId="5D1635A1" w:rsidR="00A95230" w:rsidRPr="00905BB9" w:rsidRDefault="00A95230">
      <w:pPr>
        <w:pStyle w:val="FootnoteText"/>
        <w:rPr>
          <w:sz w:val="18"/>
          <w:szCs w:val="18"/>
          <w:lang w:val="en-IE"/>
        </w:rPr>
      </w:pPr>
      <w:r w:rsidRPr="00905BB9">
        <w:rPr>
          <w:rStyle w:val="FootnoteReference"/>
          <w:sz w:val="18"/>
          <w:szCs w:val="18"/>
        </w:rPr>
        <w:footnoteRef/>
      </w:r>
      <w:r w:rsidRPr="00905BB9">
        <w:rPr>
          <w:sz w:val="18"/>
          <w:szCs w:val="18"/>
        </w:rPr>
        <w:t xml:space="preserve"> Regulation (EC) No 469/2009 OJ</w:t>
      </w:r>
      <w:r w:rsidR="00905BB9" w:rsidRPr="00905BB9">
        <w:rPr>
          <w:sz w:val="18"/>
          <w:szCs w:val="18"/>
        </w:rPr>
        <w:t xml:space="preserve"> </w:t>
      </w:r>
      <w:r w:rsidRPr="00905BB9">
        <w:rPr>
          <w:sz w:val="18"/>
          <w:szCs w:val="18"/>
        </w:rPr>
        <w:t>L 152, pp. 1–10</w:t>
      </w:r>
      <w:r w:rsidR="00905BB9" w:rsidRPr="00905BB9">
        <w:rPr>
          <w:sz w:val="18"/>
          <w:szCs w:val="18"/>
        </w:rPr>
        <w:t xml:space="preserve"> ELI: </w:t>
      </w:r>
      <w:hyperlink r:id="rId69" w:history="1">
        <w:r w:rsidR="00905BB9" w:rsidRPr="00905BB9">
          <w:rPr>
            <w:rStyle w:val="Hyperlink"/>
            <w:sz w:val="18"/>
            <w:szCs w:val="18"/>
          </w:rPr>
          <w:t>http://data.europa.eu/eli/reg/2009/469/oj</w:t>
        </w:r>
      </w:hyperlink>
      <w:r w:rsidR="00905BB9" w:rsidRPr="00905BB9">
        <w:rPr>
          <w:sz w:val="18"/>
          <w:szCs w:val="18"/>
        </w:rPr>
        <w:t xml:space="preserve">. </w:t>
      </w:r>
    </w:p>
  </w:footnote>
  <w:footnote w:id="100">
    <w:p w14:paraId="0E48E759" w14:textId="54BCFD73" w:rsidR="00B36AB3" w:rsidRPr="00905BB9" w:rsidRDefault="00B36AB3" w:rsidP="00A3193A">
      <w:pPr>
        <w:pStyle w:val="FootnoteText"/>
        <w:rPr>
          <w:sz w:val="18"/>
          <w:szCs w:val="18"/>
          <w:lang w:val="en-IE"/>
        </w:rPr>
      </w:pPr>
      <w:r w:rsidRPr="00905BB9">
        <w:rPr>
          <w:rStyle w:val="FootnoteReference"/>
          <w:sz w:val="18"/>
          <w:szCs w:val="18"/>
        </w:rPr>
        <w:footnoteRef/>
      </w:r>
      <w:r w:rsidRPr="00905BB9">
        <w:rPr>
          <w:sz w:val="18"/>
          <w:szCs w:val="18"/>
        </w:rPr>
        <w:t xml:space="preserve"> </w:t>
      </w:r>
      <w:r w:rsidRPr="00905BB9">
        <w:rPr>
          <w:sz w:val="18"/>
          <w:szCs w:val="18"/>
          <w:lang w:val="en-IE"/>
        </w:rPr>
        <w:t>Landscape analysis study</w:t>
      </w:r>
      <w:r w:rsidR="006F34C8" w:rsidRPr="00905BB9">
        <w:rPr>
          <w:sz w:val="18"/>
          <w:szCs w:val="18"/>
          <w:lang w:val="en-IE"/>
        </w:rPr>
        <w:t>.</w:t>
      </w:r>
    </w:p>
  </w:footnote>
  <w:footnote w:id="101">
    <w:p w14:paraId="5F830678" w14:textId="55DEEDFA" w:rsidR="006B3A6F" w:rsidRPr="00A4301A" w:rsidRDefault="006B3A6F">
      <w:pPr>
        <w:pStyle w:val="FootnoteText"/>
        <w:rPr>
          <w:sz w:val="18"/>
          <w:szCs w:val="18"/>
        </w:rPr>
      </w:pPr>
      <w:r w:rsidRPr="00905BB9">
        <w:rPr>
          <w:rStyle w:val="FootnoteReference"/>
          <w:sz w:val="18"/>
          <w:szCs w:val="18"/>
        </w:rPr>
        <w:footnoteRef/>
      </w:r>
      <w:r w:rsidRPr="00905BB9">
        <w:rPr>
          <w:sz w:val="18"/>
          <w:szCs w:val="18"/>
        </w:rPr>
        <w:t xml:space="preserve"> </w:t>
      </w:r>
      <w:r w:rsidR="002E518B">
        <w:rPr>
          <w:sz w:val="18"/>
          <w:szCs w:val="18"/>
        </w:rPr>
        <w:t>Public consultation, see footnote 74</w:t>
      </w:r>
      <w:r w:rsidRPr="00905BB9">
        <w:rPr>
          <w:sz w:val="18"/>
          <w:szCs w:val="18"/>
        </w:rPr>
        <w:t>.</w:t>
      </w:r>
    </w:p>
  </w:footnote>
  <w:footnote w:id="102">
    <w:p w14:paraId="60FF70ED" w14:textId="65079DFF" w:rsidR="00A4301A" w:rsidRPr="000E683D" w:rsidRDefault="00A4301A">
      <w:pPr>
        <w:pStyle w:val="FootnoteText"/>
        <w:rPr>
          <w:sz w:val="18"/>
          <w:szCs w:val="18"/>
        </w:rPr>
      </w:pPr>
      <w:r w:rsidRPr="00A4301A">
        <w:rPr>
          <w:rStyle w:val="FootnoteReference"/>
          <w:sz w:val="18"/>
          <w:szCs w:val="18"/>
        </w:rPr>
        <w:footnoteRef/>
      </w:r>
      <w:r w:rsidRPr="00A4301A">
        <w:rPr>
          <w:sz w:val="18"/>
          <w:szCs w:val="18"/>
        </w:rPr>
        <w:t xml:space="preserve"> </w:t>
      </w:r>
      <w:r w:rsidR="00431414" w:rsidRPr="00431414">
        <w:rPr>
          <w:sz w:val="18"/>
          <w:szCs w:val="18"/>
        </w:rPr>
        <w:t>Submissions to the Call for Evidence and Public Consultation, as well as stakeholder workshop insights, as analysed in the study supporting the rapid assessment of policy scenarios to strengthen innovation and competitiveness in the field of biotechnology in the EU (</w:t>
      </w:r>
      <w:r w:rsidR="0057721C">
        <w:rPr>
          <w:sz w:val="18"/>
          <w:szCs w:val="18"/>
        </w:rPr>
        <w:t>Rapid Assessment Scenario Study</w:t>
      </w:r>
      <w:r w:rsidR="00810744">
        <w:rPr>
          <w:sz w:val="18"/>
          <w:szCs w:val="18"/>
        </w:rPr>
        <w:t xml:space="preserve"> </w:t>
      </w:r>
      <w:r w:rsidR="00431414" w:rsidRPr="00431414">
        <w:rPr>
          <w:sz w:val="18"/>
          <w:szCs w:val="18"/>
        </w:rPr>
        <w:t>forthcoming)</w:t>
      </w:r>
      <w:r w:rsidR="00DA191A">
        <w:rPr>
          <w:sz w:val="18"/>
          <w:szCs w:val="18"/>
        </w:rPr>
        <w:t xml:space="preserve">; </w:t>
      </w:r>
      <w:r w:rsidR="00DA191A" w:rsidRPr="006F34C8">
        <w:rPr>
          <w:sz w:val="18"/>
          <w:szCs w:val="18"/>
          <w:lang w:val="en-IE"/>
        </w:rPr>
        <w:t>Landscape analysis study</w:t>
      </w:r>
      <w:r w:rsidR="00DA191A" w:rsidRPr="006F34C8">
        <w:rPr>
          <w:sz w:val="18"/>
          <w:szCs w:val="18"/>
        </w:rPr>
        <w:t xml:space="preserve"> - Annex 2 – Case Studies</w:t>
      </w:r>
      <w:r w:rsidR="0057721C">
        <w:rPr>
          <w:sz w:val="18"/>
          <w:szCs w:val="18"/>
        </w:rPr>
        <w:t xml:space="preserve"> (forthcoming)</w:t>
      </w:r>
      <w:r w:rsidR="00181230">
        <w:rPr>
          <w:sz w:val="18"/>
          <w:szCs w:val="18"/>
        </w:rPr>
        <w:t>.</w:t>
      </w:r>
    </w:p>
  </w:footnote>
  <w:footnote w:id="103">
    <w:p w14:paraId="69EE67FF" w14:textId="289B4853" w:rsidR="00B33038" w:rsidRPr="006F34C8" w:rsidRDefault="00B33038" w:rsidP="00A3193A">
      <w:pPr>
        <w:pStyle w:val="FootnoteText"/>
        <w:rPr>
          <w:sz w:val="18"/>
          <w:szCs w:val="18"/>
        </w:rPr>
      </w:pPr>
      <w:r w:rsidRPr="006F34C8">
        <w:rPr>
          <w:rStyle w:val="FootnoteReference"/>
          <w:sz w:val="18"/>
          <w:szCs w:val="18"/>
        </w:rPr>
        <w:footnoteRef/>
      </w:r>
      <w:r w:rsidRPr="006F34C8">
        <w:rPr>
          <w:sz w:val="18"/>
          <w:szCs w:val="18"/>
        </w:rPr>
        <w:t xml:space="preserve"> </w:t>
      </w:r>
      <w:r w:rsidR="00811807" w:rsidRPr="006F34C8">
        <w:rPr>
          <w:sz w:val="18"/>
          <w:szCs w:val="18"/>
          <w:lang w:val="en-IE"/>
        </w:rPr>
        <w:t>Landscape analysis study</w:t>
      </w:r>
      <w:r w:rsidR="00811807" w:rsidRPr="006F34C8">
        <w:rPr>
          <w:sz w:val="18"/>
          <w:szCs w:val="18"/>
        </w:rPr>
        <w:t xml:space="preserve"> - Annex 2 – Case Studies</w:t>
      </w:r>
      <w:r w:rsidR="006F34C8">
        <w:rPr>
          <w:sz w:val="18"/>
          <w:szCs w:val="18"/>
        </w:rPr>
        <w:t>.</w:t>
      </w:r>
    </w:p>
  </w:footnote>
  <w:footnote w:id="104">
    <w:p w14:paraId="185AB362" w14:textId="4C72FA58" w:rsidR="000C1A11" w:rsidRPr="000E683D" w:rsidRDefault="000C1A11">
      <w:pPr>
        <w:pStyle w:val="FootnoteText"/>
        <w:rPr>
          <w:sz w:val="18"/>
          <w:szCs w:val="18"/>
          <w:lang w:val="en-IE"/>
        </w:rPr>
      </w:pPr>
      <w:r w:rsidRPr="000E683D">
        <w:rPr>
          <w:rStyle w:val="FootnoteReference"/>
          <w:sz w:val="18"/>
          <w:szCs w:val="18"/>
        </w:rPr>
        <w:footnoteRef/>
      </w:r>
      <w:r w:rsidRPr="000E683D">
        <w:rPr>
          <w:sz w:val="18"/>
          <w:szCs w:val="18"/>
        </w:rPr>
        <w:t xml:space="preserve"> </w:t>
      </w:r>
      <w:r w:rsidR="002E518B">
        <w:rPr>
          <w:sz w:val="18"/>
          <w:szCs w:val="18"/>
        </w:rPr>
        <w:t>Public consultation, see footnote 74</w:t>
      </w:r>
      <w:r w:rsidR="006B3A6F">
        <w:rPr>
          <w:sz w:val="18"/>
          <w:szCs w:val="18"/>
        </w:rPr>
        <w:t>.</w:t>
      </w:r>
    </w:p>
  </w:footnote>
  <w:footnote w:id="105">
    <w:p w14:paraId="259E7FB3" w14:textId="77777777" w:rsidR="00BC6769" w:rsidRPr="006F34C8" w:rsidRDefault="00BC6769" w:rsidP="00A3193A">
      <w:pPr>
        <w:pStyle w:val="FootnoteText"/>
        <w:rPr>
          <w:sz w:val="18"/>
          <w:szCs w:val="18"/>
          <w:lang w:val="en-IE"/>
        </w:rPr>
      </w:pPr>
      <w:r w:rsidRPr="006F34C8">
        <w:rPr>
          <w:rStyle w:val="FootnoteReference"/>
          <w:sz w:val="18"/>
          <w:szCs w:val="18"/>
        </w:rPr>
        <w:footnoteRef/>
      </w:r>
      <w:r w:rsidRPr="006F34C8">
        <w:rPr>
          <w:sz w:val="18"/>
          <w:szCs w:val="18"/>
        </w:rPr>
        <w:t xml:space="preserve"> Landscape analysis study</w:t>
      </w:r>
      <w:r w:rsidRPr="006F34C8">
        <w:rPr>
          <w:sz w:val="18"/>
          <w:szCs w:val="18"/>
          <w:lang w:val="en-IE"/>
        </w:rPr>
        <w:t>.</w:t>
      </w:r>
    </w:p>
  </w:footnote>
  <w:footnote w:id="106">
    <w:p w14:paraId="456A15F4" w14:textId="6514042D" w:rsidR="00CC1B0C" w:rsidRPr="006F34C8" w:rsidRDefault="00CC1B0C" w:rsidP="00A3193A">
      <w:pPr>
        <w:pStyle w:val="FootnoteText"/>
        <w:rPr>
          <w:sz w:val="18"/>
          <w:szCs w:val="18"/>
          <w:lang w:val="en-IE"/>
        </w:rPr>
      </w:pPr>
      <w:r w:rsidRPr="006F34C8">
        <w:rPr>
          <w:rStyle w:val="FootnoteReference"/>
          <w:sz w:val="18"/>
          <w:szCs w:val="18"/>
        </w:rPr>
        <w:footnoteRef/>
      </w:r>
      <w:r w:rsidRPr="006F34C8">
        <w:rPr>
          <w:sz w:val="18"/>
          <w:szCs w:val="18"/>
        </w:rPr>
        <w:t xml:space="preserve"> Landscape analysis study</w:t>
      </w:r>
      <w:r w:rsidR="006F34C8">
        <w:rPr>
          <w:sz w:val="18"/>
          <w:szCs w:val="18"/>
        </w:rPr>
        <w:t>.</w:t>
      </w:r>
    </w:p>
  </w:footnote>
  <w:footnote w:id="107">
    <w:p w14:paraId="561DAB2A" w14:textId="498987A1" w:rsidR="00785553" w:rsidRPr="006F34C8" w:rsidRDefault="006D5178" w:rsidP="00A3193A">
      <w:pPr>
        <w:pStyle w:val="FootnoteText"/>
        <w:rPr>
          <w:b/>
          <w:sz w:val="18"/>
          <w:szCs w:val="18"/>
          <w:lang w:val="en-IE"/>
        </w:rPr>
      </w:pPr>
      <w:r w:rsidRPr="006F34C8">
        <w:rPr>
          <w:rStyle w:val="FootnoteReference"/>
          <w:sz w:val="18"/>
          <w:szCs w:val="18"/>
        </w:rPr>
        <w:footnoteRef/>
      </w:r>
      <w:r w:rsidRPr="006F34C8">
        <w:rPr>
          <w:sz w:val="18"/>
          <w:szCs w:val="18"/>
        </w:rPr>
        <w:t xml:space="preserve"> </w:t>
      </w:r>
      <w:r w:rsidR="00785553" w:rsidRPr="006F34C8">
        <w:rPr>
          <w:sz w:val="18"/>
          <w:szCs w:val="18"/>
        </w:rPr>
        <w:t>In 2023, only 55.6</w:t>
      </w:r>
      <w:r w:rsidR="00405618">
        <w:rPr>
          <w:sz w:val="18"/>
          <w:szCs w:val="18"/>
        </w:rPr>
        <w:t>%</w:t>
      </w:r>
      <w:r w:rsidR="00785553" w:rsidRPr="006F34C8">
        <w:rPr>
          <w:sz w:val="18"/>
          <w:szCs w:val="18"/>
        </w:rPr>
        <w:t xml:space="preserve"> of the EU adult population had at least basic digital skills. </w:t>
      </w:r>
      <w:r w:rsidR="006B15EB" w:rsidRPr="006F34C8">
        <w:rPr>
          <w:sz w:val="18"/>
          <w:szCs w:val="18"/>
        </w:rPr>
        <w:t>Digital Decade DESI visualisation tool</w:t>
      </w:r>
      <w:r w:rsidR="00E04A1A" w:rsidRPr="006F34C8">
        <w:rPr>
          <w:sz w:val="18"/>
          <w:szCs w:val="18"/>
        </w:rPr>
        <w:t xml:space="preserve"> </w:t>
      </w:r>
      <w:r w:rsidR="006B15EB" w:rsidRPr="006F34C8">
        <w:rPr>
          <w:sz w:val="18"/>
          <w:szCs w:val="18"/>
        </w:rPr>
        <w:t>DESI 2025, DESI indicators</w:t>
      </w:r>
      <w:r w:rsidR="00666BE2" w:rsidRPr="006F34C8">
        <w:rPr>
          <w:sz w:val="18"/>
          <w:szCs w:val="18"/>
        </w:rPr>
        <w:t xml:space="preserve">, </w:t>
      </w:r>
      <w:r w:rsidR="00666BE2" w:rsidRPr="006F34C8">
        <w:rPr>
          <w:sz w:val="18"/>
          <w:szCs w:val="18"/>
          <w:lang w:val="en-IE"/>
        </w:rPr>
        <w:t>Indicator:</w:t>
      </w:r>
      <w:r w:rsidR="00064F19" w:rsidRPr="006F34C8">
        <w:rPr>
          <w:sz w:val="18"/>
          <w:szCs w:val="18"/>
          <w:lang w:val="en-IE"/>
        </w:rPr>
        <w:t xml:space="preserve"> </w:t>
      </w:r>
      <w:r w:rsidR="00666BE2" w:rsidRPr="006F34C8">
        <w:rPr>
          <w:sz w:val="18"/>
          <w:szCs w:val="18"/>
          <w:lang w:val="en-IE"/>
        </w:rPr>
        <w:t xml:space="preserve">At least basic digital skills. </w:t>
      </w:r>
      <w:hyperlink r:id="rId70" w:history="1">
        <w:r w:rsidR="00666BE2" w:rsidRPr="006F34C8">
          <w:rPr>
            <w:rStyle w:val="Hyperlink"/>
            <w:sz w:val="18"/>
            <w:szCs w:val="18"/>
          </w:rPr>
          <w:t>https://digital-decade-desi.digital-strategy.ec.europa.eu/datasets/desi/charts/desi-indicators</w:t>
        </w:r>
      </w:hyperlink>
      <w:r w:rsidR="006F34C8">
        <w:rPr>
          <w:sz w:val="18"/>
          <w:szCs w:val="18"/>
        </w:rPr>
        <w:t>.</w:t>
      </w:r>
    </w:p>
  </w:footnote>
  <w:footnote w:id="108">
    <w:p w14:paraId="2891FB67" w14:textId="305F1E53" w:rsidR="00011537" w:rsidRPr="006F34C8" w:rsidRDefault="00011537" w:rsidP="00A3193A">
      <w:pPr>
        <w:pStyle w:val="FootnoteText"/>
        <w:rPr>
          <w:sz w:val="18"/>
          <w:szCs w:val="18"/>
        </w:rPr>
      </w:pPr>
      <w:r w:rsidRPr="006F34C8">
        <w:rPr>
          <w:rStyle w:val="FootnoteReference"/>
          <w:sz w:val="18"/>
          <w:szCs w:val="18"/>
        </w:rPr>
        <w:footnoteRef/>
      </w:r>
      <w:r w:rsidRPr="006F34C8">
        <w:rPr>
          <w:sz w:val="18"/>
          <w:szCs w:val="18"/>
        </w:rPr>
        <w:t xml:space="preserve"> </w:t>
      </w:r>
      <w:r w:rsidR="00E04A1A" w:rsidRPr="006F34C8">
        <w:rPr>
          <w:sz w:val="18"/>
          <w:szCs w:val="18"/>
        </w:rPr>
        <w:t xml:space="preserve">Landscape analysis study based on </w:t>
      </w:r>
      <w:r w:rsidRPr="006F34C8">
        <w:rPr>
          <w:sz w:val="18"/>
          <w:szCs w:val="18"/>
        </w:rPr>
        <w:t xml:space="preserve">Biotechnology Jobs. (2025, February 12). </w:t>
      </w:r>
      <w:hyperlink r:id="rId71" w:history="1">
        <w:r w:rsidRPr="006F34C8">
          <w:rPr>
            <w:rStyle w:val="Hyperlink"/>
            <w:sz w:val="18"/>
            <w:szCs w:val="18"/>
          </w:rPr>
          <w:t>Building the Ultimate Biotech Skill Set: Technical and Soft Skills Employers Want in 2025</w:t>
        </w:r>
      </w:hyperlink>
      <w:r w:rsidRPr="006F34C8">
        <w:rPr>
          <w:sz w:val="18"/>
          <w:szCs w:val="18"/>
        </w:rPr>
        <w:t>.</w:t>
      </w:r>
    </w:p>
  </w:footnote>
  <w:footnote w:id="109">
    <w:p w14:paraId="6E093394" w14:textId="09682E5C" w:rsidR="00EB31C6" w:rsidRPr="00A3193A" w:rsidRDefault="00EB31C6" w:rsidP="00A3193A">
      <w:pPr>
        <w:pStyle w:val="FootnoteText"/>
        <w:rPr>
          <w:sz w:val="18"/>
          <w:szCs w:val="18"/>
          <w:lang w:val="en-IE"/>
        </w:rPr>
      </w:pPr>
      <w:r w:rsidRPr="006F34C8">
        <w:rPr>
          <w:rStyle w:val="FootnoteReference"/>
          <w:sz w:val="18"/>
          <w:szCs w:val="18"/>
        </w:rPr>
        <w:footnoteRef/>
      </w:r>
      <w:r w:rsidRPr="006F34C8">
        <w:rPr>
          <w:sz w:val="18"/>
          <w:szCs w:val="18"/>
        </w:rPr>
        <w:t xml:space="preserve"> Landscape analysis study</w:t>
      </w:r>
      <w:r w:rsidR="006F34C8">
        <w:rPr>
          <w:sz w:val="18"/>
          <w:szCs w:val="18"/>
        </w:rPr>
        <w:t>.</w:t>
      </w:r>
    </w:p>
  </w:footnote>
  <w:footnote w:id="110">
    <w:p w14:paraId="0F884B71" w14:textId="2A432D5B" w:rsidR="000275F7" w:rsidRPr="00A3193A" w:rsidRDefault="000275F7" w:rsidP="00A3193A">
      <w:pPr>
        <w:pStyle w:val="FootnoteText"/>
        <w:rPr>
          <w:sz w:val="18"/>
          <w:szCs w:val="18"/>
          <w:lang w:val="en-IE"/>
        </w:rPr>
      </w:pPr>
      <w:r w:rsidRPr="00A3193A">
        <w:rPr>
          <w:rStyle w:val="FootnoteReference"/>
          <w:sz w:val="18"/>
          <w:szCs w:val="18"/>
        </w:rPr>
        <w:footnoteRef/>
      </w:r>
      <w:r w:rsidR="00011537" w:rsidRPr="00A3193A">
        <w:rPr>
          <w:sz w:val="18"/>
          <w:szCs w:val="18"/>
        </w:rPr>
        <w:t xml:space="preserve"> </w:t>
      </w:r>
      <w:r w:rsidR="00596DDA" w:rsidRPr="00A3193A">
        <w:rPr>
          <w:sz w:val="18"/>
          <w:szCs w:val="18"/>
        </w:rPr>
        <w:t>EU Startup and Scaleup Strategy, based on European Commission’s Entrepreneurship 2020 Action Plan</w:t>
      </w:r>
      <w:r w:rsidR="006F34C8">
        <w:rPr>
          <w:sz w:val="18"/>
          <w:szCs w:val="18"/>
        </w:rPr>
        <w:t>.</w:t>
      </w:r>
    </w:p>
  </w:footnote>
  <w:footnote w:id="111">
    <w:p w14:paraId="1480C92D" w14:textId="41D1EEB9" w:rsidR="005E3F26" w:rsidRPr="00A3193A" w:rsidRDefault="005E3F26" w:rsidP="005E3F26">
      <w:pPr>
        <w:pStyle w:val="FootnoteText"/>
        <w:tabs>
          <w:tab w:val="left" w:pos="2066"/>
        </w:tabs>
        <w:rPr>
          <w:sz w:val="18"/>
          <w:szCs w:val="18"/>
        </w:rPr>
      </w:pPr>
      <w:r w:rsidRPr="00A3193A">
        <w:rPr>
          <w:rStyle w:val="FootnoteReference"/>
          <w:sz w:val="18"/>
          <w:szCs w:val="18"/>
        </w:rPr>
        <w:footnoteRef/>
      </w:r>
      <w:r w:rsidRPr="00A3193A">
        <w:rPr>
          <w:sz w:val="18"/>
          <w:szCs w:val="18"/>
        </w:rPr>
        <w:t xml:space="preserve"> </w:t>
      </w:r>
      <w:r w:rsidR="002E518B">
        <w:rPr>
          <w:sz w:val="18"/>
          <w:szCs w:val="18"/>
        </w:rPr>
        <w:t>Public consultation, see footnote 74</w:t>
      </w:r>
      <w:r w:rsidRPr="00154B32">
        <w:rPr>
          <w:sz w:val="18"/>
          <w:szCs w:val="18"/>
        </w:rPr>
        <w:t>.</w:t>
      </w:r>
    </w:p>
  </w:footnote>
  <w:footnote w:id="112">
    <w:p w14:paraId="1EAB23B5" w14:textId="79733DF0" w:rsidR="000931D8" w:rsidRPr="00154B32" w:rsidRDefault="000931D8" w:rsidP="00A3193A">
      <w:pPr>
        <w:pStyle w:val="FootnoteText"/>
        <w:rPr>
          <w:sz w:val="18"/>
          <w:szCs w:val="18"/>
        </w:rPr>
      </w:pPr>
      <w:r w:rsidRPr="00A3193A">
        <w:rPr>
          <w:rStyle w:val="FootnoteReference"/>
          <w:sz w:val="18"/>
          <w:szCs w:val="18"/>
        </w:rPr>
        <w:footnoteRef/>
      </w:r>
      <w:r w:rsidRPr="00A3193A">
        <w:rPr>
          <w:sz w:val="18"/>
          <w:szCs w:val="18"/>
        </w:rPr>
        <w:t xml:space="preserve"> In line with the definitions provided in Directive 2001/18/EC, GMO means an organism, except for human beings, in which the genetic material has been altered in a way that does not occur naturally by mating and/or natural recombination. In line with the definition provided in Directive 2009/41/EC</w:t>
      </w:r>
      <w:r w:rsidR="00AF403C">
        <w:rPr>
          <w:sz w:val="18"/>
          <w:szCs w:val="18"/>
        </w:rPr>
        <w:t xml:space="preserve"> (</w:t>
      </w:r>
      <w:hyperlink r:id="rId72" w:history="1">
        <w:r w:rsidR="000807AD" w:rsidRPr="00944B3D">
          <w:rPr>
            <w:rStyle w:val="Hyperlink"/>
            <w:sz w:val="18"/>
            <w:szCs w:val="18"/>
          </w:rPr>
          <w:t>OJ L 125, 21.5.2009, p. 75</w:t>
        </w:r>
      </w:hyperlink>
      <w:r w:rsidR="00AF403C" w:rsidRPr="002624F5">
        <w:rPr>
          <w:sz w:val="18"/>
          <w:szCs w:val="18"/>
        </w:rPr>
        <w:t>-97</w:t>
      </w:r>
      <w:r w:rsidR="00AF403C" w:rsidRPr="00497C0F">
        <w:rPr>
          <w:sz w:val="18"/>
          <w:szCs w:val="18"/>
        </w:rPr>
        <w:t>.</w:t>
      </w:r>
      <w:r w:rsidR="00AF403C">
        <w:rPr>
          <w:sz w:val="18"/>
          <w:szCs w:val="18"/>
        </w:rPr>
        <w:t xml:space="preserve"> </w:t>
      </w:r>
      <w:r w:rsidR="00AF403C" w:rsidRPr="00353D85">
        <w:rPr>
          <w:sz w:val="18"/>
          <w:szCs w:val="18"/>
        </w:rPr>
        <w:t>ELI:</w:t>
      </w:r>
      <w:r w:rsidR="00AF403C">
        <w:rPr>
          <w:sz w:val="18"/>
          <w:szCs w:val="18"/>
        </w:rPr>
        <w:t xml:space="preserve"> </w:t>
      </w:r>
      <w:hyperlink r:id="rId73" w:history="1">
        <w:r w:rsidR="00AF403C" w:rsidRPr="00353D85">
          <w:rPr>
            <w:rStyle w:val="Hyperlink"/>
            <w:sz w:val="18"/>
            <w:szCs w:val="18"/>
          </w:rPr>
          <w:t>http://data.europa.eu/eli/dir/2009/41/oj</w:t>
        </w:r>
      </w:hyperlink>
      <w:r w:rsidR="00AF403C">
        <w:rPr>
          <w:sz w:val="18"/>
          <w:szCs w:val="18"/>
        </w:rPr>
        <w:t>)</w:t>
      </w:r>
      <w:r w:rsidRPr="00A3193A">
        <w:rPr>
          <w:sz w:val="18"/>
          <w:szCs w:val="18"/>
        </w:rPr>
        <w:t xml:space="preserve">, a GMM </w:t>
      </w:r>
      <w:r w:rsidRPr="00154B32">
        <w:rPr>
          <w:sz w:val="18"/>
          <w:szCs w:val="18"/>
        </w:rPr>
        <w:t>means a microorganism in which the genetic material has been altered in a way that does not occur naturally by mating and/or natural recombination.</w:t>
      </w:r>
    </w:p>
  </w:footnote>
  <w:footnote w:id="113">
    <w:p w14:paraId="180401B6" w14:textId="0563E409" w:rsidR="00E37395" w:rsidRPr="00154B32" w:rsidRDefault="00E37395">
      <w:pPr>
        <w:pStyle w:val="FootnoteText"/>
        <w:rPr>
          <w:sz w:val="18"/>
          <w:szCs w:val="18"/>
          <w:lang w:val="en-IE"/>
        </w:rPr>
      </w:pPr>
      <w:r w:rsidRPr="00154B32">
        <w:rPr>
          <w:rStyle w:val="FootnoteReference"/>
          <w:sz w:val="18"/>
          <w:szCs w:val="18"/>
        </w:rPr>
        <w:footnoteRef/>
      </w:r>
      <w:r w:rsidRPr="00154B32">
        <w:rPr>
          <w:sz w:val="18"/>
          <w:szCs w:val="18"/>
        </w:rPr>
        <w:t xml:space="preserve"> </w:t>
      </w:r>
      <w:r w:rsidRPr="00154B32">
        <w:rPr>
          <w:sz w:val="18"/>
          <w:szCs w:val="18"/>
          <w:lang w:val="en-IE"/>
        </w:rPr>
        <w:t>Regulatory</w:t>
      </w:r>
      <w:r w:rsidR="00402C32" w:rsidRPr="00154B32">
        <w:rPr>
          <w:sz w:val="18"/>
          <w:szCs w:val="18"/>
          <w:lang w:val="en-IE"/>
        </w:rPr>
        <w:t xml:space="preserve"> Framework Study (</w:t>
      </w:r>
      <w:r w:rsidR="00723233" w:rsidRPr="00154B32">
        <w:rPr>
          <w:sz w:val="18"/>
          <w:szCs w:val="18"/>
          <w:lang w:val="en-IE"/>
        </w:rPr>
        <w:t xml:space="preserve">forthcoming, </w:t>
      </w:r>
      <w:r w:rsidR="00402C32" w:rsidRPr="00154B32">
        <w:rPr>
          <w:sz w:val="18"/>
          <w:szCs w:val="18"/>
          <w:lang w:val="en-IE"/>
        </w:rPr>
        <w:t>see Annex 1)</w:t>
      </w:r>
      <w:r w:rsidR="00154B32">
        <w:rPr>
          <w:sz w:val="18"/>
          <w:szCs w:val="18"/>
          <w:lang w:val="en-IE"/>
        </w:rPr>
        <w:t>.</w:t>
      </w:r>
    </w:p>
  </w:footnote>
  <w:footnote w:id="114">
    <w:p w14:paraId="645AB030" w14:textId="77777777" w:rsidR="007346B1" w:rsidRPr="00A3193A" w:rsidRDefault="007346B1" w:rsidP="007346B1">
      <w:pPr>
        <w:pStyle w:val="FootnoteText"/>
        <w:rPr>
          <w:sz w:val="18"/>
          <w:szCs w:val="18"/>
        </w:rPr>
      </w:pPr>
      <w:r w:rsidRPr="00154B32">
        <w:rPr>
          <w:rStyle w:val="FootnoteReference"/>
          <w:sz w:val="18"/>
          <w:szCs w:val="18"/>
        </w:rPr>
        <w:footnoteRef/>
      </w:r>
      <w:r w:rsidRPr="00154B32">
        <w:rPr>
          <w:sz w:val="18"/>
          <w:szCs w:val="18"/>
          <w:lang w:val="en-IE"/>
        </w:rPr>
        <w:t xml:space="preserve"> EFSA GMO Panel (EFSA Panel on Genetically Modified Organisms), Mullins, E., Bresson, J.-L., Dewhurst, I. C., Epstein, M. M., Firbank, L. G., Guerche, P., Hejatko, J., Moreno, F. J., Naegeli, H., Nogué, F., Rostoks, N., Sánchez Serrano, J. J., Savoini, G., Veromann, E., Veronesi, F., Cocconcelli, P. S., Glandorf, D., Herman, L., Jimenez Saiz, R., Ruiz Garcia, L., Aguilera Entrena, J., Schoonjans, R., Kagkli, D. M., Dalmay, T. (2024). </w:t>
      </w:r>
      <w:r w:rsidRPr="00154B32">
        <w:rPr>
          <w:sz w:val="18"/>
          <w:szCs w:val="18"/>
        </w:rPr>
        <w:t>New developments in biotechnology applied to microorganisms. EFSA Journal, 22(7), e8895. https://doi.org/10.2903/j.efsa.2024.8895.</w:t>
      </w:r>
    </w:p>
  </w:footnote>
  <w:footnote w:id="115">
    <w:p w14:paraId="14529720" w14:textId="64238735" w:rsidR="008D64C5" w:rsidRPr="007F3BFB" w:rsidRDefault="008D64C5">
      <w:pPr>
        <w:pStyle w:val="FootnoteText"/>
        <w:rPr>
          <w:sz w:val="18"/>
          <w:szCs w:val="18"/>
        </w:rPr>
      </w:pPr>
      <w:r w:rsidRPr="007F3BFB">
        <w:rPr>
          <w:rStyle w:val="FootnoteReference"/>
          <w:sz w:val="18"/>
          <w:szCs w:val="18"/>
        </w:rPr>
        <w:footnoteRef/>
      </w:r>
      <w:r w:rsidRPr="007F3BFB">
        <w:rPr>
          <w:sz w:val="18"/>
          <w:szCs w:val="18"/>
          <w:lang w:val="it-IT"/>
        </w:rPr>
        <w:t xml:space="preserve"> </w:t>
      </w:r>
      <w:r w:rsidRPr="00885795">
        <w:rPr>
          <w:rFonts w:eastAsia="Arial"/>
          <w:sz w:val="18"/>
          <w:szCs w:val="18"/>
          <w:lang w:val="it-IT"/>
        </w:rPr>
        <w:t xml:space="preserve">SANTE-SoHO/D2 - European Commission. </w:t>
      </w:r>
      <w:r w:rsidRPr="00885795">
        <w:rPr>
          <w:rFonts w:eastAsia="Arial"/>
          <w:sz w:val="18"/>
          <w:szCs w:val="18"/>
        </w:rPr>
        <w:t>(2026).</w:t>
      </w:r>
      <w:r w:rsidRPr="00885795">
        <w:rPr>
          <w:sz w:val="18"/>
          <w:szCs w:val="18"/>
        </w:rPr>
        <w:t xml:space="preserve"> </w:t>
      </w:r>
      <w:r w:rsidRPr="00885795">
        <w:rPr>
          <w:rFonts w:eastAsia="Arial"/>
          <w:i/>
          <w:sz w:val="18"/>
          <w:szCs w:val="18"/>
        </w:rPr>
        <w:t>Introducing “organ processing” into directive 2010/53/EU</w:t>
      </w:r>
      <w:r w:rsidRPr="00885795">
        <w:rPr>
          <w:rFonts w:eastAsia="Arial"/>
          <w:sz w:val="18"/>
          <w:szCs w:val="18"/>
        </w:rPr>
        <w:t xml:space="preserve"> </w:t>
      </w:r>
      <w:r w:rsidRPr="00B60B30">
        <w:rPr>
          <w:rFonts w:eastAsia="Arial"/>
          <w:sz w:val="18"/>
          <w:szCs w:val="18"/>
        </w:rPr>
        <w:t>[Unpublished</w:t>
      </w:r>
      <w:r w:rsidRPr="00885795">
        <w:rPr>
          <w:rFonts w:eastAsia="Arial"/>
          <w:sz w:val="18"/>
          <w:szCs w:val="18"/>
        </w:rPr>
        <w:t xml:space="preserve"> slideshow].</w:t>
      </w:r>
      <w:r w:rsidR="00311699">
        <w:rPr>
          <w:rFonts w:eastAsia="Arial"/>
          <w:sz w:val="18"/>
          <w:szCs w:val="18"/>
        </w:rPr>
        <w:t xml:space="preserve"> See Annex 5 for more details.</w:t>
      </w:r>
    </w:p>
  </w:footnote>
  <w:footnote w:id="116">
    <w:p w14:paraId="764E6002" w14:textId="77777777" w:rsidR="000275F7" w:rsidRPr="006F34C8" w:rsidRDefault="000275F7" w:rsidP="00A3193A">
      <w:pPr>
        <w:pStyle w:val="FootnoteText"/>
        <w:rPr>
          <w:sz w:val="18"/>
          <w:szCs w:val="18"/>
          <w:lang w:val="en-IE"/>
        </w:rPr>
      </w:pPr>
      <w:r w:rsidRPr="006F34C8">
        <w:rPr>
          <w:rStyle w:val="FootnoteReference"/>
          <w:sz w:val="18"/>
          <w:szCs w:val="18"/>
        </w:rPr>
        <w:footnoteRef/>
      </w:r>
      <w:r w:rsidR="384F751D" w:rsidRPr="006F34C8">
        <w:rPr>
          <w:sz w:val="18"/>
          <w:szCs w:val="18"/>
          <w:lang w:val="en-IE"/>
        </w:rPr>
        <w:t xml:space="preserve"> DNA Synthesis and Sequencing Costs and Productivity for 2025, Rob Carlson, 2025</w:t>
      </w:r>
      <w:r w:rsidR="225DD3CB" w:rsidRPr="006F34C8">
        <w:rPr>
          <w:sz w:val="18"/>
          <w:szCs w:val="18"/>
          <w:lang w:val="en-IE"/>
        </w:rPr>
        <w:t xml:space="preserve"> https://www.synthesis.cc/synthesis/2025/5/dna-synthesis-and-sequencing-costs-and-productivity-for-2025</w:t>
      </w:r>
      <w:r w:rsidR="006F34C8">
        <w:rPr>
          <w:sz w:val="18"/>
          <w:szCs w:val="18"/>
          <w:lang w:val="en-IE"/>
        </w:rPr>
        <w:t>.</w:t>
      </w:r>
    </w:p>
  </w:footnote>
  <w:footnote w:id="117">
    <w:p w14:paraId="0C2F7AAE" w14:textId="018A7F2C" w:rsidR="008E6CB3" w:rsidRPr="00810744" w:rsidRDefault="008E6CB3">
      <w:pPr>
        <w:pStyle w:val="FootnoteText"/>
        <w:rPr>
          <w:sz w:val="18"/>
          <w:szCs w:val="18"/>
          <w:lang w:val="en-IE"/>
        </w:rPr>
      </w:pPr>
      <w:r w:rsidRPr="00810744">
        <w:rPr>
          <w:rStyle w:val="FootnoteReference"/>
          <w:sz w:val="18"/>
          <w:szCs w:val="18"/>
        </w:rPr>
        <w:footnoteRef/>
      </w:r>
      <w:r w:rsidRPr="00810744">
        <w:rPr>
          <w:sz w:val="18"/>
          <w:szCs w:val="18"/>
        </w:rPr>
        <w:t xml:space="preserve"> https://ibbis.bio/policy-spotlight-french-leadership-defining-and-regulating-genetic-fragments/</w:t>
      </w:r>
    </w:p>
  </w:footnote>
  <w:footnote w:id="118">
    <w:p w14:paraId="37C62B22" w14:textId="77777777" w:rsidR="00592307" w:rsidRPr="00A3193A" w:rsidRDefault="00592307" w:rsidP="00A3193A">
      <w:pPr>
        <w:pStyle w:val="FootnoteText"/>
        <w:rPr>
          <w:sz w:val="18"/>
          <w:szCs w:val="18"/>
          <w:lang w:val="en-IE"/>
        </w:rPr>
      </w:pPr>
      <w:r w:rsidRPr="006F34C8">
        <w:rPr>
          <w:rStyle w:val="FootnoteReference"/>
          <w:sz w:val="18"/>
          <w:szCs w:val="18"/>
        </w:rPr>
        <w:footnoteRef/>
      </w:r>
      <w:r w:rsidRPr="006F34C8">
        <w:rPr>
          <w:sz w:val="18"/>
          <w:szCs w:val="18"/>
        </w:rPr>
        <w:t xml:space="preserve"> </w:t>
      </w:r>
      <w:r w:rsidR="00291335" w:rsidRPr="006F34C8">
        <w:rPr>
          <w:sz w:val="18"/>
          <w:szCs w:val="18"/>
          <w:lang w:val="en-IE"/>
        </w:rPr>
        <w:t xml:space="preserve">See IBBIS mapping of explicit and implicit rules on NA synthesis screening across countries: </w:t>
      </w:r>
      <w:hyperlink r:id="rId74" w:history="1">
        <w:r w:rsidR="00291335" w:rsidRPr="006F34C8">
          <w:rPr>
            <w:rStyle w:val="Hyperlink"/>
            <w:sz w:val="18"/>
            <w:szCs w:val="18"/>
            <w:lang w:val="en-IE"/>
          </w:rPr>
          <w:t>https://globalsynthesismap.bio/policy?country=FRA</w:t>
        </w:r>
      </w:hyperlink>
      <w:r w:rsidR="006F34C8">
        <w:rPr>
          <w:sz w:val="18"/>
          <w:szCs w:val="18"/>
        </w:rPr>
        <w:t>.</w:t>
      </w:r>
    </w:p>
  </w:footnote>
  <w:footnote w:id="119">
    <w:p w14:paraId="2227FC79" w14:textId="77777777" w:rsidR="00C323B7" w:rsidRPr="00810744" w:rsidRDefault="00C323B7" w:rsidP="00C323B7">
      <w:pPr>
        <w:pStyle w:val="FootnoteText"/>
        <w:rPr>
          <w:sz w:val="18"/>
          <w:szCs w:val="18"/>
          <w:lang w:val="en-IE"/>
        </w:rPr>
      </w:pPr>
      <w:r w:rsidRPr="000314B2">
        <w:rPr>
          <w:rStyle w:val="FootnoteReference"/>
          <w:sz w:val="18"/>
          <w:szCs w:val="18"/>
        </w:rPr>
        <w:footnoteRef/>
      </w:r>
      <w:r w:rsidRPr="00810744">
        <w:rPr>
          <w:sz w:val="18"/>
          <w:szCs w:val="18"/>
          <w:lang w:val="en-IE"/>
        </w:rPr>
        <w:t xml:space="preserve"> </w:t>
      </w:r>
      <w:r w:rsidRPr="000314B2">
        <w:rPr>
          <w:sz w:val="18"/>
          <w:szCs w:val="18"/>
          <w:lang w:val="en-IE"/>
        </w:rPr>
        <w:t>Landscape analysis study</w:t>
      </w:r>
      <w:r w:rsidRPr="000314B2">
        <w:rPr>
          <w:sz w:val="18"/>
          <w:szCs w:val="18"/>
        </w:rPr>
        <w:t xml:space="preserve"> - Annex 2 – Case Studies</w:t>
      </w:r>
      <w:r>
        <w:rPr>
          <w:sz w:val="18"/>
          <w:szCs w:val="18"/>
        </w:rPr>
        <w:t>.</w:t>
      </w:r>
    </w:p>
  </w:footnote>
  <w:footnote w:id="120">
    <w:p w14:paraId="30D8BC27" w14:textId="77544C87" w:rsidR="00A0029A" w:rsidRPr="006F34C8" w:rsidRDefault="00A0029A" w:rsidP="00A3193A">
      <w:pPr>
        <w:pStyle w:val="FootnoteText"/>
        <w:rPr>
          <w:sz w:val="18"/>
          <w:szCs w:val="18"/>
          <w:lang w:val="en-IE"/>
        </w:rPr>
      </w:pPr>
      <w:r w:rsidRPr="006F34C8">
        <w:rPr>
          <w:rStyle w:val="FootnoteReference"/>
          <w:sz w:val="18"/>
          <w:szCs w:val="18"/>
        </w:rPr>
        <w:footnoteRef/>
      </w:r>
      <w:r w:rsidR="00E3378C" w:rsidRPr="006F34C8">
        <w:rPr>
          <w:sz w:val="18"/>
          <w:szCs w:val="18"/>
        </w:rPr>
        <w:t xml:space="preserve"> </w:t>
      </w:r>
      <w:hyperlink r:id="rId75">
        <w:r w:rsidR="00552E2C" w:rsidRPr="006F34C8">
          <w:rPr>
            <w:rStyle w:val="Hyperlink"/>
            <w:rFonts w:eastAsia="Arial Narrow"/>
            <w:sz w:val="18"/>
            <w:szCs w:val="18"/>
          </w:rPr>
          <w:t>COM(2025) 30 final</w:t>
        </w:r>
      </w:hyperlink>
      <w:r w:rsidRPr="006F34C8">
        <w:rPr>
          <w:sz w:val="18"/>
          <w:szCs w:val="18"/>
          <w:lang w:val="en-IE"/>
        </w:rPr>
        <w:t xml:space="preserve"> based on Eurostat data: EU survey on ICT usage and e-commerce in enterprises (January 2025).</w:t>
      </w:r>
    </w:p>
  </w:footnote>
  <w:footnote w:id="121">
    <w:p w14:paraId="2F4D2084" w14:textId="77777777" w:rsidR="007F3BFB" w:rsidRPr="006F34C8" w:rsidRDefault="007F3BFB" w:rsidP="007F3BFB">
      <w:pPr>
        <w:pStyle w:val="FootnoteText"/>
        <w:rPr>
          <w:sz w:val="18"/>
          <w:szCs w:val="18"/>
          <w:lang w:val="en-IE"/>
        </w:rPr>
      </w:pPr>
      <w:r w:rsidRPr="006F34C8">
        <w:rPr>
          <w:rStyle w:val="FootnoteReference"/>
          <w:sz w:val="18"/>
          <w:szCs w:val="18"/>
        </w:rPr>
        <w:footnoteRef/>
      </w:r>
      <w:r w:rsidRPr="006F34C8">
        <w:rPr>
          <w:sz w:val="18"/>
          <w:szCs w:val="18"/>
        </w:rPr>
        <w:t xml:space="preserve"> Breakthroughs in in silico, AI-driven and digital-twin approaches can transform biomedical research, diagnostics, and personalised medicine. In silico modelling leverages computer simulations increasingly integrated with AI and can potentially replace some traditional animal testing and clinical trials. AI-driven analytics can enable precise, individualised therapies and accelerating tissue repair (</w:t>
      </w:r>
      <w:r w:rsidRPr="006F34C8">
        <w:rPr>
          <w:i/>
          <w:sz w:val="18"/>
          <w:szCs w:val="18"/>
        </w:rPr>
        <w:t>Healing the Future - Horizon scanning for emerging technologies and breakthrough innovations in the field of cell and gene therapies</w:t>
      </w:r>
      <w:r w:rsidRPr="006F34C8">
        <w:rPr>
          <w:sz w:val="18"/>
          <w:szCs w:val="18"/>
        </w:rPr>
        <w:t xml:space="preserve"> </w:t>
      </w:r>
      <w:hyperlink r:id="rId76" w:history="1">
        <w:r w:rsidRPr="006F34C8">
          <w:rPr>
            <w:rStyle w:val="Hyperlink"/>
            <w:sz w:val="18"/>
            <w:szCs w:val="18"/>
          </w:rPr>
          <w:t>https://publications.jrc.ec.europa.eu/repository/handle/JRC141934</w:t>
        </w:r>
      </w:hyperlink>
      <w:r w:rsidRPr="006F34C8">
        <w:rPr>
          <w:sz w:val="18"/>
          <w:szCs w:val="18"/>
        </w:rPr>
        <w:t>)</w:t>
      </w:r>
      <w:r>
        <w:rPr>
          <w:sz w:val="18"/>
          <w:szCs w:val="18"/>
        </w:rPr>
        <w:t>.</w:t>
      </w:r>
    </w:p>
  </w:footnote>
  <w:footnote w:id="122">
    <w:p w14:paraId="44B26AFF" w14:textId="0F7A181B" w:rsidR="005A7598" w:rsidRPr="00CC1047" w:rsidRDefault="005A7598">
      <w:pPr>
        <w:pStyle w:val="FootnoteText"/>
        <w:rPr>
          <w:sz w:val="18"/>
          <w:szCs w:val="18"/>
          <w:lang w:val="en-IE"/>
        </w:rPr>
      </w:pPr>
      <w:r w:rsidRPr="00CC1047">
        <w:rPr>
          <w:rStyle w:val="FootnoteReference"/>
          <w:sz w:val="18"/>
          <w:szCs w:val="18"/>
        </w:rPr>
        <w:footnoteRef/>
      </w:r>
      <w:r w:rsidRPr="00CC1047">
        <w:rPr>
          <w:sz w:val="18"/>
          <w:szCs w:val="18"/>
        </w:rPr>
        <w:t xml:space="preserve"> </w:t>
      </w:r>
      <w:r w:rsidR="00C6578D">
        <w:rPr>
          <w:sz w:val="18"/>
          <w:szCs w:val="18"/>
          <w:lang w:val="en-IE"/>
        </w:rPr>
        <w:t>See Annex 2, Synopsis re</w:t>
      </w:r>
      <w:r w:rsidR="00766689">
        <w:rPr>
          <w:sz w:val="18"/>
          <w:szCs w:val="18"/>
          <w:lang w:val="en-IE"/>
        </w:rPr>
        <w:t>port for more details.</w:t>
      </w:r>
    </w:p>
  </w:footnote>
  <w:footnote w:id="123">
    <w:p w14:paraId="39A896A1" w14:textId="77A457FC" w:rsidR="00653D76" w:rsidRPr="00CC1047" w:rsidRDefault="00653D76">
      <w:pPr>
        <w:pStyle w:val="FootnoteText"/>
        <w:rPr>
          <w:sz w:val="18"/>
          <w:szCs w:val="18"/>
          <w:lang w:val="en-IE"/>
        </w:rPr>
      </w:pPr>
      <w:r w:rsidRPr="00CC1047">
        <w:rPr>
          <w:rStyle w:val="FootnoteReference"/>
          <w:sz w:val="18"/>
          <w:szCs w:val="18"/>
        </w:rPr>
        <w:footnoteRef/>
      </w:r>
      <w:r w:rsidRPr="00CC1047">
        <w:rPr>
          <w:sz w:val="18"/>
          <w:szCs w:val="18"/>
        </w:rPr>
        <w:t xml:space="preserve"> </w:t>
      </w:r>
      <w:r w:rsidR="00093B2B" w:rsidRPr="006F34C8">
        <w:rPr>
          <w:sz w:val="18"/>
          <w:szCs w:val="18"/>
        </w:rPr>
        <w:t>Landscape analysis study</w:t>
      </w:r>
      <w:r w:rsidR="00093B2B" w:rsidRPr="006F34C8">
        <w:rPr>
          <w:sz w:val="18"/>
          <w:szCs w:val="18"/>
          <w:lang w:val="en-IE"/>
        </w:rPr>
        <w:t>.</w:t>
      </w:r>
    </w:p>
  </w:footnote>
  <w:footnote w:id="124">
    <w:p w14:paraId="65E76C96" w14:textId="676DB5C5" w:rsidR="00446956" w:rsidRPr="006F34C8" w:rsidRDefault="00446956" w:rsidP="00A3193A">
      <w:pPr>
        <w:pStyle w:val="FootnoteText"/>
        <w:rPr>
          <w:sz w:val="18"/>
          <w:szCs w:val="18"/>
        </w:rPr>
      </w:pPr>
      <w:r w:rsidRPr="006F34C8">
        <w:rPr>
          <w:rStyle w:val="FootnoteReference"/>
          <w:sz w:val="18"/>
          <w:szCs w:val="18"/>
        </w:rPr>
        <w:footnoteRef/>
      </w:r>
      <w:r w:rsidR="52D7A634" w:rsidRPr="00DD47F1">
        <w:rPr>
          <w:sz w:val="18"/>
          <w:szCs w:val="18"/>
        </w:rPr>
        <w:t xml:space="preserve"> EFPIA report:</w:t>
      </w:r>
      <w:r w:rsidRPr="006F34C8">
        <w:rPr>
          <w:sz w:val="18"/>
          <w:szCs w:val="18"/>
        </w:rPr>
        <w:t xml:space="preserve"> </w:t>
      </w:r>
      <w:hyperlink r:id="rId77" w:history="1">
        <w:r w:rsidRPr="006F34C8">
          <w:rPr>
            <w:rStyle w:val="Hyperlink"/>
            <w:sz w:val="18"/>
            <w:szCs w:val="18"/>
          </w:rPr>
          <w:t>assessing-the-clinical-trial-ecosystem-in-europe.pdf</w:t>
        </w:r>
      </w:hyperlink>
      <w:r w:rsidR="006F34C8">
        <w:rPr>
          <w:sz w:val="18"/>
          <w:szCs w:val="18"/>
        </w:rPr>
        <w:t>.</w:t>
      </w:r>
      <w:r w:rsidR="00093B2B">
        <w:rPr>
          <w:sz w:val="18"/>
          <w:szCs w:val="18"/>
        </w:rPr>
        <w:t xml:space="preserve"> </w:t>
      </w:r>
    </w:p>
  </w:footnote>
  <w:footnote w:id="125">
    <w:p w14:paraId="54AE8EA6" w14:textId="38CE2432" w:rsidR="0002171D" w:rsidRPr="008249EB" w:rsidRDefault="0002171D">
      <w:pPr>
        <w:pStyle w:val="FootnoteText"/>
      </w:pPr>
      <w:r>
        <w:rPr>
          <w:rStyle w:val="FootnoteReference"/>
        </w:rPr>
        <w:footnoteRef/>
      </w:r>
      <w:r>
        <w:t xml:space="preserve"> </w:t>
      </w:r>
      <w:r w:rsidRPr="00DD47F1">
        <w:rPr>
          <w:sz w:val="18"/>
          <w:szCs w:val="18"/>
        </w:rPr>
        <w:t>EFPIA report:</w:t>
      </w:r>
      <w:r w:rsidRPr="006F34C8">
        <w:rPr>
          <w:sz w:val="18"/>
          <w:szCs w:val="18"/>
        </w:rPr>
        <w:t xml:space="preserve"> </w:t>
      </w:r>
      <w:hyperlink r:id="rId78" w:history="1">
        <w:r w:rsidRPr="006F34C8">
          <w:rPr>
            <w:rStyle w:val="Hyperlink"/>
            <w:sz w:val="18"/>
            <w:szCs w:val="18"/>
          </w:rPr>
          <w:t>assessing-the-clinical-trial-ecosystem-in-europe.pdf</w:t>
        </w:r>
      </w:hyperlink>
      <w:r>
        <w:rPr>
          <w:sz w:val="18"/>
          <w:szCs w:val="18"/>
        </w:rPr>
        <w:t>.</w:t>
      </w:r>
    </w:p>
  </w:footnote>
  <w:footnote w:id="126">
    <w:p w14:paraId="1A29152A" w14:textId="02BE2A14" w:rsidR="52D7A634" w:rsidRPr="00CC1047" w:rsidRDefault="52D7A634" w:rsidP="00093B2B">
      <w:pPr>
        <w:pStyle w:val="FootnoteText"/>
        <w:rPr>
          <w:sz w:val="18"/>
          <w:szCs w:val="18"/>
        </w:rPr>
      </w:pPr>
      <w:r w:rsidRPr="00CC1047">
        <w:rPr>
          <w:sz w:val="18"/>
          <w:szCs w:val="18"/>
          <w:vertAlign w:val="superscript"/>
        </w:rPr>
        <w:footnoteRef/>
      </w:r>
      <w:r w:rsidRPr="00CC1047">
        <w:rPr>
          <w:rFonts w:eastAsia="Times-Roman"/>
          <w:sz w:val="18"/>
          <w:szCs w:val="18"/>
        </w:rPr>
        <w:t xml:space="preserve"> </w:t>
      </w:r>
      <w:r w:rsidR="00567B65">
        <w:rPr>
          <w:rFonts w:eastAsia="Times-Roman"/>
          <w:sz w:val="18"/>
          <w:szCs w:val="18"/>
        </w:rPr>
        <w:t xml:space="preserve"> </w:t>
      </w:r>
      <w:r w:rsidR="00567B65" w:rsidRPr="00123C2B">
        <w:rPr>
          <w:rFonts w:eastAsia="Times-Roman"/>
          <w:sz w:val="18"/>
          <w:szCs w:val="18"/>
        </w:rPr>
        <w:t>Fast-track l</w:t>
      </w:r>
      <w:r w:rsidRPr="00123C2B">
        <w:rPr>
          <w:rFonts w:eastAsia="Times-Roman"/>
          <w:sz w:val="18"/>
          <w:szCs w:val="18"/>
        </w:rPr>
        <w:t>andscape analyses to assess the regulatory clinical trial eco-system in the EU/EEA and in other relevant regions</w:t>
      </w:r>
      <w:r w:rsidR="00567B65" w:rsidRPr="00123C2B">
        <w:rPr>
          <w:rFonts w:eastAsia="Times-Roman"/>
          <w:sz w:val="18"/>
          <w:szCs w:val="18"/>
        </w:rPr>
        <w:t xml:space="preserve"> (forthcoming)</w:t>
      </w:r>
    </w:p>
  </w:footnote>
  <w:footnote w:id="127">
    <w:p w14:paraId="56D6B6CE" w14:textId="1C83E95E" w:rsidR="22B399B9" w:rsidRPr="00CC1047" w:rsidRDefault="22B399B9" w:rsidP="00093B2B">
      <w:pPr>
        <w:spacing w:after="0"/>
        <w:rPr>
          <w:rFonts w:eastAsia="Calibri"/>
          <w:sz w:val="18"/>
          <w:szCs w:val="18"/>
          <w:lang w:val="en-US"/>
        </w:rPr>
      </w:pPr>
      <w:r w:rsidRPr="00093B2B">
        <w:rPr>
          <w:sz w:val="18"/>
          <w:szCs w:val="18"/>
          <w:vertAlign w:val="superscript"/>
        </w:rPr>
        <w:footnoteRef/>
      </w:r>
      <w:r w:rsidR="7ED2B1D5" w:rsidRPr="00CC1047">
        <w:rPr>
          <w:sz w:val="18"/>
          <w:szCs w:val="18"/>
        </w:rPr>
        <w:t xml:space="preserve"> </w:t>
      </w:r>
      <w:r w:rsidR="7ED2B1D5" w:rsidRPr="00CC1047">
        <w:rPr>
          <w:rFonts w:eastAsia="Calibri"/>
          <w:sz w:val="18"/>
          <w:szCs w:val="18"/>
          <w:lang w:val="en-US"/>
        </w:rPr>
        <w:t xml:space="preserve">The annual number of clinical trial applications submitted in the EU, as well as the shares of </w:t>
      </w:r>
      <w:r w:rsidR="6EA4DCA1" w:rsidRPr="00CC1047">
        <w:rPr>
          <w:rFonts w:eastAsia="Calibri"/>
          <w:sz w:val="18"/>
          <w:szCs w:val="18"/>
          <w:lang w:val="en-US"/>
        </w:rPr>
        <w:t>mononational</w:t>
      </w:r>
      <w:r w:rsidR="7ED2B1D5" w:rsidRPr="00CC1047">
        <w:rPr>
          <w:rFonts w:eastAsia="Calibri"/>
          <w:sz w:val="18"/>
          <w:szCs w:val="18"/>
          <w:lang w:val="en-US"/>
        </w:rPr>
        <w:t xml:space="preserve">, commercially sponsored, and pediatric trials, exhibited little variation over this period, aside from temporary changes during the COVID-19 pandemic. </w:t>
      </w:r>
      <w:r w:rsidR="001A4E9A">
        <w:rPr>
          <w:rFonts w:eastAsia="Calibri"/>
          <w:sz w:val="18"/>
          <w:szCs w:val="18"/>
          <w:lang w:val="en-US"/>
        </w:rPr>
        <w:t>Between 2013 and 2025, t</w:t>
      </w:r>
      <w:r w:rsidR="7ED2B1D5" w:rsidRPr="00CC1047">
        <w:rPr>
          <w:rFonts w:eastAsia="Calibri"/>
          <w:sz w:val="18"/>
          <w:szCs w:val="18"/>
          <w:lang w:val="en-US"/>
        </w:rPr>
        <w:t xml:space="preserve">he annual average number of clinical trials application is 2,895 with a standard deviation of 303. </w:t>
      </w:r>
    </w:p>
  </w:footnote>
  <w:footnote w:id="128">
    <w:p w14:paraId="4E2A58BA" w14:textId="5D7B76E4" w:rsidR="04E207A0" w:rsidRPr="006F34C8" w:rsidRDefault="04E207A0" w:rsidP="00A3193A">
      <w:pPr>
        <w:spacing w:after="0"/>
        <w:rPr>
          <w:sz w:val="18"/>
          <w:szCs w:val="18"/>
        </w:rPr>
      </w:pPr>
      <w:r w:rsidRPr="006F34C8">
        <w:rPr>
          <w:sz w:val="18"/>
          <w:szCs w:val="18"/>
          <w:vertAlign w:val="superscript"/>
        </w:rPr>
        <w:footnoteRef/>
      </w:r>
      <w:r w:rsidR="76B01016" w:rsidRPr="006F34C8">
        <w:rPr>
          <w:sz w:val="18"/>
          <w:szCs w:val="18"/>
        </w:rPr>
        <w:t xml:space="preserve"> The decline in the EEA share of global clinical trials </w:t>
      </w:r>
      <w:r w:rsidR="44E8DE37" w:rsidRPr="006F34C8">
        <w:rPr>
          <w:sz w:val="18"/>
          <w:szCs w:val="18"/>
        </w:rPr>
        <w:t>stems from</w:t>
      </w:r>
      <w:r w:rsidR="76B01016" w:rsidRPr="006F34C8">
        <w:rPr>
          <w:sz w:val="18"/>
          <w:szCs w:val="18"/>
        </w:rPr>
        <w:t xml:space="preserve"> </w:t>
      </w:r>
      <w:r w:rsidR="1DE00FE5" w:rsidRPr="006F34C8">
        <w:rPr>
          <w:sz w:val="18"/>
          <w:szCs w:val="18"/>
        </w:rPr>
        <w:t>multiple, interlinked factors</w:t>
      </w:r>
      <w:r w:rsidR="76B01016" w:rsidRPr="006F34C8">
        <w:rPr>
          <w:sz w:val="18"/>
          <w:szCs w:val="18"/>
        </w:rPr>
        <w:t xml:space="preserve">, with enhanced regulatory complexity being one of the driving factors. </w:t>
      </w:r>
    </w:p>
  </w:footnote>
  <w:footnote w:id="129">
    <w:p w14:paraId="05D6C849" w14:textId="77777777" w:rsidR="001476C3" w:rsidRPr="006F34C8" w:rsidRDefault="001476C3" w:rsidP="00A3193A">
      <w:pPr>
        <w:pStyle w:val="FootnoteText"/>
        <w:rPr>
          <w:sz w:val="18"/>
          <w:szCs w:val="18"/>
          <w:lang w:val="en-IE"/>
        </w:rPr>
      </w:pPr>
      <w:r w:rsidRPr="006F34C8">
        <w:rPr>
          <w:rStyle w:val="FootnoteReference"/>
          <w:sz w:val="18"/>
          <w:szCs w:val="18"/>
        </w:rPr>
        <w:footnoteRef/>
      </w:r>
      <w:r w:rsidRPr="006F34C8">
        <w:rPr>
          <w:sz w:val="18"/>
          <w:szCs w:val="18"/>
        </w:rPr>
        <w:t xml:space="preserve"> Calculations done by the European Commission based on data from EudraCT and CTIS.</w:t>
      </w:r>
    </w:p>
  </w:footnote>
  <w:footnote w:id="130">
    <w:p w14:paraId="1BCE427B" w14:textId="0B9C6E67" w:rsidR="001476C3" w:rsidRPr="006F34C8" w:rsidRDefault="001476C3" w:rsidP="00A3193A">
      <w:pPr>
        <w:pStyle w:val="FootnoteText"/>
        <w:rPr>
          <w:rStyle w:val="Hyperlink"/>
          <w:sz w:val="18"/>
          <w:szCs w:val="18"/>
        </w:rPr>
      </w:pPr>
      <w:r w:rsidRPr="006F34C8">
        <w:rPr>
          <w:rStyle w:val="FootnoteReference"/>
          <w:sz w:val="18"/>
          <w:szCs w:val="18"/>
        </w:rPr>
        <w:footnoteRef/>
      </w:r>
      <w:r w:rsidRPr="006F34C8">
        <w:rPr>
          <w:sz w:val="18"/>
          <w:szCs w:val="18"/>
        </w:rPr>
        <w:t xml:space="preserve"> EFPIA</w:t>
      </w:r>
      <w:r w:rsidR="00B16A47">
        <w:rPr>
          <w:sz w:val="18"/>
          <w:szCs w:val="18"/>
        </w:rPr>
        <w:t xml:space="preserve"> report</w:t>
      </w:r>
      <w:r w:rsidRPr="006F34C8">
        <w:rPr>
          <w:sz w:val="18"/>
          <w:szCs w:val="18"/>
        </w:rPr>
        <w:t xml:space="preserve"> </w:t>
      </w:r>
      <w:r w:rsidR="007F0396">
        <w:rPr>
          <w:sz w:val="18"/>
          <w:szCs w:val="18"/>
        </w:rPr>
        <w:t xml:space="preserve">(2024) </w:t>
      </w:r>
      <w:hyperlink r:id="rId79">
        <w:r w:rsidRPr="006F34C8">
          <w:rPr>
            <w:rStyle w:val="Hyperlink"/>
            <w:sz w:val="18"/>
            <w:szCs w:val="18"/>
          </w:rPr>
          <w:t>The Pharmaceutical Industry in Figures. Key Data</w:t>
        </w:r>
      </w:hyperlink>
      <w:r w:rsidR="00532828">
        <w:rPr>
          <w:sz w:val="18"/>
          <w:szCs w:val="18"/>
        </w:rPr>
        <w:t>.</w:t>
      </w:r>
      <w:r w:rsidRPr="006F34C8">
        <w:rPr>
          <w:sz w:val="18"/>
          <w:szCs w:val="18"/>
        </w:rPr>
        <w:t xml:space="preserve"> According to the report, 48.4</w:t>
      </w:r>
      <w:r w:rsidR="00405618">
        <w:rPr>
          <w:sz w:val="18"/>
          <w:szCs w:val="18"/>
        </w:rPr>
        <w:t>%</w:t>
      </w:r>
      <w:r w:rsidRPr="006F34C8">
        <w:rPr>
          <w:sz w:val="18"/>
          <w:szCs w:val="18"/>
        </w:rPr>
        <w:t xml:space="preserve"> of the pharmaceutical R&amp;D expenditures are allocated to Phase I to III trials and additional 11.5 </w:t>
      </w:r>
      <w:r w:rsidR="009C057F">
        <w:rPr>
          <w:sz w:val="18"/>
          <w:szCs w:val="18"/>
        </w:rPr>
        <w:t xml:space="preserve">% </w:t>
      </w:r>
      <w:r w:rsidRPr="006F34C8">
        <w:rPr>
          <w:sz w:val="18"/>
          <w:szCs w:val="18"/>
        </w:rPr>
        <w:t xml:space="preserve">to Phase IV trials. The data is based on a survey with Members of PhRMA and collected in 2022. See further information here: </w:t>
      </w:r>
      <w:hyperlink r:id="rId80">
        <w:r w:rsidRPr="006F34C8">
          <w:rPr>
            <w:rStyle w:val="Hyperlink"/>
            <w:sz w:val="18"/>
            <w:szCs w:val="18"/>
          </w:rPr>
          <w:t>PhRMA_membership survey_single page_70523_es_digital.pdf</w:t>
        </w:r>
      </w:hyperlink>
      <w:r w:rsidR="00F45F72">
        <w:rPr>
          <w:sz w:val="18"/>
          <w:szCs w:val="18"/>
        </w:rPr>
        <w:t>.</w:t>
      </w:r>
    </w:p>
  </w:footnote>
  <w:footnote w:id="131">
    <w:p w14:paraId="52D937BB" w14:textId="51605861" w:rsidR="001476C3" w:rsidRPr="006F34C8" w:rsidRDefault="001476C3" w:rsidP="00A3193A">
      <w:pPr>
        <w:spacing w:after="0"/>
        <w:rPr>
          <w:sz w:val="18"/>
          <w:szCs w:val="18"/>
        </w:rPr>
      </w:pPr>
      <w:r w:rsidRPr="006F34C8">
        <w:rPr>
          <w:sz w:val="18"/>
          <w:szCs w:val="18"/>
          <w:vertAlign w:val="superscript"/>
        </w:rPr>
        <w:footnoteRef/>
      </w:r>
      <w:r w:rsidRPr="006F34C8">
        <w:rPr>
          <w:sz w:val="18"/>
          <w:szCs w:val="18"/>
          <w:vertAlign w:val="superscript"/>
        </w:rPr>
        <w:t xml:space="preserve"> </w:t>
      </w:r>
      <w:r w:rsidRPr="006F34C8">
        <w:rPr>
          <w:sz w:val="18"/>
          <w:szCs w:val="18"/>
        </w:rPr>
        <w:t>China experienced an increase by a factor of 8.5</w:t>
      </w:r>
      <w:r w:rsidR="00B03FD1">
        <w:rPr>
          <w:sz w:val="18"/>
          <w:szCs w:val="18"/>
        </w:rPr>
        <w:t>5</w:t>
      </w:r>
      <w:r w:rsidRPr="006F34C8">
        <w:rPr>
          <w:sz w:val="18"/>
          <w:szCs w:val="18"/>
        </w:rPr>
        <w:t xml:space="preserve"> compared to a factor of 1.68 increase in Europe.</w:t>
      </w:r>
    </w:p>
  </w:footnote>
  <w:footnote w:id="132">
    <w:p w14:paraId="723BF2F9" w14:textId="4FE04AD4" w:rsidR="001476C3" w:rsidRPr="006F34C8" w:rsidRDefault="001476C3" w:rsidP="00A3193A">
      <w:pPr>
        <w:pStyle w:val="FootnoteText"/>
        <w:rPr>
          <w:sz w:val="18"/>
          <w:szCs w:val="18"/>
        </w:rPr>
      </w:pPr>
      <w:r w:rsidRPr="006F34C8">
        <w:rPr>
          <w:rStyle w:val="FootnoteReference"/>
          <w:sz w:val="18"/>
          <w:szCs w:val="18"/>
        </w:rPr>
        <w:footnoteRef/>
      </w:r>
      <w:r w:rsidRPr="006F34C8">
        <w:rPr>
          <w:sz w:val="18"/>
          <w:szCs w:val="18"/>
        </w:rPr>
        <w:t xml:space="preserve"> EFPIA</w:t>
      </w:r>
      <w:r w:rsidR="00F844E0">
        <w:rPr>
          <w:sz w:val="18"/>
          <w:szCs w:val="18"/>
        </w:rPr>
        <w:t xml:space="preserve"> report</w:t>
      </w:r>
      <w:r w:rsidRPr="006F34C8">
        <w:rPr>
          <w:sz w:val="18"/>
          <w:szCs w:val="18"/>
        </w:rPr>
        <w:t xml:space="preserve"> </w:t>
      </w:r>
      <w:r w:rsidR="008B313D">
        <w:rPr>
          <w:sz w:val="18"/>
          <w:szCs w:val="18"/>
        </w:rPr>
        <w:t>(</w:t>
      </w:r>
      <w:r w:rsidR="00123C2B">
        <w:rPr>
          <w:sz w:val="18"/>
          <w:szCs w:val="18"/>
        </w:rPr>
        <w:t>2024</w:t>
      </w:r>
      <w:r w:rsidR="008B313D">
        <w:rPr>
          <w:sz w:val="18"/>
          <w:szCs w:val="18"/>
        </w:rPr>
        <w:t>)</w:t>
      </w:r>
      <w:r w:rsidR="00231DAE">
        <w:rPr>
          <w:sz w:val="18"/>
          <w:szCs w:val="18"/>
        </w:rPr>
        <w:t xml:space="preserve"> </w:t>
      </w:r>
      <w:hyperlink r:id="rId81">
        <w:r w:rsidRPr="006F34C8">
          <w:rPr>
            <w:rStyle w:val="Hyperlink"/>
            <w:sz w:val="18"/>
            <w:szCs w:val="18"/>
          </w:rPr>
          <w:t>The Pharmaceutical Industry in Figures. Key Data</w:t>
        </w:r>
      </w:hyperlink>
      <w:r w:rsidR="00F45F72">
        <w:rPr>
          <w:sz w:val="18"/>
          <w:szCs w:val="18"/>
        </w:rPr>
        <w:t>.</w:t>
      </w:r>
    </w:p>
  </w:footnote>
  <w:footnote w:id="133">
    <w:p w14:paraId="00E525D5" w14:textId="464FCFD4" w:rsidR="001476C3" w:rsidRPr="00EF4C9F" w:rsidRDefault="001476C3" w:rsidP="00A3193A">
      <w:pPr>
        <w:pStyle w:val="FootnoteText"/>
        <w:rPr>
          <w:sz w:val="18"/>
          <w:szCs w:val="18"/>
        </w:rPr>
      </w:pPr>
      <w:r w:rsidRPr="00EF4C9F">
        <w:rPr>
          <w:rStyle w:val="FootnoteReference"/>
          <w:sz w:val="18"/>
          <w:szCs w:val="18"/>
        </w:rPr>
        <w:footnoteRef/>
      </w:r>
      <w:r w:rsidRPr="00EF4C9F">
        <w:rPr>
          <w:sz w:val="18"/>
          <w:szCs w:val="18"/>
        </w:rPr>
        <w:t xml:space="preserve"> </w:t>
      </w:r>
      <w:r w:rsidR="008B313D">
        <w:rPr>
          <w:sz w:val="18"/>
          <w:szCs w:val="18"/>
        </w:rPr>
        <w:t>Tan et al. (2024)</w:t>
      </w:r>
      <w:r w:rsidR="00A11039">
        <w:rPr>
          <w:sz w:val="18"/>
          <w:szCs w:val="18"/>
        </w:rPr>
        <w:t xml:space="preserve"> </w:t>
      </w:r>
      <w:hyperlink r:id="rId82">
        <w:r w:rsidRPr="00EF4C9F">
          <w:rPr>
            <w:rStyle w:val="Hyperlink"/>
            <w:sz w:val="18"/>
            <w:szCs w:val="18"/>
          </w:rPr>
          <w:t>Current landscape of innovative drug development and regulatory support in China | Signal Transduction and Targeted Therapy</w:t>
        </w:r>
      </w:hyperlink>
      <w:r w:rsidR="00EF4C9F">
        <w:rPr>
          <w:sz w:val="18"/>
          <w:szCs w:val="18"/>
        </w:rPr>
        <w:t>.</w:t>
      </w:r>
    </w:p>
  </w:footnote>
  <w:footnote w:id="134">
    <w:p w14:paraId="71E91B17" w14:textId="447CFF4A" w:rsidR="001476C3" w:rsidRPr="00EF4C9F" w:rsidRDefault="001476C3" w:rsidP="007C69B6">
      <w:pPr>
        <w:spacing w:after="0"/>
        <w:rPr>
          <w:sz w:val="18"/>
          <w:szCs w:val="18"/>
        </w:rPr>
      </w:pPr>
      <w:r w:rsidRPr="00EF4C9F">
        <w:rPr>
          <w:rStyle w:val="FootnoteReference"/>
          <w:sz w:val="18"/>
          <w:szCs w:val="18"/>
        </w:rPr>
        <w:footnoteRef/>
      </w:r>
      <w:r w:rsidRPr="00EF4C9F">
        <w:rPr>
          <w:sz w:val="18"/>
          <w:szCs w:val="18"/>
        </w:rPr>
        <w:t xml:space="preserve"> </w:t>
      </w:r>
      <w:r w:rsidR="007D1BBC">
        <w:rPr>
          <w:sz w:val="18"/>
          <w:szCs w:val="18"/>
        </w:rPr>
        <w:t>Walter et al. (20</w:t>
      </w:r>
      <w:r w:rsidR="000C227E">
        <w:rPr>
          <w:sz w:val="18"/>
          <w:szCs w:val="18"/>
        </w:rPr>
        <w:t>20</w:t>
      </w:r>
      <w:r w:rsidR="007D1BBC">
        <w:rPr>
          <w:sz w:val="18"/>
          <w:szCs w:val="18"/>
        </w:rPr>
        <w:t>)</w:t>
      </w:r>
      <w:r w:rsidR="000C227E">
        <w:rPr>
          <w:sz w:val="18"/>
          <w:szCs w:val="18"/>
        </w:rPr>
        <w:t xml:space="preserve"> </w:t>
      </w:r>
      <w:hyperlink r:id="rId83">
        <w:r w:rsidRPr="00EF4C9F">
          <w:rPr>
            <w:rStyle w:val="Hyperlink"/>
            <w:sz w:val="18"/>
            <w:szCs w:val="18"/>
          </w:rPr>
          <w:t>Economic impact of industry-sponsored clinical trials of pharmaceutical products in Austria - PubMed</w:t>
        </w:r>
      </w:hyperlink>
      <w:r w:rsidRPr="00EF4C9F">
        <w:rPr>
          <w:sz w:val="18"/>
          <w:szCs w:val="18"/>
        </w:rPr>
        <w:t xml:space="preserve">; </w:t>
      </w:r>
      <w:r w:rsidR="001F783B" w:rsidRPr="001F783B">
        <w:rPr>
          <w:sz w:val="18"/>
          <w:szCs w:val="18"/>
        </w:rPr>
        <w:t>Battelle Technology Partnership Practice</w:t>
      </w:r>
      <w:r w:rsidR="001F783B">
        <w:rPr>
          <w:sz w:val="18"/>
          <w:szCs w:val="18"/>
        </w:rPr>
        <w:t xml:space="preserve"> (2015) </w:t>
      </w:r>
      <w:r w:rsidR="0071791B" w:rsidRPr="0071791B">
        <w:rPr>
          <w:sz w:val="18"/>
          <w:szCs w:val="18"/>
        </w:rPr>
        <w:t xml:space="preserve">Biopharmaceutical Industry-Sponsored Clinical Trials: Impact on State Economies </w:t>
      </w:r>
      <w:r w:rsidR="0071791B">
        <w:rPr>
          <w:sz w:val="18"/>
          <w:szCs w:val="18"/>
        </w:rPr>
        <w:t>(</w:t>
      </w:r>
      <w:hyperlink r:id="rId84">
        <w:r w:rsidRPr="00EF4C9F">
          <w:rPr>
            <w:rStyle w:val="Hyperlink"/>
            <w:sz w:val="18"/>
            <w:szCs w:val="18"/>
          </w:rPr>
          <w:t>battelle-2015-study.pdf</w:t>
        </w:r>
      </w:hyperlink>
      <w:r w:rsidR="0071791B">
        <w:t>)</w:t>
      </w:r>
      <w:r w:rsidRPr="006E4769">
        <w:rPr>
          <w:color w:val="000000" w:themeColor="text1"/>
          <w:sz w:val="18"/>
          <w:szCs w:val="18"/>
        </w:rPr>
        <w:t xml:space="preserve">; </w:t>
      </w:r>
      <w:r w:rsidR="3F88809E" w:rsidRPr="00123C2B">
        <w:rPr>
          <w:color w:val="000000" w:themeColor="text1"/>
          <w:sz w:val="18"/>
          <w:szCs w:val="18"/>
        </w:rPr>
        <w:t xml:space="preserve">Fast-track </w:t>
      </w:r>
      <w:r w:rsidR="00C229D9" w:rsidRPr="00123C2B">
        <w:rPr>
          <w:rFonts w:ascii="Times-Roman" w:eastAsia="Times-Roman" w:hAnsi="Times-Roman" w:cs="Times-Roman"/>
          <w:color w:val="000000" w:themeColor="text1"/>
          <w:sz w:val="18"/>
          <w:szCs w:val="18"/>
        </w:rPr>
        <w:t>l</w:t>
      </w:r>
      <w:r w:rsidR="6EA4DCA1" w:rsidRPr="00123C2B">
        <w:rPr>
          <w:rFonts w:ascii="Times-Roman" w:eastAsia="Times-Roman" w:hAnsi="Times-Roman" w:cs="Times-Roman"/>
          <w:color w:val="000000" w:themeColor="text1"/>
          <w:sz w:val="18"/>
          <w:szCs w:val="18"/>
        </w:rPr>
        <w:t>andscape analyses to assess the regulatory clinical trial eco-system in the EEU/EEA and in other relevant regions</w:t>
      </w:r>
      <w:r w:rsidRPr="00123C2B">
        <w:rPr>
          <w:color w:val="000000" w:themeColor="text1"/>
          <w:sz w:val="18"/>
          <w:szCs w:val="18"/>
        </w:rPr>
        <w:t xml:space="preserve"> </w:t>
      </w:r>
      <w:r w:rsidR="006E4769" w:rsidRPr="00123C2B">
        <w:rPr>
          <w:color w:val="000000" w:themeColor="text1"/>
          <w:sz w:val="18"/>
          <w:szCs w:val="18"/>
        </w:rPr>
        <w:t xml:space="preserve"> </w:t>
      </w:r>
      <w:r w:rsidRPr="00123C2B">
        <w:rPr>
          <w:sz w:val="18"/>
          <w:szCs w:val="18"/>
        </w:rPr>
        <w:t>(forthcoming)</w:t>
      </w:r>
      <w:r w:rsidR="00EF4C9F" w:rsidRPr="00123C2B">
        <w:rPr>
          <w:sz w:val="18"/>
          <w:szCs w:val="18"/>
        </w:rPr>
        <w:t>.</w:t>
      </w:r>
    </w:p>
  </w:footnote>
  <w:footnote w:id="135">
    <w:p w14:paraId="2E1DFCC7" w14:textId="1BAA7938" w:rsidR="0B8A2097" w:rsidRPr="007C69B6" w:rsidRDefault="0B8A2097" w:rsidP="007C69B6">
      <w:pPr>
        <w:spacing w:after="0"/>
        <w:rPr>
          <w:sz w:val="18"/>
          <w:szCs w:val="18"/>
          <w:vertAlign w:val="superscript"/>
        </w:rPr>
      </w:pPr>
      <w:r w:rsidRPr="007C69B6">
        <w:rPr>
          <w:sz w:val="18"/>
          <w:szCs w:val="18"/>
          <w:vertAlign w:val="superscript"/>
        </w:rPr>
        <w:footnoteRef/>
      </w:r>
      <w:r w:rsidR="00835374" w:rsidRPr="001546C6">
        <w:rPr>
          <w:sz w:val="18"/>
          <w:szCs w:val="18"/>
        </w:rPr>
        <w:t>See</w:t>
      </w:r>
      <w:r w:rsidR="00835374">
        <w:t xml:space="preserve"> </w:t>
      </w:r>
      <w:hyperlink r:id="rId85" w:history="1">
        <w:r w:rsidR="00404DBA" w:rsidRPr="007628B9">
          <w:rPr>
            <w:rStyle w:val="Hyperlink"/>
            <w:sz w:val="18"/>
            <w:szCs w:val="18"/>
          </w:rPr>
          <w:t>EU clinical trials during the 3-year CTR transition period</w:t>
        </w:r>
      </w:hyperlink>
    </w:p>
  </w:footnote>
  <w:footnote w:id="136">
    <w:p w14:paraId="656215BD" w14:textId="75F91668" w:rsidR="1626882C" w:rsidRPr="00EF4C9F" w:rsidRDefault="1626882C" w:rsidP="00A3193A">
      <w:pPr>
        <w:spacing w:after="0"/>
        <w:rPr>
          <w:rFonts w:eastAsia="Times New Roman"/>
          <w:sz w:val="18"/>
          <w:szCs w:val="18"/>
        </w:rPr>
      </w:pPr>
      <w:r w:rsidRPr="00EF4C9F">
        <w:rPr>
          <w:sz w:val="18"/>
          <w:szCs w:val="18"/>
          <w:vertAlign w:val="superscript"/>
        </w:rPr>
        <w:footnoteRef/>
      </w:r>
      <w:r w:rsidR="00B16A47">
        <w:rPr>
          <w:sz w:val="18"/>
          <w:szCs w:val="18"/>
        </w:rPr>
        <w:t>EFPIA report</w:t>
      </w:r>
      <w:r w:rsidR="007F0396">
        <w:rPr>
          <w:sz w:val="18"/>
          <w:szCs w:val="18"/>
        </w:rPr>
        <w:t xml:space="preserve"> (2026)</w:t>
      </w:r>
      <w:r w:rsidRPr="00EF4C9F">
        <w:rPr>
          <w:sz w:val="18"/>
          <w:szCs w:val="18"/>
        </w:rPr>
        <w:t xml:space="preserve"> </w:t>
      </w:r>
      <w:hyperlink r:id="rId86" w:history="1">
        <w:r w:rsidRPr="00EF4C9F">
          <w:rPr>
            <w:rStyle w:val="Hyperlink"/>
            <w:rFonts w:eastAsia="Times New Roman"/>
            <w:sz w:val="18"/>
            <w:szCs w:val="18"/>
          </w:rPr>
          <w:t>the-economic-impact-of-industry-clinical-trials-across-europe.pdf</w:t>
        </w:r>
      </w:hyperlink>
      <w:r w:rsidR="00EF4C9F">
        <w:rPr>
          <w:sz w:val="18"/>
          <w:szCs w:val="18"/>
        </w:rPr>
        <w:t>.</w:t>
      </w:r>
    </w:p>
  </w:footnote>
  <w:footnote w:id="137">
    <w:p w14:paraId="16C142D6" w14:textId="01D97303" w:rsidR="001476C3" w:rsidRPr="00EF4C9F" w:rsidRDefault="001476C3" w:rsidP="00A3193A">
      <w:pPr>
        <w:pStyle w:val="FootnoteText"/>
        <w:rPr>
          <w:sz w:val="18"/>
          <w:szCs w:val="18"/>
        </w:rPr>
      </w:pPr>
      <w:r w:rsidRPr="00EF4C9F">
        <w:rPr>
          <w:rStyle w:val="FootnoteReference"/>
          <w:sz w:val="18"/>
          <w:szCs w:val="18"/>
        </w:rPr>
        <w:footnoteRef/>
      </w:r>
      <w:r w:rsidRPr="00EF4C9F">
        <w:rPr>
          <w:sz w:val="18"/>
          <w:szCs w:val="18"/>
        </w:rPr>
        <w:t xml:space="preserve"> </w:t>
      </w:r>
      <w:r w:rsidR="008715BE">
        <w:rPr>
          <w:sz w:val="18"/>
          <w:szCs w:val="18"/>
        </w:rPr>
        <w:t xml:space="preserve">Cicchetti et al. (2020) </w:t>
      </w:r>
      <w:hyperlink r:id="rId87">
        <w:r w:rsidRPr="00EF4C9F">
          <w:rPr>
            <w:rStyle w:val="Hyperlink"/>
            <w:sz w:val="18"/>
            <w:szCs w:val="18"/>
          </w:rPr>
          <w:t>Valorization of clinical trials from the Italian National Health Service perspective: definition and first application of a model to estimate avoided costs - PubMed</w:t>
        </w:r>
      </w:hyperlink>
      <w:r w:rsidRPr="00EF4C9F">
        <w:rPr>
          <w:sz w:val="18"/>
          <w:szCs w:val="18"/>
        </w:rPr>
        <w:t xml:space="preserve">; </w:t>
      </w:r>
      <w:r w:rsidR="00441091">
        <w:rPr>
          <w:sz w:val="18"/>
          <w:szCs w:val="18"/>
        </w:rPr>
        <w:t>Pol</w:t>
      </w:r>
      <w:r w:rsidR="007413D6">
        <w:rPr>
          <w:sz w:val="18"/>
          <w:szCs w:val="18"/>
        </w:rPr>
        <w:t>ignano et al. (20</w:t>
      </w:r>
      <w:r w:rsidR="00214FAA">
        <w:rPr>
          <w:sz w:val="18"/>
          <w:szCs w:val="18"/>
        </w:rPr>
        <w:t>22</w:t>
      </w:r>
      <w:r w:rsidR="007413D6">
        <w:rPr>
          <w:sz w:val="18"/>
          <w:szCs w:val="18"/>
        </w:rPr>
        <w:t>)</w:t>
      </w:r>
      <w:r w:rsidR="00214FAA">
        <w:rPr>
          <w:sz w:val="18"/>
          <w:szCs w:val="18"/>
        </w:rPr>
        <w:t xml:space="preserve"> </w:t>
      </w:r>
      <w:hyperlink r:id="rId88">
        <w:r w:rsidRPr="00EF4C9F">
          <w:rPr>
            <w:rStyle w:val="Hyperlink"/>
            <w:sz w:val="18"/>
            <w:szCs w:val="18"/>
          </w:rPr>
          <w:t>Economic impact of industry-sponsored clinical trials in inflammatory bowel diseases: Results from the national institute of gastroenterology “Saverio de Bellis” - PMC</w:t>
        </w:r>
      </w:hyperlink>
      <w:r w:rsidR="00EF4C9F">
        <w:rPr>
          <w:sz w:val="18"/>
          <w:szCs w:val="18"/>
        </w:rPr>
        <w:t>.</w:t>
      </w:r>
    </w:p>
  </w:footnote>
  <w:footnote w:id="138">
    <w:p w14:paraId="0F2DC5F7" w14:textId="22B999EA" w:rsidR="001476C3" w:rsidRPr="00EF4C9F" w:rsidRDefault="001476C3" w:rsidP="00A3193A">
      <w:pPr>
        <w:pStyle w:val="FootnoteText"/>
        <w:rPr>
          <w:sz w:val="18"/>
          <w:szCs w:val="18"/>
        </w:rPr>
      </w:pPr>
      <w:r w:rsidRPr="00EF4C9F">
        <w:rPr>
          <w:rStyle w:val="FootnoteReference"/>
          <w:sz w:val="18"/>
          <w:szCs w:val="18"/>
        </w:rPr>
        <w:footnoteRef/>
      </w:r>
      <w:r w:rsidRPr="00EF4C9F">
        <w:rPr>
          <w:sz w:val="18"/>
          <w:szCs w:val="18"/>
        </w:rPr>
        <w:t xml:space="preserve"> EFPIA</w:t>
      </w:r>
      <w:r w:rsidR="00940EC5">
        <w:rPr>
          <w:sz w:val="18"/>
          <w:szCs w:val="18"/>
        </w:rPr>
        <w:t xml:space="preserve"> report (2024)</w:t>
      </w:r>
      <w:r w:rsidRPr="00EF4C9F">
        <w:rPr>
          <w:sz w:val="18"/>
          <w:szCs w:val="18"/>
        </w:rPr>
        <w:t xml:space="preserve"> </w:t>
      </w:r>
      <w:hyperlink r:id="rId89">
        <w:r w:rsidRPr="00EF4C9F">
          <w:rPr>
            <w:rStyle w:val="Hyperlink"/>
            <w:sz w:val="18"/>
            <w:szCs w:val="18"/>
          </w:rPr>
          <w:t>Assessing the clinical trial ecosystem in Europe: Final report</w:t>
        </w:r>
      </w:hyperlink>
      <w:r w:rsidRPr="00EF4C9F">
        <w:rPr>
          <w:sz w:val="18"/>
          <w:szCs w:val="18"/>
        </w:rPr>
        <w:t>, p.37 </w:t>
      </w:r>
    </w:p>
  </w:footnote>
  <w:footnote w:id="139">
    <w:p w14:paraId="6A104D60" w14:textId="168F5C3B" w:rsidR="001476C3" w:rsidRPr="001720B5" w:rsidRDefault="001476C3" w:rsidP="00A3193A">
      <w:pPr>
        <w:pStyle w:val="FootnoteText"/>
        <w:rPr>
          <w:sz w:val="18"/>
          <w:szCs w:val="18"/>
          <w:lang w:val="en-IE"/>
        </w:rPr>
      </w:pPr>
      <w:r w:rsidRPr="001720B5">
        <w:rPr>
          <w:rStyle w:val="FootnoteReference"/>
          <w:sz w:val="18"/>
          <w:szCs w:val="18"/>
        </w:rPr>
        <w:footnoteRef/>
      </w:r>
      <w:r w:rsidRPr="001720B5">
        <w:rPr>
          <w:sz w:val="18"/>
          <w:szCs w:val="18"/>
        </w:rPr>
        <w:t xml:space="preserve"> </w:t>
      </w:r>
      <w:hyperlink r:id="rId90">
        <w:r w:rsidRPr="001720B5">
          <w:rPr>
            <w:rStyle w:val="Hyperlink"/>
            <w:sz w:val="18"/>
            <w:szCs w:val="18"/>
          </w:rPr>
          <w:t>https://www.grandviewresearch.com/horizon/outlook/gene-editing-market/europe</w:t>
        </w:r>
      </w:hyperlink>
      <w:r w:rsidR="001720B5">
        <w:rPr>
          <w:sz w:val="18"/>
          <w:szCs w:val="18"/>
        </w:rPr>
        <w:t>.</w:t>
      </w:r>
    </w:p>
  </w:footnote>
  <w:footnote w:id="140">
    <w:p w14:paraId="393FF4D8" w14:textId="3A0F344F" w:rsidR="00DC2340" w:rsidRPr="001720B5" w:rsidRDefault="00DC2340" w:rsidP="00A3193A">
      <w:pPr>
        <w:pStyle w:val="FootnoteText"/>
        <w:rPr>
          <w:sz w:val="18"/>
          <w:szCs w:val="18"/>
          <w:lang w:val="en-IE"/>
        </w:rPr>
      </w:pPr>
      <w:r w:rsidRPr="001720B5">
        <w:rPr>
          <w:rStyle w:val="FootnoteReference"/>
          <w:sz w:val="18"/>
          <w:szCs w:val="18"/>
        </w:rPr>
        <w:footnoteRef/>
      </w:r>
      <w:r w:rsidRPr="001720B5">
        <w:rPr>
          <w:sz w:val="18"/>
          <w:szCs w:val="18"/>
        </w:rPr>
        <w:t xml:space="preserve"> </w:t>
      </w:r>
      <w:r w:rsidRPr="001720B5">
        <w:rPr>
          <w:sz w:val="18"/>
          <w:szCs w:val="18"/>
          <w:lang w:val="en-IE"/>
        </w:rPr>
        <w:t xml:space="preserve">See footnote </w:t>
      </w:r>
      <w:r w:rsidR="002D2CC2" w:rsidRPr="001720B5">
        <w:rPr>
          <w:sz w:val="18"/>
          <w:szCs w:val="18"/>
          <w:lang w:val="en-IE"/>
        </w:rPr>
        <w:t>1</w:t>
      </w:r>
      <w:r w:rsidR="002D2CC2">
        <w:rPr>
          <w:sz w:val="18"/>
          <w:szCs w:val="18"/>
          <w:lang w:val="en-IE"/>
        </w:rPr>
        <w:t>1</w:t>
      </w:r>
      <w:r w:rsidR="00846650" w:rsidRPr="001720B5">
        <w:rPr>
          <w:sz w:val="18"/>
          <w:szCs w:val="18"/>
          <w:lang w:val="en-IE"/>
        </w:rPr>
        <w:t xml:space="preserve">, page </w:t>
      </w:r>
      <w:r w:rsidR="00C85CFF">
        <w:rPr>
          <w:sz w:val="18"/>
          <w:szCs w:val="18"/>
          <w:lang w:val="en-IE"/>
        </w:rPr>
        <w:t>6</w:t>
      </w:r>
      <w:r w:rsidR="00846650" w:rsidRPr="001720B5">
        <w:rPr>
          <w:sz w:val="18"/>
          <w:szCs w:val="18"/>
          <w:lang w:val="en-IE"/>
        </w:rPr>
        <w:t>.</w:t>
      </w:r>
    </w:p>
  </w:footnote>
  <w:footnote w:id="141">
    <w:p w14:paraId="25A5E47E" w14:textId="2291BC42" w:rsidR="006AFD62" w:rsidRPr="001720B5" w:rsidRDefault="006AFD62" w:rsidP="00A3193A">
      <w:pPr>
        <w:spacing w:after="0"/>
        <w:rPr>
          <w:rFonts w:eastAsia="Times New Roman"/>
          <w:sz w:val="18"/>
          <w:szCs w:val="18"/>
        </w:rPr>
      </w:pPr>
      <w:r w:rsidRPr="001720B5">
        <w:rPr>
          <w:sz w:val="18"/>
          <w:szCs w:val="18"/>
          <w:vertAlign w:val="superscript"/>
        </w:rPr>
        <w:footnoteRef/>
      </w:r>
      <w:r w:rsidRPr="001720B5">
        <w:rPr>
          <w:sz w:val="18"/>
          <w:szCs w:val="18"/>
        </w:rPr>
        <w:t xml:space="preserve"> </w:t>
      </w:r>
      <w:r w:rsidR="00A655D1" w:rsidRPr="00A655D1">
        <w:rPr>
          <w:sz w:val="18"/>
          <w:szCs w:val="18"/>
        </w:rPr>
        <w:t xml:space="preserve">Medicines for Europe, </w:t>
      </w:r>
      <w:r w:rsidR="00A655D1" w:rsidRPr="00CD4A81">
        <w:rPr>
          <w:sz w:val="18"/>
          <w:szCs w:val="18"/>
        </w:rPr>
        <w:t>European Biosimilar Medicines Sector: Delivering Impact Beyond Health – Economic, Scientific &amp; Strategic Contribution</w:t>
      </w:r>
      <w:r w:rsidR="00A655D1" w:rsidRPr="00A655D1">
        <w:rPr>
          <w:sz w:val="18"/>
          <w:szCs w:val="18"/>
        </w:rPr>
        <w:t>, Biotech Act Factsheet Series, March 2026,</w:t>
      </w:r>
      <w:r w:rsidR="00FE2A83">
        <w:rPr>
          <w:sz w:val="18"/>
          <w:szCs w:val="18"/>
        </w:rPr>
        <w:t xml:space="preserve"> </w:t>
      </w:r>
      <w:hyperlink r:id="rId91" w:history="1">
        <w:r w:rsidRPr="001720B5">
          <w:rPr>
            <w:rStyle w:val="Hyperlink"/>
            <w:rFonts w:eastAsia="Times New Roman"/>
            <w:sz w:val="18"/>
            <w:szCs w:val="18"/>
          </w:rPr>
          <w:t>Pillar 1-2-3-4-FOOTPRINT-SPC-Biotech-Act-facsheets-ppt.cdr</w:t>
        </w:r>
      </w:hyperlink>
      <w:r w:rsidR="001720B5">
        <w:rPr>
          <w:sz w:val="18"/>
          <w:szCs w:val="18"/>
        </w:rPr>
        <w:t>.</w:t>
      </w:r>
    </w:p>
  </w:footnote>
  <w:footnote w:id="142">
    <w:p w14:paraId="2B7BAC29" w14:textId="4965C5CE" w:rsidR="000A25B5" w:rsidRPr="001720B5" w:rsidRDefault="000A25B5" w:rsidP="00A3193A">
      <w:pPr>
        <w:pStyle w:val="FootnoteText"/>
        <w:rPr>
          <w:sz w:val="18"/>
          <w:szCs w:val="18"/>
          <w:lang w:val="en-IE"/>
        </w:rPr>
      </w:pPr>
      <w:r w:rsidRPr="001720B5">
        <w:rPr>
          <w:rStyle w:val="FootnoteReference"/>
          <w:sz w:val="18"/>
          <w:szCs w:val="18"/>
        </w:rPr>
        <w:footnoteRef/>
      </w:r>
      <w:r w:rsidRPr="001720B5">
        <w:rPr>
          <w:sz w:val="18"/>
          <w:szCs w:val="18"/>
        </w:rPr>
        <w:t xml:space="preserve"> Cohen, H. P., Turner, M., McCabe, D., &amp; Woollett, G. R. (2023). Future evolution of biosimilar development by application of current science and available evidence: The developer’s perspective. </w:t>
      </w:r>
      <w:r w:rsidRPr="001720B5">
        <w:rPr>
          <w:i/>
          <w:sz w:val="18"/>
          <w:szCs w:val="18"/>
          <w:lang w:val="en-IE"/>
        </w:rPr>
        <w:t>BioDrugs</w:t>
      </w:r>
      <w:r w:rsidRPr="001720B5">
        <w:rPr>
          <w:sz w:val="18"/>
          <w:szCs w:val="18"/>
          <w:lang w:val="en-IE"/>
        </w:rPr>
        <w:t xml:space="preserve">, </w:t>
      </w:r>
      <w:r w:rsidRPr="001720B5">
        <w:rPr>
          <w:i/>
          <w:sz w:val="18"/>
          <w:szCs w:val="18"/>
          <w:lang w:val="en-IE"/>
        </w:rPr>
        <w:t>37</w:t>
      </w:r>
      <w:r w:rsidRPr="001720B5">
        <w:rPr>
          <w:sz w:val="18"/>
          <w:szCs w:val="18"/>
          <w:lang w:val="en-IE"/>
        </w:rPr>
        <w:t>(5), 583–593.</w:t>
      </w:r>
    </w:p>
  </w:footnote>
  <w:footnote w:id="143">
    <w:p w14:paraId="5F710963" w14:textId="00848D2C" w:rsidR="00F94F44" w:rsidRPr="001720B5" w:rsidRDefault="00F94F44" w:rsidP="00A3193A">
      <w:pPr>
        <w:pStyle w:val="FootnoteText"/>
        <w:rPr>
          <w:sz w:val="18"/>
          <w:szCs w:val="18"/>
          <w:lang w:val="en-IE"/>
        </w:rPr>
      </w:pPr>
      <w:r w:rsidRPr="001720B5">
        <w:rPr>
          <w:rStyle w:val="FootnoteReference"/>
          <w:sz w:val="18"/>
          <w:szCs w:val="18"/>
        </w:rPr>
        <w:footnoteRef/>
      </w:r>
      <w:r w:rsidRPr="001720B5">
        <w:rPr>
          <w:sz w:val="18"/>
          <w:szCs w:val="18"/>
        </w:rPr>
        <w:t xml:space="preserve"> </w:t>
      </w:r>
      <w:r w:rsidRPr="001720B5">
        <w:rPr>
          <w:rFonts w:eastAsia="Arial"/>
          <w:sz w:val="18"/>
          <w:szCs w:val="18"/>
        </w:rPr>
        <w:t>BioPlan Associates (2024). Annual Report and Survey of Biopharmaceutical Manufacturing Capacity and Production</w:t>
      </w:r>
    </w:p>
  </w:footnote>
  <w:footnote w:id="144">
    <w:p w14:paraId="05EC887A" w14:textId="77C259FB" w:rsidR="6F1F9423" w:rsidRPr="001720B5" w:rsidRDefault="6F1F9423" w:rsidP="00A3193A">
      <w:pPr>
        <w:spacing w:after="0"/>
        <w:rPr>
          <w:sz w:val="18"/>
          <w:szCs w:val="18"/>
        </w:rPr>
      </w:pPr>
      <w:r w:rsidRPr="001720B5">
        <w:rPr>
          <w:sz w:val="18"/>
          <w:szCs w:val="18"/>
          <w:vertAlign w:val="superscript"/>
        </w:rPr>
        <w:footnoteRef/>
      </w:r>
      <w:r w:rsidR="6268FB45" w:rsidRPr="001720B5">
        <w:rPr>
          <w:sz w:val="18"/>
          <w:szCs w:val="18"/>
        </w:rPr>
        <w:t xml:space="preserve"> </w:t>
      </w:r>
      <w:r w:rsidR="6268FB45" w:rsidRPr="001720B5">
        <w:rPr>
          <w:rFonts w:eastAsia="Times New Roman"/>
          <w:sz w:val="18"/>
          <w:szCs w:val="18"/>
        </w:rPr>
        <w:t xml:space="preserve">Maxwell, A. (2025, August 20). </w:t>
      </w:r>
      <w:r w:rsidR="6268FB45" w:rsidRPr="001720B5">
        <w:rPr>
          <w:rFonts w:eastAsia="Times New Roman"/>
          <w:i/>
          <w:sz w:val="18"/>
          <w:szCs w:val="18"/>
        </w:rPr>
        <w:t>Why EU innovators face growing barriers with EU combination product regulation</w:t>
      </w:r>
      <w:r w:rsidR="6268FB45" w:rsidRPr="001720B5">
        <w:rPr>
          <w:rFonts w:eastAsia="Times New Roman"/>
          <w:sz w:val="18"/>
          <w:szCs w:val="18"/>
        </w:rPr>
        <w:t>. Medtech Insight.</w:t>
      </w:r>
    </w:p>
  </w:footnote>
  <w:footnote w:id="145">
    <w:p w14:paraId="352762F6" w14:textId="3053351D" w:rsidR="00B169E9" w:rsidRPr="001720B5" w:rsidRDefault="00B169E9" w:rsidP="00A3193A">
      <w:pPr>
        <w:pStyle w:val="FootnoteText"/>
        <w:rPr>
          <w:sz w:val="18"/>
          <w:szCs w:val="18"/>
          <w:lang w:val="en-IE"/>
        </w:rPr>
      </w:pPr>
      <w:r w:rsidRPr="001720B5">
        <w:rPr>
          <w:rStyle w:val="FootnoteReference"/>
          <w:sz w:val="18"/>
          <w:szCs w:val="18"/>
        </w:rPr>
        <w:footnoteRef/>
      </w:r>
      <w:r w:rsidRPr="001720B5">
        <w:rPr>
          <w:sz w:val="18"/>
          <w:szCs w:val="18"/>
        </w:rPr>
        <w:t xml:space="preserve"> </w:t>
      </w:r>
      <w:r w:rsidRPr="001720B5">
        <w:rPr>
          <w:sz w:val="18"/>
          <w:szCs w:val="18"/>
          <w:lang w:val="en-IE"/>
        </w:rPr>
        <w:t>See Annex 5 for more details.</w:t>
      </w:r>
    </w:p>
  </w:footnote>
  <w:footnote w:id="146">
    <w:p w14:paraId="7AB2F017" w14:textId="55E7796C" w:rsidR="00231CC7" w:rsidRPr="00CC1047" w:rsidRDefault="00231CC7">
      <w:pPr>
        <w:pStyle w:val="FootnoteText"/>
        <w:rPr>
          <w:sz w:val="18"/>
          <w:szCs w:val="18"/>
          <w:lang w:val="en-IE"/>
        </w:rPr>
      </w:pPr>
      <w:r w:rsidRPr="00CC1047">
        <w:rPr>
          <w:rStyle w:val="FootnoteReference"/>
          <w:sz w:val="18"/>
          <w:szCs w:val="18"/>
        </w:rPr>
        <w:footnoteRef/>
      </w:r>
      <w:r w:rsidRPr="00CC1047">
        <w:rPr>
          <w:sz w:val="18"/>
          <w:szCs w:val="18"/>
          <w:lang w:val="en-IE"/>
        </w:rPr>
        <w:t xml:space="preserve"> See Rapid Assessment Scenario Study</w:t>
      </w:r>
    </w:p>
  </w:footnote>
  <w:footnote w:id="147">
    <w:p w14:paraId="6BBE7D10" w14:textId="5FFA0AEC" w:rsidR="001476C3" w:rsidRPr="009B49FB" w:rsidRDefault="001476C3" w:rsidP="00A3193A">
      <w:pPr>
        <w:pStyle w:val="FootnoteText"/>
        <w:rPr>
          <w:sz w:val="18"/>
          <w:szCs w:val="18"/>
        </w:rPr>
      </w:pPr>
      <w:r w:rsidRPr="00A3193A">
        <w:rPr>
          <w:rStyle w:val="FootnoteReference"/>
          <w:sz w:val="18"/>
          <w:szCs w:val="18"/>
        </w:rPr>
        <w:footnoteRef/>
      </w:r>
      <w:r w:rsidRPr="009B49FB">
        <w:rPr>
          <w:sz w:val="18"/>
          <w:szCs w:val="18"/>
          <w:lang w:val="it-IT"/>
        </w:rPr>
        <w:t xml:space="preserve"> Ballester, A.R., Roqué, M., Ricci-Cabello, I., Rotger, A., Malih, N. 2023. </w:t>
      </w:r>
      <w:r w:rsidRPr="00A3193A">
        <w:rPr>
          <w:sz w:val="18"/>
          <w:szCs w:val="18"/>
        </w:rPr>
        <w:t xml:space="preserve">Horizon scanning on microorganisms and their products obtained by new developments in biotechnology. </w:t>
      </w:r>
      <w:r w:rsidRPr="009B49FB">
        <w:rPr>
          <w:sz w:val="18"/>
          <w:szCs w:val="18"/>
        </w:rPr>
        <w:t>EFSA supporting publication 2023:EN-8503, 65 pp. doi:10.2903/sp.efsa.2023.EN-8503</w:t>
      </w:r>
      <w:r w:rsidR="001720B5" w:rsidRPr="009B49FB">
        <w:rPr>
          <w:sz w:val="18"/>
          <w:szCs w:val="18"/>
        </w:rPr>
        <w:t>.</w:t>
      </w:r>
    </w:p>
  </w:footnote>
  <w:footnote w:id="148">
    <w:p w14:paraId="5683C431" w14:textId="1AB93426" w:rsidR="007E26EE" w:rsidRPr="009B49FB" w:rsidRDefault="007E26EE">
      <w:pPr>
        <w:pStyle w:val="FootnoteText"/>
        <w:rPr>
          <w:sz w:val="18"/>
          <w:szCs w:val="18"/>
        </w:rPr>
      </w:pPr>
      <w:r w:rsidRPr="009B49FB">
        <w:rPr>
          <w:rStyle w:val="FootnoteReference"/>
          <w:sz w:val="18"/>
          <w:szCs w:val="18"/>
        </w:rPr>
        <w:footnoteRef/>
      </w:r>
      <w:r w:rsidRPr="009B49FB">
        <w:rPr>
          <w:sz w:val="18"/>
          <w:szCs w:val="18"/>
        </w:rPr>
        <w:t xml:space="preserve"> See Rapid Assessment Scenario Study</w:t>
      </w:r>
      <w:r w:rsidR="009B49FB">
        <w:rPr>
          <w:sz w:val="18"/>
          <w:szCs w:val="18"/>
        </w:rPr>
        <w:t>.</w:t>
      </w:r>
    </w:p>
  </w:footnote>
  <w:footnote w:id="149">
    <w:p w14:paraId="68D90DCB" w14:textId="3F88DB37" w:rsidR="004158E1" w:rsidRPr="009B49FB" w:rsidRDefault="004158E1">
      <w:pPr>
        <w:pStyle w:val="FootnoteText"/>
        <w:rPr>
          <w:lang w:val="en-IE"/>
        </w:rPr>
      </w:pPr>
      <w:r w:rsidRPr="009B49FB">
        <w:rPr>
          <w:rStyle w:val="FootnoteReference"/>
          <w:sz w:val="18"/>
          <w:szCs w:val="18"/>
        </w:rPr>
        <w:footnoteRef/>
      </w:r>
      <w:r w:rsidRPr="009B49FB">
        <w:rPr>
          <w:sz w:val="18"/>
          <w:szCs w:val="18"/>
        </w:rPr>
        <w:t xml:space="preserve"> </w:t>
      </w:r>
      <w:r w:rsidRPr="009B49FB">
        <w:rPr>
          <w:sz w:val="18"/>
          <w:szCs w:val="18"/>
          <w:lang w:val="en-IE"/>
        </w:rPr>
        <w:t>See Annex 7, Section 5.2. for examples.</w:t>
      </w:r>
    </w:p>
  </w:footnote>
  <w:footnote w:id="150">
    <w:p w14:paraId="415F8EFB" w14:textId="77777777" w:rsidR="00040A4C" w:rsidRPr="00A3193A" w:rsidRDefault="00040A4C" w:rsidP="00A3193A">
      <w:pPr>
        <w:pStyle w:val="FootnoteText"/>
        <w:rPr>
          <w:sz w:val="18"/>
          <w:szCs w:val="18"/>
          <w:lang w:val="en-IE"/>
        </w:rPr>
      </w:pPr>
      <w:r w:rsidRPr="00A3193A">
        <w:rPr>
          <w:rStyle w:val="FootnoteReference"/>
          <w:sz w:val="18"/>
          <w:szCs w:val="18"/>
        </w:rPr>
        <w:footnoteRef/>
      </w:r>
      <w:r w:rsidRPr="00A3193A">
        <w:rPr>
          <w:sz w:val="18"/>
          <w:szCs w:val="18"/>
        </w:rPr>
        <w:t xml:space="preserve"> Siddiqui SA, Erol Z, Rugji J, Taşçı F, Kahraman HA, Toppi V, Musa L, Di Giacinto G, Bahmid NA, Mehdizadeh M, Castro-Muñoz R. An overview of fermentation in the food industry - looking back from a new perspective. Bioresour Bioprocess. 2023 Nov 28;10(1):85. doi: 10.1186/s40643-023-00702-y. PMID: 38647968; PMCID: PMC10991178.</w:t>
      </w:r>
    </w:p>
  </w:footnote>
  <w:footnote w:id="151">
    <w:p w14:paraId="09FCFFC4" w14:textId="77777777" w:rsidR="00040A4C" w:rsidRPr="00A3193A" w:rsidRDefault="00040A4C" w:rsidP="00A3193A">
      <w:pPr>
        <w:pStyle w:val="FootnoteText"/>
        <w:rPr>
          <w:sz w:val="18"/>
          <w:szCs w:val="18"/>
        </w:rPr>
      </w:pPr>
      <w:r w:rsidRPr="00A3193A">
        <w:rPr>
          <w:rStyle w:val="FootnoteReference"/>
          <w:sz w:val="18"/>
          <w:szCs w:val="18"/>
        </w:rPr>
        <w:footnoteRef/>
      </w:r>
      <w:r w:rsidRPr="00A3193A">
        <w:rPr>
          <w:sz w:val="18"/>
          <w:szCs w:val="18"/>
        </w:rPr>
        <w:t xml:space="preserve"> Palanisamy Vasudhevan, Zhang Ruoyu, Hui Ma, Subhav Singh, Deekshant Varshney, Shengyan Pu,</w:t>
      </w:r>
    </w:p>
    <w:p w14:paraId="49ECA7BE" w14:textId="77777777" w:rsidR="00040A4C" w:rsidRPr="00A3193A" w:rsidRDefault="00040A4C" w:rsidP="00A3193A">
      <w:pPr>
        <w:pStyle w:val="FootnoteText"/>
        <w:rPr>
          <w:sz w:val="18"/>
          <w:szCs w:val="18"/>
        </w:rPr>
      </w:pPr>
      <w:r w:rsidRPr="00A3193A">
        <w:rPr>
          <w:sz w:val="18"/>
          <w:szCs w:val="18"/>
        </w:rPr>
        <w:t>Biocatalytic enzymes in food packaging, biomedical, and biotechnological applications: A comprehensive review,</w:t>
      </w:r>
    </w:p>
    <w:p w14:paraId="16EBFDF1" w14:textId="77777777" w:rsidR="00040A4C" w:rsidRPr="00A3193A" w:rsidRDefault="00040A4C" w:rsidP="00A3193A">
      <w:pPr>
        <w:pStyle w:val="FootnoteText"/>
        <w:rPr>
          <w:sz w:val="18"/>
          <w:szCs w:val="18"/>
          <w:lang w:val="en-IE"/>
        </w:rPr>
      </w:pPr>
      <w:r w:rsidRPr="00A3193A">
        <w:rPr>
          <w:sz w:val="18"/>
          <w:szCs w:val="18"/>
        </w:rPr>
        <w:t>International Journal of Biological Macromolecules, https://doi.org/10.1016/j.ijbiomac.2025.140069.</w:t>
      </w:r>
    </w:p>
  </w:footnote>
  <w:footnote w:id="152">
    <w:p w14:paraId="7FB34984" w14:textId="71CA9604" w:rsidR="00E63BFC" w:rsidRPr="00443C31" w:rsidRDefault="00E63BFC">
      <w:pPr>
        <w:pStyle w:val="FootnoteText"/>
        <w:rPr>
          <w:sz w:val="18"/>
          <w:szCs w:val="18"/>
          <w:lang w:val="en-IE"/>
        </w:rPr>
      </w:pPr>
      <w:r w:rsidRPr="009B49FB">
        <w:rPr>
          <w:rStyle w:val="FootnoteReference"/>
          <w:sz w:val="18"/>
          <w:szCs w:val="18"/>
        </w:rPr>
        <w:footnoteRef/>
      </w:r>
      <w:r w:rsidRPr="009B49FB">
        <w:rPr>
          <w:sz w:val="18"/>
          <w:szCs w:val="18"/>
        </w:rPr>
        <w:t xml:space="preserve"> </w:t>
      </w:r>
      <w:r w:rsidR="009B49FB" w:rsidRPr="00C437E1">
        <w:rPr>
          <w:sz w:val="18"/>
          <w:szCs w:val="18"/>
        </w:rPr>
        <w:t>P</w:t>
      </w:r>
      <w:r w:rsidR="009B49FB" w:rsidRPr="00ED7EE5">
        <w:rPr>
          <w:sz w:val="18"/>
          <w:szCs w:val="18"/>
        </w:rPr>
        <w:t xml:space="preserve">ublic consultation, see footnote </w:t>
      </w:r>
      <w:r w:rsidR="009B49FB">
        <w:rPr>
          <w:sz w:val="18"/>
          <w:szCs w:val="18"/>
        </w:rPr>
        <w:t>74.</w:t>
      </w:r>
    </w:p>
  </w:footnote>
  <w:footnote w:id="153">
    <w:p w14:paraId="2D3A556E" w14:textId="490DDE41" w:rsidR="006A07AD" w:rsidRPr="007B58C3" w:rsidRDefault="006A07AD" w:rsidP="00A3193A">
      <w:pPr>
        <w:pStyle w:val="FootnoteText"/>
        <w:rPr>
          <w:sz w:val="18"/>
          <w:szCs w:val="18"/>
          <w:lang w:val="it-IT"/>
        </w:rPr>
      </w:pPr>
      <w:r w:rsidRPr="00ED41AE">
        <w:rPr>
          <w:rStyle w:val="FootnoteReference"/>
          <w:sz w:val="18"/>
          <w:szCs w:val="18"/>
        </w:rPr>
        <w:footnoteRef/>
      </w:r>
      <w:r w:rsidRPr="00ED41AE">
        <w:rPr>
          <w:sz w:val="18"/>
          <w:szCs w:val="18"/>
        </w:rPr>
        <w:t xml:space="preserve"> Zakaria, S. </w:t>
      </w:r>
      <w:r w:rsidRPr="007B58C3">
        <w:rPr>
          <w:i/>
          <w:sz w:val="18"/>
          <w:szCs w:val="18"/>
        </w:rPr>
        <w:t>et al.</w:t>
      </w:r>
      <w:r w:rsidRPr="00ED41AE">
        <w:rPr>
          <w:sz w:val="18"/>
          <w:szCs w:val="18"/>
        </w:rPr>
        <w:t xml:space="preserve"> (</w:t>
      </w:r>
      <w:r w:rsidRPr="007B58C3">
        <w:rPr>
          <w:sz w:val="18"/>
          <w:szCs w:val="18"/>
        </w:rPr>
        <w:t xml:space="preserve">2026). Cost–benefit analysis for synthetic nucleic acid screening in the European Union. </w:t>
      </w:r>
      <w:r w:rsidRPr="007B58C3">
        <w:rPr>
          <w:sz w:val="18"/>
          <w:szCs w:val="18"/>
          <w:lang w:val="it-IT"/>
        </w:rPr>
        <w:t xml:space="preserve">Santa Monica, CA: RAND Corporation, 2026. </w:t>
      </w:r>
      <w:hyperlink r:id="rId92" w:history="1">
        <w:r w:rsidRPr="007B58C3">
          <w:rPr>
            <w:rStyle w:val="Hyperlink"/>
            <w:sz w:val="18"/>
            <w:szCs w:val="18"/>
            <w:lang w:val="it-IT"/>
          </w:rPr>
          <w:t>https://www.rand.org/pubs/research_reports/RRA4805-1.html</w:t>
        </w:r>
      </w:hyperlink>
      <w:r w:rsidR="00ED41AE" w:rsidRPr="007B58C3">
        <w:rPr>
          <w:sz w:val="18"/>
          <w:szCs w:val="18"/>
          <w:lang w:val="it-IT"/>
        </w:rPr>
        <w:t>.</w:t>
      </w:r>
    </w:p>
  </w:footnote>
  <w:footnote w:id="154">
    <w:p w14:paraId="4E7222F9" w14:textId="763C4A87" w:rsidR="006A07AD" w:rsidRPr="007B58C3" w:rsidRDefault="006A07AD" w:rsidP="00A3193A">
      <w:pPr>
        <w:pStyle w:val="FootnoteText"/>
        <w:rPr>
          <w:sz w:val="18"/>
          <w:szCs w:val="18"/>
        </w:rPr>
      </w:pPr>
      <w:r w:rsidRPr="007B58C3">
        <w:rPr>
          <w:rStyle w:val="FootnoteReference"/>
          <w:sz w:val="18"/>
          <w:szCs w:val="18"/>
        </w:rPr>
        <w:footnoteRef/>
      </w:r>
      <w:r w:rsidRPr="007B58C3">
        <w:rPr>
          <w:sz w:val="18"/>
          <w:szCs w:val="18"/>
          <w:lang w:val="en-IE"/>
        </w:rPr>
        <w:t xml:space="preserve"> </w:t>
      </w:r>
      <w:r w:rsidRPr="007B58C3">
        <w:rPr>
          <w:sz w:val="18"/>
          <w:szCs w:val="18"/>
        </w:rPr>
        <w:t xml:space="preserve">Fady, P. </w:t>
      </w:r>
      <w:r w:rsidRPr="007B58C3">
        <w:rPr>
          <w:i/>
          <w:sz w:val="18"/>
          <w:szCs w:val="18"/>
        </w:rPr>
        <w:t>et al.</w:t>
      </w:r>
      <w:r w:rsidRPr="007B58C3">
        <w:rPr>
          <w:sz w:val="18"/>
          <w:szCs w:val="18"/>
        </w:rPr>
        <w:t xml:space="preserve"> (2025). Cost-Benefit Analysis of Synthetic Nucleic Acid Screening for the UK. The Centre for Long-Term Resilience. doi.org/10.71172/kyey-h0ya, p.18</w:t>
      </w:r>
      <w:r w:rsidR="00ED41AE" w:rsidRPr="007B58C3">
        <w:rPr>
          <w:sz w:val="18"/>
          <w:szCs w:val="18"/>
        </w:rPr>
        <w:t>.</w:t>
      </w:r>
    </w:p>
  </w:footnote>
  <w:footnote w:id="155">
    <w:p w14:paraId="5E3134E0" w14:textId="31861A25" w:rsidR="005B5655" w:rsidRPr="007B58C3" w:rsidRDefault="005B5655" w:rsidP="00A3193A">
      <w:pPr>
        <w:pStyle w:val="FootnoteText"/>
        <w:rPr>
          <w:sz w:val="18"/>
          <w:szCs w:val="18"/>
          <w:lang w:val="it-IT"/>
        </w:rPr>
      </w:pPr>
      <w:r w:rsidRPr="007B58C3">
        <w:rPr>
          <w:rStyle w:val="FootnoteReference"/>
          <w:sz w:val="18"/>
          <w:szCs w:val="18"/>
        </w:rPr>
        <w:footnoteRef/>
      </w:r>
      <w:r w:rsidRPr="007B58C3">
        <w:rPr>
          <w:sz w:val="18"/>
          <w:szCs w:val="18"/>
          <w:lang w:val="it-IT"/>
        </w:rPr>
        <w:t xml:space="preserve"> Righetti, 2025 (</w:t>
      </w:r>
      <w:hyperlink r:id="rId93" w:history="1">
        <w:r w:rsidRPr="007B58C3">
          <w:rPr>
            <w:rStyle w:val="Hyperlink"/>
            <w:sz w:val="18"/>
            <w:szCs w:val="18"/>
            <w:lang w:val="it-IT"/>
          </w:rPr>
          <w:t>https://www.governance.ai/research-paper/dual-use-ai-capabilities-and-the-risk-of-bioterrorism-converting-capability-evaluations-to-risk-assessments</w:t>
        </w:r>
      </w:hyperlink>
      <w:r w:rsidRPr="007B58C3">
        <w:rPr>
          <w:sz w:val="18"/>
          <w:szCs w:val="18"/>
          <w:lang w:val="it-IT"/>
        </w:rPr>
        <w:t>)</w:t>
      </w:r>
      <w:r w:rsidR="00ED41AE" w:rsidRPr="007B58C3">
        <w:rPr>
          <w:sz w:val="18"/>
          <w:szCs w:val="18"/>
          <w:lang w:val="it-IT"/>
        </w:rPr>
        <w:t>.</w:t>
      </w:r>
    </w:p>
  </w:footnote>
  <w:footnote w:id="156">
    <w:p w14:paraId="4CE1AC34" w14:textId="14319C74" w:rsidR="51EDDA0C" w:rsidRPr="007B58C3" w:rsidRDefault="51EDDA0C" w:rsidP="007B58C3">
      <w:pPr>
        <w:spacing w:after="0"/>
        <w:rPr>
          <w:rFonts w:eastAsia="Times-Roman"/>
          <w:sz w:val="18"/>
          <w:szCs w:val="18"/>
        </w:rPr>
      </w:pPr>
      <w:r w:rsidRPr="007B58C3">
        <w:rPr>
          <w:rFonts w:eastAsia="Times-Roman"/>
          <w:sz w:val="18"/>
          <w:szCs w:val="18"/>
          <w:vertAlign w:val="superscript"/>
        </w:rPr>
        <w:footnoteRef/>
      </w:r>
      <w:r w:rsidR="6E9AA0E7" w:rsidRPr="0053782F">
        <w:rPr>
          <w:rFonts w:eastAsia="Times-Roman"/>
          <w:sz w:val="18"/>
          <w:szCs w:val="18"/>
          <w:lang w:val="fr-FR"/>
        </w:rPr>
        <w:t xml:space="preserve"> </w:t>
      </w:r>
      <w:r w:rsidR="6E9AA0E7" w:rsidRPr="0053782F">
        <w:rPr>
          <w:rFonts w:eastAsia="Times-Roman"/>
          <w:color w:val="222222"/>
          <w:sz w:val="18"/>
          <w:szCs w:val="18"/>
          <w:lang w:val="fr-FR"/>
        </w:rPr>
        <w:t xml:space="preserve">Urbina, F., Lentzos, F., Invernizzi, C. </w:t>
      </w:r>
      <w:r w:rsidR="6E9AA0E7" w:rsidRPr="0053782F">
        <w:rPr>
          <w:rFonts w:eastAsia="Times-Roman"/>
          <w:i/>
          <w:color w:val="222222"/>
          <w:sz w:val="18"/>
          <w:szCs w:val="18"/>
          <w:lang w:val="fr-FR"/>
        </w:rPr>
        <w:t>et al.</w:t>
      </w:r>
      <w:r w:rsidR="6E9AA0E7" w:rsidRPr="0053782F">
        <w:rPr>
          <w:rFonts w:eastAsia="Times-Roman"/>
          <w:color w:val="222222"/>
          <w:sz w:val="18"/>
          <w:szCs w:val="18"/>
          <w:lang w:val="fr-FR"/>
        </w:rPr>
        <w:t xml:space="preserve"> </w:t>
      </w:r>
      <w:r w:rsidR="6E9AA0E7" w:rsidRPr="007B58C3">
        <w:rPr>
          <w:rFonts w:eastAsia="Times-Roman"/>
          <w:color w:val="222222"/>
          <w:sz w:val="18"/>
          <w:szCs w:val="18"/>
        </w:rPr>
        <w:t xml:space="preserve">Dual use of artificial-intelligence-powered drug discovery. </w:t>
      </w:r>
      <w:r w:rsidR="6E9AA0E7" w:rsidRPr="007B58C3">
        <w:rPr>
          <w:rFonts w:eastAsia="Times-Roman"/>
          <w:i/>
          <w:color w:val="222222"/>
          <w:sz w:val="18"/>
          <w:szCs w:val="18"/>
        </w:rPr>
        <w:t>Nat Mach Intell</w:t>
      </w:r>
      <w:r w:rsidR="6E9AA0E7" w:rsidRPr="007B58C3">
        <w:rPr>
          <w:rFonts w:eastAsia="Times-Roman"/>
          <w:color w:val="222222"/>
          <w:sz w:val="18"/>
          <w:szCs w:val="18"/>
        </w:rPr>
        <w:t xml:space="preserve"> </w:t>
      </w:r>
      <w:r w:rsidR="6E9AA0E7" w:rsidRPr="007B58C3">
        <w:rPr>
          <w:rFonts w:eastAsia="Times-Roman"/>
          <w:b/>
          <w:color w:val="222222"/>
          <w:sz w:val="18"/>
          <w:szCs w:val="18"/>
        </w:rPr>
        <w:t>4</w:t>
      </w:r>
      <w:r w:rsidR="6E9AA0E7" w:rsidRPr="007B58C3">
        <w:rPr>
          <w:rFonts w:eastAsia="Times-Roman"/>
          <w:color w:val="222222"/>
          <w:sz w:val="18"/>
          <w:szCs w:val="18"/>
        </w:rPr>
        <w:t>, 189–191 (2022). https://doi.org/10.1038/s42256-022-00465-9</w:t>
      </w:r>
    </w:p>
  </w:footnote>
  <w:footnote w:id="157">
    <w:p w14:paraId="2B5E88C9" w14:textId="6D157B0F" w:rsidR="0038786F" w:rsidRPr="007B58C3" w:rsidRDefault="0038786F">
      <w:pPr>
        <w:pStyle w:val="FootnoteText"/>
        <w:rPr>
          <w:sz w:val="18"/>
          <w:szCs w:val="18"/>
          <w:lang w:val="en-IE"/>
        </w:rPr>
      </w:pPr>
      <w:r w:rsidRPr="007B58C3">
        <w:rPr>
          <w:rStyle w:val="FootnoteReference"/>
          <w:sz w:val="18"/>
          <w:szCs w:val="18"/>
        </w:rPr>
        <w:footnoteRef/>
      </w:r>
      <w:r w:rsidRPr="007B58C3">
        <w:rPr>
          <w:sz w:val="18"/>
          <w:szCs w:val="18"/>
          <w:lang w:val="en-IE"/>
        </w:rPr>
        <w:t xml:space="preserve"> Some interventions </w:t>
      </w:r>
      <w:r w:rsidR="004B42FC" w:rsidRPr="007B58C3">
        <w:rPr>
          <w:sz w:val="18"/>
          <w:szCs w:val="18"/>
          <w:lang w:val="en-IE"/>
        </w:rPr>
        <w:t xml:space="preserve">have been assessed over </w:t>
      </w:r>
      <w:r w:rsidR="001A219E" w:rsidRPr="007B58C3">
        <w:rPr>
          <w:sz w:val="18"/>
          <w:szCs w:val="18"/>
          <w:lang w:val="en-IE"/>
        </w:rPr>
        <w:t>a different baseline. See Annex 4 for more information</w:t>
      </w:r>
      <w:r w:rsidR="0094523B" w:rsidRPr="007B58C3">
        <w:rPr>
          <w:sz w:val="18"/>
          <w:szCs w:val="18"/>
          <w:lang w:val="en-IE"/>
        </w:rPr>
        <w:t xml:space="preserve"> on the timeline and baseline</w:t>
      </w:r>
      <w:r w:rsidR="001A219E" w:rsidRPr="007B58C3">
        <w:rPr>
          <w:sz w:val="18"/>
          <w:szCs w:val="18"/>
          <w:lang w:val="en-IE"/>
        </w:rPr>
        <w:t>.</w:t>
      </w:r>
    </w:p>
  </w:footnote>
  <w:footnote w:id="158">
    <w:p w14:paraId="7B823AF4" w14:textId="7E19CEE1" w:rsidR="00EE135C" w:rsidRPr="007B58C3" w:rsidRDefault="00EE135C">
      <w:pPr>
        <w:pStyle w:val="FootnoteText"/>
        <w:rPr>
          <w:sz w:val="18"/>
          <w:szCs w:val="18"/>
          <w:lang w:val="en-IE"/>
        </w:rPr>
      </w:pPr>
      <w:r w:rsidRPr="007B58C3">
        <w:rPr>
          <w:rStyle w:val="FootnoteReference"/>
          <w:sz w:val="18"/>
          <w:szCs w:val="18"/>
        </w:rPr>
        <w:footnoteRef/>
      </w:r>
      <w:r w:rsidRPr="007B58C3">
        <w:rPr>
          <w:sz w:val="18"/>
          <w:szCs w:val="18"/>
        </w:rPr>
        <w:t xml:space="preserve"> </w:t>
      </w:r>
      <w:r w:rsidR="00FE2553" w:rsidRPr="007B58C3">
        <w:rPr>
          <w:sz w:val="18"/>
          <w:szCs w:val="18"/>
        </w:rPr>
        <w:t>See Rapid Assessment Scenario Study for more information</w:t>
      </w:r>
      <w:r w:rsidR="00A502ED" w:rsidRPr="007B58C3">
        <w:rPr>
          <w:sz w:val="18"/>
          <w:szCs w:val="18"/>
        </w:rPr>
        <w:t xml:space="preserve"> including </w:t>
      </w:r>
      <w:r w:rsidR="00032DFA" w:rsidRPr="007B58C3">
        <w:rPr>
          <w:sz w:val="18"/>
          <w:szCs w:val="18"/>
        </w:rPr>
        <w:t>on</w:t>
      </w:r>
      <w:r w:rsidR="00040645" w:rsidRPr="007B58C3">
        <w:rPr>
          <w:sz w:val="18"/>
          <w:szCs w:val="18"/>
        </w:rPr>
        <w:t xml:space="preserve"> assumptions</w:t>
      </w:r>
      <w:r w:rsidR="00A502ED" w:rsidRPr="007B58C3">
        <w:rPr>
          <w:sz w:val="18"/>
          <w:szCs w:val="18"/>
        </w:rPr>
        <w:t xml:space="preserve"> used</w:t>
      </w:r>
      <w:r w:rsidR="00FE2553" w:rsidRPr="007B58C3">
        <w:rPr>
          <w:sz w:val="18"/>
          <w:szCs w:val="18"/>
        </w:rPr>
        <w:t>.</w:t>
      </w:r>
    </w:p>
  </w:footnote>
  <w:footnote w:id="159">
    <w:p w14:paraId="5CEAF0F2" w14:textId="12F67F08" w:rsidR="32853AE5" w:rsidRPr="00934134" w:rsidRDefault="32853AE5">
      <w:pPr>
        <w:pStyle w:val="FootnoteText"/>
        <w:rPr>
          <w:sz w:val="18"/>
          <w:szCs w:val="18"/>
          <w:lang w:val="es-ES"/>
        </w:rPr>
      </w:pPr>
      <w:r w:rsidRPr="00934134">
        <w:rPr>
          <w:rStyle w:val="FootnoteReference"/>
          <w:sz w:val="18"/>
          <w:szCs w:val="18"/>
        </w:rPr>
        <w:footnoteRef/>
      </w:r>
      <w:r w:rsidR="021B00EE" w:rsidRPr="00934134">
        <w:rPr>
          <w:sz w:val="18"/>
          <w:szCs w:val="18"/>
          <w:lang w:val="es-ES"/>
        </w:rPr>
        <w:t xml:space="preserve"> EMA, 2026 (https://www.ema.europa.eu/en/documents/other/reflection-paper-tailored-clinical-approach-biosimilar-development_en.pdf-0)</w:t>
      </w:r>
      <w:r w:rsidR="00BD7F39">
        <w:rPr>
          <w:sz w:val="18"/>
          <w:szCs w:val="18"/>
          <w:lang w:val="es-ES"/>
        </w:rPr>
        <w:t>.</w:t>
      </w:r>
    </w:p>
  </w:footnote>
  <w:footnote w:id="160">
    <w:p w14:paraId="57AD8BD8" w14:textId="6A1E775E" w:rsidR="007C2DF5" w:rsidRPr="007C2DF5" w:rsidRDefault="007C2DF5">
      <w:pPr>
        <w:pStyle w:val="FootnoteText"/>
      </w:pPr>
      <w:r>
        <w:rPr>
          <w:rStyle w:val="FootnoteReference"/>
        </w:rPr>
        <w:footnoteRef/>
      </w:r>
      <w:r>
        <w:t xml:space="preserve"> </w:t>
      </w:r>
      <w:r w:rsidR="00C235E4" w:rsidRPr="001546C6">
        <w:t>Rapid Assessment Scenarios study, forthcoming</w:t>
      </w:r>
    </w:p>
  </w:footnote>
  <w:footnote w:id="161">
    <w:p w14:paraId="6C7B9ED0" w14:textId="1B311F65" w:rsidR="5DB49864" w:rsidRPr="00BD7F39" w:rsidRDefault="5DB49864" w:rsidP="00BD7F39">
      <w:pPr>
        <w:spacing w:after="0"/>
        <w:rPr>
          <w:rFonts w:eastAsia="Times New Roman"/>
          <w:sz w:val="18"/>
          <w:szCs w:val="18"/>
        </w:rPr>
      </w:pPr>
      <w:r w:rsidRPr="00BD7F39">
        <w:rPr>
          <w:sz w:val="18"/>
          <w:szCs w:val="18"/>
          <w:vertAlign w:val="superscript"/>
        </w:rPr>
        <w:footnoteRef/>
      </w:r>
      <w:r w:rsidR="0EB19EEA" w:rsidRPr="00BD7F39">
        <w:rPr>
          <w:sz w:val="18"/>
          <w:szCs w:val="18"/>
        </w:rPr>
        <w:t xml:space="preserve"> Medicines For Europe factsheet</w:t>
      </w:r>
      <w:r w:rsidR="0EB19EEA" w:rsidRPr="00BD7F39">
        <w:rPr>
          <w:rFonts w:eastAsia="Segoe UI"/>
          <w:color w:val="242424"/>
          <w:sz w:val="18"/>
          <w:szCs w:val="18"/>
        </w:rPr>
        <w:t xml:space="preserve">: </w:t>
      </w:r>
      <w:hyperlink r:id="rId94" w:history="1">
        <w:r w:rsidR="0EB19EEA" w:rsidRPr="00BD7F39">
          <w:rPr>
            <w:rStyle w:val="Hyperlink"/>
            <w:rFonts w:eastAsia="Segoe UI"/>
            <w:color w:val="0000EE"/>
            <w:sz w:val="18"/>
            <w:szCs w:val="18"/>
          </w:rPr>
          <w:t>Pillar 1-2-3-4-FOOTPRINT-SPC-Biotech-Act-facsheets-ppt.cdr</w:t>
        </w:r>
      </w:hyperlink>
      <w:r w:rsidR="00426D33">
        <w:rPr>
          <w:sz w:val="18"/>
          <w:szCs w:val="18"/>
        </w:rPr>
        <w:t>.</w:t>
      </w:r>
    </w:p>
  </w:footnote>
  <w:footnote w:id="162">
    <w:p w14:paraId="65C0D680" w14:textId="77777777" w:rsidR="000C1EE1" w:rsidRPr="00A3193A" w:rsidRDefault="000C1EE1" w:rsidP="00A3193A">
      <w:pPr>
        <w:pStyle w:val="FootnoteText"/>
        <w:rPr>
          <w:sz w:val="18"/>
          <w:szCs w:val="18"/>
          <w:lang w:val="en-IE"/>
        </w:rPr>
      </w:pPr>
      <w:r w:rsidRPr="00A3193A">
        <w:rPr>
          <w:rStyle w:val="FootnoteReference"/>
          <w:sz w:val="18"/>
          <w:szCs w:val="18"/>
        </w:rPr>
        <w:footnoteRef/>
      </w:r>
      <w:r w:rsidRPr="00A3193A">
        <w:rPr>
          <w:sz w:val="18"/>
          <w:szCs w:val="18"/>
        </w:rPr>
        <w:t xml:space="preserve"> See for example US initiatives which frame biotechnology as a core economic and national security priority requiring coordinated action to sustain global leadership: U.S. House of Representatives. (2025). </w:t>
      </w:r>
      <w:r w:rsidRPr="00A3193A">
        <w:rPr>
          <w:i/>
          <w:sz w:val="18"/>
          <w:szCs w:val="18"/>
        </w:rPr>
        <w:t>Congressional Biotechnology Caucus announcement</w:t>
      </w:r>
      <w:r w:rsidRPr="00A3193A">
        <w:rPr>
          <w:sz w:val="18"/>
          <w:szCs w:val="18"/>
        </w:rPr>
        <w:t xml:space="preserve">, June 2025; National Security Commission on Emerging Biotechnology (NSCEB). (2025). </w:t>
      </w:r>
      <w:r w:rsidRPr="00A3193A">
        <w:rPr>
          <w:i/>
          <w:sz w:val="18"/>
          <w:szCs w:val="18"/>
        </w:rPr>
        <w:t>Report to Congress</w:t>
      </w:r>
      <w:r w:rsidRPr="00A3193A">
        <w:rPr>
          <w:sz w:val="18"/>
          <w:szCs w:val="18"/>
        </w:rPr>
        <w:t>, April 2025.</w:t>
      </w:r>
    </w:p>
  </w:footnote>
  <w:footnote w:id="163">
    <w:p w14:paraId="009A6BF7" w14:textId="493BE747" w:rsidR="0098675D" w:rsidRPr="00443C31" w:rsidRDefault="0098675D">
      <w:pPr>
        <w:pStyle w:val="FootnoteText"/>
        <w:rPr>
          <w:sz w:val="18"/>
          <w:szCs w:val="18"/>
          <w:lang w:val="en-IE"/>
        </w:rPr>
      </w:pPr>
      <w:r w:rsidRPr="00443C31">
        <w:rPr>
          <w:rStyle w:val="FootnoteReference"/>
          <w:sz w:val="18"/>
          <w:szCs w:val="18"/>
        </w:rPr>
        <w:footnoteRef/>
      </w:r>
      <w:r w:rsidRPr="00443C31">
        <w:rPr>
          <w:sz w:val="18"/>
          <w:szCs w:val="18"/>
        </w:rPr>
        <w:t xml:space="preserve"> Based on Grandview Research estimates of the DNA synthesis market </w:t>
      </w:r>
      <w:hyperlink r:id="rId95" w:history="1">
        <w:r w:rsidRPr="00344F4D">
          <w:rPr>
            <w:rStyle w:val="Hyperlink"/>
            <w:sz w:val="18"/>
            <w:szCs w:val="18"/>
          </w:rPr>
          <w:t>https://www.grandviewresearch.com/horizon/outlook/dna-synthesis-market/europe</w:t>
        </w:r>
      </w:hyperlink>
      <w:r w:rsidRPr="00344F4D">
        <w:rPr>
          <w:sz w:val="18"/>
          <w:szCs w:val="18"/>
        </w:rPr>
        <w:t xml:space="preserve"> and the Biotech market more generally </w:t>
      </w:r>
      <w:hyperlink r:id="rId96">
        <w:r w:rsidRPr="00344F4D">
          <w:rPr>
            <w:rStyle w:val="Hyperlink"/>
            <w:sz w:val="18"/>
            <w:szCs w:val="18"/>
          </w:rPr>
          <w:t>https://www.grandviewresearch.com/horizon/outlook/biotechnology-market/europe</w:t>
        </w:r>
      </w:hyperlink>
    </w:p>
  </w:footnote>
  <w:footnote w:id="164">
    <w:p w14:paraId="0CA6859C" w14:textId="148E1F32" w:rsidR="00BD3B13" w:rsidRPr="000B0ABB" w:rsidRDefault="00BD3B13" w:rsidP="00A3193A">
      <w:pPr>
        <w:pStyle w:val="FootnoteText"/>
        <w:rPr>
          <w:sz w:val="18"/>
          <w:szCs w:val="18"/>
          <w:lang w:val="en-IE"/>
        </w:rPr>
      </w:pPr>
      <w:r w:rsidRPr="000B0ABB">
        <w:rPr>
          <w:rStyle w:val="FootnoteReference"/>
          <w:sz w:val="18"/>
          <w:szCs w:val="18"/>
        </w:rPr>
        <w:footnoteRef/>
      </w:r>
      <w:r w:rsidRPr="000B0ABB">
        <w:rPr>
          <w:sz w:val="18"/>
          <w:szCs w:val="18"/>
          <w:lang w:val="en-IE"/>
        </w:rPr>
        <w:t xml:space="preserve"> </w:t>
      </w:r>
      <w:r w:rsidR="00A15259" w:rsidRPr="000B0ABB">
        <w:rPr>
          <w:sz w:val="18"/>
          <w:szCs w:val="18"/>
          <w:lang w:val="en-IE"/>
        </w:rPr>
        <w:t xml:space="preserve">Regulation (EU) 2024/1689, OJ L, 2024/1689, 12.7.2024, ELI: </w:t>
      </w:r>
      <w:hyperlink r:id="rId97">
        <w:r w:rsidR="00A15259" w:rsidRPr="000B0ABB">
          <w:rPr>
            <w:rStyle w:val="Hyperlink"/>
            <w:sz w:val="18"/>
            <w:szCs w:val="18"/>
            <w:lang w:val="en-IE"/>
          </w:rPr>
          <w:t>http://data.europa.eu/eli/reg/2024/1689/oj</w:t>
        </w:r>
      </w:hyperlink>
      <w:r w:rsidR="000B0ABB">
        <w:rPr>
          <w:sz w:val="18"/>
          <w:szCs w:val="18"/>
        </w:rPr>
        <w:t>.</w:t>
      </w:r>
    </w:p>
  </w:footnote>
  <w:footnote w:id="165">
    <w:p w14:paraId="0E2B37FB" w14:textId="07A1B47A" w:rsidR="0026661A" w:rsidRPr="000B0ABB" w:rsidRDefault="0026661A" w:rsidP="00A3193A">
      <w:pPr>
        <w:pStyle w:val="FootnoteText"/>
        <w:rPr>
          <w:sz w:val="18"/>
          <w:szCs w:val="18"/>
          <w:lang w:val="en-IE"/>
        </w:rPr>
      </w:pPr>
      <w:r w:rsidRPr="000B0ABB">
        <w:rPr>
          <w:rStyle w:val="FootnoteReference"/>
          <w:sz w:val="18"/>
          <w:szCs w:val="18"/>
        </w:rPr>
        <w:footnoteRef/>
      </w:r>
      <w:r w:rsidR="278EFFF2" w:rsidRPr="000B0ABB">
        <w:rPr>
          <w:sz w:val="18"/>
          <w:szCs w:val="18"/>
        </w:rPr>
        <w:t xml:space="preserve"> Revised version of the intervention logic (see first version in </w:t>
      </w:r>
      <w:hyperlink r:id="rId98">
        <w:r w:rsidR="278EFFF2" w:rsidRPr="000B0ABB">
          <w:rPr>
            <w:rStyle w:val="Hyperlink"/>
            <w:sz w:val="18"/>
            <w:szCs w:val="18"/>
          </w:rPr>
          <w:t>COM(2025) 1022 final</w:t>
        </w:r>
      </w:hyperlink>
      <w:hyperlink r:id="rId99">
        <w:r w:rsidRPr="00443C31">
          <w:rPr>
            <w:rStyle w:val="Hyperlink"/>
            <w:sz w:val="18"/>
            <w:szCs w:val="18"/>
          </w:rPr>
          <w:t>https://eur-lex.europa.eu/legal-content/EN/TXT/?uri=CELEX:52025PC1022</w:t>
        </w:r>
      </w:hyperlink>
      <w:r w:rsidR="278EFFF2" w:rsidRPr="000B0ABB">
        <w:rPr>
          <w:sz w:val="18"/>
          <w:szCs w:val="18"/>
        </w:rPr>
        <w:t>)</w:t>
      </w:r>
      <w:r w:rsidR="000B0ABB">
        <w:rPr>
          <w:sz w:val="18"/>
          <w:szCs w:val="18"/>
        </w:rPr>
        <w:t>.</w:t>
      </w:r>
    </w:p>
  </w:footnote>
  <w:footnote w:id="166">
    <w:p w14:paraId="019AD4E8" w14:textId="35E38D4C" w:rsidR="00B20397" w:rsidRPr="00A3193A" w:rsidRDefault="00B20397" w:rsidP="00A3193A">
      <w:pPr>
        <w:pStyle w:val="FootnoteText"/>
        <w:rPr>
          <w:sz w:val="18"/>
          <w:szCs w:val="18"/>
          <w:lang w:val="en-IE"/>
        </w:rPr>
      </w:pPr>
      <w:r w:rsidRPr="00A3193A">
        <w:rPr>
          <w:rStyle w:val="FootnoteReference"/>
          <w:sz w:val="18"/>
          <w:szCs w:val="18"/>
        </w:rPr>
        <w:footnoteRef/>
      </w:r>
      <w:r w:rsidRPr="00A3193A">
        <w:rPr>
          <w:sz w:val="18"/>
          <w:szCs w:val="18"/>
        </w:rPr>
        <w:t xml:space="preserve"> </w:t>
      </w:r>
      <w:r w:rsidRPr="00A3193A">
        <w:rPr>
          <w:sz w:val="18"/>
          <w:szCs w:val="18"/>
          <w:lang w:val="en-IE"/>
        </w:rPr>
        <w:t xml:space="preserve">Annex </w:t>
      </w:r>
      <w:r w:rsidR="003C120E">
        <w:rPr>
          <w:sz w:val="18"/>
          <w:szCs w:val="18"/>
          <w:lang w:val="en-IE"/>
        </w:rPr>
        <w:t>6</w:t>
      </w:r>
      <w:r w:rsidRPr="00A3193A">
        <w:rPr>
          <w:sz w:val="18"/>
          <w:szCs w:val="18"/>
          <w:lang w:val="en-IE"/>
        </w:rPr>
        <w:t xml:space="preserve"> </w:t>
      </w:r>
      <w:r w:rsidR="00E972E8" w:rsidRPr="00A3193A">
        <w:rPr>
          <w:sz w:val="18"/>
          <w:szCs w:val="18"/>
          <w:lang w:val="en-IE"/>
        </w:rPr>
        <w:t xml:space="preserve">presents a mapping of the policy measures and the corresponding articles in the </w:t>
      </w:r>
      <w:r w:rsidR="006428C8">
        <w:rPr>
          <w:sz w:val="18"/>
          <w:szCs w:val="18"/>
          <w:lang w:val="en-IE"/>
        </w:rPr>
        <w:t xml:space="preserve">proposed </w:t>
      </w:r>
      <w:r w:rsidR="00E972E8" w:rsidRPr="00A3193A">
        <w:rPr>
          <w:sz w:val="18"/>
          <w:szCs w:val="18"/>
          <w:lang w:val="en-IE"/>
        </w:rPr>
        <w:t xml:space="preserve">Regulation and </w:t>
      </w:r>
      <w:r w:rsidR="006428C8">
        <w:rPr>
          <w:sz w:val="18"/>
          <w:szCs w:val="18"/>
          <w:lang w:val="en-IE"/>
        </w:rPr>
        <w:t xml:space="preserve">proposed </w:t>
      </w:r>
      <w:r w:rsidR="00E972E8" w:rsidRPr="00A3193A">
        <w:rPr>
          <w:sz w:val="18"/>
          <w:szCs w:val="18"/>
          <w:lang w:val="en-IE"/>
        </w:rPr>
        <w:t>Directive respectively.</w:t>
      </w:r>
    </w:p>
  </w:footnote>
  <w:footnote w:id="167">
    <w:p w14:paraId="35FDD9E9" w14:textId="4F1D5C6B" w:rsidR="00794B64" w:rsidRPr="00443C31" w:rsidRDefault="00794B64">
      <w:pPr>
        <w:pStyle w:val="FootnoteText"/>
        <w:rPr>
          <w:sz w:val="18"/>
          <w:szCs w:val="18"/>
        </w:rPr>
      </w:pPr>
      <w:r w:rsidRPr="00443C31">
        <w:rPr>
          <w:rStyle w:val="FootnoteReference"/>
          <w:sz w:val="18"/>
          <w:szCs w:val="18"/>
        </w:rPr>
        <w:footnoteRef/>
      </w:r>
      <w:r w:rsidRPr="00443C31">
        <w:rPr>
          <w:sz w:val="18"/>
          <w:szCs w:val="18"/>
        </w:rPr>
        <w:t xml:space="preserve"> </w:t>
      </w:r>
      <w:r w:rsidR="00B351AF" w:rsidRPr="00443C31">
        <w:rPr>
          <w:sz w:val="18"/>
          <w:szCs w:val="18"/>
        </w:rPr>
        <w:t>The assessment of impacts draws on the supporting studies presented in Annex 1.</w:t>
      </w:r>
    </w:p>
  </w:footnote>
  <w:footnote w:id="168">
    <w:p w14:paraId="1618FB9A" w14:textId="77777777" w:rsidR="00954232" w:rsidRPr="00A3193A" w:rsidRDefault="00954232" w:rsidP="00A3193A">
      <w:pPr>
        <w:spacing w:after="0"/>
        <w:rPr>
          <w:sz w:val="18"/>
          <w:szCs w:val="18"/>
        </w:rPr>
      </w:pPr>
      <w:r w:rsidRPr="00A3193A">
        <w:rPr>
          <w:rStyle w:val="FootnoteReference"/>
          <w:sz w:val="18"/>
          <w:szCs w:val="18"/>
        </w:rPr>
        <w:footnoteRef/>
      </w:r>
      <w:r w:rsidRPr="00A3193A">
        <w:rPr>
          <w:sz w:val="18"/>
          <w:szCs w:val="18"/>
        </w:rPr>
        <w:t xml:space="preserve"> </w:t>
      </w:r>
      <w:r w:rsidRPr="00A3193A">
        <w:rPr>
          <w:rFonts w:eastAsia="Arial"/>
          <w:sz w:val="18"/>
          <w:szCs w:val="18"/>
        </w:rPr>
        <w:t>COB = conduct of business; Admin = administrative costs on businesses, including SMEs; CTI = competitiveness, trade and investment flows; Int Mar = functioning of the internal market and competition; I&amp;R = innovation and research; PA = public authorities; H&amp;S = public health and safety.</w:t>
      </w:r>
    </w:p>
  </w:footnote>
  <w:footnote w:id="169">
    <w:p w14:paraId="466E885D" w14:textId="0AC83C5C" w:rsidR="00A55112" w:rsidRPr="00A3193A" w:rsidRDefault="00A55112" w:rsidP="00A3193A">
      <w:pPr>
        <w:pStyle w:val="FootnoteText"/>
        <w:rPr>
          <w:sz w:val="18"/>
          <w:szCs w:val="18"/>
          <w:lang w:val="en-IE"/>
        </w:rPr>
      </w:pPr>
      <w:r w:rsidRPr="00A3193A">
        <w:rPr>
          <w:rStyle w:val="FootnoteReference"/>
          <w:sz w:val="18"/>
          <w:szCs w:val="18"/>
        </w:rPr>
        <w:footnoteRef/>
      </w:r>
      <w:r w:rsidRPr="00A3193A">
        <w:rPr>
          <w:sz w:val="18"/>
          <w:szCs w:val="18"/>
        </w:rPr>
        <w:t xml:space="preserve"> </w:t>
      </w:r>
      <w:r w:rsidRPr="00A3193A">
        <w:rPr>
          <w:rFonts w:eastAsia="Arial"/>
          <w:sz w:val="18"/>
          <w:szCs w:val="18"/>
        </w:rPr>
        <w:t>++ significant positive; + moderate positive; 0/+ marginal positive; 0 negligible/neutral; 0/– marginal negative; – moderate negative</w:t>
      </w:r>
      <w:r w:rsidR="00DC744D">
        <w:rPr>
          <w:rFonts w:eastAsia="Arial"/>
          <w:sz w:val="18"/>
          <w:szCs w:val="18"/>
        </w:rPr>
        <w:t>, -- significant negative</w:t>
      </w:r>
      <w:r w:rsidRPr="00A3193A">
        <w:rPr>
          <w:rFonts w:eastAsia="Arial"/>
          <w:sz w:val="18"/>
          <w:szCs w:val="18"/>
        </w:rPr>
        <w:t>.</w:t>
      </w:r>
    </w:p>
  </w:footnote>
  <w:footnote w:id="170">
    <w:p w14:paraId="0B850625" w14:textId="5782E41D" w:rsidR="2B00CEA1" w:rsidRPr="00A3193A" w:rsidRDefault="2B00CEA1" w:rsidP="00A3193A">
      <w:pPr>
        <w:spacing w:after="0"/>
        <w:rPr>
          <w:sz w:val="18"/>
          <w:szCs w:val="18"/>
        </w:rPr>
      </w:pPr>
      <w:r w:rsidRPr="00A3193A">
        <w:rPr>
          <w:sz w:val="18"/>
          <w:szCs w:val="18"/>
          <w:vertAlign w:val="superscript"/>
        </w:rPr>
        <w:footnoteRef/>
      </w:r>
      <w:r w:rsidR="2378E61B" w:rsidRPr="00A3193A">
        <w:rPr>
          <w:sz w:val="18"/>
          <w:szCs w:val="18"/>
        </w:rPr>
        <w:t xml:space="preserve"> </w:t>
      </w:r>
      <w:hyperlink r:id="rId100" w:history="1">
        <w:r w:rsidR="2378E61B" w:rsidRPr="00443C31">
          <w:rPr>
            <w:rStyle w:val="Hyperlink"/>
            <w:rFonts w:eastAsia="Calibri"/>
            <w:sz w:val="18"/>
            <w:szCs w:val="18"/>
          </w:rPr>
          <w:t>“Regulatory Sandboxes and Fintech Funding: Evidence from the UK”</w:t>
        </w:r>
      </w:hyperlink>
      <w:r w:rsidR="2378E61B" w:rsidRPr="00443C31">
        <w:rPr>
          <w:rFonts w:eastAsia="Calibri"/>
          <w:sz w:val="18"/>
          <w:szCs w:val="18"/>
        </w:rPr>
        <w:t xml:space="preserve"> by G. Cornelli S. Doerr L. Gambacorta O. Merrouche (2020) act 2025: FCA Strategy</w:t>
      </w:r>
      <w:hyperlink r:id="rId101" w:history="1">
        <w:r w:rsidR="2378E61B" w:rsidRPr="00443C31">
          <w:rPr>
            <w:sz w:val="18"/>
            <w:szCs w:val="18"/>
          </w:rPr>
          <w:t>￼</w:t>
        </w:r>
      </w:hyperlink>
      <w:r w:rsidR="2378E61B" w:rsidRPr="00443C31">
        <w:rPr>
          <w:sz w:val="18"/>
          <w:szCs w:val="18"/>
        </w:rPr>
        <w:t>￼</w:t>
      </w:r>
      <w:r w:rsidR="2378E61B" w:rsidRPr="2378E61B">
        <w:rPr>
          <w:sz w:val="18"/>
          <w:szCs w:val="18"/>
        </w:rPr>
        <w:t>.</w:t>
      </w:r>
    </w:p>
  </w:footnote>
  <w:footnote w:id="171">
    <w:p w14:paraId="0C9CBBA3" w14:textId="537619C8" w:rsidR="000F3479" w:rsidRPr="00A3193A" w:rsidRDefault="000F3479" w:rsidP="00A3193A">
      <w:pPr>
        <w:pStyle w:val="FootnoteText"/>
        <w:rPr>
          <w:sz w:val="18"/>
          <w:szCs w:val="18"/>
          <w:lang w:val="pl-PL"/>
        </w:rPr>
      </w:pPr>
      <w:r w:rsidRPr="00A3193A">
        <w:rPr>
          <w:rStyle w:val="FootnoteReference"/>
          <w:sz w:val="18"/>
          <w:szCs w:val="18"/>
        </w:rPr>
        <w:footnoteRef/>
      </w:r>
      <w:r w:rsidRPr="00A3193A">
        <w:rPr>
          <w:sz w:val="18"/>
          <w:szCs w:val="18"/>
          <w:lang w:val="en-IE"/>
        </w:rPr>
        <w:t xml:space="preserve"> </w:t>
      </w:r>
      <w:r w:rsidR="004D0B3A" w:rsidRPr="00A3193A">
        <w:rPr>
          <w:rFonts w:eastAsia="Arial Narrow"/>
          <w:sz w:val="18"/>
          <w:szCs w:val="18"/>
          <w:lang w:val="en-US"/>
        </w:rPr>
        <w:t xml:space="preserve">Regulation (EC) No 178/2002, OJ L 31, 1.2.2002, pp. 1–24. </w:t>
      </w:r>
      <w:r w:rsidR="004D0B3A" w:rsidRPr="00A3193A">
        <w:rPr>
          <w:rFonts w:eastAsia="Arial Narrow"/>
          <w:sz w:val="18"/>
          <w:szCs w:val="18"/>
          <w:lang w:val="pl-PL"/>
        </w:rPr>
        <w:t xml:space="preserve">ELI: </w:t>
      </w:r>
      <w:hyperlink r:id="rId102" w:history="1">
        <w:r w:rsidR="004D0B3A" w:rsidRPr="00A3193A">
          <w:rPr>
            <w:rStyle w:val="Hyperlink"/>
            <w:sz w:val="18"/>
            <w:szCs w:val="18"/>
            <w:lang w:val="pl-PL"/>
          </w:rPr>
          <w:t>http://data.europa.eu/eli/reg/2002/178/oj</w:t>
        </w:r>
      </w:hyperlink>
      <w:r w:rsidR="00EE09B6">
        <w:rPr>
          <w:sz w:val="18"/>
          <w:szCs w:val="18"/>
          <w:lang w:val="pl-PL"/>
        </w:rPr>
        <w:t>.</w:t>
      </w:r>
    </w:p>
  </w:footnote>
  <w:footnote w:id="172">
    <w:p w14:paraId="29524EBF" w14:textId="352AEBA0" w:rsidR="00B246B9" w:rsidRPr="00443C31" w:rsidRDefault="00B246B9">
      <w:pPr>
        <w:pStyle w:val="FootnoteText"/>
        <w:rPr>
          <w:sz w:val="18"/>
          <w:szCs w:val="18"/>
        </w:rPr>
      </w:pPr>
      <w:r w:rsidRPr="00443C31">
        <w:rPr>
          <w:rStyle w:val="FootnoteReference"/>
          <w:sz w:val="18"/>
          <w:szCs w:val="18"/>
        </w:rPr>
        <w:footnoteRef/>
      </w:r>
      <w:r w:rsidRPr="00443C31">
        <w:rPr>
          <w:sz w:val="18"/>
          <w:szCs w:val="18"/>
        </w:rPr>
        <w:t xml:space="preserve"> </w:t>
      </w:r>
      <w:r w:rsidR="00C45F87" w:rsidRPr="00443C31">
        <w:rPr>
          <w:sz w:val="18"/>
          <w:szCs w:val="18"/>
        </w:rPr>
        <w:t>Regulation (EU) 2015/2283 of the European Parliament and of the Council of 25 November 2015 on novel foods, amending Regulation (EU) No 1169/2011 of the European Parliament and of the Council and repealing Regulation (EC) No 258/97 of the European Parliament and of the Council and Commission Regulation (EC) No 1852/2001 (OJ L 327, 11.12.2015, p. 1, ELI: http://data.europa.eu/eli/reg/2015/2283/oj).</w:t>
      </w:r>
    </w:p>
  </w:footnote>
  <w:footnote w:id="173">
    <w:p w14:paraId="24401FC3" w14:textId="727EE3A7" w:rsidR="00C850B5" w:rsidRPr="00443C31" w:rsidRDefault="00C850B5">
      <w:pPr>
        <w:pStyle w:val="FootnoteText"/>
        <w:rPr>
          <w:sz w:val="18"/>
          <w:szCs w:val="18"/>
        </w:rPr>
      </w:pPr>
      <w:r w:rsidRPr="00443C31">
        <w:rPr>
          <w:rStyle w:val="FootnoteReference"/>
          <w:sz w:val="18"/>
          <w:szCs w:val="18"/>
        </w:rPr>
        <w:footnoteRef/>
      </w:r>
      <w:r w:rsidRPr="00443C31">
        <w:rPr>
          <w:sz w:val="18"/>
          <w:szCs w:val="18"/>
        </w:rPr>
        <w:t xml:space="preserve"> Commission Regulation (EU) 2022/1616 of 15 September 2022 on recycled plastic materials and articles intended to come into contact with foods, and repealing Regulation (EC) No 282/2008 (OJ L 243, 20.9.2022, p. 3, ELI: http://data.europa.eu/eli/reg/2022/1616/oj). </w:t>
      </w:r>
    </w:p>
  </w:footnote>
  <w:footnote w:id="174">
    <w:p w14:paraId="73D70400" w14:textId="62F924DB" w:rsidR="000F3479" w:rsidRPr="00167552" w:rsidRDefault="000F3479" w:rsidP="00A3193A">
      <w:pPr>
        <w:pStyle w:val="FootnoteText"/>
        <w:rPr>
          <w:sz w:val="18"/>
          <w:szCs w:val="18"/>
          <w:lang w:val="pt-PT"/>
        </w:rPr>
      </w:pPr>
      <w:r w:rsidRPr="00A3193A">
        <w:rPr>
          <w:rStyle w:val="FootnoteReference"/>
          <w:sz w:val="18"/>
          <w:szCs w:val="18"/>
        </w:rPr>
        <w:footnoteRef/>
      </w:r>
      <w:r w:rsidRPr="00A3193A">
        <w:rPr>
          <w:sz w:val="18"/>
          <w:szCs w:val="18"/>
          <w:lang w:val="en-US"/>
        </w:rPr>
        <w:t xml:space="preserve"> </w:t>
      </w:r>
      <w:r w:rsidR="004D0B3A" w:rsidRPr="00A3193A">
        <w:rPr>
          <w:rFonts w:eastAsia="Arial Narrow"/>
          <w:sz w:val="18"/>
          <w:szCs w:val="18"/>
          <w:lang w:val="en-US"/>
        </w:rPr>
        <w:t xml:space="preserve">Regulation (EC) No 1394/2007, OJ L 324, 10.12.2007, pp. 121–137. </w:t>
      </w:r>
      <w:r w:rsidR="004D0B3A" w:rsidRPr="00167552">
        <w:rPr>
          <w:rFonts w:eastAsia="Arial Narrow"/>
          <w:sz w:val="18"/>
          <w:szCs w:val="18"/>
          <w:lang w:val="pt-PT"/>
        </w:rPr>
        <w:t xml:space="preserve">ELI: </w:t>
      </w:r>
      <w:hyperlink r:id="rId103" w:tooltip="Gives access to this document through its ELI URI." w:history="1">
        <w:r w:rsidR="004D0B3A" w:rsidRPr="00167552">
          <w:rPr>
            <w:rStyle w:val="Hyperlink"/>
            <w:rFonts w:eastAsia="Arial Narrow"/>
            <w:sz w:val="18"/>
            <w:szCs w:val="18"/>
            <w:lang w:val="pt-PT"/>
          </w:rPr>
          <w:t>http://data.europa.eu/eli/reg/2007/1394/oj</w:t>
        </w:r>
      </w:hyperlink>
      <w:r w:rsidR="004D0B3A" w:rsidRPr="00167552">
        <w:rPr>
          <w:sz w:val="18"/>
          <w:szCs w:val="18"/>
          <w:lang w:val="pt-PT"/>
        </w:rPr>
        <w:t>.</w:t>
      </w:r>
      <w:r w:rsidR="004D0B3A" w:rsidRPr="00167552" w:rsidDel="004D0B3A">
        <w:rPr>
          <w:bCs/>
          <w:sz w:val="18"/>
          <w:szCs w:val="18"/>
          <w:lang w:val="pt-PT"/>
        </w:rPr>
        <w:t xml:space="preserve"> </w:t>
      </w:r>
    </w:p>
  </w:footnote>
  <w:footnote w:id="175">
    <w:p w14:paraId="1AC15F26" w14:textId="04E17CCB" w:rsidR="000F3479" w:rsidRPr="00EE09B6" w:rsidRDefault="000F3479" w:rsidP="00A3193A">
      <w:pPr>
        <w:pStyle w:val="FootnoteText"/>
        <w:rPr>
          <w:sz w:val="18"/>
          <w:szCs w:val="18"/>
          <w:lang w:val="it-IT"/>
        </w:rPr>
      </w:pPr>
      <w:r w:rsidRPr="00A3193A">
        <w:rPr>
          <w:rStyle w:val="FootnoteReference"/>
          <w:sz w:val="18"/>
          <w:szCs w:val="18"/>
        </w:rPr>
        <w:footnoteRef/>
      </w:r>
      <w:r w:rsidRPr="00167552">
        <w:rPr>
          <w:sz w:val="18"/>
          <w:szCs w:val="18"/>
          <w:lang w:val="pt-PT"/>
        </w:rPr>
        <w:t xml:space="preserve"> </w:t>
      </w:r>
      <w:r w:rsidR="00C50290" w:rsidRPr="00167552">
        <w:rPr>
          <w:rFonts w:eastAsia="Arial Narrow"/>
          <w:sz w:val="18"/>
          <w:szCs w:val="18"/>
          <w:lang w:val="pt-PT"/>
        </w:rPr>
        <w:t xml:space="preserve">Regulation (EU) No 536/2014, OJ L 158, 27.5.2014, pp. 1–76. </w:t>
      </w:r>
      <w:r w:rsidR="00C50290" w:rsidRPr="00EE09B6">
        <w:rPr>
          <w:rFonts w:eastAsia="Arial Narrow"/>
          <w:sz w:val="18"/>
          <w:szCs w:val="18"/>
          <w:lang w:val="it-IT"/>
        </w:rPr>
        <w:t xml:space="preserve">ELI: </w:t>
      </w:r>
      <w:hyperlink r:id="rId104" w:tooltip="Gives access to this document through its ELI URI." w:history="1">
        <w:r w:rsidR="00C50290" w:rsidRPr="00EE09B6">
          <w:rPr>
            <w:rStyle w:val="Hyperlink"/>
            <w:rFonts w:eastAsia="Arial Narrow"/>
            <w:sz w:val="18"/>
            <w:szCs w:val="18"/>
            <w:lang w:val="it-IT"/>
          </w:rPr>
          <w:t>http://data.europa.eu/eli/reg/2014/536/oj</w:t>
        </w:r>
      </w:hyperlink>
      <w:r w:rsidR="00C50290" w:rsidRPr="00EE09B6">
        <w:rPr>
          <w:sz w:val="18"/>
          <w:szCs w:val="18"/>
          <w:lang w:val="it-IT"/>
        </w:rPr>
        <w:t>.</w:t>
      </w:r>
    </w:p>
  </w:footnote>
  <w:footnote w:id="176">
    <w:p w14:paraId="5CE19ABE" w14:textId="77777777" w:rsidR="005E0D68" w:rsidRPr="00A3193A" w:rsidRDefault="005E0D68" w:rsidP="00A3193A">
      <w:pPr>
        <w:pStyle w:val="FootnoteText"/>
        <w:rPr>
          <w:sz w:val="18"/>
          <w:szCs w:val="18"/>
        </w:rPr>
      </w:pPr>
      <w:r w:rsidRPr="00A3193A">
        <w:rPr>
          <w:rStyle w:val="FootnoteReference"/>
          <w:sz w:val="18"/>
          <w:szCs w:val="18"/>
        </w:rPr>
        <w:footnoteRef/>
      </w:r>
      <w:r w:rsidRPr="00A3193A">
        <w:rPr>
          <w:sz w:val="18"/>
          <w:szCs w:val="18"/>
        </w:rPr>
        <w:t xml:space="preserve"> Substantial modifications as defined in the proposed amendments to Regulation (EU) No.536/2014, Art. 2 mean ‘</w:t>
      </w:r>
      <w:r w:rsidRPr="00A3193A">
        <w:rPr>
          <w:i/>
          <w:sz w:val="18"/>
          <w:szCs w:val="18"/>
        </w:rPr>
        <w:t>any change to any aspect of the clinical trial which is made after the notification of a decision referred to in Article 8 in at least one Member State concerned and which is likely to have a substantial impact on the safety or rights of the subject or on the reliability and robustness of data generated in the clinical tri</w:t>
      </w:r>
      <w:r w:rsidRPr="00501093">
        <w:rPr>
          <w:i/>
          <w:sz w:val="18"/>
          <w:szCs w:val="18"/>
        </w:rPr>
        <w:t>a</w:t>
      </w:r>
      <w:r w:rsidRPr="001546C6">
        <w:rPr>
          <w:i/>
          <w:sz w:val="18"/>
          <w:szCs w:val="18"/>
        </w:rPr>
        <w:t>l</w:t>
      </w:r>
      <w:r w:rsidRPr="00A3193A">
        <w:rPr>
          <w:sz w:val="18"/>
          <w:szCs w:val="18"/>
        </w:rPr>
        <w:t>.’</w:t>
      </w:r>
    </w:p>
  </w:footnote>
  <w:footnote w:id="177">
    <w:p w14:paraId="55FA4277" w14:textId="0B07C027" w:rsidR="005E0D68" w:rsidRPr="00A3193A" w:rsidRDefault="005E0D68" w:rsidP="00A3193A">
      <w:pPr>
        <w:pStyle w:val="FootnoteText"/>
        <w:rPr>
          <w:i/>
          <w:sz w:val="18"/>
          <w:szCs w:val="18"/>
        </w:rPr>
      </w:pPr>
      <w:r w:rsidRPr="00A3193A">
        <w:rPr>
          <w:rStyle w:val="FootnoteReference"/>
          <w:i/>
          <w:sz w:val="18"/>
          <w:szCs w:val="18"/>
        </w:rPr>
        <w:footnoteRef/>
      </w:r>
      <w:r w:rsidRPr="00A3193A">
        <w:rPr>
          <w:i/>
          <w:sz w:val="18"/>
          <w:szCs w:val="18"/>
        </w:rPr>
        <w:t xml:space="preserve"> </w:t>
      </w:r>
      <w:r w:rsidRPr="00A3193A">
        <w:rPr>
          <w:sz w:val="18"/>
          <w:szCs w:val="18"/>
        </w:rPr>
        <w:t>The application dossier for the authorisation of a clinical trial in the EU is split into Part I and Part II. Part I contains overarching scientific, medical, and technical information about the investigational medicinal product (IMP), the clinical trial design and participants’ safety. The RMS leads the assessment of Part I. Part II contains the national, ethical, and national information (e.g., informed consent, recruitment related information, site and investigator suitability, insurance) assessed separately by each Member State concerned.</w:t>
      </w:r>
    </w:p>
  </w:footnote>
  <w:footnote w:id="178">
    <w:p w14:paraId="7CD4A818" w14:textId="2648D9B2" w:rsidR="005E0D68" w:rsidRPr="00A3193A" w:rsidRDefault="005E0D68" w:rsidP="00A3193A">
      <w:pPr>
        <w:pStyle w:val="FootnoteText"/>
        <w:rPr>
          <w:sz w:val="18"/>
          <w:szCs w:val="18"/>
        </w:rPr>
      </w:pPr>
      <w:r w:rsidRPr="00A3193A">
        <w:rPr>
          <w:rStyle w:val="FootnoteReference"/>
          <w:sz w:val="18"/>
          <w:szCs w:val="18"/>
        </w:rPr>
        <w:footnoteRef/>
      </w:r>
      <w:r w:rsidRPr="00A3193A">
        <w:rPr>
          <w:sz w:val="18"/>
          <w:szCs w:val="18"/>
        </w:rPr>
        <w:t xml:space="preserve"> In accordance with Article 23 of Regulation (EU) 2022/2371</w:t>
      </w:r>
      <w:r w:rsidR="00A15259" w:rsidRPr="00A3193A">
        <w:rPr>
          <w:sz w:val="18"/>
          <w:szCs w:val="18"/>
        </w:rPr>
        <w:t xml:space="preserve"> (see footnote </w:t>
      </w:r>
      <w:r w:rsidR="00B8208B">
        <w:rPr>
          <w:sz w:val="18"/>
          <w:szCs w:val="18"/>
        </w:rPr>
        <w:t>40</w:t>
      </w:r>
      <w:r w:rsidR="00A15259" w:rsidRPr="00A3193A">
        <w:rPr>
          <w:sz w:val="18"/>
          <w:szCs w:val="18"/>
        </w:rPr>
        <w:t xml:space="preserve">, page </w:t>
      </w:r>
      <w:r w:rsidR="00B8208B">
        <w:rPr>
          <w:sz w:val="18"/>
          <w:szCs w:val="18"/>
        </w:rPr>
        <w:t>9</w:t>
      </w:r>
      <w:r w:rsidR="00A15259" w:rsidRPr="00A3193A">
        <w:rPr>
          <w:sz w:val="18"/>
          <w:szCs w:val="18"/>
        </w:rPr>
        <w:t>).</w:t>
      </w:r>
    </w:p>
  </w:footnote>
  <w:footnote w:id="179">
    <w:p w14:paraId="650AE195" w14:textId="1113B8F2" w:rsidR="3A76C65A" w:rsidRPr="004E5F4D" w:rsidRDefault="3A76C65A" w:rsidP="004E5F4D">
      <w:pPr>
        <w:spacing w:after="0"/>
        <w:rPr>
          <w:sz w:val="18"/>
          <w:szCs w:val="18"/>
        </w:rPr>
      </w:pPr>
      <w:r w:rsidRPr="004E5F4D">
        <w:rPr>
          <w:color w:val="000000" w:themeColor="text1"/>
          <w:sz w:val="18"/>
          <w:szCs w:val="18"/>
          <w:vertAlign w:val="superscript"/>
        </w:rPr>
        <w:footnoteRef/>
      </w:r>
      <w:r w:rsidR="010FE614" w:rsidRPr="004E5F4D">
        <w:rPr>
          <w:color w:val="000000" w:themeColor="text1"/>
          <w:sz w:val="18"/>
          <w:szCs w:val="18"/>
        </w:rPr>
        <w:t xml:space="preserve"> </w:t>
      </w:r>
      <w:r w:rsidR="00153DD8" w:rsidRPr="00153DD8">
        <w:rPr>
          <w:i/>
          <w:iCs/>
          <w:color w:val="000000" w:themeColor="text1"/>
          <w:sz w:val="18"/>
          <w:szCs w:val="18"/>
        </w:rPr>
        <w:t>Regulatory Framework Study</w:t>
      </w:r>
      <w:r w:rsidR="00153DD8">
        <w:rPr>
          <w:i/>
          <w:iCs/>
          <w:color w:val="000000" w:themeColor="text1"/>
          <w:sz w:val="18"/>
          <w:szCs w:val="18"/>
        </w:rPr>
        <w:t xml:space="preserve"> (</w:t>
      </w:r>
      <w:r w:rsidR="00153DD8" w:rsidRPr="00153DD8">
        <w:rPr>
          <w:i/>
          <w:iCs/>
          <w:color w:val="000000" w:themeColor="text1"/>
          <w:sz w:val="18"/>
          <w:szCs w:val="18"/>
        </w:rPr>
        <w:t>forthcoming</w:t>
      </w:r>
      <w:r w:rsidR="00153DD8">
        <w:rPr>
          <w:i/>
          <w:iCs/>
          <w:color w:val="000000" w:themeColor="text1"/>
          <w:sz w:val="18"/>
          <w:szCs w:val="18"/>
        </w:rPr>
        <w:t>)</w:t>
      </w:r>
    </w:p>
  </w:footnote>
  <w:footnote w:id="180">
    <w:p w14:paraId="137AE1F4" w14:textId="739329A4" w:rsidR="3A76C65A" w:rsidRPr="00344F4D" w:rsidRDefault="3A76C65A" w:rsidP="00A3193A">
      <w:pPr>
        <w:spacing w:after="0"/>
        <w:rPr>
          <w:rFonts w:eastAsia="Times New Roman"/>
          <w:sz w:val="18"/>
          <w:szCs w:val="18"/>
          <w:lang w:val="en-US"/>
        </w:rPr>
      </w:pPr>
      <w:r w:rsidRPr="00344F4D">
        <w:rPr>
          <w:sz w:val="18"/>
          <w:szCs w:val="18"/>
          <w:vertAlign w:val="superscript"/>
        </w:rPr>
        <w:footnoteRef/>
      </w:r>
      <w:r w:rsidRPr="00344F4D">
        <w:rPr>
          <w:sz w:val="18"/>
          <w:szCs w:val="18"/>
        </w:rPr>
        <w:t xml:space="preserve"> </w:t>
      </w:r>
      <w:r w:rsidRPr="00344F4D">
        <w:rPr>
          <w:rFonts w:eastAsia="Times New Roman"/>
          <w:sz w:val="18"/>
          <w:szCs w:val="18"/>
          <w:lang w:val="en-US"/>
        </w:rPr>
        <w:t>Between January 2022 and December 2025, on average 2,484 new trial applications were submitted per year. This includes the transition period to the Clinical Trial Regulation which went from 31 January 2022 to 31 January 2025.</w:t>
      </w:r>
      <w:r w:rsidR="77AD9B40" w:rsidRPr="00344F4D">
        <w:rPr>
          <w:rFonts w:eastAsia="Times New Roman"/>
          <w:sz w:val="18"/>
          <w:szCs w:val="18"/>
          <w:lang w:val="en-US"/>
        </w:rPr>
        <w:t xml:space="preserve"> Source: </w:t>
      </w:r>
      <w:hyperlink r:id="rId105" w:history="1">
        <w:r w:rsidR="77AD9B40" w:rsidRPr="00344F4D">
          <w:rPr>
            <w:rStyle w:val="Hyperlink"/>
            <w:rFonts w:eastAsia="Times New Roman"/>
            <w:sz w:val="18"/>
            <w:szCs w:val="18"/>
            <w:lang w:val="en-US"/>
          </w:rPr>
          <w:t>EU clinical trials during the 3-year CTR transition period</w:t>
        </w:r>
      </w:hyperlink>
      <w:r w:rsidR="000862B9">
        <w:t>.</w:t>
      </w:r>
    </w:p>
  </w:footnote>
  <w:footnote w:id="181">
    <w:p w14:paraId="69069AEA" w14:textId="7F15BFF2" w:rsidR="00677F74" w:rsidRPr="00A3193A" w:rsidRDefault="00677F74" w:rsidP="00A3193A">
      <w:pPr>
        <w:pStyle w:val="FootnoteText"/>
        <w:spacing w:line="0" w:lineRule="atLeast"/>
        <w:contextualSpacing/>
        <w:rPr>
          <w:sz w:val="18"/>
          <w:szCs w:val="18"/>
        </w:rPr>
      </w:pPr>
      <w:r w:rsidRPr="00A3193A">
        <w:rPr>
          <w:rStyle w:val="FootnoteReference"/>
          <w:sz w:val="18"/>
          <w:szCs w:val="18"/>
        </w:rPr>
        <w:footnoteRef/>
      </w:r>
      <w:r w:rsidRPr="00A3193A">
        <w:rPr>
          <w:sz w:val="18"/>
          <w:szCs w:val="18"/>
        </w:rPr>
        <w:t xml:space="preserve"> A survey with 48 sponsors, among those commercial sponsors, was conducted. It is to note that not all respondents replied all questions. For further information, see</w:t>
      </w:r>
      <w:r w:rsidR="002F4755">
        <w:rPr>
          <w:sz w:val="18"/>
          <w:szCs w:val="18"/>
        </w:rPr>
        <w:t xml:space="preserve"> </w:t>
      </w:r>
      <w:r w:rsidR="004A3014" w:rsidRPr="00153DD8">
        <w:rPr>
          <w:i/>
          <w:iCs/>
          <w:color w:val="000000" w:themeColor="text1"/>
          <w:sz w:val="18"/>
          <w:szCs w:val="18"/>
        </w:rPr>
        <w:t>Regulatory Framework Study</w:t>
      </w:r>
      <w:r w:rsidR="004A3014">
        <w:rPr>
          <w:i/>
          <w:iCs/>
          <w:color w:val="000000" w:themeColor="text1"/>
          <w:sz w:val="18"/>
          <w:szCs w:val="18"/>
        </w:rPr>
        <w:t xml:space="preserve"> (</w:t>
      </w:r>
      <w:r w:rsidR="004A3014" w:rsidRPr="00153DD8">
        <w:rPr>
          <w:i/>
          <w:iCs/>
          <w:color w:val="000000" w:themeColor="text1"/>
          <w:sz w:val="18"/>
          <w:szCs w:val="18"/>
        </w:rPr>
        <w:t>forthcoming</w:t>
      </w:r>
      <w:r w:rsidR="004A3014">
        <w:rPr>
          <w:i/>
          <w:iCs/>
          <w:color w:val="000000" w:themeColor="text1"/>
          <w:sz w:val="18"/>
          <w:szCs w:val="18"/>
        </w:rPr>
        <w:t>)</w:t>
      </w:r>
      <w:r w:rsidRPr="00A3193A">
        <w:rPr>
          <w:sz w:val="18"/>
          <w:szCs w:val="18"/>
        </w:rPr>
        <w:t xml:space="preserve"> </w:t>
      </w:r>
    </w:p>
  </w:footnote>
  <w:footnote w:id="182">
    <w:p w14:paraId="3D7204B6" w14:textId="5750B523" w:rsidR="00677F74" w:rsidRPr="00A3193A" w:rsidRDefault="00677F74" w:rsidP="00A3193A">
      <w:pPr>
        <w:spacing w:after="0" w:line="0" w:lineRule="atLeast"/>
        <w:contextualSpacing/>
        <w:rPr>
          <w:sz w:val="18"/>
          <w:szCs w:val="18"/>
        </w:rPr>
      </w:pPr>
      <w:r w:rsidRPr="00A3193A">
        <w:rPr>
          <w:rStyle w:val="FootnoteReference"/>
          <w:sz w:val="18"/>
          <w:szCs w:val="18"/>
        </w:rPr>
        <w:footnoteRef/>
      </w:r>
      <w:r w:rsidRPr="00A3193A">
        <w:rPr>
          <w:sz w:val="18"/>
          <w:szCs w:val="18"/>
        </w:rPr>
        <w:t xml:space="preserve"> In the survey, sponsors were asked to assess the impact of selected policies individually on the expected change in clinical trials. For the policies comparably to the changes included in the proposal of the Bio</w:t>
      </w:r>
      <w:r w:rsidR="00167BAB">
        <w:rPr>
          <w:sz w:val="18"/>
          <w:szCs w:val="18"/>
        </w:rPr>
        <w:t>t</w:t>
      </w:r>
      <w:r w:rsidRPr="00A3193A">
        <w:rPr>
          <w:sz w:val="18"/>
          <w:szCs w:val="18"/>
        </w:rPr>
        <w:t>ech Act the impact of the single measure lies between 5</w:t>
      </w:r>
      <w:r w:rsidR="00405618">
        <w:rPr>
          <w:sz w:val="18"/>
          <w:szCs w:val="18"/>
        </w:rPr>
        <w:t>%</w:t>
      </w:r>
      <w:r w:rsidRPr="00A3193A">
        <w:rPr>
          <w:sz w:val="18"/>
          <w:szCs w:val="18"/>
        </w:rPr>
        <w:t xml:space="preserve"> and 28</w:t>
      </w:r>
      <w:r w:rsidR="00405618">
        <w:rPr>
          <w:sz w:val="18"/>
          <w:szCs w:val="18"/>
        </w:rPr>
        <w:t>%</w:t>
      </w:r>
      <w:r w:rsidRPr="00A3193A">
        <w:rPr>
          <w:sz w:val="18"/>
          <w:szCs w:val="18"/>
        </w:rPr>
        <w:t>. It is to note that the survey replies are subjective assessment from the respondents considering the difficulties that come along with projecting the future. Nevertheless, these figures can be used as indicative evidence.</w:t>
      </w:r>
      <w:r w:rsidR="00214BBE">
        <w:rPr>
          <w:sz w:val="18"/>
          <w:szCs w:val="18"/>
        </w:rPr>
        <w:t xml:space="preserve"> For further information see </w:t>
      </w:r>
      <w:r w:rsidR="00214BBE" w:rsidRPr="00153DD8">
        <w:rPr>
          <w:i/>
          <w:iCs/>
          <w:color w:val="000000" w:themeColor="text1"/>
          <w:sz w:val="18"/>
          <w:szCs w:val="18"/>
        </w:rPr>
        <w:t>Regulatory Framework Study</w:t>
      </w:r>
      <w:r w:rsidR="00214BBE">
        <w:rPr>
          <w:i/>
          <w:iCs/>
          <w:color w:val="000000" w:themeColor="text1"/>
          <w:sz w:val="18"/>
          <w:szCs w:val="18"/>
        </w:rPr>
        <w:t xml:space="preserve"> (</w:t>
      </w:r>
      <w:r w:rsidR="00214BBE" w:rsidRPr="00153DD8">
        <w:rPr>
          <w:i/>
          <w:iCs/>
          <w:color w:val="000000" w:themeColor="text1"/>
          <w:sz w:val="18"/>
          <w:szCs w:val="18"/>
        </w:rPr>
        <w:t>forthcoming</w:t>
      </w:r>
      <w:r w:rsidR="00214BBE">
        <w:rPr>
          <w:i/>
          <w:iCs/>
          <w:color w:val="000000" w:themeColor="text1"/>
          <w:sz w:val="18"/>
          <w:szCs w:val="18"/>
        </w:rPr>
        <w:t>).</w:t>
      </w:r>
    </w:p>
  </w:footnote>
  <w:footnote w:id="183">
    <w:p w14:paraId="2BCAA50F" w14:textId="050BA708" w:rsidR="004A27A0" w:rsidRPr="005E3DBF" w:rsidRDefault="004A27A0" w:rsidP="00A3193A">
      <w:pPr>
        <w:pStyle w:val="FootnoteText"/>
        <w:rPr>
          <w:sz w:val="18"/>
          <w:szCs w:val="18"/>
          <w:lang w:val="en-US"/>
        </w:rPr>
      </w:pPr>
      <w:r w:rsidRPr="00A3193A">
        <w:rPr>
          <w:rStyle w:val="FootnoteReference"/>
          <w:sz w:val="18"/>
          <w:szCs w:val="18"/>
        </w:rPr>
        <w:footnoteRef/>
      </w:r>
      <w:r w:rsidRPr="00A3193A">
        <w:rPr>
          <w:sz w:val="18"/>
          <w:szCs w:val="18"/>
        </w:rPr>
        <w:t xml:space="preserve"> </w:t>
      </w:r>
      <w:r w:rsidR="00E16C50" w:rsidRPr="003F6E36">
        <w:rPr>
          <w:i/>
          <w:iCs/>
          <w:sz w:val="18"/>
          <w:szCs w:val="18"/>
          <w:lang w:val="en-US"/>
        </w:rPr>
        <w:t>Rapid Assessment Scenario Study</w:t>
      </w:r>
      <w:r w:rsidR="00E16C50" w:rsidRPr="003F6E36" w:rsidDel="0090168D">
        <w:rPr>
          <w:i/>
          <w:iCs/>
          <w:sz w:val="18"/>
          <w:szCs w:val="18"/>
        </w:rPr>
        <w:t xml:space="preserve"> </w:t>
      </w:r>
      <w:r w:rsidR="00CE20AE" w:rsidRPr="003F6E36">
        <w:rPr>
          <w:i/>
          <w:iCs/>
          <w:sz w:val="18"/>
          <w:szCs w:val="18"/>
        </w:rPr>
        <w:t>(forthcoming)</w:t>
      </w:r>
      <w:r w:rsidR="00EE09B6" w:rsidRPr="003F6E36">
        <w:rPr>
          <w:i/>
          <w:iCs/>
          <w:sz w:val="18"/>
          <w:szCs w:val="18"/>
        </w:rPr>
        <w:t>.</w:t>
      </w:r>
      <w:r w:rsidR="00C81CA8" w:rsidRPr="005E2A00">
        <w:rPr>
          <w:sz w:val="18"/>
          <w:szCs w:val="18"/>
        </w:rPr>
        <w:t xml:space="preserve"> </w:t>
      </w:r>
      <w:r w:rsidR="00AD1BF6" w:rsidRPr="00E73F24">
        <w:rPr>
          <w:sz w:val="18"/>
          <w:szCs w:val="18"/>
          <w:lang w:val="en-US"/>
        </w:rPr>
        <w:t>The study</w:t>
      </w:r>
      <w:r w:rsidR="0047795B" w:rsidRPr="00963D4D">
        <w:rPr>
          <w:sz w:val="18"/>
          <w:szCs w:val="18"/>
          <w:lang w:val="en-US"/>
        </w:rPr>
        <w:t>,</w:t>
      </w:r>
      <w:r w:rsidR="00AD1BF6" w:rsidRPr="00D54E5B">
        <w:rPr>
          <w:sz w:val="18"/>
          <w:szCs w:val="18"/>
          <w:lang w:val="en-US"/>
        </w:rPr>
        <w:t xml:space="preserve"> based on limited</w:t>
      </w:r>
      <w:r w:rsidR="00AD1BF6" w:rsidRPr="00550B61">
        <w:rPr>
          <w:sz w:val="18"/>
          <w:szCs w:val="18"/>
          <w:lang w:val="en-US"/>
        </w:rPr>
        <w:t xml:space="preserve"> </w:t>
      </w:r>
      <w:r w:rsidR="00373D3F">
        <w:rPr>
          <w:sz w:val="18"/>
          <w:szCs w:val="18"/>
          <w:lang w:val="en-US"/>
        </w:rPr>
        <w:t xml:space="preserve">empirical </w:t>
      </w:r>
      <w:r w:rsidR="00AD1BF6" w:rsidRPr="00F37494">
        <w:rPr>
          <w:sz w:val="18"/>
          <w:szCs w:val="18"/>
          <w:lang w:val="en-US"/>
        </w:rPr>
        <w:t>evidence</w:t>
      </w:r>
      <w:r w:rsidR="0047795B" w:rsidRPr="00F37494">
        <w:rPr>
          <w:sz w:val="18"/>
          <w:szCs w:val="18"/>
          <w:lang w:val="en-US"/>
        </w:rPr>
        <w:t>,</w:t>
      </w:r>
      <w:r w:rsidR="00C81CA8" w:rsidRPr="005E2A00">
        <w:rPr>
          <w:sz w:val="18"/>
          <w:szCs w:val="18"/>
        </w:rPr>
        <w:t xml:space="preserve"> </w:t>
      </w:r>
      <w:r w:rsidR="001F4793" w:rsidRPr="00E73F24">
        <w:rPr>
          <w:sz w:val="18"/>
          <w:szCs w:val="18"/>
        </w:rPr>
        <w:t>di</w:t>
      </w:r>
      <w:r w:rsidR="00CB2CB7" w:rsidRPr="00963D4D">
        <w:rPr>
          <w:sz w:val="18"/>
          <w:szCs w:val="18"/>
        </w:rPr>
        <w:t>stinguishes</w:t>
      </w:r>
      <w:r w:rsidR="001F4793" w:rsidRPr="00D54E5B">
        <w:rPr>
          <w:sz w:val="18"/>
          <w:szCs w:val="18"/>
        </w:rPr>
        <w:t xml:space="preserve"> between two hypothetical scenarios </w:t>
      </w:r>
      <w:r w:rsidR="00CB2CB7" w:rsidRPr="00550B61">
        <w:rPr>
          <w:sz w:val="18"/>
          <w:szCs w:val="18"/>
        </w:rPr>
        <w:t>regarding</w:t>
      </w:r>
      <w:r w:rsidR="001F4793" w:rsidRPr="00F23BB1">
        <w:rPr>
          <w:sz w:val="18"/>
          <w:szCs w:val="18"/>
        </w:rPr>
        <w:t xml:space="preserve"> the </w:t>
      </w:r>
      <w:r w:rsidR="001F4793" w:rsidRPr="00EC2D70">
        <w:rPr>
          <w:sz w:val="18"/>
          <w:szCs w:val="18"/>
        </w:rPr>
        <w:t>po</w:t>
      </w:r>
      <w:r w:rsidR="00CB2CB7" w:rsidRPr="00994B01">
        <w:rPr>
          <w:sz w:val="18"/>
          <w:szCs w:val="18"/>
        </w:rPr>
        <w:t>tential</w:t>
      </w:r>
      <w:r w:rsidR="001F4793" w:rsidRPr="00994B01">
        <w:rPr>
          <w:sz w:val="18"/>
          <w:szCs w:val="18"/>
        </w:rPr>
        <w:t xml:space="preserve"> </w:t>
      </w:r>
      <w:r w:rsidR="0033386A" w:rsidRPr="00994B01">
        <w:rPr>
          <w:sz w:val="18"/>
          <w:szCs w:val="18"/>
        </w:rPr>
        <w:t>impact of the BioTech Act on</w:t>
      </w:r>
      <w:r w:rsidR="001F4793" w:rsidRPr="00994B01">
        <w:rPr>
          <w:sz w:val="18"/>
          <w:szCs w:val="18"/>
        </w:rPr>
        <w:t xml:space="preserve"> the</w:t>
      </w:r>
      <w:r w:rsidR="0093279B" w:rsidRPr="00994B01">
        <w:rPr>
          <w:sz w:val="18"/>
          <w:szCs w:val="18"/>
        </w:rPr>
        <w:t xml:space="preserve"> projected</w:t>
      </w:r>
      <w:r w:rsidR="001F4793" w:rsidRPr="00994B01">
        <w:rPr>
          <w:sz w:val="18"/>
          <w:szCs w:val="18"/>
        </w:rPr>
        <w:t xml:space="preserve"> number of clinical trials</w:t>
      </w:r>
      <w:r w:rsidR="0033386A" w:rsidRPr="00994B01">
        <w:rPr>
          <w:sz w:val="18"/>
          <w:szCs w:val="18"/>
        </w:rPr>
        <w:t xml:space="preserve"> in the EU</w:t>
      </w:r>
      <w:r w:rsidR="00B038CC" w:rsidRPr="00994B01">
        <w:rPr>
          <w:sz w:val="18"/>
          <w:szCs w:val="18"/>
        </w:rPr>
        <w:t>.</w:t>
      </w:r>
      <w:r w:rsidR="0033386A" w:rsidRPr="00994B01">
        <w:rPr>
          <w:sz w:val="18"/>
          <w:szCs w:val="18"/>
        </w:rPr>
        <w:t xml:space="preserve"> </w:t>
      </w:r>
      <w:r w:rsidR="00DF78AC" w:rsidRPr="00994B01">
        <w:rPr>
          <w:sz w:val="18"/>
          <w:szCs w:val="18"/>
        </w:rPr>
        <w:t>In the</w:t>
      </w:r>
      <w:r w:rsidR="0033386A" w:rsidRPr="00994B01">
        <w:rPr>
          <w:sz w:val="18"/>
          <w:szCs w:val="18"/>
        </w:rPr>
        <w:t xml:space="preserve"> first scenario</w:t>
      </w:r>
      <w:r w:rsidR="00DF78AC" w:rsidRPr="00994B01">
        <w:rPr>
          <w:sz w:val="18"/>
          <w:szCs w:val="18"/>
        </w:rPr>
        <w:t>,</w:t>
      </w:r>
      <w:r w:rsidR="0093279B" w:rsidRPr="00994B01">
        <w:rPr>
          <w:sz w:val="18"/>
          <w:szCs w:val="18"/>
        </w:rPr>
        <w:t xml:space="preserve"> a</w:t>
      </w:r>
      <w:r w:rsidR="00151372" w:rsidRPr="00994B01">
        <w:rPr>
          <w:sz w:val="18"/>
          <w:szCs w:val="18"/>
        </w:rPr>
        <w:t xml:space="preserve"> moderate</w:t>
      </w:r>
      <w:r w:rsidR="0093279B" w:rsidRPr="00994B01">
        <w:rPr>
          <w:sz w:val="18"/>
          <w:szCs w:val="18"/>
        </w:rPr>
        <w:t xml:space="preserve"> increase </w:t>
      </w:r>
      <w:r w:rsidR="00B038CC" w:rsidRPr="00994B01">
        <w:rPr>
          <w:sz w:val="18"/>
          <w:szCs w:val="18"/>
        </w:rPr>
        <w:t>in</w:t>
      </w:r>
      <w:r w:rsidR="0093279B" w:rsidRPr="00994B01">
        <w:rPr>
          <w:sz w:val="18"/>
          <w:szCs w:val="18"/>
        </w:rPr>
        <w:t xml:space="preserve"> the number of clinical trials </w:t>
      </w:r>
      <w:r w:rsidR="00AB15DC">
        <w:rPr>
          <w:sz w:val="18"/>
          <w:szCs w:val="18"/>
        </w:rPr>
        <w:t>by</w:t>
      </w:r>
      <w:r w:rsidR="0093279B" w:rsidRPr="00994B01">
        <w:rPr>
          <w:sz w:val="18"/>
          <w:szCs w:val="18"/>
        </w:rPr>
        <w:t xml:space="preserve"> 4</w:t>
      </w:r>
      <w:r w:rsidR="00405618">
        <w:rPr>
          <w:sz w:val="18"/>
          <w:szCs w:val="18"/>
        </w:rPr>
        <w:t>%</w:t>
      </w:r>
      <w:r w:rsidR="0093279B" w:rsidRPr="00994B01">
        <w:rPr>
          <w:sz w:val="18"/>
          <w:szCs w:val="18"/>
        </w:rPr>
        <w:t xml:space="preserve"> to 8%</w:t>
      </w:r>
      <w:r w:rsidR="00BE469F" w:rsidRPr="00994B01">
        <w:rPr>
          <w:sz w:val="18"/>
          <w:szCs w:val="18"/>
        </w:rPr>
        <w:t xml:space="preserve"> is anticipated.</w:t>
      </w:r>
      <w:r w:rsidR="003E7C8B" w:rsidRPr="00994B01">
        <w:rPr>
          <w:sz w:val="18"/>
          <w:szCs w:val="18"/>
        </w:rPr>
        <w:t xml:space="preserve"> </w:t>
      </w:r>
      <w:r w:rsidR="00BE469F" w:rsidRPr="005E3DBF">
        <w:rPr>
          <w:sz w:val="18"/>
          <w:szCs w:val="18"/>
          <w:lang w:val="en-US"/>
        </w:rPr>
        <w:t>This is attributed to</w:t>
      </w:r>
      <w:r w:rsidR="003E7C8B" w:rsidRPr="005E3DBF">
        <w:rPr>
          <w:sz w:val="18"/>
          <w:szCs w:val="18"/>
          <w:lang w:val="en-US"/>
        </w:rPr>
        <w:t xml:space="preserve"> </w:t>
      </w:r>
      <w:r w:rsidR="00BE469F" w:rsidRPr="005E3DBF">
        <w:rPr>
          <w:sz w:val="18"/>
          <w:szCs w:val="18"/>
          <w:lang w:val="en-US"/>
        </w:rPr>
        <w:t>improved</w:t>
      </w:r>
      <w:r w:rsidR="003E7C8B" w:rsidRPr="005E3DBF">
        <w:rPr>
          <w:sz w:val="18"/>
          <w:szCs w:val="18"/>
          <w:lang w:val="en-US"/>
        </w:rPr>
        <w:t xml:space="preserve"> efficacy and attractiveness of performing clinical trials in </w:t>
      </w:r>
      <w:r w:rsidR="00AB15DC" w:rsidRPr="0040332C">
        <w:rPr>
          <w:sz w:val="18"/>
          <w:szCs w:val="18"/>
          <w:lang w:val="en-US"/>
        </w:rPr>
        <w:t>the EU</w:t>
      </w:r>
      <w:r w:rsidR="00482FF9" w:rsidRPr="005E3DBF">
        <w:rPr>
          <w:sz w:val="18"/>
          <w:szCs w:val="18"/>
          <w:lang w:val="en-US"/>
        </w:rPr>
        <w:t>, driven by increased domestic uptake among sponsors already operating within the region.</w:t>
      </w:r>
      <w:r w:rsidR="003E7C8B" w:rsidRPr="005E3DBF">
        <w:rPr>
          <w:sz w:val="18"/>
          <w:szCs w:val="18"/>
          <w:lang w:val="en-US"/>
        </w:rPr>
        <w:t xml:space="preserve"> </w:t>
      </w:r>
      <w:r w:rsidR="000D2E4F" w:rsidRPr="000D2E4F">
        <w:rPr>
          <w:sz w:val="18"/>
          <w:szCs w:val="18"/>
          <w:lang w:val="en-US"/>
        </w:rPr>
        <w:t>The second scenario assumes that, in addition to increased domestic uptake, sponsors relocate clinical trial activities from other regions to the EU/EEA as a result of the reforms in the Biotech Act, leading to an estimated increase of</w:t>
      </w:r>
      <w:r w:rsidR="00013EB5">
        <w:rPr>
          <w:sz w:val="18"/>
          <w:szCs w:val="18"/>
          <w:lang w:val="en-US"/>
        </w:rPr>
        <w:t xml:space="preserve"> </w:t>
      </w:r>
      <w:r w:rsidR="000D2E4F" w:rsidRPr="000D2E4F">
        <w:rPr>
          <w:sz w:val="18"/>
          <w:szCs w:val="18"/>
          <w:lang w:val="en-US"/>
        </w:rPr>
        <w:t>8% to 16%.</w:t>
      </w:r>
      <w:r w:rsidR="003F6E36">
        <w:rPr>
          <w:sz w:val="18"/>
          <w:szCs w:val="18"/>
          <w:lang w:val="en-US"/>
        </w:rPr>
        <w:t xml:space="preserve"> </w:t>
      </w:r>
      <w:r w:rsidR="004C2C5C" w:rsidRPr="00EC2D70">
        <w:rPr>
          <w:sz w:val="18"/>
          <w:szCs w:val="18"/>
          <w:lang w:val="en-US"/>
        </w:rPr>
        <w:t xml:space="preserve">As the Biotech Act is expected to </w:t>
      </w:r>
      <w:r w:rsidR="00B75973">
        <w:rPr>
          <w:sz w:val="18"/>
          <w:szCs w:val="18"/>
          <w:lang w:val="en-US"/>
        </w:rPr>
        <w:t>simplify authorisation processes and the conduct of trials for sponsors</w:t>
      </w:r>
      <w:r w:rsidR="004C2C5C" w:rsidRPr="00EC2D70">
        <w:rPr>
          <w:sz w:val="18"/>
          <w:szCs w:val="18"/>
          <w:lang w:val="en-US"/>
        </w:rPr>
        <w:t xml:space="preserve">, </w:t>
      </w:r>
      <w:r w:rsidR="00B75973">
        <w:rPr>
          <w:sz w:val="18"/>
          <w:szCs w:val="18"/>
          <w:lang w:val="en-US"/>
        </w:rPr>
        <w:t xml:space="preserve">it is considered plausible that some sponsors may relocate their clinical trials to the </w:t>
      </w:r>
      <w:r w:rsidR="009E0149">
        <w:rPr>
          <w:sz w:val="18"/>
          <w:szCs w:val="18"/>
          <w:lang w:val="en-US"/>
        </w:rPr>
        <w:t>EU following the amendments of the Regulation</w:t>
      </w:r>
      <w:r w:rsidR="00B75973">
        <w:rPr>
          <w:sz w:val="18"/>
          <w:szCs w:val="18"/>
          <w:lang w:val="en-US"/>
        </w:rPr>
        <w:t xml:space="preserve">. Therefore, </w:t>
      </w:r>
      <w:r w:rsidR="004C2C5C" w:rsidRPr="00EC2D70">
        <w:rPr>
          <w:sz w:val="18"/>
          <w:szCs w:val="18"/>
          <w:lang w:val="en-US"/>
        </w:rPr>
        <w:t xml:space="preserve">the average of </w:t>
      </w:r>
      <w:r w:rsidR="006619BE">
        <w:rPr>
          <w:sz w:val="18"/>
          <w:szCs w:val="18"/>
          <w:lang w:val="en-US"/>
        </w:rPr>
        <w:t xml:space="preserve">both </w:t>
      </w:r>
      <w:r w:rsidR="004C2C5C" w:rsidRPr="00994B01">
        <w:rPr>
          <w:sz w:val="18"/>
          <w:szCs w:val="18"/>
          <w:lang w:val="en-US"/>
        </w:rPr>
        <w:t>scenario</w:t>
      </w:r>
      <w:r w:rsidR="006619BE">
        <w:rPr>
          <w:sz w:val="18"/>
          <w:szCs w:val="18"/>
          <w:lang w:val="en-US"/>
        </w:rPr>
        <w:t>s</w:t>
      </w:r>
      <w:r w:rsidR="004C2C5C" w:rsidRPr="00994B01">
        <w:rPr>
          <w:sz w:val="18"/>
          <w:szCs w:val="18"/>
          <w:lang w:val="en-US"/>
        </w:rPr>
        <w:t xml:space="preserve"> is used as a benchmark for the lower bound. </w:t>
      </w:r>
    </w:p>
  </w:footnote>
  <w:footnote w:id="184">
    <w:p w14:paraId="3DD8ED14" w14:textId="2B1389BE" w:rsidR="6B910483" w:rsidRPr="005E3DBF" w:rsidRDefault="6B910483" w:rsidP="004A088F">
      <w:pPr>
        <w:tabs>
          <w:tab w:val="left" w:pos="4536"/>
        </w:tabs>
        <w:spacing w:after="0"/>
        <w:rPr>
          <w:rFonts w:eastAsia="Arial"/>
          <w:color w:val="FFFFFF" w:themeColor="background1"/>
          <w:sz w:val="18"/>
          <w:szCs w:val="18"/>
        </w:rPr>
      </w:pPr>
      <w:r w:rsidRPr="009366AD">
        <w:rPr>
          <w:sz w:val="14"/>
          <w:szCs w:val="14"/>
        </w:rPr>
        <w:footnoteRef/>
      </w:r>
      <w:r w:rsidRPr="005E3DBF">
        <w:rPr>
          <w:sz w:val="18"/>
          <w:szCs w:val="18"/>
        </w:rPr>
        <w:t xml:space="preserve"> </w:t>
      </w:r>
      <w:r w:rsidR="439DD1F1" w:rsidRPr="439DD1F1">
        <w:rPr>
          <w:sz w:val="18"/>
          <w:szCs w:val="18"/>
        </w:rPr>
        <w:t>Stud</w:t>
      </w:r>
      <w:r w:rsidR="004A088F">
        <w:rPr>
          <w:sz w:val="18"/>
          <w:szCs w:val="18"/>
        </w:rPr>
        <w:t>ies</w:t>
      </w:r>
      <w:r w:rsidR="00060CC9">
        <w:rPr>
          <w:sz w:val="18"/>
          <w:szCs w:val="18"/>
        </w:rPr>
        <w:t xml:space="preserve"> </w:t>
      </w:r>
      <w:r w:rsidR="00060CC9" w:rsidRPr="00060CC9">
        <w:rPr>
          <w:i/>
          <w:iCs/>
          <w:sz w:val="18"/>
          <w:szCs w:val="18"/>
        </w:rPr>
        <w:t>Regulatory Framework Study </w:t>
      </w:r>
      <w:r w:rsidR="00060CC9">
        <w:rPr>
          <w:i/>
          <w:iCs/>
          <w:sz w:val="18"/>
          <w:szCs w:val="18"/>
        </w:rPr>
        <w:t>(</w:t>
      </w:r>
      <w:r w:rsidR="00060CC9" w:rsidRPr="00060CC9">
        <w:rPr>
          <w:i/>
          <w:iCs/>
          <w:sz w:val="18"/>
          <w:szCs w:val="18"/>
        </w:rPr>
        <w:t>forthcoming</w:t>
      </w:r>
      <w:r w:rsidR="00060CC9">
        <w:rPr>
          <w:i/>
          <w:iCs/>
          <w:sz w:val="18"/>
          <w:szCs w:val="18"/>
        </w:rPr>
        <w:t>)</w:t>
      </w:r>
      <w:r w:rsidR="439DD1F1" w:rsidRPr="439DD1F1">
        <w:rPr>
          <w:sz w:val="18"/>
          <w:szCs w:val="18"/>
        </w:rPr>
        <w:t xml:space="preserve"> </w:t>
      </w:r>
      <w:r w:rsidR="7E78E1D4" w:rsidRPr="005E3DBF">
        <w:rPr>
          <w:sz w:val="18"/>
          <w:szCs w:val="18"/>
        </w:rPr>
        <w:t xml:space="preserve">and </w:t>
      </w:r>
      <w:r w:rsidR="77B3AB85" w:rsidRPr="00BD6375">
        <w:rPr>
          <w:i/>
          <w:iCs/>
          <w:sz w:val="18"/>
          <w:szCs w:val="18"/>
          <w:lang w:val="en-US"/>
        </w:rPr>
        <w:t>Rapid Assessment Scenario Study</w:t>
      </w:r>
      <w:r w:rsidR="77B3AB85" w:rsidRPr="00BD6375">
        <w:rPr>
          <w:i/>
          <w:iCs/>
          <w:sz w:val="18"/>
          <w:szCs w:val="18"/>
        </w:rPr>
        <w:t xml:space="preserve"> (forthcoming).</w:t>
      </w:r>
      <w:r w:rsidR="77B3AB85" w:rsidRPr="77B3AB85">
        <w:rPr>
          <w:rFonts w:eastAsia="Arial"/>
          <w:b/>
          <w:bCs/>
          <w:color w:val="FFFFFF" w:themeColor="background1"/>
          <w:sz w:val="18"/>
          <w:szCs w:val="18"/>
        </w:rPr>
        <w:t xml:space="preserve"> </w:t>
      </w:r>
      <w:r w:rsidRPr="005E3DBF">
        <w:rPr>
          <w:rFonts w:eastAsia="Arial"/>
          <w:b/>
          <w:color w:val="FFFFFF" w:themeColor="background1"/>
          <w:sz w:val="18"/>
          <w:szCs w:val="18"/>
        </w:rPr>
        <w:t xml:space="preserve"> </w:t>
      </w:r>
    </w:p>
  </w:footnote>
  <w:footnote w:id="185">
    <w:p w14:paraId="13C9FBBB" w14:textId="0381128F" w:rsidR="4915280F" w:rsidRPr="005E3DBF" w:rsidRDefault="4915280F" w:rsidP="00A3193A">
      <w:pPr>
        <w:spacing w:after="0"/>
        <w:rPr>
          <w:rFonts w:eastAsia="Times New Roman"/>
          <w:sz w:val="18"/>
          <w:szCs w:val="18"/>
          <w:lang w:val="en-US"/>
        </w:rPr>
      </w:pPr>
      <w:r w:rsidRPr="00344F4D">
        <w:rPr>
          <w:sz w:val="18"/>
          <w:szCs w:val="18"/>
          <w:vertAlign w:val="superscript"/>
        </w:rPr>
        <w:footnoteRef/>
      </w:r>
      <w:r w:rsidR="230CD5FC" w:rsidRPr="00344F4D">
        <w:rPr>
          <w:sz w:val="18"/>
          <w:szCs w:val="18"/>
        </w:rPr>
        <w:t xml:space="preserve"> </w:t>
      </w:r>
      <w:r w:rsidR="00593AF3">
        <w:rPr>
          <w:sz w:val="18"/>
          <w:szCs w:val="18"/>
        </w:rPr>
        <w:t>For further information, see</w:t>
      </w:r>
      <w:r w:rsidR="00AF18D2">
        <w:rPr>
          <w:sz w:val="18"/>
          <w:szCs w:val="18"/>
        </w:rPr>
        <w:t>:</w:t>
      </w:r>
      <w:r w:rsidR="00593AF3">
        <w:rPr>
          <w:sz w:val="18"/>
          <w:szCs w:val="18"/>
        </w:rPr>
        <w:t xml:space="preserve"> </w:t>
      </w:r>
      <w:hyperlink r:id="rId106">
        <w:r w:rsidR="3045D831" w:rsidRPr="00344F4D">
          <w:rPr>
            <w:rStyle w:val="Hyperlink"/>
            <w:rFonts w:eastAsia="Calibri"/>
            <w:sz w:val="18"/>
            <w:szCs w:val="18"/>
            <w:lang w:val="en-US"/>
          </w:rPr>
          <w:t>New targets for clinical trials in Europe | European Medicines Agency (EMA).</w:t>
        </w:r>
      </w:hyperlink>
      <w:r w:rsidRPr="00344F4D">
        <w:rPr>
          <w:sz w:val="18"/>
          <w:szCs w:val="18"/>
        </w:rPr>
        <w:fldChar w:fldCharType="begin"/>
      </w:r>
      <w:r w:rsidR="1D5DBF92" w:rsidRPr="00344F4D">
        <w:rPr>
          <w:sz w:val="18"/>
          <w:szCs w:val="18"/>
        </w:rPr>
        <w:instrText>￼￼</w:instrText>
      </w:r>
      <w:r w:rsidRPr="00344F4D">
        <w:rPr>
          <w:rStyle w:val="Hyperlink"/>
          <w:rFonts w:eastAsia="Calibri"/>
          <w:sz w:val="18"/>
          <w:szCs w:val="18"/>
          <w:lang w:val="en-US"/>
        </w:rPr>
        <w:instrText>New targets for clinical trials in Europe | European Medicines Agency (EMA).</w:instrText>
      </w:r>
      <w:r w:rsidRPr="00344F4D">
        <w:rPr>
          <w:sz w:val="18"/>
          <w:szCs w:val="18"/>
        </w:rPr>
        <w:fldChar w:fldCharType="end"/>
      </w:r>
      <w:r w:rsidR="230CD5FC" w:rsidRPr="00344F4D">
        <w:rPr>
          <w:rFonts w:eastAsia="Times New Roman"/>
          <w:sz w:val="18"/>
          <w:szCs w:val="18"/>
        </w:rPr>
        <w:t xml:space="preserve"> For the </w:t>
      </w:r>
      <w:r w:rsidR="17CB89F5" w:rsidRPr="00344F4D">
        <w:rPr>
          <w:rFonts w:eastAsia="Times New Roman"/>
          <w:sz w:val="18"/>
          <w:szCs w:val="18"/>
        </w:rPr>
        <w:t>purposes</w:t>
      </w:r>
      <w:r w:rsidR="1CB07069" w:rsidRPr="00344F4D">
        <w:rPr>
          <w:rFonts w:eastAsia="Times New Roman"/>
          <w:sz w:val="18"/>
          <w:szCs w:val="18"/>
        </w:rPr>
        <w:t xml:space="preserve"> of </w:t>
      </w:r>
      <w:r w:rsidR="17CB89F5" w:rsidRPr="00344F4D">
        <w:rPr>
          <w:rFonts w:eastAsia="Times New Roman"/>
          <w:sz w:val="18"/>
          <w:szCs w:val="18"/>
        </w:rPr>
        <w:t xml:space="preserve">this </w:t>
      </w:r>
      <w:r w:rsidR="1CB07069" w:rsidRPr="00344F4D">
        <w:rPr>
          <w:rFonts w:eastAsia="Times New Roman"/>
          <w:sz w:val="18"/>
          <w:szCs w:val="18"/>
        </w:rPr>
        <w:t>analysis</w:t>
      </w:r>
      <w:r w:rsidR="17CB89F5" w:rsidRPr="00344F4D">
        <w:rPr>
          <w:rFonts w:eastAsia="Times New Roman"/>
          <w:sz w:val="18"/>
          <w:szCs w:val="18"/>
        </w:rPr>
        <w:t>, the same</w:t>
      </w:r>
      <w:r w:rsidR="1CB07069" w:rsidRPr="00344F4D">
        <w:rPr>
          <w:rFonts w:eastAsia="Times New Roman"/>
          <w:sz w:val="18"/>
          <w:szCs w:val="18"/>
        </w:rPr>
        <w:t xml:space="preserve"> 11.1</w:t>
      </w:r>
      <w:r w:rsidR="00405618">
        <w:rPr>
          <w:rFonts w:eastAsia="Times New Roman"/>
          <w:sz w:val="18"/>
          <w:szCs w:val="18"/>
        </w:rPr>
        <w:t>%</w:t>
      </w:r>
      <w:r w:rsidR="6F8C20E3" w:rsidRPr="00344F4D">
        <w:rPr>
          <w:rFonts w:eastAsia="Times New Roman"/>
          <w:sz w:val="18"/>
          <w:szCs w:val="18"/>
        </w:rPr>
        <w:t xml:space="preserve"> increase is </w:t>
      </w:r>
      <w:r w:rsidR="00AF18D2">
        <w:rPr>
          <w:rFonts w:eastAsia="Times New Roman"/>
          <w:sz w:val="18"/>
          <w:szCs w:val="18"/>
        </w:rPr>
        <w:t xml:space="preserve">also </w:t>
      </w:r>
      <w:r w:rsidR="6F8C20E3" w:rsidRPr="00344F4D">
        <w:rPr>
          <w:rFonts w:eastAsia="Times New Roman"/>
          <w:sz w:val="18"/>
          <w:szCs w:val="18"/>
        </w:rPr>
        <w:t>assumed for mononational clinical trials.</w:t>
      </w:r>
      <w:r w:rsidR="00BB08BE">
        <w:rPr>
          <w:rFonts w:eastAsia="Times New Roman"/>
          <w:sz w:val="18"/>
          <w:szCs w:val="18"/>
        </w:rPr>
        <w:t xml:space="preserve"> </w:t>
      </w:r>
      <w:r w:rsidR="001A76D7">
        <w:rPr>
          <w:rFonts w:eastAsia="Times New Roman"/>
          <w:sz w:val="18"/>
          <w:szCs w:val="18"/>
        </w:rPr>
        <w:t>For Q1/2026 the KPI has been evaluated for the first time</w:t>
      </w:r>
      <w:r w:rsidR="00E16FE4">
        <w:rPr>
          <w:rFonts w:eastAsia="Times New Roman"/>
          <w:sz w:val="18"/>
          <w:szCs w:val="18"/>
        </w:rPr>
        <w:t xml:space="preserve">. </w:t>
      </w:r>
      <w:r w:rsidR="001869DC" w:rsidRPr="005E3DBF">
        <w:rPr>
          <w:rFonts w:eastAsia="Times New Roman"/>
          <w:sz w:val="18"/>
          <w:szCs w:val="18"/>
          <w:lang w:val="en-US"/>
        </w:rPr>
        <w:t>This quarter, 19 additional multinational trial applications have been submitted. If extrapolated annually, this would represent an 8% increase in trials without any changes to the regulatory framewor</w:t>
      </w:r>
      <w:r w:rsidR="00306623" w:rsidRPr="005E3DBF">
        <w:rPr>
          <w:rFonts w:eastAsia="Times New Roman"/>
          <w:sz w:val="18"/>
          <w:szCs w:val="18"/>
          <w:lang w:val="en-US"/>
        </w:rPr>
        <w:t>k.</w:t>
      </w:r>
    </w:p>
  </w:footnote>
  <w:footnote w:id="186">
    <w:p w14:paraId="5F12BCDB" w14:textId="21428E35" w:rsidR="00631003" w:rsidRPr="001546C6" w:rsidRDefault="00631003">
      <w:pPr>
        <w:pStyle w:val="FootnoteText"/>
        <w:rPr>
          <w:lang w:val="en-US"/>
        </w:rPr>
      </w:pPr>
      <w:r>
        <w:rPr>
          <w:rStyle w:val="FootnoteReference"/>
        </w:rPr>
        <w:footnoteRef/>
      </w:r>
      <w:r>
        <w:t xml:space="preserve"> </w:t>
      </w:r>
      <w:r w:rsidRPr="00060CC9">
        <w:rPr>
          <w:i/>
          <w:iCs/>
          <w:sz w:val="18"/>
          <w:szCs w:val="18"/>
        </w:rPr>
        <w:t>Regulatory Framework Study </w:t>
      </w:r>
      <w:r>
        <w:rPr>
          <w:i/>
          <w:iCs/>
          <w:sz w:val="18"/>
          <w:szCs w:val="18"/>
        </w:rPr>
        <w:t>(</w:t>
      </w:r>
      <w:r w:rsidRPr="00060CC9">
        <w:rPr>
          <w:i/>
          <w:iCs/>
          <w:sz w:val="18"/>
          <w:szCs w:val="18"/>
        </w:rPr>
        <w:t>forthcoming</w:t>
      </w:r>
      <w:r>
        <w:rPr>
          <w:i/>
          <w:iCs/>
          <w:sz w:val="18"/>
          <w:szCs w:val="18"/>
        </w:rPr>
        <w:t>)</w:t>
      </w:r>
      <w:r w:rsidRPr="439DD1F1">
        <w:rPr>
          <w:sz w:val="18"/>
          <w:szCs w:val="18"/>
        </w:rPr>
        <w:t xml:space="preserve"> </w:t>
      </w:r>
    </w:p>
  </w:footnote>
  <w:footnote w:id="187">
    <w:p w14:paraId="5A2B7DB4" w14:textId="4F212DE9" w:rsidR="00677F74" w:rsidRPr="00A3193A" w:rsidRDefault="00677F74" w:rsidP="00A3193A">
      <w:pPr>
        <w:pStyle w:val="FootnoteText"/>
        <w:spacing w:line="0" w:lineRule="atLeast"/>
        <w:contextualSpacing/>
        <w:rPr>
          <w:sz w:val="18"/>
          <w:szCs w:val="18"/>
        </w:rPr>
      </w:pPr>
      <w:r w:rsidRPr="00A3193A">
        <w:rPr>
          <w:rStyle w:val="FootnoteReference"/>
          <w:sz w:val="18"/>
          <w:szCs w:val="18"/>
        </w:rPr>
        <w:footnoteRef/>
      </w:r>
      <w:r w:rsidR="00C428E0" w:rsidRPr="00C428E0">
        <w:rPr>
          <w:i/>
          <w:iCs/>
          <w:sz w:val="18"/>
          <w:szCs w:val="18"/>
        </w:rPr>
        <w:t>Regulatory Framework Study, forthcoming</w:t>
      </w:r>
      <w:r w:rsidR="00E37F76">
        <w:rPr>
          <w:i/>
          <w:iCs/>
          <w:sz w:val="18"/>
          <w:szCs w:val="18"/>
        </w:rPr>
        <w:t>.</w:t>
      </w:r>
      <w:r w:rsidRPr="00A3193A">
        <w:rPr>
          <w:sz w:val="18"/>
          <w:szCs w:val="18"/>
        </w:rPr>
        <w:t xml:space="preserve"> In the survey, sponsors were asked to assess the impact of selected policies individually. The policies presented in this figure are those most closely to the ones included in the Commission proposal adopted on 16 December 2025. Please note that there is still some slight deviation between the described policy scenarios assessed in the survey and the policy changes proposed in the Commission proposal.</w:t>
      </w:r>
    </w:p>
  </w:footnote>
  <w:footnote w:id="188">
    <w:p w14:paraId="0B61BFB7" w14:textId="5F6B119A" w:rsidR="00677F74" w:rsidRPr="00A3193A" w:rsidRDefault="00677F74" w:rsidP="00A3193A">
      <w:pPr>
        <w:pStyle w:val="FootnoteText"/>
        <w:spacing w:line="0" w:lineRule="atLeast"/>
        <w:contextualSpacing/>
        <w:rPr>
          <w:sz w:val="18"/>
          <w:szCs w:val="18"/>
        </w:rPr>
      </w:pPr>
      <w:r w:rsidRPr="00A3193A">
        <w:rPr>
          <w:rStyle w:val="FootnoteReference"/>
          <w:sz w:val="18"/>
          <w:szCs w:val="18"/>
        </w:rPr>
        <w:footnoteRef/>
      </w:r>
      <w:r w:rsidRPr="00A3193A">
        <w:rPr>
          <w:sz w:val="18"/>
          <w:szCs w:val="18"/>
        </w:rPr>
        <w:t xml:space="preserve"> For further information, see report </w:t>
      </w:r>
      <w:r w:rsidR="00C435F6" w:rsidRPr="00C435F6">
        <w:rPr>
          <w:i/>
          <w:iCs/>
          <w:sz w:val="18"/>
          <w:szCs w:val="18"/>
        </w:rPr>
        <w:t>Regulatory Framework Study, forthcoming</w:t>
      </w:r>
      <w:r w:rsidRPr="00A3193A">
        <w:rPr>
          <w:sz w:val="18"/>
          <w:szCs w:val="18"/>
        </w:rPr>
        <w:t>. The policies presented in this figure are those most closely to the ones included in the Commission proposal adopted on 16 December 2025. Please note that there is still some slight deviation between the described policy scenarios assessed in the survey and the policy changes proposed in the Commission proposal.</w:t>
      </w:r>
    </w:p>
  </w:footnote>
  <w:footnote w:id="189">
    <w:p w14:paraId="4DC27EA2" w14:textId="1F210145" w:rsidR="5D0170C3" w:rsidRDefault="5D0170C3" w:rsidP="00E16C70">
      <w:pPr>
        <w:spacing w:after="0"/>
        <w:rPr>
          <w:sz w:val="18"/>
          <w:szCs w:val="18"/>
        </w:rPr>
      </w:pPr>
      <w:r w:rsidRPr="00E16C70">
        <w:rPr>
          <w:sz w:val="18"/>
          <w:szCs w:val="18"/>
          <w:vertAlign w:val="superscript"/>
        </w:rPr>
        <w:footnoteRef/>
      </w:r>
      <w:r w:rsidR="00E37F76">
        <w:rPr>
          <w:sz w:val="18"/>
          <w:szCs w:val="18"/>
        </w:rPr>
        <w:t xml:space="preserve"> </w:t>
      </w:r>
      <w:r w:rsidR="00E37F76" w:rsidRPr="00E37F76">
        <w:rPr>
          <w:i/>
          <w:iCs/>
          <w:sz w:val="18"/>
          <w:szCs w:val="18"/>
        </w:rPr>
        <w:t>Regulatory Framework Study, forthcoming</w:t>
      </w:r>
      <w:r w:rsidR="00E37F76">
        <w:rPr>
          <w:i/>
          <w:iCs/>
          <w:sz w:val="18"/>
          <w:szCs w:val="18"/>
        </w:rPr>
        <w:t>.</w:t>
      </w:r>
      <w:r w:rsidR="7E719CEC" w:rsidRPr="00E16C70">
        <w:rPr>
          <w:sz w:val="18"/>
          <w:szCs w:val="18"/>
        </w:rPr>
        <w:t xml:space="preserve"> </w:t>
      </w:r>
      <w:r w:rsidR="7E719CEC" w:rsidRPr="7E719CEC">
        <w:rPr>
          <w:sz w:val="18"/>
          <w:szCs w:val="18"/>
        </w:rPr>
        <w:t>In the survey, sponsors and Member State representatives were asked to assess the impact of selected policies individually. The policies presented in this figure are those most closely to the ones included in the Commission proposal adopted on 16 December 2025. Please note that there is still some slight deviation between the described policy scenarios assessed in the survey and the policy changes proposed in the Commission proposal.</w:t>
      </w:r>
    </w:p>
  </w:footnote>
  <w:footnote w:id="190">
    <w:p w14:paraId="40047B2A" w14:textId="462D93B7" w:rsidR="00677F74" w:rsidRPr="00A3193A" w:rsidRDefault="00677F74" w:rsidP="00A3193A">
      <w:pPr>
        <w:pStyle w:val="FootnoteText"/>
        <w:rPr>
          <w:sz w:val="18"/>
          <w:szCs w:val="18"/>
        </w:rPr>
      </w:pPr>
      <w:r w:rsidRPr="00A3193A">
        <w:rPr>
          <w:rStyle w:val="FootnoteReference"/>
          <w:sz w:val="18"/>
          <w:szCs w:val="18"/>
        </w:rPr>
        <w:footnoteRef/>
      </w:r>
      <w:r w:rsidRPr="00A3193A">
        <w:rPr>
          <w:sz w:val="18"/>
          <w:szCs w:val="18"/>
        </w:rPr>
        <w:t xml:space="preserve"> </w:t>
      </w:r>
      <w:hyperlink r:id="rId107" w:history="1">
        <w:r w:rsidRPr="00A3193A">
          <w:rPr>
            <w:rStyle w:val="Hyperlink"/>
            <w:sz w:val="18"/>
            <w:szCs w:val="18"/>
          </w:rPr>
          <w:t>EU clinical trials during the 3-year CTR transition period</w:t>
        </w:r>
      </w:hyperlink>
      <w:r w:rsidRPr="00A3193A">
        <w:rPr>
          <w:sz w:val="18"/>
          <w:szCs w:val="18"/>
        </w:rPr>
        <w:t xml:space="preserve"> (see p.9</w:t>
      </w:r>
      <w:r w:rsidRPr="00EE09B6">
        <w:rPr>
          <w:sz w:val="18"/>
          <w:szCs w:val="18"/>
        </w:rPr>
        <w:t>)</w:t>
      </w:r>
      <w:r w:rsidR="00EE09B6">
        <w:rPr>
          <w:sz w:val="18"/>
          <w:szCs w:val="18"/>
        </w:rPr>
        <w:t>.</w:t>
      </w:r>
    </w:p>
  </w:footnote>
  <w:footnote w:id="191">
    <w:p w14:paraId="06F5D021" w14:textId="0E3C4BAD" w:rsidR="00677F74" w:rsidRPr="00A3193A" w:rsidRDefault="00677F74" w:rsidP="00A3193A">
      <w:pPr>
        <w:pStyle w:val="FootnoteText"/>
        <w:rPr>
          <w:sz w:val="18"/>
          <w:szCs w:val="18"/>
        </w:rPr>
      </w:pPr>
      <w:r w:rsidRPr="00A3193A">
        <w:rPr>
          <w:rStyle w:val="FootnoteReference"/>
          <w:sz w:val="18"/>
          <w:szCs w:val="18"/>
        </w:rPr>
        <w:footnoteRef/>
      </w:r>
      <w:r w:rsidRPr="00A3193A">
        <w:rPr>
          <w:sz w:val="18"/>
          <w:szCs w:val="18"/>
        </w:rPr>
        <w:t xml:space="preserve"> </w:t>
      </w:r>
      <w:hyperlink r:id="rId108" w:history="1">
        <w:r w:rsidRPr="00A3193A">
          <w:rPr>
            <w:rStyle w:val="Hyperlink"/>
            <w:sz w:val="18"/>
            <w:szCs w:val="18"/>
          </w:rPr>
          <w:t>EU clinical trials during the 3-year CTR transition period</w:t>
        </w:r>
      </w:hyperlink>
      <w:r w:rsidRPr="00A3193A">
        <w:rPr>
          <w:sz w:val="18"/>
          <w:szCs w:val="18"/>
        </w:rPr>
        <w:t xml:space="preserve"> (see p.26</w:t>
      </w:r>
      <w:r w:rsidRPr="00EE09B6">
        <w:rPr>
          <w:sz w:val="18"/>
          <w:szCs w:val="18"/>
        </w:rPr>
        <w:t>)</w:t>
      </w:r>
      <w:r w:rsidR="00EE09B6">
        <w:rPr>
          <w:sz w:val="18"/>
          <w:szCs w:val="18"/>
        </w:rPr>
        <w:t>.</w:t>
      </w:r>
    </w:p>
  </w:footnote>
  <w:footnote w:id="192">
    <w:p w14:paraId="1F3E3B9C" w14:textId="41709804" w:rsidR="00677F74" w:rsidRPr="00A3193A" w:rsidRDefault="00677F74" w:rsidP="00E16C70">
      <w:pPr>
        <w:spacing w:after="0"/>
      </w:pPr>
      <w:r w:rsidRPr="00A3193A">
        <w:rPr>
          <w:rStyle w:val="FootnoteReference"/>
          <w:sz w:val="18"/>
          <w:szCs w:val="18"/>
        </w:rPr>
        <w:footnoteRef/>
      </w:r>
      <w:r w:rsidR="00992C54">
        <w:rPr>
          <w:sz w:val="18"/>
          <w:szCs w:val="18"/>
        </w:rPr>
        <w:t xml:space="preserve"> </w:t>
      </w:r>
      <w:r w:rsidR="00992C54" w:rsidRPr="001546C6">
        <w:rPr>
          <w:sz w:val="18"/>
          <w:szCs w:val="18"/>
        </w:rPr>
        <w:t>Fast-track</w:t>
      </w:r>
      <w:r w:rsidR="00992C54" w:rsidRPr="001546C6">
        <w:rPr>
          <w:rFonts w:ascii="Times-Roman" w:eastAsia="Times-Roman" w:hAnsi="Times-Roman" w:cs="Times-Roman"/>
          <w:sz w:val="18"/>
          <w:szCs w:val="18"/>
        </w:rPr>
        <w:t xml:space="preserve"> l</w:t>
      </w:r>
      <w:r w:rsidR="491AF7A8" w:rsidRPr="001546C6">
        <w:rPr>
          <w:rFonts w:ascii="Times-Roman" w:eastAsia="Times-Roman" w:hAnsi="Times-Roman" w:cs="Times-Roman"/>
          <w:sz w:val="18"/>
          <w:szCs w:val="18"/>
        </w:rPr>
        <w:t>andscape analyses to assess the regulatory clinical trial eco-system in the EU/EEA and in other relevant regions (</w:t>
      </w:r>
      <w:r w:rsidR="00992C54" w:rsidRPr="001546C6">
        <w:rPr>
          <w:rFonts w:ascii="Times-Roman" w:eastAsia="Times-Roman" w:hAnsi="Times-Roman" w:cs="Times-Roman"/>
          <w:sz w:val="18"/>
          <w:szCs w:val="18"/>
        </w:rPr>
        <w:t>forthcoming</w:t>
      </w:r>
      <w:r w:rsidR="491AF7A8" w:rsidRPr="001546C6">
        <w:rPr>
          <w:rFonts w:ascii="Times-Roman" w:eastAsia="Times-Roman" w:hAnsi="Times-Roman" w:cs="Times-Roman"/>
          <w:sz w:val="18"/>
          <w:szCs w:val="18"/>
        </w:rPr>
        <w:t>)</w:t>
      </w:r>
    </w:p>
  </w:footnote>
  <w:footnote w:id="193">
    <w:p w14:paraId="31819D4C" w14:textId="2D2AF99E" w:rsidR="00677F74" w:rsidRPr="00A3193A" w:rsidRDefault="00677F74" w:rsidP="00A3193A">
      <w:pPr>
        <w:pStyle w:val="FootnoteText"/>
        <w:rPr>
          <w:sz w:val="18"/>
          <w:szCs w:val="18"/>
        </w:rPr>
      </w:pPr>
      <w:r w:rsidRPr="00A3193A">
        <w:rPr>
          <w:rStyle w:val="FootnoteReference"/>
          <w:sz w:val="18"/>
          <w:szCs w:val="18"/>
        </w:rPr>
        <w:footnoteRef/>
      </w:r>
      <w:r w:rsidRPr="00A3193A">
        <w:rPr>
          <w:sz w:val="18"/>
          <w:szCs w:val="18"/>
        </w:rPr>
        <w:t xml:space="preserve"> The GVA measures “</w:t>
      </w:r>
      <w:r w:rsidRPr="001546C6">
        <w:rPr>
          <w:i/>
          <w:iCs/>
          <w:sz w:val="18"/>
          <w:szCs w:val="18"/>
        </w:rPr>
        <w:t>the value of output less the value of intermediate consumption; it is a measure of the contribution to GDP made by an individual producer, industry or sector</w:t>
      </w:r>
      <w:r w:rsidRPr="00A3193A">
        <w:rPr>
          <w:sz w:val="18"/>
          <w:szCs w:val="18"/>
        </w:rPr>
        <w:t xml:space="preserve">” (OECD; </w:t>
      </w:r>
      <w:hyperlink r:id="rId109" w:history="1">
        <w:r w:rsidRPr="00A3193A">
          <w:rPr>
            <w:rStyle w:val="Hyperlink"/>
            <w:sz w:val="18"/>
            <w:szCs w:val="18"/>
          </w:rPr>
          <w:t>National Accounts at a Glance 2009 (EN)</w:t>
        </w:r>
      </w:hyperlink>
      <w:r w:rsidRPr="00A3193A">
        <w:rPr>
          <w:sz w:val="18"/>
          <w:szCs w:val="18"/>
        </w:rPr>
        <w:t>)</w:t>
      </w:r>
      <w:r w:rsidR="00F70141">
        <w:rPr>
          <w:sz w:val="18"/>
          <w:szCs w:val="18"/>
        </w:rPr>
        <w:t>.</w:t>
      </w:r>
      <w:r w:rsidRPr="00A3193A">
        <w:rPr>
          <w:sz w:val="18"/>
          <w:szCs w:val="18"/>
        </w:rPr>
        <w:t xml:space="preserve"> R&amp;D spill-overs measure clinical research activities creating knowledge, products, and processes which can be used by other companies</w:t>
      </w:r>
      <w:r w:rsidR="00687DBF">
        <w:rPr>
          <w:sz w:val="18"/>
          <w:szCs w:val="18"/>
        </w:rPr>
        <w:t>.</w:t>
      </w:r>
      <w:r w:rsidRPr="00A3193A">
        <w:rPr>
          <w:sz w:val="18"/>
          <w:szCs w:val="18"/>
        </w:rPr>
        <w:t xml:space="preserve"> Workforce productivity</w:t>
      </w:r>
      <w:r w:rsidR="00893D72">
        <w:rPr>
          <w:sz w:val="18"/>
          <w:szCs w:val="18"/>
        </w:rPr>
        <w:t xml:space="preserve"> measures </w:t>
      </w:r>
      <w:r w:rsidR="00E20F90">
        <w:rPr>
          <w:sz w:val="18"/>
          <w:szCs w:val="18"/>
        </w:rPr>
        <w:t xml:space="preserve">how improved treatment options enhance people’s health and </w:t>
      </w:r>
      <w:r w:rsidR="000E2B71">
        <w:rPr>
          <w:sz w:val="18"/>
          <w:szCs w:val="18"/>
        </w:rPr>
        <w:t>thereby reducing sick days</w:t>
      </w:r>
      <w:r w:rsidRPr="00A3193A">
        <w:rPr>
          <w:sz w:val="18"/>
          <w:szCs w:val="18"/>
        </w:rPr>
        <w:t xml:space="preserve"> (EFPIA report 2026; </w:t>
      </w:r>
      <w:hyperlink r:id="rId110" w:history="1">
        <w:r w:rsidRPr="00A3193A">
          <w:rPr>
            <w:rStyle w:val="Hyperlink"/>
            <w:sz w:val="18"/>
            <w:szCs w:val="18"/>
          </w:rPr>
          <w:t>the-economic-impact-of-industry-clinical-trials-across-europe.pdf</w:t>
        </w:r>
      </w:hyperlink>
      <w:r w:rsidRPr="00EE09B6">
        <w:rPr>
          <w:sz w:val="18"/>
          <w:szCs w:val="18"/>
        </w:rPr>
        <w:t>)</w:t>
      </w:r>
      <w:r w:rsidR="00EE09B6">
        <w:rPr>
          <w:sz w:val="18"/>
          <w:szCs w:val="18"/>
        </w:rPr>
        <w:t>.</w:t>
      </w:r>
    </w:p>
  </w:footnote>
  <w:footnote w:id="194">
    <w:p w14:paraId="3FAFEF8D" w14:textId="2A981B52" w:rsidR="00677F74" w:rsidRPr="00A3193A" w:rsidRDefault="00677F74" w:rsidP="00A3193A">
      <w:pPr>
        <w:pStyle w:val="FootnoteText"/>
        <w:rPr>
          <w:sz w:val="18"/>
          <w:szCs w:val="18"/>
        </w:rPr>
      </w:pPr>
      <w:r w:rsidRPr="00A3193A">
        <w:rPr>
          <w:rStyle w:val="FootnoteReference"/>
          <w:sz w:val="18"/>
          <w:szCs w:val="18"/>
        </w:rPr>
        <w:footnoteRef/>
      </w:r>
      <w:r w:rsidRPr="00A3193A">
        <w:rPr>
          <w:sz w:val="18"/>
          <w:szCs w:val="18"/>
        </w:rPr>
        <w:t xml:space="preserve"> The values are calculated based on the following assumptions/parameters: (1) between 2022 and 2025 the annual number of authorised industry commercial trials was 1</w:t>
      </w:r>
      <w:r w:rsidR="00D5620C">
        <w:rPr>
          <w:sz w:val="18"/>
          <w:szCs w:val="18"/>
        </w:rPr>
        <w:t>,</w:t>
      </w:r>
      <w:r w:rsidRPr="00A3193A">
        <w:rPr>
          <w:sz w:val="18"/>
          <w:szCs w:val="18"/>
        </w:rPr>
        <w:t>509</w:t>
      </w:r>
      <w:r w:rsidRPr="00A3193A">
        <w:rPr>
          <w:b/>
          <w:sz w:val="18"/>
          <w:szCs w:val="18"/>
        </w:rPr>
        <w:t xml:space="preserve"> </w:t>
      </w:r>
      <w:r w:rsidRPr="00E16C70">
        <w:rPr>
          <w:sz w:val="18"/>
          <w:szCs w:val="18"/>
        </w:rPr>
        <w:t>(</w:t>
      </w:r>
      <w:hyperlink r:id="rId111" w:history="1">
        <w:r w:rsidRPr="00A3193A">
          <w:rPr>
            <w:rStyle w:val="Hyperlink"/>
            <w:sz w:val="18"/>
            <w:szCs w:val="18"/>
          </w:rPr>
          <w:t>EU clinical trials during the 3-year CTR transition period</w:t>
        </w:r>
      </w:hyperlink>
      <w:r w:rsidRPr="00A3193A">
        <w:rPr>
          <w:sz w:val="18"/>
          <w:szCs w:val="18"/>
        </w:rPr>
        <w:t xml:space="preserve">); (2) The reported values in EFPIA 2026 </w:t>
      </w:r>
      <w:hyperlink r:id="rId112" w:history="1">
        <w:r w:rsidRPr="00A3193A">
          <w:rPr>
            <w:rStyle w:val="Hyperlink"/>
            <w:sz w:val="18"/>
            <w:szCs w:val="18"/>
          </w:rPr>
          <w:t>the-economic-impact-of-industry-clinical-trials-across-europe.pdf</w:t>
        </w:r>
      </w:hyperlink>
      <w:r w:rsidRPr="00A3193A">
        <w:rPr>
          <w:sz w:val="18"/>
          <w:szCs w:val="18"/>
        </w:rPr>
        <w:t xml:space="preserve"> are used to calculate incremental effects per trial. (3) There is a linear relationship between the increase in clinical trials and the incremental benefits.</w:t>
      </w:r>
    </w:p>
  </w:footnote>
  <w:footnote w:id="195">
    <w:p w14:paraId="29A27867" w14:textId="2797FB77" w:rsidR="00A54539" w:rsidRPr="00A3193A" w:rsidRDefault="00A54539" w:rsidP="00A3193A">
      <w:pPr>
        <w:spacing w:after="0"/>
        <w:rPr>
          <w:sz w:val="18"/>
          <w:szCs w:val="18"/>
        </w:rPr>
      </w:pPr>
      <w:r w:rsidRPr="00A3193A">
        <w:rPr>
          <w:rStyle w:val="FootnoteReference"/>
          <w:sz w:val="18"/>
          <w:szCs w:val="18"/>
        </w:rPr>
        <w:footnoteRef/>
      </w:r>
      <w:r w:rsidRPr="00A3193A">
        <w:rPr>
          <w:sz w:val="18"/>
          <w:szCs w:val="18"/>
        </w:rPr>
        <w:t xml:space="preserve"> Commission own calculations based on information from</w:t>
      </w:r>
      <w:r w:rsidR="00CB4328">
        <w:rPr>
          <w:sz w:val="18"/>
          <w:szCs w:val="18"/>
        </w:rPr>
        <w:t xml:space="preserve"> EFPIA (2026) </w:t>
      </w:r>
      <w:hyperlink r:id="rId113">
        <w:r w:rsidRPr="00A3193A">
          <w:rPr>
            <w:rStyle w:val="Hyperlink"/>
            <w:sz w:val="18"/>
            <w:szCs w:val="18"/>
          </w:rPr>
          <w:t>the-economic-impact-of-industry-clinical-trials-across-europe.pdf</w:t>
        </w:r>
      </w:hyperlink>
      <w:r w:rsidRPr="00A3193A">
        <w:rPr>
          <w:sz w:val="18"/>
          <w:szCs w:val="18"/>
        </w:rPr>
        <w:t xml:space="preserve"> and </w:t>
      </w:r>
      <w:hyperlink r:id="rId114">
        <w:r w:rsidRPr="00A3193A">
          <w:rPr>
            <w:rStyle w:val="Hyperlink"/>
            <w:sz w:val="18"/>
            <w:szCs w:val="18"/>
          </w:rPr>
          <w:t>EU clinical trials during the 3-year CTR transition period</w:t>
        </w:r>
      </w:hyperlink>
      <w:r w:rsidRPr="00A3193A">
        <w:rPr>
          <w:sz w:val="18"/>
          <w:szCs w:val="18"/>
        </w:rPr>
        <w:t xml:space="preserve">. </w:t>
      </w:r>
    </w:p>
  </w:footnote>
  <w:footnote w:id="196">
    <w:p w14:paraId="5B85D21B" w14:textId="37594651" w:rsidR="00677F74" w:rsidRPr="00A3193A" w:rsidRDefault="00677F74" w:rsidP="00A3193A">
      <w:pPr>
        <w:pStyle w:val="FootnoteText"/>
        <w:rPr>
          <w:sz w:val="18"/>
          <w:szCs w:val="18"/>
        </w:rPr>
      </w:pPr>
      <w:r w:rsidRPr="00A3193A">
        <w:rPr>
          <w:rStyle w:val="FootnoteReference"/>
          <w:sz w:val="18"/>
          <w:szCs w:val="18"/>
        </w:rPr>
        <w:footnoteRef/>
      </w:r>
      <w:r w:rsidRPr="00A3193A">
        <w:rPr>
          <w:sz w:val="18"/>
          <w:szCs w:val="18"/>
        </w:rPr>
        <w:t xml:space="preserve"> </w:t>
      </w:r>
      <w:r w:rsidR="000A7D55">
        <w:rPr>
          <w:sz w:val="18"/>
          <w:szCs w:val="18"/>
        </w:rPr>
        <w:t xml:space="preserve">Frontier Economics </w:t>
      </w:r>
      <w:hyperlink r:id="rId115" w:history="1">
        <w:r w:rsidRPr="00A3193A">
          <w:rPr>
            <w:rStyle w:val="Hyperlink"/>
            <w:sz w:val="18"/>
            <w:szCs w:val="18"/>
          </w:rPr>
          <w:t>The value of non-commercial clinical research | Frontier Economics</w:t>
        </w:r>
      </w:hyperlink>
      <w:r w:rsidR="00EE09B6">
        <w:rPr>
          <w:sz w:val="18"/>
          <w:szCs w:val="18"/>
        </w:rPr>
        <w:t>.</w:t>
      </w:r>
    </w:p>
  </w:footnote>
  <w:footnote w:id="197">
    <w:p w14:paraId="37DA4680" w14:textId="33118FEF" w:rsidR="00677F74" w:rsidRPr="00A3193A" w:rsidRDefault="00677F74" w:rsidP="00A3193A">
      <w:pPr>
        <w:pStyle w:val="FootnoteText"/>
        <w:rPr>
          <w:sz w:val="18"/>
          <w:szCs w:val="18"/>
        </w:rPr>
      </w:pPr>
      <w:r w:rsidRPr="00A3193A">
        <w:rPr>
          <w:rStyle w:val="FootnoteReference"/>
          <w:sz w:val="18"/>
          <w:szCs w:val="18"/>
        </w:rPr>
        <w:footnoteRef/>
      </w:r>
      <w:r w:rsidR="3045D831" w:rsidRPr="00A3193A">
        <w:rPr>
          <w:sz w:val="18"/>
          <w:szCs w:val="18"/>
        </w:rPr>
        <w:t xml:space="preserve"> Over 90</w:t>
      </w:r>
      <w:r w:rsidR="00405618">
        <w:rPr>
          <w:sz w:val="18"/>
          <w:szCs w:val="18"/>
        </w:rPr>
        <w:t>%</w:t>
      </w:r>
      <w:r w:rsidR="3045D831" w:rsidRPr="00A3193A">
        <w:rPr>
          <w:sz w:val="18"/>
          <w:szCs w:val="18"/>
        </w:rPr>
        <w:t xml:space="preserve"> of low intervention trials are conducted by non-commercial sponsors (</w:t>
      </w:r>
      <w:hyperlink r:id="rId116">
        <w:r w:rsidR="3045D831" w:rsidRPr="00A3193A">
          <w:rPr>
            <w:rStyle w:val="Hyperlink"/>
            <w:sz w:val="18"/>
            <w:szCs w:val="18"/>
          </w:rPr>
          <w:t>EU clinical trials during the 3-year CTR transition period</w:t>
        </w:r>
      </w:hyperlink>
      <w:r w:rsidR="3045D831" w:rsidRPr="00EE09B6">
        <w:rPr>
          <w:sz w:val="18"/>
          <w:szCs w:val="18"/>
        </w:rPr>
        <w:t>)</w:t>
      </w:r>
      <w:r w:rsidR="00EE09B6">
        <w:rPr>
          <w:sz w:val="18"/>
          <w:szCs w:val="18"/>
        </w:rPr>
        <w:t>.</w:t>
      </w:r>
    </w:p>
  </w:footnote>
  <w:footnote w:id="198">
    <w:p w14:paraId="33461BB6" w14:textId="4BE1DB95" w:rsidR="00677F74" w:rsidRPr="00A3193A" w:rsidRDefault="00677F74" w:rsidP="00A3193A">
      <w:pPr>
        <w:pStyle w:val="FootnoteText"/>
        <w:rPr>
          <w:sz w:val="18"/>
          <w:szCs w:val="18"/>
        </w:rPr>
      </w:pPr>
      <w:r w:rsidRPr="00A3193A">
        <w:rPr>
          <w:rStyle w:val="FootnoteReference"/>
          <w:sz w:val="18"/>
          <w:szCs w:val="18"/>
        </w:rPr>
        <w:footnoteRef/>
      </w:r>
      <w:r w:rsidRPr="00A3193A">
        <w:rPr>
          <w:sz w:val="18"/>
          <w:szCs w:val="18"/>
        </w:rPr>
        <w:t xml:space="preserve"> </w:t>
      </w:r>
      <w:r w:rsidR="007C0B91" w:rsidRPr="007C0B91">
        <w:rPr>
          <w:i/>
          <w:iCs/>
          <w:sz w:val="18"/>
          <w:szCs w:val="18"/>
        </w:rPr>
        <w:t>Regulatory Framework Study</w:t>
      </w:r>
      <w:r w:rsidR="00A30471">
        <w:rPr>
          <w:i/>
          <w:iCs/>
          <w:sz w:val="18"/>
          <w:szCs w:val="18"/>
        </w:rPr>
        <w:t xml:space="preserve"> (</w:t>
      </w:r>
      <w:r w:rsidR="007C0B91" w:rsidRPr="007C0B91">
        <w:rPr>
          <w:i/>
          <w:iCs/>
          <w:sz w:val="18"/>
          <w:szCs w:val="18"/>
        </w:rPr>
        <w:t>forthcoming</w:t>
      </w:r>
      <w:r w:rsidR="00A30471">
        <w:rPr>
          <w:i/>
          <w:iCs/>
          <w:sz w:val="18"/>
          <w:szCs w:val="18"/>
        </w:rPr>
        <w:t>)</w:t>
      </w:r>
    </w:p>
  </w:footnote>
  <w:footnote w:id="199">
    <w:p w14:paraId="633342D5" w14:textId="0C96DBFA" w:rsidR="006A0A65" w:rsidRPr="006A0A65" w:rsidRDefault="006A0A65">
      <w:pPr>
        <w:pStyle w:val="FootnoteText"/>
      </w:pPr>
      <w:r>
        <w:rPr>
          <w:rStyle w:val="FootnoteReference"/>
        </w:rPr>
        <w:footnoteRef/>
      </w:r>
      <w:r>
        <w:t xml:space="preserve"> </w:t>
      </w:r>
      <w:r w:rsidRPr="00A3193A">
        <w:rPr>
          <w:sz w:val="18"/>
          <w:szCs w:val="18"/>
        </w:rPr>
        <w:t xml:space="preserve">See </w:t>
      </w:r>
      <w:r w:rsidRPr="00F20279">
        <w:rPr>
          <w:i/>
          <w:iCs/>
          <w:sz w:val="18"/>
          <w:szCs w:val="18"/>
        </w:rPr>
        <w:t>Regulatory Framework Study</w:t>
      </w:r>
      <w:r w:rsidR="00D37C4D">
        <w:rPr>
          <w:i/>
          <w:iCs/>
          <w:sz w:val="18"/>
          <w:szCs w:val="18"/>
        </w:rPr>
        <w:t xml:space="preserve"> (</w:t>
      </w:r>
      <w:r>
        <w:rPr>
          <w:i/>
          <w:iCs/>
          <w:sz w:val="18"/>
          <w:szCs w:val="18"/>
        </w:rPr>
        <w:t>forthcoming</w:t>
      </w:r>
      <w:r w:rsidR="00D37C4D">
        <w:rPr>
          <w:i/>
          <w:iCs/>
          <w:sz w:val="18"/>
          <w:szCs w:val="18"/>
        </w:rPr>
        <w:t>)</w:t>
      </w:r>
    </w:p>
  </w:footnote>
  <w:footnote w:id="200">
    <w:p w14:paraId="214DC33F" w14:textId="7B69EEA9" w:rsidR="008F26EB" w:rsidRPr="00A3193A" w:rsidRDefault="008F26EB" w:rsidP="00A3193A">
      <w:pPr>
        <w:pStyle w:val="FootnoteText"/>
        <w:rPr>
          <w:sz w:val="18"/>
          <w:szCs w:val="18"/>
        </w:rPr>
      </w:pPr>
      <w:r w:rsidRPr="00A3193A">
        <w:rPr>
          <w:rStyle w:val="FootnoteReference"/>
          <w:sz w:val="18"/>
          <w:szCs w:val="18"/>
        </w:rPr>
        <w:footnoteRef/>
      </w:r>
      <w:r w:rsidRPr="00A3193A">
        <w:rPr>
          <w:sz w:val="18"/>
          <w:szCs w:val="18"/>
        </w:rPr>
        <w:t xml:space="preserve"> </w:t>
      </w:r>
      <w:r w:rsidR="004915DA">
        <w:rPr>
          <w:sz w:val="18"/>
          <w:szCs w:val="18"/>
        </w:rPr>
        <w:t xml:space="preserve">See </w:t>
      </w:r>
      <w:r w:rsidR="00E16C50" w:rsidRPr="00A30471">
        <w:rPr>
          <w:i/>
          <w:iCs/>
          <w:sz w:val="18"/>
          <w:szCs w:val="18"/>
          <w:lang w:val="en-US"/>
        </w:rPr>
        <w:t>Rapid Assessment Scenario Study</w:t>
      </w:r>
      <w:r w:rsidRPr="00A30471">
        <w:rPr>
          <w:i/>
          <w:iCs/>
          <w:sz w:val="18"/>
          <w:szCs w:val="18"/>
        </w:rPr>
        <w:t xml:space="preserve"> (forthcoming).</w:t>
      </w:r>
    </w:p>
  </w:footnote>
  <w:footnote w:id="201">
    <w:p w14:paraId="720FACDC" w14:textId="5C814B0F" w:rsidR="00677F74" w:rsidRPr="00A3193A" w:rsidRDefault="00677F74" w:rsidP="00A3193A">
      <w:pPr>
        <w:pStyle w:val="FootnoteText"/>
        <w:rPr>
          <w:sz w:val="18"/>
          <w:szCs w:val="18"/>
        </w:rPr>
      </w:pPr>
      <w:r w:rsidRPr="00A3193A">
        <w:rPr>
          <w:rStyle w:val="FootnoteReference"/>
          <w:sz w:val="18"/>
          <w:szCs w:val="18"/>
        </w:rPr>
        <w:footnoteRef/>
      </w:r>
      <w:r w:rsidRPr="00A3193A">
        <w:rPr>
          <w:sz w:val="18"/>
          <w:szCs w:val="18"/>
        </w:rPr>
        <w:t xml:space="preserve"> See </w:t>
      </w:r>
      <w:r w:rsidR="00F20279" w:rsidRPr="00F20279">
        <w:rPr>
          <w:i/>
          <w:iCs/>
          <w:sz w:val="18"/>
          <w:szCs w:val="18"/>
        </w:rPr>
        <w:t>Regulatory Framework Study </w:t>
      </w:r>
      <w:r w:rsidR="00F3062F">
        <w:rPr>
          <w:i/>
          <w:iCs/>
          <w:sz w:val="18"/>
          <w:szCs w:val="18"/>
        </w:rPr>
        <w:t>(</w:t>
      </w:r>
      <w:r w:rsidR="00F20279" w:rsidRPr="00F20279">
        <w:rPr>
          <w:i/>
          <w:iCs/>
          <w:sz w:val="18"/>
          <w:szCs w:val="18"/>
        </w:rPr>
        <w:t>forthcoming</w:t>
      </w:r>
      <w:r w:rsidR="00F3062F">
        <w:rPr>
          <w:i/>
          <w:iCs/>
          <w:sz w:val="18"/>
          <w:szCs w:val="18"/>
        </w:rPr>
        <w:t>)</w:t>
      </w:r>
      <w:r w:rsidR="00F20279" w:rsidRPr="00F20279">
        <w:rPr>
          <w:sz w:val="18"/>
          <w:szCs w:val="18"/>
        </w:rPr>
        <w:t xml:space="preserve"> </w:t>
      </w:r>
      <w:r w:rsidR="00F20279">
        <w:rPr>
          <w:sz w:val="18"/>
          <w:szCs w:val="18"/>
        </w:rPr>
        <w:t xml:space="preserve">and </w:t>
      </w:r>
      <w:r w:rsidR="00C20E8D">
        <w:rPr>
          <w:sz w:val="18"/>
          <w:szCs w:val="18"/>
        </w:rPr>
        <w:t xml:space="preserve"> EFPIA (2024) </w:t>
      </w:r>
      <w:hyperlink r:id="rId117" w:history="1">
        <w:r w:rsidR="00BD11FD" w:rsidRPr="00BD11FD">
          <w:rPr>
            <w:rStyle w:val="Hyperlink"/>
            <w:sz w:val="18"/>
            <w:szCs w:val="18"/>
          </w:rPr>
          <w:t>assessing-the-clinical-trial-ecosystem-in-europe.pdf</w:t>
        </w:r>
      </w:hyperlink>
    </w:p>
  </w:footnote>
  <w:footnote w:id="202">
    <w:p w14:paraId="5E6767AF" w14:textId="01667E9B" w:rsidR="00677F74" w:rsidRPr="00A3193A" w:rsidRDefault="00677F74" w:rsidP="00A3193A">
      <w:pPr>
        <w:pStyle w:val="FootnoteText"/>
        <w:rPr>
          <w:sz w:val="18"/>
          <w:szCs w:val="18"/>
        </w:rPr>
      </w:pPr>
      <w:r w:rsidRPr="00A3193A">
        <w:rPr>
          <w:rStyle w:val="FootnoteReference"/>
          <w:sz w:val="18"/>
          <w:szCs w:val="18"/>
        </w:rPr>
        <w:footnoteRef/>
      </w:r>
      <w:r w:rsidRPr="00A3193A">
        <w:rPr>
          <w:sz w:val="18"/>
          <w:szCs w:val="18"/>
        </w:rPr>
        <w:t xml:space="preserve"> The </w:t>
      </w:r>
      <w:r w:rsidR="0CEAF181" w:rsidRPr="00A3193A">
        <w:rPr>
          <w:sz w:val="18"/>
          <w:szCs w:val="18"/>
        </w:rPr>
        <w:t>data</w:t>
      </w:r>
      <w:r w:rsidRPr="00A3193A">
        <w:rPr>
          <w:sz w:val="18"/>
          <w:szCs w:val="18"/>
        </w:rPr>
        <w:t xml:space="preserve"> </w:t>
      </w:r>
      <w:r w:rsidR="3977BC5F" w:rsidRPr="00A3193A">
        <w:rPr>
          <w:sz w:val="18"/>
          <w:szCs w:val="18"/>
        </w:rPr>
        <w:t>are</w:t>
      </w:r>
      <w:r w:rsidRPr="00A3193A">
        <w:rPr>
          <w:sz w:val="18"/>
          <w:szCs w:val="18"/>
        </w:rPr>
        <w:t xml:space="preserve"> retrieved from CTIS and represents the estimated </w:t>
      </w:r>
      <w:r w:rsidR="005428BA" w:rsidRPr="00A3193A">
        <w:rPr>
          <w:sz w:val="18"/>
          <w:szCs w:val="18"/>
        </w:rPr>
        <w:t xml:space="preserve">mean </w:t>
      </w:r>
      <w:r w:rsidRPr="00A3193A">
        <w:rPr>
          <w:sz w:val="18"/>
          <w:szCs w:val="18"/>
        </w:rPr>
        <w:t xml:space="preserve">number of participants by year </w:t>
      </w:r>
      <w:r w:rsidRPr="00A3193A">
        <w:rPr>
          <w:color w:val="000000" w:themeColor="text1"/>
          <w:sz w:val="18"/>
          <w:szCs w:val="18"/>
        </w:rPr>
        <w:t xml:space="preserve">of </w:t>
      </w:r>
      <w:r w:rsidR="0EF66264" w:rsidRPr="00A3193A">
        <w:rPr>
          <w:color w:val="000000" w:themeColor="text1"/>
          <w:sz w:val="18"/>
          <w:szCs w:val="18"/>
        </w:rPr>
        <w:t xml:space="preserve">clinical trial </w:t>
      </w:r>
      <w:r w:rsidRPr="00A3193A">
        <w:rPr>
          <w:color w:val="000000" w:themeColor="text1"/>
          <w:sz w:val="18"/>
          <w:szCs w:val="18"/>
        </w:rPr>
        <w:t>authorisation for all initial applications</w:t>
      </w:r>
      <w:r w:rsidR="005428BA" w:rsidRPr="00A3193A">
        <w:rPr>
          <w:color w:val="000000" w:themeColor="text1"/>
          <w:sz w:val="18"/>
          <w:szCs w:val="18"/>
        </w:rPr>
        <w:t xml:space="preserve"> between</w:t>
      </w:r>
      <w:r w:rsidR="00544346" w:rsidRPr="00A3193A">
        <w:rPr>
          <w:color w:val="000000" w:themeColor="text1"/>
          <w:sz w:val="18"/>
          <w:szCs w:val="18"/>
        </w:rPr>
        <w:t xml:space="preserve"> 2023 </w:t>
      </w:r>
      <w:r w:rsidR="005428BA" w:rsidRPr="00A3193A">
        <w:rPr>
          <w:color w:val="000000" w:themeColor="text1"/>
          <w:sz w:val="18"/>
          <w:szCs w:val="18"/>
        </w:rPr>
        <w:t>and</w:t>
      </w:r>
      <w:r w:rsidR="00544346" w:rsidRPr="00A3193A">
        <w:rPr>
          <w:color w:val="000000" w:themeColor="text1"/>
          <w:sz w:val="18"/>
          <w:szCs w:val="18"/>
        </w:rPr>
        <w:t xml:space="preserve"> 2025</w:t>
      </w:r>
      <w:r w:rsidR="00F0295E" w:rsidRPr="00A3193A">
        <w:rPr>
          <w:color w:val="000000" w:themeColor="text1"/>
          <w:sz w:val="18"/>
          <w:szCs w:val="18"/>
        </w:rPr>
        <w:t>.</w:t>
      </w:r>
      <w:r w:rsidR="00544346" w:rsidRPr="00A3193A">
        <w:rPr>
          <w:color w:val="000000" w:themeColor="text1"/>
          <w:sz w:val="18"/>
          <w:szCs w:val="18"/>
        </w:rPr>
        <w:t xml:space="preserve"> </w:t>
      </w:r>
    </w:p>
  </w:footnote>
  <w:footnote w:id="203">
    <w:p w14:paraId="7FCC30B9" w14:textId="5F1ADEEF" w:rsidR="005428BA" w:rsidRPr="00A3193A" w:rsidRDefault="005428BA" w:rsidP="00A3193A">
      <w:pPr>
        <w:pStyle w:val="FootnoteText"/>
        <w:rPr>
          <w:sz w:val="18"/>
          <w:szCs w:val="18"/>
          <w:lang w:val="en-US"/>
        </w:rPr>
      </w:pPr>
      <w:r w:rsidRPr="00A3193A">
        <w:rPr>
          <w:rStyle w:val="FootnoteReference"/>
          <w:sz w:val="18"/>
          <w:szCs w:val="18"/>
        </w:rPr>
        <w:footnoteRef/>
      </w:r>
      <w:r w:rsidRPr="00A3193A">
        <w:rPr>
          <w:sz w:val="18"/>
          <w:szCs w:val="18"/>
        </w:rPr>
        <w:t xml:space="preserve"> </w:t>
      </w:r>
      <w:r w:rsidRPr="00A3193A">
        <w:rPr>
          <w:color w:val="000000" w:themeColor="text1"/>
          <w:sz w:val="18"/>
          <w:szCs w:val="18"/>
          <w:lang w:val="en-US"/>
        </w:rPr>
        <w:t xml:space="preserve">The calculations </w:t>
      </w:r>
      <w:r w:rsidR="0032021A" w:rsidRPr="00A3193A">
        <w:rPr>
          <w:color w:val="000000" w:themeColor="text1"/>
          <w:sz w:val="18"/>
          <w:szCs w:val="18"/>
          <w:lang w:val="en-US"/>
        </w:rPr>
        <w:t>rely</w:t>
      </w:r>
      <w:r w:rsidRPr="00A3193A">
        <w:rPr>
          <w:color w:val="000000" w:themeColor="text1"/>
          <w:sz w:val="18"/>
          <w:szCs w:val="18"/>
          <w:lang w:val="en-US"/>
        </w:rPr>
        <w:t xml:space="preserve"> on the </w:t>
      </w:r>
      <w:r w:rsidRPr="00A3193A">
        <w:rPr>
          <w:b/>
          <w:color w:val="000000" w:themeColor="text1"/>
          <w:sz w:val="18"/>
          <w:szCs w:val="18"/>
          <w:lang w:val="en-US"/>
        </w:rPr>
        <w:t>median</w:t>
      </w:r>
      <w:r w:rsidRPr="00A3193A">
        <w:rPr>
          <w:color w:val="000000" w:themeColor="text1"/>
          <w:sz w:val="18"/>
          <w:szCs w:val="18"/>
          <w:lang w:val="en-US"/>
        </w:rPr>
        <w:t xml:space="preserve"> number of participants in commercial trials (52) and non-commercial trials (78) for 2023</w:t>
      </w:r>
      <w:r w:rsidR="0032021A" w:rsidRPr="00A3193A">
        <w:rPr>
          <w:color w:val="000000" w:themeColor="text1"/>
          <w:sz w:val="18"/>
          <w:szCs w:val="18"/>
          <w:lang w:val="en-US"/>
        </w:rPr>
        <w:t>–</w:t>
      </w:r>
      <w:r w:rsidRPr="00A3193A">
        <w:rPr>
          <w:color w:val="000000" w:themeColor="text1"/>
          <w:sz w:val="18"/>
          <w:szCs w:val="18"/>
          <w:lang w:val="en-US"/>
        </w:rPr>
        <w:t>2025</w:t>
      </w:r>
      <w:r w:rsidR="0032021A" w:rsidRPr="00A3193A">
        <w:rPr>
          <w:color w:val="000000" w:themeColor="text1"/>
          <w:sz w:val="18"/>
          <w:szCs w:val="18"/>
          <w:lang w:val="en-US"/>
        </w:rPr>
        <w:t>,</w:t>
      </w:r>
      <w:r w:rsidRPr="00A3193A">
        <w:rPr>
          <w:color w:val="000000" w:themeColor="text1"/>
          <w:sz w:val="18"/>
          <w:szCs w:val="18"/>
          <w:lang w:val="en-US"/>
        </w:rPr>
        <w:t xml:space="preserve"> rather than </w:t>
      </w:r>
      <w:r w:rsidR="0032021A" w:rsidRPr="00A3193A">
        <w:rPr>
          <w:color w:val="000000" w:themeColor="text1"/>
          <w:sz w:val="18"/>
          <w:szCs w:val="18"/>
          <w:lang w:val="en-US"/>
        </w:rPr>
        <w:t xml:space="preserve">the </w:t>
      </w:r>
      <w:r w:rsidR="0032021A" w:rsidRPr="00A3193A">
        <w:rPr>
          <w:b/>
          <w:color w:val="000000" w:themeColor="text1"/>
          <w:sz w:val="18"/>
          <w:szCs w:val="18"/>
          <w:lang w:val="en-US"/>
        </w:rPr>
        <w:t>mean</w:t>
      </w:r>
      <w:r w:rsidR="0032021A" w:rsidRPr="00A3193A">
        <w:rPr>
          <w:color w:val="000000" w:themeColor="text1"/>
          <w:sz w:val="18"/>
          <w:szCs w:val="18"/>
          <w:lang w:val="en-US"/>
        </w:rPr>
        <w:t>, to mitigate</w:t>
      </w:r>
      <w:r w:rsidRPr="00A3193A">
        <w:rPr>
          <w:color w:val="000000" w:themeColor="text1"/>
          <w:sz w:val="18"/>
          <w:szCs w:val="18"/>
          <w:lang w:val="en-US"/>
        </w:rPr>
        <w:t xml:space="preserve"> bias </w:t>
      </w:r>
      <w:r w:rsidR="0032021A" w:rsidRPr="00A3193A">
        <w:rPr>
          <w:color w:val="000000" w:themeColor="text1"/>
          <w:sz w:val="18"/>
          <w:szCs w:val="18"/>
          <w:lang w:val="en-US"/>
        </w:rPr>
        <w:t>from</w:t>
      </w:r>
      <w:r w:rsidRPr="00A3193A">
        <w:rPr>
          <w:color w:val="000000" w:themeColor="text1"/>
          <w:sz w:val="18"/>
          <w:szCs w:val="18"/>
          <w:lang w:val="en-US"/>
        </w:rPr>
        <w:t xml:space="preserve"> outliers. This </w:t>
      </w:r>
      <w:r w:rsidR="0032021A" w:rsidRPr="00A3193A">
        <w:rPr>
          <w:color w:val="000000" w:themeColor="text1"/>
          <w:sz w:val="18"/>
          <w:szCs w:val="18"/>
          <w:lang w:val="en-US"/>
        </w:rPr>
        <w:t>approach yields</w:t>
      </w:r>
      <w:r w:rsidRPr="00A3193A">
        <w:rPr>
          <w:color w:val="000000" w:themeColor="text1"/>
          <w:sz w:val="18"/>
          <w:szCs w:val="18"/>
          <w:lang w:val="en-US"/>
        </w:rPr>
        <w:t xml:space="preserve"> a more conservative </w:t>
      </w:r>
      <w:r w:rsidR="0032021A" w:rsidRPr="00A3193A">
        <w:rPr>
          <w:color w:val="000000" w:themeColor="text1"/>
          <w:sz w:val="18"/>
          <w:szCs w:val="18"/>
          <w:lang w:val="en-US"/>
        </w:rPr>
        <w:t>estimate</w:t>
      </w:r>
      <w:r w:rsidR="006B67D8" w:rsidRPr="00A3193A">
        <w:rPr>
          <w:color w:val="000000" w:themeColor="text1"/>
          <w:sz w:val="18"/>
          <w:szCs w:val="18"/>
          <w:lang w:val="en-US"/>
        </w:rPr>
        <w:t xml:space="preserve"> than using </w:t>
      </w:r>
      <w:r w:rsidR="00473D8B" w:rsidRPr="00A3193A">
        <w:rPr>
          <w:color w:val="000000" w:themeColor="text1"/>
          <w:sz w:val="18"/>
          <w:szCs w:val="18"/>
          <w:lang w:val="en-US"/>
        </w:rPr>
        <w:t>average</w:t>
      </w:r>
      <w:r w:rsidR="0032021A" w:rsidRPr="00A3193A">
        <w:rPr>
          <w:color w:val="000000" w:themeColor="text1"/>
          <w:sz w:val="18"/>
          <w:szCs w:val="18"/>
          <w:lang w:val="en-US"/>
        </w:rPr>
        <w:t xml:space="preserve"> participant</w:t>
      </w:r>
      <w:r w:rsidR="00473D8B" w:rsidRPr="00A3193A">
        <w:rPr>
          <w:color w:val="000000" w:themeColor="text1"/>
          <w:sz w:val="18"/>
          <w:szCs w:val="18"/>
          <w:lang w:val="en-US"/>
        </w:rPr>
        <w:t xml:space="preserve"> numbers </w:t>
      </w:r>
      <w:r w:rsidR="0032021A" w:rsidRPr="00A3193A">
        <w:rPr>
          <w:color w:val="000000" w:themeColor="text1"/>
          <w:sz w:val="18"/>
          <w:szCs w:val="18"/>
          <w:lang w:val="en-US"/>
        </w:rPr>
        <w:t>(</w:t>
      </w:r>
      <w:r w:rsidR="0015665D" w:rsidRPr="00A3193A">
        <w:rPr>
          <w:color w:val="000000" w:themeColor="text1"/>
          <w:sz w:val="18"/>
          <w:szCs w:val="18"/>
          <w:lang w:val="en-US"/>
        </w:rPr>
        <w:t>108 per commercial trial</w:t>
      </w:r>
      <w:r w:rsidR="0032021A" w:rsidRPr="00A3193A">
        <w:rPr>
          <w:color w:val="000000" w:themeColor="text1"/>
          <w:sz w:val="18"/>
          <w:szCs w:val="18"/>
          <w:lang w:val="en-US"/>
        </w:rPr>
        <w:t xml:space="preserve"> and</w:t>
      </w:r>
      <w:r w:rsidR="0015665D" w:rsidRPr="00A3193A">
        <w:rPr>
          <w:color w:val="000000" w:themeColor="text1"/>
          <w:sz w:val="18"/>
          <w:szCs w:val="18"/>
          <w:lang w:val="en-US"/>
        </w:rPr>
        <w:t xml:space="preserve"> </w:t>
      </w:r>
      <w:r w:rsidR="00D20147" w:rsidRPr="00A3193A">
        <w:rPr>
          <w:color w:val="000000" w:themeColor="text1"/>
          <w:sz w:val="18"/>
          <w:szCs w:val="18"/>
          <w:lang w:val="en-US"/>
        </w:rPr>
        <w:t>257 per non-commercial trial</w:t>
      </w:r>
      <w:r w:rsidR="00473D8B" w:rsidRPr="00A3193A">
        <w:rPr>
          <w:color w:val="000000" w:themeColor="text1"/>
          <w:sz w:val="18"/>
          <w:szCs w:val="18"/>
          <w:lang w:val="en-US"/>
        </w:rPr>
        <w:t>)</w:t>
      </w:r>
      <w:r w:rsidR="00D20147" w:rsidRPr="00A3193A">
        <w:rPr>
          <w:color w:val="000000" w:themeColor="text1"/>
          <w:sz w:val="18"/>
          <w:szCs w:val="18"/>
          <w:lang w:val="en-US"/>
        </w:rPr>
        <w:t>.</w:t>
      </w:r>
    </w:p>
  </w:footnote>
  <w:footnote w:id="204">
    <w:p w14:paraId="076C050F" w14:textId="031D024B" w:rsidR="000F3479" w:rsidRPr="00A3193A" w:rsidRDefault="000F3479" w:rsidP="00A3193A">
      <w:pPr>
        <w:pStyle w:val="FootnoteText"/>
        <w:rPr>
          <w:sz w:val="18"/>
          <w:szCs w:val="18"/>
          <w:lang w:val="sv-SE"/>
        </w:rPr>
      </w:pPr>
      <w:r w:rsidRPr="00A3193A">
        <w:rPr>
          <w:rStyle w:val="FootnoteReference"/>
          <w:sz w:val="18"/>
          <w:szCs w:val="18"/>
        </w:rPr>
        <w:footnoteRef/>
      </w:r>
      <w:r w:rsidRPr="00A3193A">
        <w:rPr>
          <w:sz w:val="18"/>
          <w:szCs w:val="18"/>
          <w:lang w:val="sv-SE"/>
        </w:rPr>
        <w:t xml:space="preserve"> </w:t>
      </w:r>
      <w:r w:rsidR="004D0B3A" w:rsidRPr="00A3193A">
        <w:rPr>
          <w:rFonts w:eastAsia="Arial Narrow"/>
          <w:sz w:val="18"/>
          <w:szCs w:val="18"/>
          <w:lang w:val="sv-SE"/>
        </w:rPr>
        <w:t xml:space="preserve">Regulation (EU) 2019/6, OJ L 4, 7.1.2019, pp. 43–167. ELI: </w:t>
      </w:r>
      <w:hyperlink r:id="rId118" w:history="1">
        <w:r w:rsidR="004D0B3A" w:rsidRPr="00A3193A">
          <w:rPr>
            <w:rStyle w:val="Hyperlink"/>
            <w:sz w:val="18"/>
            <w:szCs w:val="18"/>
            <w:lang w:val="sv-SE"/>
          </w:rPr>
          <w:t>http://data.europa.eu/eli/reg/2019/6/oj</w:t>
        </w:r>
      </w:hyperlink>
      <w:r w:rsidR="004D0B3A" w:rsidRPr="00A3193A">
        <w:rPr>
          <w:sz w:val="18"/>
          <w:szCs w:val="18"/>
          <w:lang w:val="sv-SE"/>
        </w:rPr>
        <w:t>.</w:t>
      </w:r>
    </w:p>
  </w:footnote>
  <w:footnote w:id="205">
    <w:p w14:paraId="560AB22A" w14:textId="517F81E7" w:rsidR="000F3479" w:rsidRPr="00A3193A" w:rsidRDefault="000F3479" w:rsidP="00A3193A">
      <w:pPr>
        <w:pStyle w:val="FootnoteText"/>
        <w:rPr>
          <w:sz w:val="18"/>
          <w:szCs w:val="18"/>
          <w:lang w:val="sv-SE"/>
        </w:rPr>
      </w:pPr>
      <w:r w:rsidRPr="00A3193A">
        <w:rPr>
          <w:rStyle w:val="FootnoteReference"/>
          <w:sz w:val="18"/>
          <w:szCs w:val="18"/>
        </w:rPr>
        <w:footnoteRef/>
      </w:r>
      <w:r w:rsidRPr="00A3193A">
        <w:rPr>
          <w:sz w:val="18"/>
          <w:szCs w:val="18"/>
          <w:lang w:val="sv-SE"/>
        </w:rPr>
        <w:t xml:space="preserve"> </w:t>
      </w:r>
      <w:r w:rsidR="004D0B3A" w:rsidRPr="00A3193A">
        <w:rPr>
          <w:rFonts w:eastAsia="Arial Narrow"/>
          <w:sz w:val="18"/>
          <w:szCs w:val="18"/>
          <w:lang w:val="sv-SE"/>
        </w:rPr>
        <w:t xml:space="preserve">Regulation (EU) 2024/1938, OJ L, 2024/1938, 17.7.2024. ELI: </w:t>
      </w:r>
      <w:hyperlink r:id="rId119" w:tooltip="Gives access to this document through its ELI URI." w:history="1">
        <w:r w:rsidR="004D0B3A" w:rsidRPr="00A3193A">
          <w:rPr>
            <w:rStyle w:val="Hyperlink"/>
            <w:sz w:val="18"/>
            <w:szCs w:val="18"/>
            <w:lang w:val="sv-SE"/>
          </w:rPr>
          <w:t>http://data.europa.eu/eli/reg/2024/1938/oj</w:t>
        </w:r>
      </w:hyperlink>
      <w:r w:rsidR="004D0B3A" w:rsidRPr="00A3193A">
        <w:rPr>
          <w:sz w:val="18"/>
          <w:szCs w:val="18"/>
          <w:lang w:val="sv-SE"/>
        </w:rPr>
        <w:t>.</w:t>
      </w:r>
    </w:p>
  </w:footnote>
  <w:footnote w:id="206">
    <w:p w14:paraId="20595641" w14:textId="399CAE63" w:rsidR="00535C6C" w:rsidRPr="00A3193A" w:rsidRDefault="00535C6C" w:rsidP="00A3193A">
      <w:pPr>
        <w:pStyle w:val="FootnoteText"/>
        <w:rPr>
          <w:sz w:val="18"/>
          <w:szCs w:val="18"/>
        </w:rPr>
      </w:pPr>
      <w:r w:rsidRPr="00A3193A">
        <w:rPr>
          <w:rStyle w:val="FootnoteReference"/>
          <w:sz w:val="18"/>
          <w:szCs w:val="18"/>
        </w:rPr>
        <w:footnoteRef/>
      </w:r>
      <w:r w:rsidRPr="00A3193A">
        <w:rPr>
          <w:sz w:val="18"/>
          <w:szCs w:val="18"/>
        </w:rPr>
        <w:t xml:space="preserve"> </w:t>
      </w:r>
      <w:r w:rsidRPr="00A3193A">
        <w:rPr>
          <w:sz w:val="18"/>
          <w:szCs w:val="18"/>
          <w:lang w:val="en-IE"/>
        </w:rPr>
        <w:t xml:space="preserve">Rapid Assessment Scenario study, </w:t>
      </w:r>
      <w:r w:rsidR="00293007" w:rsidRPr="00A3193A">
        <w:rPr>
          <w:sz w:val="18"/>
          <w:szCs w:val="18"/>
          <w:lang w:val="en-IE"/>
        </w:rPr>
        <w:t xml:space="preserve">assuming </w:t>
      </w:r>
      <w:r w:rsidR="00293007" w:rsidRPr="00A3193A">
        <w:rPr>
          <w:sz w:val="18"/>
          <w:szCs w:val="18"/>
        </w:rPr>
        <w:t>that currently, a share of SoHO activities is not pursued for authorisation due to exceedingly high costs of evidence generation and/or difficulty reaching full compliance. However, this share could not be estimated.</w:t>
      </w:r>
    </w:p>
  </w:footnote>
  <w:footnote w:id="207">
    <w:p w14:paraId="15A13122" w14:textId="43CB7FFE" w:rsidR="00FC46A2" w:rsidRPr="0053782F" w:rsidRDefault="00FC46A2" w:rsidP="00A3193A">
      <w:pPr>
        <w:pStyle w:val="FootnoteText"/>
        <w:rPr>
          <w:sz w:val="18"/>
          <w:szCs w:val="18"/>
          <w:lang w:val="fr-FR"/>
        </w:rPr>
      </w:pPr>
      <w:r w:rsidRPr="00A3193A">
        <w:rPr>
          <w:rStyle w:val="FootnoteReference"/>
          <w:sz w:val="18"/>
          <w:szCs w:val="18"/>
        </w:rPr>
        <w:footnoteRef/>
      </w:r>
      <w:r w:rsidRPr="00A3193A">
        <w:rPr>
          <w:sz w:val="18"/>
          <w:szCs w:val="18"/>
        </w:rPr>
        <w:t xml:space="preserve"> </w:t>
      </w:r>
      <w:r w:rsidRPr="00A3193A">
        <w:rPr>
          <w:sz w:val="18"/>
          <w:szCs w:val="18"/>
          <w:lang w:val="en-IE"/>
        </w:rPr>
        <w:t xml:space="preserve">Rapid Assessment Scenario study based on: </w:t>
      </w:r>
      <w:r w:rsidRPr="00A3193A">
        <w:rPr>
          <w:sz w:val="18"/>
          <w:szCs w:val="18"/>
        </w:rPr>
        <w:t xml:space="preserve">Medicines and Healthcare products Regulatory Agency. </w:t>
      </w:r>
      <w:r w:rsidRPr="00A3193A">
        <w:rPr>
          <w:sz w:val="18"/>
          <w:szCs w:val="18"/>
          <w:lang w:val="fr-BE"/>
        </w:rPr>
        <w:t xml:space="preserve">(2025). </w:t>
      </w:r>
      <w:r w:rsidRPr="00A3193A">
        <w:rPr>
          <w:i/>
          <w:sz w:val="18"/>
          <w:szCs w:val="18"/>
          <w:lang w:val="fr-BE"/>
        </w:rPr>
        <w:t>AI Airlock sandbox pilot programme: Report</w:t>
      </w:r>
      <w:r w:rsidRPr="00A3193A">
        <w:rPr>
          <w:sz w:val="18"/>
          <w:szCs w:val="18"/>
          <w:lang w:val="fr-BE"/>
        </w:rPr>
        <w:t xml:space="preserve">. UK Government. </w:t>
      </w:r>
      <w:hyperlink r:id="rId120" w:history="1">
        <w:r w:rsidR="00D36AF8" w:rsidRPr="00D36AF8">
          <w:rPr>
            <w:rStyle w:val="Hyperlink"/>
            <w:sz w:val="18"/>
            <w:szCs w:val="18"/>
            <w:lang w:val="fr-BE"/>
          </w:rPr>
          <w:t>https://assets.publishing.service.gov.uk/media/68ee1fb88427701993d5e02c/AI_Airlock_Sandbox_Programme_Report._Final.pdf</w:t>
        </w:r>
      </w:hyperlink>
      <w:r w:rsidRPr="00D36AF8">
        <w:rPr>
          <w:sz w:val="18"/>
          <w:szCs w:val="18"/>
          <w:lang w:val="fr-BE"/>
        </w:rPr>
        <w:t xml:space="preserve"> and Commission nationale de l’informatique et des libertés. </w:t>
      </w:r>
      <w:r w:rsidRPr="00A3193A">
        <w:rPr>
          <w:sz w:val="18"/>
          <w:szCs w:val="18"/>
          <w:lang w:val="fr-BE"/>
        </w:rPr>
        <w:t xml:space="preserve">(2022). </w:t>
      </w:r>
      <w:r w:rsidRPr="00A3193A">
        <w:rPr>
          <w:i/>
          <w:sz w:val="18"/>
          <w:szCs w:val="18"/>
          <w:lang w:val="fr-BE"/>
        </w:rPr>
        <w:t xml:space="preserve">Dossier de presse : Bilan 2021 et enjeux 2022. </w:t>
      </w:r>
      <w:hyperlink r:id="rId121" w:history="1">
        <w:r w:rsidRPr="0053782F">
          <w:rPr>
            <w:rStyle w:val="Hyperlink"/>
            <w:sz w:val="18"/>
            <w:szCs w:val="18"/>
            <w:lang w:val="fr-FR"/>
          </w:rPr>
          <w:t>https://www.cnil.fr/sites/default/files/atoms/files/dossier_de_presse_cnil_bilan_2021_et_enjeux_2022_vf.pdf</w:t>
        </w:r>
      </w:hyperlink>
      <w:r w:rsidR="00D36AF8" w:rsidRPr="0053782F">
        <w:rPr>
          <w:sz w:val="18"/>
          <w:szCs w:val="18"/>
          <w:lang w:val="fr-FR"/>
        </w:rPr>
        <w:t>.</w:t>
      </w:r>
    </w:p>
  </w:footnote>
  <w:footnote w:id="208">
    <w:p w14:paraId="5ECA34DE" w14:textId="1AB6FF6F" w:rsidR="00613BD6" w:rsidRPr="00A3193A" w:rsidRDefault="00613BD6" w:rsidP="00A3193A">
      <w:pPr>
        <w:pStyle w:val="FootnoteText"/>
        <w:rPr>
          <w:sz w:val="18"/>
          <w:szCs w:val="18"/>
          <w:lang w:val="en-IE"/>
        </w:rPr>
      </w:pPr>
      <w:r w:rsidRPr="00A3193A">
        <w:rPr>
          <w:rStyle w:val="FootnoteReference"/>
          <w:sz w:val="18"/>
          <w:szCs w:val="18"/>
        </w:rPr>
        <w:footnoteRef/>
      </w:r>
      <w:r w:rsidRPr="00A3193A">
        <w:rPr>
          <w:sz w:val="18"/>
          <w:szCs w:val="18"/>
        </w:rPr>
        <w:t xml:space="preserve"> </w:t>
      </w:r>
      <w:r w:rsidRPr="00A3193A">
        <w:rPr>
          <w:sz w:val="18"/>
          <w:szCs w:val="18"/>
          <w:lang w:val="en-IE"/>
        </w:rPr>
        <w:t>Rapid Assessment Scenario Study, based on assumptions provided by the European Commission.</w:t>
      </w:r>
    </w:p>
  </w:footnote>
  <w:footnote w:id="209">
    <w:p w14:paraId="00791B02" w14:textId="0AEAE1E9" w:rsidR="003D334C" w:rsidRPr="00A3193A" w:rsidRDefault="003D334C" w:rsidP="00A3193A">
      <w:pPr>
        <w:pStyle w:val="FootnoteText"/>
        <w:rPr>
          <w:sz w:val="18"/>
          <w:szCs w:val="18"/>
        </w:rPr>
      </w:pPr>
      <w:r w:rsidRPr="00A3193A">
        <w:rPr>
          <w:rStyle w:val="FootnoteReference"/>
          <w:sz w:val="18"/>
          <w:szCs w:val="18"/>
        </w:rPr>
        <w:footnoteRef/>
      </w:r>
      <w:r w:rsidRPr="00A3193A">
        <w:rPr>
          <w:sz w:val="18"/>
          <w:szCs w:val="18"/>
        </w:rPr>
        <w:t xml:space="preserve"> Rapid Assessment Scenario Study, based on </w:t>
      </w:r>
      <w:hyperlink r:id="rId122" w:history="1">
        <w:r w:rsidRPr="00A3193A">
          <w:rPr>
            <w:rStyle w:val="Hyperlink"/>
            <w:sz w:val="18"/>
            <w:szCs w:val="18"/>
          </w:rPr>
          <w:t>SWD(2022) 190 final</w:t>
        </w:r>
      </w:hyperlink>
      <w:r w:rsidRPr="00A3193A">
        <w:rPr>
          <w:sz w:val="18"/>
          <w:szCs w:val="18"/>
        </w:rPr>
        <w:t>.</w:t>
      </w:r>
    </w:p>
  </w:footnote>
  <w:footnote w:id="210">
    <w:p w14:paraId="0F6B3F7E" w14:textId="40CA7540" w:rsidR="00D374D3" w:rsidRPr="00A3193A" w:rsidRDefault="00D374D3" w:rsidP="00A3193A">
      <w:pPr>
        <w:pStyle w:val="FootnoteText"/>
        <w:rPr>
          <w:sz w:val="18"/>
          <w:szCs w:val="18"/>
          <w:lang w:val="en-IE"/>
        </w:rPr>
      </w:pPr>
      <w:r w:rsidRPr="00A3193A">
        <w:rPr>
          <w:rStyle w:val="FootnoteReference"/>
          <w:sz w:val="18"/>
          <w:szCs w:val="18"/>
        </w:rPr>
        <w:footnoteRef/>
      </w:r>
      <w:r w:rsidRPr="00A3193A">
        <w:rPr>
          <w:sz w:val="18"/>
          <w:szCs w:val="18"/>
        </w:rPr>
        <w:t xml:space="preserve"> </w:t>
      </w:r>
      <w:r w:rsidRPr="00A3193A">
        <w:rPr>
          <w:sz w:val="18"/>
          <w:szCs w:val="18"/>
          <w:lang w:val="en-IE"/>
        </w:rPr>
        <w:t>Rapid Assessment Scenario Study, based on stakeholder consultation (interview)</w:t>
      </w:r>
      <w:r w:rsidR="00D36AF8">
        <w:rPr>
          <w:sz w:val="18"/>
          <w:szCs w:val="18"/>
          <w:lang w:val="en-IE"/>
        </w:rPr>
        <w:t>.</w:t>
      </w:r>
    </w:p>
  </w:footnote>
  <w:footnote w:id="211">
    <w:p w14:paraId="7361EB6B" w14:textId="73B848EC" w:rsidR="000F3479" w:rsidRPr="00817A9D" w:rsidRDefault="000F3479" w:rsidP="00A3193A">
      <w:pPr>
        <w:pStyle w:val="FootnoteText"/>
        <w:rPr>
          <w:sz w:val="18"/>
          <w:szCs w:val="18"/>
          <w:lang w:val="en-IE"/>
        </w:rPr>
      </w:pPr>
      <w:r w:rsidRPr="00A3193A">
        <w:rPr>
          <w:rStyle w:val="FootnoteReference"/>
          <w:sz w:val="18"/>
          <w:szCs w:val="18"/>
        </w:rPr>
        <w:footnoteRef/>
      </w:r>
      <w:r w:rsidRPr="00443C31">
        <w:rPr>
          <w:sz w:val="18"/>
          <w:szCs w:val="18"/>
          <w:lang w:val="en-IE"/>
        </w:rPr>
        <w:t xml:space="preserve"> </w:t>
      </w:r>
      <w:r w:rsidR="00B2680E" w:rsidRPr="00443C31">
        <w:rPr>
          <w:rFonts w:eastAsia="Arial Narrow"/>
          <w:sz w:val="18"/>
          <w:szCs w:val="18"/>
          <w:lang w:val="en-IE"/>
        </w:rPr>
        <w:t xml:space="preserve">Directive 2001/18/EC, OJ L 106, 17.4.2001, pp. 1–39. </w:t>
      </w:r>
      <w:r w:rsidR="00B2680E" w:rsidRPr="00817A9D">
        <w:rPr>
          <w:rFonts w:eastAsia="Arial Narrow"/>
          <w:sz w:val="18"/>
          <w:szCs w:val="18"/>
          <w:lang w:val="en-IE"/>
        </w:rPr>
        <w:t xml:space="preserve">ELI: </w:t>
      </w:r>
      <w:hyperlink r:id="rId123" w:history="1">
        <w:r w:rsidR="00B2680E" w:rsidRPr="00817A9D">
          <w:rPr>
            <w:rStyle w:val="Hyperlink"/>
            <w:sz w:val="18"/>
            <w:szCs w:val="18"/>
            <w:lang w:val="en-IE"/>
          </w:rPr>
          <w:t>http://data.europa.eu/eli/dir/2001/18/oj</w:t>
        </w:r>
      </w:hyperlink>
      <w:r w:rsidR="00D36AF8" w:rsidRPr="00817A9D">
        <w:rPr>
          <w:sz w:val="18"/>
          <w:szCs w:val="18"/>
          <w:lang w:val="en-IE"/>
        </w:rPr>
        <w:t>.</w:t>
      </w:r>
    </w:p>
  </w:footnote>
  <w:footnote w:id="212">
    <w:p w14:paraId="49720A45" w14:textId="238A8F6B" w:rsidR="00A135D2" w:rsidRPr="00443C31" w:rsidRDefault="00A135D2" w:rsidP="00A3193A">
      <w:pPr>
        <w:pStyle w:val="FootnoteText"/>
        <w:rPr>
          <w:sz w:val="18"/>
          <w:szCs w:val="18"/>
          <w:lang w:val="en-IE"/>
        </w:rPr>
      </w:pPr>
      <w:r w:rsidRPr="00A3193A">
        <w:rPr>
          <w:rStyle w:val="FootnoteReference"/>
          <w:sz w:val="18"/>
          <w:szCs w:val="18"/>
        </w:rPr>
        <w:footnoteRef/>
      </w:r>
      <w:r w:rsidRPr="00443C31">
        <w:rPr>
          <w:sz w:val="18"/>
          <w:szCs w:val="18"/>
          <w:lang w:val="en-IE"/>
        </w:rPr>
        <w:t xml:space="preserve"> </w:t>
      </w:r>
      <w:r w:rsidR="00B729A1" w:rsidRPr="00443C31">
        <w:rPr>
          <w:sz w:val="18"/>
          <w:szCs w:val="18"/>
          <w:lang w:val="en-IE"/>
        </w:rPr>
        <w:t>Consolidated text: Directive 2010/53/EU</w:t>
      </w:r>
      <w:r w:rsidR="001253EC" w:rsidRPr="00443C31">
        <w:rPr>
          <w:sz w:val="18"/>
          <w:szCs w:val="18"/>
          <w:lang w:val="en-IE"/>
        </w:rPr>
        <w:t>,</w:t>
      </w:r>
      <w:r w:rsidR="009E21EE" w:rsidRPr="00443C31">
        <w:rPr>
          <w:sz w:val="18"/>
          <w:szCs w:val="18"/>
          <w:lang w:val="en-IE"/>
        </w:rPr>
        <w:t xml:space="preserve"> ELI: </w:t>
      </w:r>
      <w:hyperlink r:id="rId124" w:history="1">
        <w:r w:rsidR="00EC2C94" w:rsidRPr="00443C31">
          <w:rPr>
            <w:rStyle w:val="Hyperlink"/>
            <w:sz w:val="18"/>
            <w:szCs w:val="18"/>
            <w:lang w:val="en-IE"/>
          </w:rPr>
          <w:t>http://data.europa.eu/eli/dir/2010/53/2010-08-06</w:t>
        </w:r>
      </w:hyperlink>
      <w:r w:rsidR="00D36AF8">
        <w:rPr>
          <w:sz w:val="18"/>
          <w:szCs w:val="18"/>
        </w:rPr>
        <w:t>.</w:t>
      </w:r>
      <w:r w:rsidR="00EC2C94" w:rsidRPr="00443C31">
        <w:rPr>
          <w:sz w:val="18"/>
          <w:szCs w:val="18"/>
          <w:lang w:val="en-IE"/>
        </w:rPr>
        <w:t xml:space="preserve"> </w:t>
      </w:r>
    </w:p>
  </w:footnote>
  <w:footnote w:id="213">
    <w:p w14:paraId="15F9DCED" w14:textId="7DD4382B" w:rsidR="00286C31" w:rsidRPr="00443C31" w:rsidRDefault="00286C31">
      <w:pPr>
        <w:pStyle w:val="FootnoteText"/>
        <w:rPr>
          <w:sz w:val="18"/>
          <w:szCs w:val="18"/>
        </w:rPr>
      </w:pPr>
      <w:r w:rsidRPr="00443C31">
        <w:rPr>
          <w:rStyle w:val="FootnoteReference"/>
          <w:sz w:val="18"/>
          <w:szCs w:val="18"/>
        </w:rPr>
        <w:footnoteRef/>
      </w:r>
      <w:r w:rsidRPr="00443C31">
        <w:rPr>
          <w:sz w:val="18"/>
          <w:szCs w:val="18"/>
        </w:rPr>
        <w:t xml:space="preserve"> The proposal sets out five types of high impact projects. For the purpose of th</w:t>
      </w:r>
      <w:r w:rsidR="00464510">
        <w:rPr>
          <w:sz w:val="18"/>
          <w:szCs w:val="18"/>
        </w:rPr>
        <w:t>e</w:t>
      </w:r>
      <w:r w:rsidRPr="00443C31">
        <w:rPr>
          <w:sz w:val="18"/>
          <w:szCs w:val="18"/>
        </w:rPr>
        <w:t xml:space="preserve"> analysis</w:t>
      </w:r>
      <w:r w:rsidR="00464510">
        <w:rPr>
          <w:sz w:val="18"/>
          <w:szCs w:val="18"/>
        </w:rPr>
        <w:t xml:space="preserve"> in this section</w:t>
      </w:r>
      <w:r w:rsidRPr="00443C31">
        <w:rPr>
          <w:sz w:val="18"/>
          <w:szCs w:val="18"/>
        </w:rPr>
        <w:t xml:space="preserve">, two of these project categories (biotechnology development accelerators - trusted testing or demonstration facilities with state-of-the-art equipment and staff – and centres of excellence for advanced therapies) are </w:t>
      </w:r>
      <w:r w:rsidR="00464510">
        <w:rPr>
          <w:sz w:val="18"/>
          <w:szCs w:val="18"/>
        </w:rPr>
        <w:t xml:space="preserve">taken into </w:t>
      </w:r>
      <w:r w:rsidRPr="00443C31">
        <w:rPr>
          <w:sz w:val="18"/>
          <w:szCs w:val="18"/>
        </w:rPr>
        <w:t>consider</w:t>
      </w:r>
      <w:r w:rsidR="00464510">
        <w:rPr>
          <w:sz w:val="18"/>
          <w:szCs w:val="18"/>
        </w:rPr>
        <w:t>ation</w:t>
      </w:r>
      <w:r w:rsidRPr="00443C31">
        <w:rPr>
          <w:sz w:val="18"/>
          <w:szCs w:val="18"/>
        </w:rPr>
        <w:t>, while three others (concerning access to finance, AI-enabled biotechnology in</w:t>
      </w:r>
      <w:r w:rsidR="00464510">
        <w:rPr>
          <w:sz w:val="18"/>
          <w:szCs w:val="18"/>
        </w:rPr>
        <w:t>n</w:t>
      </w:r>
      <w:r w:rsidRPr="00443C31">
        <w:rPr>
          <w:sz w:val="18"/>
          <w:szCs w:val="18"/>
        </w:rPr>
        <w:t>ovation and biodefence) are considered under the respective intervention area</w:t>
      </w:r>
      <w:r w:rsidR="00464510">
        <w:rPr>
          <w:sz w:val="18"/>
          <w:szCs w:val="18"/>
        </w:rPr>
        <w:t>s, namely Interventions 14, 15 and 17</w:t>
      </w:r>
      <w:r w:rsidRPr="00443C31">
        <w:rPr>
          <w:sz w:val="18"/>
          <w:szCs w:val="18"/>
        </w:rPr>
        <w:t>.</w:t>
      </w:r>
    </w:p>
  </w:footnote>
  <w:footnote w:id="214">
    <w:p w14:paraId="0FDE670F" w14:textId="6EFFF23B" w:rsidR="007E68BB" w:rsidRPr="00A3193A" w:rsidRDefault="007E68BB" w:rsidP="00A3193A">
      <w:pPr>
        <w:pStyle w:val="FootnoteText"/>
        <w:rPr>
          <w:sz w:val="18"/>
          <w:szCs w:val="18"/>
        </w:rPr>
      </w:pPr>
      <w:r w:rsidRPr="00A3193A">
        <w:rPr>
          <w:rStyle w:val="FootnoteReference"/>
          <w:sz w:val="18"/>
          <w:szCs w:val="18"/>
        </w:rPr>
        <w:footnoteRef/>
      </w:r>
      <w:r w:rsidRPr="00A3193A">
        <w:rPr>
          <w:sz w:val="18"/>
          <w:szCs w:val="18"/>
        </w:rPr>
        <w:t xml:space="preserve"> See Commission SWD on establishing a framework of measures for strengthening Europe’s Net Zero Industry Act</w:t>
      </w:r>
      <w:r w:rsidR="00B94BA6" w:rsidRPr="00A3193A">
        <w:rPr>
          <w:sz w:val="18"/>
          <w:szCs w:val="18"/>
        </w:rPr>
        <w:t>: COM(2023) 219 final</w:t>
      </w:r>
      <w:r w:rsidR="00F301AB" w:rsidRPr="00A3193A">
        <w:rPr>
          <w:sz w:val="18"/>
          <w:szCs w:val="18"/>
        </w:rPr>
        <w:t xml:space="preserve"> (</w:t>
      </w:r>
      <w:hyperlink r:id="rId125" w:history="1">
        <w:r w:rsidR="00F301AB" w:rsidRPr="00A3193A">
          <w:rPr>
            <w:rStyle w:val="Hyperlink"/>
            <w:sz w:val="18"/>
            <w:szCs w:val="18"/>
          </w:rPr>
          <w:t>https://single-market-economy.ec.europa.eu/publications/net-zero-industry-act_en</w:t>
        </w:r>
      </w:hyperlink>
      <w:r w:rsidR="00F301AB" w:rsidRPr="00625829">
        <w:rPr>
          <w:sz w:val="18"/>
          <w:szCs w:val="18"/>
        </w:rPr>
        <w:t>)</w:t>
      </w:r>
      <w:r w:rsidR="00625829">
        <w:rPr>
          <w:sz w:val="18"/>
          <w:szCs w:val="18"/>
        </w:rPr>
        <w:t>.</w:t>
      </w:r>
    </w:p>
  </w:footnote>
  <w:footnote w:id="215">
    <w:p w14:paraId="3EB9905B" w14:textId="690C63AD" w:rsidR="00586370" w:rsidRPr="00A3193A" w:rsidRDefault="00586370" w:rsidP="00A3193A">
      <w:pPr>
        <w:pStyle w:val="FootnoteText"/>
        <w:rPr>
          <w:sz w:val="18"/>
          <w:szCs w:val="18"/>
          <w:lang w:val="en-IE"/>
        </w:rPr>
      </w:pPr>
      <w:r w:rsidRPr="00A3193A">
        <w:rPr>
          <w:rStyle w:val="FootnoteReference"/>
          <w:sz w:val="18"/>
          <w:szCs w:val="18"/>
        </w:rPr>
        <w:footnoteRef/>
      </w:r>
      <w:r w:rsidRPr="00A3193A">
        <w:rPr>
          <w:sz w:val="18"/>
          <w:szCs w:val="18"/>
        </w:rPr>
        <w:t xml:space="preserve"> E.g. </w:t>
      </w:r>
      <w:r w:rsidR="005A2237" w:rsidRPr="005A2237">
        <w:rPr>
          <w:sz w:val="18"/>
          <w:szCs w:val="18"/>
        </w:rPr>
        <w:t>projects recognised under Union frameworks with explicit strategic project provisions, such as those established by the Net Zero Industry Act and the Critical Raw Materials Act, as well as earlier coordinated frameworks such as</w:t>
      </w:r>
      <w:r w:rsidRPr="00A3193A">
        <w:rPr>
          <w:sz w:val="18"/>
          <w:szCs w:val="18"/>
        </w:rPr>
        <w:t xml:space="preserve"> the first Union list of energy Projects of Common Interest (PCIs) and Projects of Mutual Interest (PMIs) comprising 166 projects and approved IPCEIs in the microelectronics value chain comprising 100 projects across 14 Member States</w:t>
      </w:r>
      <w:r w:rsidR="000D7B16" w:rsidRPr="00A3193A">
        <w:rPr>
          <w:sz w:val="18"/>
          <w:szCs w:val="18"/>
        </w:rPr>
        <w:t xml:space="preserve">. </w:t>
      </w:r>
      <w:r w:rsidR="009205D8" w:rsidRPr="00A3193A">
        <w:rPr>
          <w:sz w:val="18"/>
          <w:szCs w:val="18"/>
        </w:rPr>
        <w:t>While the scale of such projects is influenced by Member State participation, fiscal capacity and policy priorities, they remain informative as to the potential scale of coordinated project pipelines. The ranges presented here are therefore illustrative</w:t>
      </w:r>
      <w:r w:rsidR="00940D80" w:rsidRPr="00A3193A">
        <w:rPr>
          <w:sz w:val="18"/>
          <w:szCs w:val="18"/>
        </w:rPr>
        <w:t xml:space="preserve"> and adapted to the specific design and incentives of the present measure.</w:t>
      </w:r>
    </w:p>
  </w:footnote>
  <w:footnote w:id="216">
    <w:p w14:paraId="372946BE" w14:textId="77501094" w:rsidR="003D39D3" w:rsidRPr="00443C31" w:rsidRDefault="003D39D3">
      <w:pPr>
        <w:pStyle w:val="FootnoteText"/>
        <w:rPr>
          <w:sz w:val="18"/>
          <w:szCs w:val="18"/>
          <w:lang w:val="en-IE"/>
        </w:rPr>
      </w:pPr>
      <w:r w:rsidRPr="00443C31">
        <w:rPr>
          <w:rStyle w:val="FootnoteReference"/>
          <w:sz w:val="18"/>
          <w:szCs w:val="18"/>
        </w:rPr>
        <w:footnoteRef/>
      </w:r>
      <w:r w:rsidRPr="00443C31">
        <w:rPr>
          <w:sz w:val="18"/>
          <w:szCs w:val="18"/>
        </w:rPr>
        <w:t xml:space="preserve"> Evidence from the EIC Business Acceleration Services demonstrates that structured matchmaking can generate measurable outcomes (over 20,000 meetings, 595 deals, EUR 350 million raised since 2021). On time-to-market, EMA data indicates that applicant-side clock-stops represent a substantial portion of total procedure time (198 days average vs 204 days assessment time in 2023), with 42</w:t>
      </w:r>
      <w:r w:rsidR="00405618">
        <w:rPr>
          <w:sz w:val="18"/>
          <w:szCs w:val="18"/>
        </w:rPr>
        <w:t>%</w:t>
      </w:r>
      <w:r w:rsidRPr="00443C31">
        <w:rPr>
          <w:sz w:val="18"/>
          <w:szCs w:val="18"/>
        </w:rPr>
        <w:t xml:space="preserve"> of applicants requesting extensions due to immature data. By helping SMEs come better prepared to interactions with regulatory bodies, the Support Network could address submission readiness gaps that contribute to these delays.</w:t>
      </w:r>
    </w:p>
  </w:footnote>
  <w:footnote w:id="217">
    <w:p w14:paraId="70B55009" w14:textId="24A0DC09" w:rsidR="00625E4B" w:rsidRPr="00443C31" w:rsidRDefault="00625E4B">
      <w:pPr>
        <w:pStyle w:val="FootnoteText"/>
        <w:rPr>
          <w:sz w:val="18"/>
          <w:szCs w:val="18"/>
          <w:lang w:val="en-IE"/>
        </w:rPr>
      </w:pPr>
      <w:r w:rsidRPr="00443C31">
        <w:rPr>
          <w:rStyle w:val="FootnoteReference"/>
          <w:sz w:val="18"/>
          <w:szCs w:val="18"/>
        </w:rPr>
        <w:footnoteRef/>
      </w:r>
      <w:r w:rsidRPr="00443C31">
        <w:rPr>
          <w:sz w:val="18"/>
          <w:szCs w:val="18"/>
        </w:rPr>
        <w:t xml:space="preserve"> This comparability is ensured through common selection criteria set by the Commission, standardised service functions, and EU-level coordination via the Steering Group and strategic mapping, which together support consistent service delivery across Member States.</w:t>
      </w:r>
      <w:r w:rsidR="00C13FB2">
        <w:rPr>
          <w:sz w:val="18"/>
          <w:szCs w:val="18"/>
        </w:rPr>
        <w:t xml:space="preserve"> See Rapid Assessment Study – forthcoming – for further elaboration.</w:t>
      </w:r>
    </w:p>
  </w:footnote>
  <w:footnote w:id="218">
    <w:p w14:paraId="57B37A04" w14:textId="13C915F0" w:rsidR="003D3CB5" w:rsidRPr="00443C31" w:rsidRDefault="003D3CB5">
      <w:pPr>
        <w:pStyle w:val="FootnoteText"/>
        <w:rPr>
          <w:sz w:val="18"/>
          <w:szCs w:val="18"/>
          <w:lang w:val="en-IE"/>
        </w:rPr>
      </w:pPr>
      <w:r w:rsidRPr="00443C31">
        <w:rPr>
          <w:rStyle w:val="FootnoteReference"/>
          <w:sz w:val="18"/>
          <w:szCs w:val="18"/>
        </w:rPr>
        <w:footnoteRef/>
      </w:r>
      <w:r w:rsidRPr="00443C31">
        <w:rPr>
          <w:sz w:val="18"/>
          <w:szCs w:val="18"/>
        </w:rPr>
        <w:t xml:space="preserve"> Evidence from the ECCP Cluster Panorama and sector comparators (e.g., Silicon Europe with 2,500+ companies) supports the potential of cluster structures to facilitate cross-border consortia.</w:t>
      </w:r>
    </w:p>
  </w:footnote>
  <w:footnote w:id="219">
    <w:p w14:paraId="198BC178" w14:textId="6BEADB75" w:rsidR="00FB64C3" w:rsidRPr="00443C31" w:rsidRDefault="00FB64C3">
      <w:pPr>
        <w:pStyle w:val="FootnoteText"/>
        <w:rPr>
          <w:sz w:val="18"/>
          <w:szCs w:val="18"/>
        </w:rPr>
      </w:pPr>
      <w:r w:rsidRPr="00443C31">
        <w:rPr>
          <w:rStyle w:val="FootnoteReference"/>
          <w:sz w:val="18"/>
          <w:szCs w:val="18"/>
        </w:rPr>
        <w:footnoteRef/>
      </w:r>
      <w:r w:rsidRPr="00443C31">
        <w:rPr>
          <w:sz w:val="18"/>
          <w:szCs w:val="18"/>
        </w:rPr>
        <w:t xml:space="preserve"> See Annex 7 and relevant sections of the Rapid Assessment Study – forthcoming for further elabora</w:t>
      </w:r>
      <w:r w:rsidR="00A3743C" w:rsidRPr="00443C31">
        <w:rPr>
          <w:sz w:val="18"/>
          <w:szCs w:val="18"/>
        </w:rPr>
        <w:t xml:space="preserve">tion on the </w:t>
      </w:r>
      <w:r w:rsidR="00261FD9" w:rsidRPr="00443C31">
        <w:rPr>
          <w:sz w:val="18"/>
          <w:szCs w:val="18"/>
        </w:rPr>
        <w:t>calculations of impacts</w:t>
      </w:r>
    </w:p>
  </w:footnote>
  <w:footnote w:id="220">
    <w:p w14:paraId="712263C8" w14:textId="024D49FD" w:rsidR="56AD877F" w:rsidRPr="00A3193A" w:rsidRDefault="56AD877F" w:rsidP="00A3193A">
      <w:pPr>
        <w:spacing w:after="0"/>
        <w:rPr>
          <w:rFonts w:eastAsia="Times New Roman"/>
          <w:sz w:val="18"/>
          <w:szCs w:val="18"/>
        </w:rPr>
      </w:pPr>
      <w:r w:rsidRPr="00A3193A">
        <w:rPr>
          <w:sz w:val="18"/>
          <w:szCs w:val="18"/>
          <w:vertAlign w:val="superscript"/>
        </w:rPr>
        <w:footnoteRef/>
      </w:r>
      <w:r w:rsidRPr="00A3193A">
        <w:rPr>
          <w:sz w:val="18"/>
          <w:szCs w:val="18"/>
        </w:rPr>
        <w:t xml:space="preserve"> </w:t>
      </w:r>
      <w:hyperlink r:id="rId126" w:history="1">
        <w:r w:rsidRPr="00A3193A">
          <w:rPr>
            <w:rStyle w:val="Hyperlink"/>
            <w:rFonts w:eastAsia="Times New Roman"/>
            <w:sz w:val="18"/>
            <w:szCs w:val="18"/>
          </w:rPr>
          <w:t>Reflection paper on a tailored clinical approach in biosimilar development</w:t>
        </w:r>
      </w:hyperlink>
      <w:r w:rsidR="00C14ED2">
        <w:rPr>
          <w:sz w:val="18"/>
          <w:szCs w:val="18"/>
        </w:rPr>
        <w:t>.</w:t>
      </w:r>
    </w:p>
  </w:footnote>
  <w:footnote w:id="221">
    <w:p w14:paraId="6B178663" w14:textId="225425A4" w:rsidR="1AFABB25" w:rsidRPr="00A3193A" w:rsidRDefault="1AFABB25" w:rsidP="00A3193A">
      <w:pPr>
        <w:spacing w:after="0"/>
        <w:rPr>
          <w:rStyle w:val="Hyperlink"/>
          <w:rFonts w:eastAsia="Times New Roman"/>
          <w:sz w:val="18"/>
          <w:szCs w:val="18"/>
        </w:rPr>
      </w:pPr>
      <w:r w:rsidRPr="00A3193A">
        <w:rPr>
          <w:sz w:val="18"/>
          <w:szCs w:val="18"/>
          <w:vertAlign w:val="superscript"/>
        </w:rPr>
        <w:footnoteRef/>
      </w:r>
      <w:r w:rsidR="24FAFC04" w:rsidRPr="00A3193A">
        <w:rPr>
          <w:sz w:val="18"/>
          <w:szCs w:val="18"/>
        </w:rPr>
        <w:t xml:space="preserve"> </w:t>
      </w:r>
      <w:r w:rsidR="24FAFC04" w:rsidRPr="00A3193A">
        <w:rPr>
          <w:rFonts w:eastAsia="Palatino Linotype"/>
          <w:color w:val="353332"/>
          <w:sz w:val="18"/>
          <w:szCs w:val="18"/>
        </w:rPr>
        <w:t xml:space="preserve">Ranbhor, R., &amp; Kulkarni, P. (2026). Net present value impact of FDA's Phase 3 waivers on monoclonal antibody biosimilar development programs. </w:t>
      </w:r>
      <w:r w:rsidR="24FAFC04" w:rsidRPr="00A3193A">
        <w:rPr>
          <w:rFonts w:eastAsia="Palatino Linotype"/>
          <w:i/>
          <w:color w:val="353332"/>
          <w:sz w:val="18"/>
          <w:szCs w:val="18"/>
        </w:rPr>
        <w:t>Biosimilars and Targeted Therapy</w:t>
      </w:r>
      <w:r w:rsidR="24FAFC04" w:rsidRPr="00A3193A">
        <w:rPr>
          <w:rFonts w:eastAsia="Palatino Linotype"/>
          <w:color w:val="353332"/>
          <w:sz w:val="18"/>
          <w:szCs w:val="18"/>
        </w:rPr>
        <w:t xml:space="preserve">. </w:t>
      </w:r>
      <w:hyperlink r:id="rId127" w:history="1">
        <w:r w:rsidR="24FAFC04" w:rsidRPr="00A3193A">
          <w:rPr>
            <w:rStyle w:val="Hyperlink"/>
            <w:rFonts w:eastAsia="Times New Roman"/>
            <w:sz w:val="18"/>
            <w:szCs w:val="18"/>
          </w:rPr>
          <w:t>https://www.dovepress.com/net-present-value-impact-of-fdas-phase-3-waivers-on-monoclonal-antibod-peer-reviewed-fulltext-article-BTT</w:t>
        </w:r>
      </w:hyperlink>
      <w:r w:rsidR="00952B08">
        <w:rPr>
          <w:sz w:val="18"/>
          <w:szCs w:val="18"/>
        </w:rPr>
        <w:t>.</w:t>
      </w:r>
    </w:p>
  </w:footnote>
  <w:footnote w:id="222">
    <w:p w14:paraId="4EFD6046" w14:textId="7A9A8588" w:rsidR="19F1F2E8" w:rsidRPr="00817A9D" w:rsidRDefault="19F1F2E8" w:rsidP="00A3193A">
      <w:pPr>
        <w:spacing w:after="0"/>
        <w:rPr>
          <w:rStyle w:val="Hyperlink"/>
          <w:rFonts w:eastAsia="Times New Roman"/>
          <w:sz w:val="18"/>
          <w:szCs w:val="18"/>
          <w:lang w:val="it-IT"/>
        </w:rPr>
      </w:pPr>
      <w:r w:rsidRPr="00A3193A">
        <w:rPr>
          <w:sz w:val="18"/>
          <w:szCs w:val="18"/>
          <w:vertAlign w:val="superscript"/>
        </w:rPr>
        <w:footnoteRef/>
      </w:r>
      <w:r w:rsidR="325870EA" w:rsidRPr="00A3193A">
        <w:rPr>
          <w:sz w:val="18"/>
          <w:szCs w:val="18"/>
          <w:vertAlign w:val="superscript"/>
        </w:rPr>
        <w:t xml:space="preserve"> </w:t>
      </w:r>
      <w:r w:rsidR="325870EA" w:rsidRPr="00A3193A">
        <w:rPr>
          <w:rFonts w:eastAsia="Palatino Linotype"/>
          <w:color w:val="353332"/>
          <w:sz w:val="18"/>
          <w:szCs w:val="18"/>
        </w:rPr>
        <w:t xml:space="preserve">Moore, T. J., Mouslim, M. C., Blunt, J. L., Alexander, G. C., &amp; Shermock, K. M. (2020). Assessment of availability, clinical testing, and US Food and Drug Administration review of biosimilar biologic products. </w:t>
      </w:r>
      <w:r w:rsidR="325870EA" w:rsidRPr="00817A9D">
        <w:rPr>
          <w:rFonts w:eastAsia="Palatino Linotype"/>
          <w:i/>
          <w:color w:val="353332"/>
          <w:sz w:val="18"/>
          <w:szCs w:val="18"/>
          <w:lang w:val="it-IT"/>
        </w:rPr>
        <w:t>JAMA Internal Medicine, 181</w:t>
      </w:r>
      <w:r w:rsidR="325870EA" w:rsidRPr="00817A9D">
        <w:rPr>
          <w:rFonts w:eastAsia="Palatino Linotype"/>
          <w:color w:val="353332"/>
          <w:sz w:val="18"/>
          <w:szCs w:val="18"/>
          <w:lang w:val="it-IT"/>
        </w:rPr>
        <w:t xml:space="preserve">(1), 52–60. </w:t>
      </w:r>
      <w:hyperlink r:id="rId128" w:history="1">
        <w:r w:rsidR="325870EA" w:rsidRPr="00817A9D">
          <w:rPr>
            <w:rStyle w:val="Hyperlink"/>
            <w:rFonts w:eastAsia="Times New Roman"/>
            <w:sz w:val="18"/>
            <w:szCs w:val="18"/>
            <w:lang w:val="it-IT"/>
          </w:rPr>
          <w:t>https://doi.org/10.1001/jamainternmed.2020.3997</w:t>
        </w:r>
      </w:hyperlink>
      <w:r w:rsidR="00952B08" w:rsidRPr="00817A9D">
        <w:rPr>
          <w:sz w:val="18"/>
          <w:szCs w:val="18"/>
          <w:lang w:val="it-IT"/>
        </w:rPr>
        <w:t>.</w:t>
      </w:r>
    </w:p>
  </w:footnote>
  <w:footnote w:id="223">
    <w:p w14:paraId="397A20BD" w14:textId="46C44C94" w:rsidR="6DC30C9D" w:rsidRPr="00A3193A" w:rsidRDefault="6DC30C9D" w:rsidP="00A3193A">
      <w:pPr>
        <w:spacing w:after="0"/>
        <w:rPr>
          <w:rStyle w:val="Hyperlink"/>
          <w:rFonts w:eastAsia="Times New Roman"/>
          <w:sz w:val="18"/>
          <w:szCs w:val="18"/>
        </w:rPr>
      </w:pPr>
      <w:r w:rsidRPr="00A3193A">
        <w:rPr>
          <w:sz w:val="18"/>
          <w:szCs w:val="18"/>
          <w:vertAlign w:val="superscript"/>
        </w:rPr>
        <w:footnoteRef/>
      </w:r>
      <w:r w:rsidRPr="00817A9D">
        <w:rPr>
          <w:sz w:val="18"/>
          <w:szCs w:val="18"/>
          <w:lang w:val="it-IT"/>
        </w:rPr>
        <w:t xml:space="preserve"> </w:t>
      </w:r>
      <w:r w:rsidRPr="00817A9D">
        <w:rPr>
          <w:rFonts w:eastAsia="Palatino Linotype"/>
          <w:color w:val="353332"/>
          <w:sz w:val="18"/>
          <w:szCs w:val="18"/>
          <w:lang w:val="it-IT"/>
        </w:rPr>
        <w:t xml:space="preserve">Ranbhor, R., &amp; Kulkarni, P. (2026). </w:t>
      </w:r>
      <w:r w:rsidRPr="00A3193A">
        <w:rPr>
          <w:rFonts w:eastAsia="Palatino Linotype"/>
          <w:color w:val="353332"/>
          <w:sz w:val="18"/>
          <w:szCs w:val="18"/>
        </w:rPr>
        <w:t xml:space="preserve">Net present value impact of FDA's Phase 3 waivers on monoclonal antibody biosimilar development programs. </w:t>
      </w:r>
      <w:r w:rsidRPr="00A3193A">
        <w:rPr>
          <w:rFonts w:eastAsia="Palatino Linotype"/>
          <w:i/>
          <w:color w:val="353332"/>
          <w:sz w:val="18"/>
          <w:szCs w:val="18"/>
        </w:rPr>
        <w:t>Biosimilars and Targeted Therapy.</w:t>
      </w:r>
      <w:r w:rsidRPr="00A3193A">
        <w:rPr>
          <w:rFonts w:eastAsia="Palatino Linotype"/>
          <w:color w:val="353332"/>
          <w:sz w:val="18"/>
          <w:szCs w:val="18"/>
        </w:rPr>
        <w:t xml:space="preserve"> </w:t>
      </w:r>
      <w:hyperlink r:id="rId129" w:history="1">
        <w:r w:rsidRPr="00A3193A">
          <w:rPr>
            <w:rStyle w:val="Hyperlink"/>
            <w:rFonts w:eastAsia="Times New Roman"/>
            <w:sz w:val="18"/>
            <w:szCs w:val="18"/>
          </w:rPr>
          <w:t>https://www.dovepress.com/net-present-value-impact-of-fdas-phase-3-waivers-on-monoclonal-antibod-peer-reviewed-fulltext-article-BTT</w:t>
        </w:r>
      </w:hyperlink>
      <w:r w:rsidR="00952B08">
        <w:rPr>
          <w:sz w:val="18"/>
          <w:szCs w:val="18"/>
        </w:rPr>
        <w:t>.</w:t>
      </w:r>
    </w:p>
  </w:footnote>
  <w:footnote w:id="224">
    <w:p w14:paraId="4596526E" w14:textId="197DDB0F" w:rsidR="00D12332" w:rsidRPr="00A3193A" w:rsidRDefault="00D12332" w:rsidP="00A3193A">
      <w:pPr>
        <w:pStyle w:val="FootnoteText"/>
        <w:rPr>
          <w:sz w:val="18"/>
          <w:szCs w:val="18"/>
          <w:lang w:val="en-IE"/>
        </w:rPr>
      </w:pPr>
      <w:r w:rsidRPr="00A3193A">
        <w:rPr>
          <w:rStyle w:val="FootnoteReference"/>
          <w:sz w:val="18"/>
          <w:szCs w:val="18"/>
        </w:rPr>
        <w:footnoteRef/>
      </w:r>
      <w:r w:rsidRPr="00A3193A">
        <w:rPr>
          <w:sz w:val="18"/>
          <w:szCs w:val="18"/>
        </w:rPr>
        <w:t xml:space="preserve"> </w:t>
      </w:r>
      <w:r w:rsidR="002C14AF" w:rsidRPr="00A3193A">
        <w:rPr>
          <w:sz w:val="18"/>
          <w:szCs w:val="18"/>
        </w:rPr>
        <w:t xml:space="preserve">Of the 27 MAAs </w:t>
      </w:r>
      <w:r w:rsidRPr="00A3193A">
        <w:rPr>
          <w:rFonts w:eastAsia="Times New Roman"/>
          <w:sz w:val="18"/>
          <w:szCs w:val="18"/>
        </w:rPr>
        <w:t xml:space="preserve">25 </w:t>
      </w:r>
      <w:r w:rsidR="002C14AF" w:rsidRPr="00A3193A">
        <w:rPr>
          <w:rFonts w:eastAsia="Times New Roman"/>
          <w:sz w:val="18"/>
          <w:szCs w:val="18"/>
        </w:rPr>
        <w:t>were</w:t>
      </w:r>
      <w:r w:rsidRPr="00A3193A">
        <w:rPr>
          <w:rFonts w:eastAsia="Times New Roman"/>
          <w:sz w:val="18"/>
          <w:szCs w:val="18"/>
        </w:rPr>
        <w:t xml:space="preserve"> authorised and 2 withdrawn or refused; source: EMA Medicines Database, 2026</w:t>
      </w:r>
      <w:r w:rsidR="00952B08">
        <w:rPr>
          <w:rFonts w:eastAsia="Times New Roman"/>
          <w:sz w:val="18"/>
          <w:szCs w:val="18"/>
        </w:rPr>
        <w:t>.</w:t>
      </w:r>
    </w:p>
  </w:footnote>
  <w:footnote w:id="225">
    <w:p w14:paraId="60C4C42E" w14:textId="20CBA033" w:rsidR="05EC79B0" w:rsidRPr="00A3193A" w:rsidRDefault="05EC79B0" w:rsidP="00A3193A">
      <w:pPr>
        <w:spacing w:after="0"/>
        <w:rPr>
          <w:sz w:val="18"/>
          <w:szCs w:val="18"/>
        </w:rPr>
      </w:pPr>
      <w:r w:rsidRPr="00A3193A">
        <w:rPr>
          <w:sz w:val="18"/>
          <w:szCs w:val="18"/>
          <w:vertAlign w:val="superscript"/>
        </w:rPr>
        <w:footnoteRef/>
      </w:r>
      <w:r w:rsidRPr="00A3193A">
        <w:rPr>
          <w:sz w:val="18"/>
          <w:szCs w:val="18"/>
        </w:rPr>
        <w:t xml:space="preserve"> </w:t>
      </w:r>
      <w:r w:rsidRPr="00A3193A">
        <w:rPr>
          <w:rFonts w:eastAsia="Palatino Linotype"/>
          <w:color w:val="353332"/>
          <w:sz w:val="18"/>
          <w:szCs w:val="18"/>
        </w:rPr>
        <w:t xml:space="preserve">European Medicines Agency. (2026). </w:t>
      </w:r>
      <w:r w:rsidRPr="00A3193A">
        <w:rPr>
          <w:rFonts w:eastAsia="Palatino Linotype"/>
          <w:i/>
          <w:color w:val="353332"/>
          <w:sz w:val="18"/>
          <w:szCs w:val="18"/>
        </w:rPr>
        <w:t>Medicines output report</w:t>
      </w:r>
      <w:r w:rsidRPr="00A3193A">
        <w:rPr>
          <w:rFonts w:eastAsia="Palatino Linotype"/>
          <w:color w:val="353332"/>
          <w:sz w:val="18"/>
          <w:szCs w:val="18"/>
        </w:rPr>
        <w:t xml:space="preserve"> [dataset]. Retrieved 2 March 2026 from </w:t>
      </w:r>
      <w:hyperlink r:id="rId130" w:history="1">
        <w:r w:rsidRPr="00A3193A">
          <w:rPr>
            <w:rStyle w:val="Hyperlink"/>
            <w:rFonts w:eastAsia="Times New Roman"/>
            <w:sz w:val="18"/>
            <w:szCs w:val="18"/>
          </w:rPr>
          <w:t>https://www.ema.europa.eu/en/medicines/download-medicine-data</w:t>
        </w:r>
      </w:hyperlink>
      <w:r w:rsidR="001F449A" w:rsidRPr="00A3193A">
        <w:rPr>
          <w:rFonts w:eastAsia="Palatino Linotype"/>
          <w:color w:val="353332"/>
          <w:sz w:val="18"/>
          <w:szCs w:val="18"/>
          <w:lang w:val="en-US"/>
        </w:rPr>
        <w:t>;</w:t>
      </w:r>
      <w:r w:rsidRPr="00A3193A">
        <w:rPr>
          <w:rFonts w:eastAsia="Palatino Linotype"/>
          <w:color w:val="353332"/>
          <w:sz w:val="18"/>
          <w:szCs w:val="18"/>
          <w:lang w:val="en-US"/>
        </w:rPr>
        <w:t xml:space="preserve"> </w:t>
      </w:r>
      <w:r w:rsidRPr="00A3193A">
        <w:rPr>
          <w:rFonts w:eastAsia="Palatino Linotype"/>
          <w:color w:val="353332"/>
          <w:sz w:val="18"/>
          <w:szCs w:val="18"/>
        </w:rPr>
        <w:t xml:space="preserve">European Medicines Agency. (2025). </w:t>
      </w:r>
      <w:r w:rsidRPr="00A3193A">
        <w:rPr>
          <w:rFonts w:eastAsia="Palatino Linotype"/>
          <w:i/>
          <w:color w:val="353332"/>
          <w:sz w:val="18"/>
          <w:szCs w:val="18"/>
        </w:rPr>
        <w:t>Annual report 2024.</w:t>
      </w:r>
      <w:r w:rsidRPr="00A3193A">
        <w:rPr>
          <w:rFonts w:eastAsia="Palatino Linotype"/>
          <w:color w:val="353332"/>
          <w:sz w:val="18"/>
          <w:szCs w:val="18"/>
        </w:rPr>
        <w:t xml:space="preserve"> Publications Office of the European Union. </w:t>
      </w:r>
      <w:hyperlink r:id="rId131" w:history="1">
        <w:r w:rsidRPr="00A3193A">
          <w:rPr>
            <w:rStyle w:val="Hyperlink"/>
            <w:rFonts w:eastAsia="Times New Roman"/>
            <w:sz w:val="18"/>
            <w:szCs w:val="18"/>
          </w:rPr>
          <w:t>https://doi.org/10.2809/7433636</w:t>
        </w:r>
      </w:hyperlink>
      <w:r w:rsidR="00952B08">
        <w:rPr>
          <w:sz w:val="18"/>
          <w:szCs w:val="18"/>
        </w:rPr>
        <w:t>.</w:t>
      </w:r>
    </w:p>
  </w:footnote>
  <w:footnote w:id="226">
    <w:p w14:paraId="484E814E" w14:textId="5CF2E70B" w:rsidR="00760B88" w:rsidRPr="00A3193A" w:rsidRDefault="00760B88" w:rsidP="00A3193A">
      <w:pPr>
        <w:pStyle w:val="FootnoteText"/>
        <w:rPr>
          <w:sz w:val="18"/>
          <w:szCs w:val="18"/>
        </w:rPr>
      </w:pPr>
      <w:r w:rsidRPr="00A3193A">
        <w:rPr>
          <w:rStyle w:val="FootnoteReference"/>
          <w:sz w:val="18"/>
          <w:szCs w:val="18"/>
        </w:rPr>
        <w:footnoteRef/>
      </w:r>
      <w:r w:rsidRPr="00A3193A">
        <w:rPr>
          <w:sz w:val="18"/>
          <w:szCs w:val="18"/>
        </w:rPr>
        <w:t xml:space="preserve"> </w:t>
      </w:r>
      <w:r w:rsidR="004E2DC8" w:rsidRPr="00A3193A">
        <w:rPr>
          <w:sz w:val="18"/>
          <w:szCs w:val="18"/>
        </w:rPr>
        <w:t xml:space="preserve">The share of </w:t>
      </w:r>
      <w:r w:rsidR="00D74FE8" w:rsidRPr="00A3193A">
        <w:rPr>
          <w:sz w:val="18"/>
          <w:szCs w:val="18"/>
        </w:rPr>
        <w:t>E</w:t>
      </w:r>
      <w:r w:rsidR="004E2DC8" w:rsidRPr="00A3193A">
        <w:rPr>
          <w:sz w:val="18"/>
          <w:szCs w:val="18"/>
        </w:rPr>
        <w:t xml:space="preserve">uropean investment into biosimilar </w:t>
      </w:r>
      <w:r w:rsidR="3045D831" w:rsidRPr="00A3193A">
        <w:rPr>
          <w:sz w:val="18"/>
          <w:szCs w:val="18"/>
        </w:rPr>
        <w:t>development,</w:t>
      </w:r>
      <w:r w:rsidR="004E2DC8" w:rsidRPr="00A3193A">
        <w:rPr>
          <w:sz w:val="18"/>
          <w:szCs w:val="18"/>
        </w:rPr>
        <w:t xml:space="preserve"> </w:t>
      </w:r>
      <w:r w:rsidR="00D74FE8" w:rsidRPr="00A3193A">
        <w:rPr>
          <w:sz w:val="18"/>
          <w:szCs w:val="18"/>
        </w:rPr>
        <w:t xml:space="preserve">which is not allocated to CES, </w:t>
      </w:r>
      <w:r w:rsidR="3045D831" w:rsidRPr="00A3193A">
        <w:rPr>
          <w:sz w:val="18"/>
          <w:szCs w:val="18"/>
        </w:rPr>
        <w:t>which in</w:t>
      </w:r>
      <w:r w:rsidR="00D74FE8" w:rsidRPr="00A3193A">
        <w:rPr>
          <w:sz w:val="18"/>
          <w:szCs w:val="18"/>
        </w:rPr>
        <w:t xml:space="preserve"> turns makes up for the 70</w:t>
      </w:r>
      <w:r w:rsidR="00405618">
        <w:rPr>
          <w:sz w:val="18"/>
          <w:szCs w:val="18"/>
        </w:rPr>
        <w:t>%</w:t>
      </w:r>
      <w:r w:rsidR="00D74FE8" w:rsidRPr="00A3193A">
        <w:rPr>
          <w:sz w:val="18"/>
          <w:szCs w:val="18"/>
        </w:rPr>
        <w:t xml:space="preserve"> as outlined above.</w:t>
      </w:r>
    </w:p>
  </w:footnote>
  <w:footnote w:id="227">
    <w:p w14:paraId="4025D057" w14:textId="2112506E" w:rsidR="1FB66770" w:rsidRPr="00A3193A" w:rsidRDefault="1FB66770" w:rsidP="00A3193A">
      <w:pPr>
        <w:spacing w:after="0"/>
        <w:rPr>
          <w:sz w:val="18"/>
          <w:szCs w:val="18"/>
        </w:rPr>
      </w:pPr>
      <w:r w:rsidRPr="00A3193A">
        <w:rPr>
          <w:sz w:val="18"/>
          <w:szCs w:val="18"/>
          <w:vertAlign w:val="superscript"/>
        </w:rPr>
        <w:footnoteRef/>
      </w:r>
      <w:r w:rsidRPr="00A3193A">
        <w:rPr>
          <w:sz w:val="18"/>
          <w:szCs w:val="18"/>
        </w:rPr>
        <w:t xml:space="preserve"> </w:t>
      </w:r>
      <w:r w:rsidRPr="00443C31">
        <w:rPr>
          <w:rFonts w:eastAsiaTheme="minorEastAsia"/>
          <w:sz w:val="18"/>
          <w:szCs w:val="18"/>
        </w:rPr>
        <w:t>Approximately 100 biological medicines are expected to lose exclusivity in Europe by 2032. However, 79</w:t>
      </w:r>
      <w:r w:rsidR="00405618">
        <w:rPr>
          <w:rFonts w:eastAsiaTheme="minorEastAsia"/>
          <w:sz w:val="18"/>
          <w:szCs w:val="18"/>
        </w:rPr>
        <w:t>%</w:t>
      </w:r>
      <w:r w:rsidRPr="00443C31">
        <w:rPr>
          <w:rFonts w:eastAsiaTheme="minorEastAsia"/>
          <w:sz w:val="18"/>
          <w:szCs w:val="18"/>
        </w:rPr>
        <w:t xml:space="preserve"> currently have no biosimilars in development, and only 10</w:t>
      </w:r>
      <w:r w:rsidR="00405618">
        <w:rPr>
          <w:rFonts w:eastAsiaTheme="minorEastAsia"/>
          <w:sz w:val="18"/>
          <w:szCs w:val="18"/>
        </w:rPr>
        <w:t>%</w:t>
      </w:r>
      <w:r w:rsidRPr="00443C31">
        <w:rPr>
          <w:rFonts w:eastAsiaTheme="minorEastAsia"/>
          <w:sz w:val="18"/>
          <w:szCs w:val="18"/>
        </w:rPr>
        <w:t xml:space="preserve"> of biologics nearing loss of exclusivity are likely to face biosimilar competition in Europe when accounting for the geographic footprint of clinical trials (IQVIA, 2026). The void is concentrated in biologics with projected global sales below USD 100 million, where current development costs remain prohibitive.</w:t>
      </w:r>
    </w:p>
  </w:footnote>
  <w:footnote w:id="228">
    <w:p w14:paraId="459135E7" w14:textId="78D0F2E7" w:rsidR="1FB66770" w:rsidRPr="00443C31" w:rsidRDefault="1FB66770" w:rsidP="00A3193A">
      <w:pPr>
        <w:spacing w:after="0"/>
        <w:rPr>
          <w:rStyle w:val="Hyperlink"/>
          <w:rFonts w:eastAsia="Times New Roman"/>
        </w:rPr>
      </w:pPr>
      <w:r w:rsidRPr="00A3193A">
        <w:rPr>
          <w:sz w:val="18"/>
          <w:szCs w:val="18"/>
          <w:vertAlign w:val="superscript"/>
        </w:rPr>
        <w:footnoteRef/>
      </w:r>
      <w:r w:rsidRPr="00A3193A">
        <w:rPr>
          <w:sz w:val="18"/>
          <w:szCs w:val="18"/>
        </w:rPr>
        <w:t xml:space="preserve"> </w:t>
      </w:r>
      <w:r w:rsidR="007640F3" w:rsidRPr="001F05A0">
        <w:rPr>
          <w:sz w:val="18"/>
          <w:szCs w:val="18"/>
        </w:rPr>
        <w:t xml:space="preserve">IQVIA, </w:t>
      </w:r>
      <w:r w:rsidR="007640F3" w:rsidRPr="00945BA5">
        <w:rPr>
          <w:sz w:val="18"/>
          <w:szCs w:val="18"/>
        </w:rPr>
        <w:t>The Impact of Biosimilar Competition in Europe</w:t>
      </w:r>
      <w:r w:rsidR="007640F3" w:rsidRPr="00D635D0">
        <w:rPr>
          <w:sz w:val="18"/>
          <w:szCs w:val="18"/>
        </w:rPr>
        <w:t>,</w:t>
      </w:r>
      <w:r w:rsidR="007640F3" w:rsidRPr="001F05A0">
        <w:rPr>
          <w:sz w:val="18"/>
          <w:szCs w:val="18"/>
        </w:rPr>
        <w:t xml:space="preserve"> 2026</w:t>
      </w:r>
      <w:r w:rsidR="007640F3">
        <w:rPr>
          <w:sz w:val="18"/>
          <w:szCs w:val="18"/>
        </w:rPr>
        <w:t xml:space="preserve">, </w:t>
      </w:r>
      <w:hyperlink r:id="rId132">
        <w:r w:rsidRPr="00443C31">
          <w:rPr>
            <w:rStyle w:val="Hyperlink"/>
            <w:rFonts w:eastAsia="Times New Roman"/>
            <w:sz w:val="18"/>
            <w:szCs w:val="18"/>
          </w:rPr>
          <w:t>iqvia-the-impact-of-biosimilar-competition-in-europe-2026-01-26-forweb.pdf</w:t>
        </w:r>
      </w:hyperlink>
      <w:r w:rsidR="00E1567E" w:rsidRPr="00443C31">
        <w:rPr>
          <w:rStyle w:val="Hyperlink"/>
          <w:rFonts w:eastAsia="Times New Roman"/>
        </w:rPr>
        <w:t>.</w:t>
      </w:r>
    </w:p>
  </w:footnote>
  <w:footnote w:id="229">
    <w:p w14:paraId="1CE64EA3" w14:textId="54E13062" w:rsidR="36BF9CFA" w:rsidRPr="00A3193A" w:rsidRDefault="36BF9CFA" w:rsidP="00A3193A">
      <w:pPr>
        <w:spacing w:after="0"/>
        <w:rPr>
          <w:rStyle w:val="Hyperlink"/>
          <w:rFonts w:eastAsia="Palatino Linotype"/>
          <w:color w:val="209EB5"/>
          <w:sz w:val="18"/>
          <w:szCs w:val="18"/>
          <w:u w:val="none"/>
        </w:rPr>
      </w:pPr>
      <w:r w:rsidRPr="00A3193A">
        <w:rPr>
          <w:sz w:val="18"/>
          <w:szCs w:val="18"/>
          <w:vertAlign w:val="superscript"/>
        </w:rPr>
        <w:footnoteRef/>
      </w:r>
      <w:r w:rsidR="007640F3">
        <w:rPr>
          <w:sz w:val="18"/>
          <w:szCs w:val="18"/>
        </w:rPr>
        <w:t xml:space="preserve"> </w:t>
      </w:r>
      <w:r w:rsidR="007640F3" w:rsidRPr="001F05A0">
        <w:rPr>
          <w:sz w:val="18"/>
          <w:szCs w:val="18"/>
        </w:rPr>
        <w:t xml:space="preserve">IQVIA, </w:t>
      </w:r>
      <w:r w:rsidR="007640F3" w:rsidRPr="00945BA5">
        <w:rPr>
          <w:sz w:val="18"/>
          <w:szCs w:val="18"/>
        </w:rPr>
        <w:t>The Impact of Biosimilar Competition in Europe</w:t>
      </w:r>
      <w:r w:rsidR="007640F3" w:rsidRPr="00D635D0">
        <w:rPr>
          <w:sz w:val="18"/>
          <w:szCs w:val="18"/>
        </w:rPr>
        <w:t>,</w:t>
      </w:r>
      <w:r w:rsidR="007640F3" w:rsidRPr="001F05A0">
        <w:rPr>
          <w:sz w:val="18"/>
          <w:szCs w:val="18"/>
        </w:rPr>
        <w:t xml:space="preserve"> 2026</w:t>
      </w:r>
      <w:r w:rsidR="007640F3">
        <w:rPr>
          <w:sz w:val="18"/>
          <w:szCs w:val="18"/>
        </w:rPr>
        <w:t xml:space="preserve">, </w:t>
      </w:r>
      <w:hyperlink r:id="rId133" w:history="1">
        <w:r w:rsidRPr="00443C31">
          <w:rPr>
            <w:rStyle w:val="Hyperlink"/>
            <w:rFonts w:eastAsia="Times New Roman"/>
            <w:sz w:val="18"/>
            <w:szCs w:val="18"/>
          </w:rPr>
          <w:t>iqvia-the-impact-of-biosimilar-competition-in-europe-2026-01-26-forweb.pdf</w:t>
        </w:r>
      </w:hyperlink>
      <w:r w:rsidR="00E1567E" w:rsidRPr="00443C31">
        <w:rPr>
          <w:rStyle w:val="Hyperlink"/>
          <w:rFonts w:eastAsia="Times New Roman"/>
        </w:rPr>
        <w:t>.</w:t>
      </w:r>
    </w:p>
  </w:footnote>
  <w:footnote w:id="230">
    <w:p w14:paraId="39DF2665" w14:textId="02562C19" w:rsidR="006A2E02" w:rsidRPr="00ED7B32" w:rsidRDefault="006A2E02">
      <w:pPr>
        <w:pStyle w:val="FootnoteText"/>
      </w:pPr>
      <w:r>
        <w:rPr>
          <w:rStyle w:val="FootnoteReference"/>
        </w:rPr>
        <w:footnoteRef/>
      </w:r>
      <w:r>
        <w:t xml:space="preserve"> </w:t>
      </w:r>
      <w:hyperlink r:id="rId134" w:history="1">
        <w:r w:rsidR="008D66AC" w:rsidRPr="00A84B99">
          <w:rPr>
            <w:rStyle w:val="Hyperlink"/>
          </w:rPr>
          <w:t>https://www.medicinesforeurope.com/biosimilar-medicines/who-we-are/</w:t>
        </w:r>
      </w:hyperlink>
      <w:r w:rsidR="008D66AC">
        <w:t xml:space="preserve"> .</w:t>
      </w:r>
    </w:p>
  </w:footnote>
  <w:footnote w:id="231">
    <w:p w14:paraId="12BB44F8" w14:textId="0306F45B" w:rsidR="4231E136" w:rsidRPr="00A3193A" w:rsidRDefault="4231E136" w:rsidP="00A3193A">
      <w:pPr>
        <w:spacing w:after="0"/>
        <w:rPr>
          <w:rFonts w:eastAsia="Times New Roman"/>
          <w:sz w:val="18"/>
          <w:szCs w:val="18"/>
        </w:rPr>
      </w:pPr>
      <w:r w:rsidRPr="00A3193A">
        <w:rPr>
          <w:sz w:val="18"/>
          <w:szCs w:val="18"/>
          <w:vertAlign w:val="superscript"/>
        </w:rPr>
        <w:footnoteRef/>
      </w:r>
      <w:r w:rsidRPr="00A3193A">
        <w:rPr>
          <w:sz w:val="18"/>
          <w:szCs w:val="18"/>
        </w:rPr>
        <w:t xml:space="preserve"> </w:t>
      </w:r>
      <w:r w:rsidR="000C4A0A" w:rsidRPr="00BD7F39">
        <w:rPr>
          <w:sz w:val="18"/>
          <w:szCs w:val="18"/>
        </w:rPr>
        <w:t>Medicines For Europe factsheet</w:t>
      </w:r>
      <w:r w:rsidR="000C4A0A">
        <w:rPr>
          <w:sz w:val="18"/>
          <w:szCs w:val="18"/>
        </w:rPr>
        <w:t>:</w:t>
      </w:r>
      <w:r w:rsidR="000C4A0A">
        <w:t xml:space="preserve"> </w:t>
      </w:r>
      <w:hyperlink r:id="rId135" w:history="1">
        <w:r w:rsidRPr="00A3193A">
          <w:rPr>
            <w:rStyle w:val="Hyperlink"/>
            <w:rFonts w:eastAsia="Times New Roman"/>
            <w:sz w:val="18"/>
            <w:szCs w:val="18"/>
          </w:rPr>
          <w:t>Pillar 1-2-3-4-FOOTPRINT-SPC-Biotech-Act-facsheets-ppt.cdr</w:t>
        </w:r>
      </w:hyperlink>
      <w:r w:rsidR="00460C46">
        <w:rPr>
          <w:sz w:val="18"/>
          <w:szCs w:val="18"/>
        </w:rPr>
        <w:t>.</w:t>
      </w:r>
    </w:p>
  </w:footnote>
  <w:footnote w:id="232">
    <w:p w14:paraId="6A94B491" w14:textId="6D96885B" w:rsidR="00C537B5" w:rsidRPr="00A3193A" w:rsidRDefault="00C537B5" w:rsidP="00A3193A">
      <w:pPr>
        <w:pStyle w:val="FootnoteText"/>
        <w:rPr>
          <w:b/>
          <w:bCs/>
          <w:sz w:val="18"/>
          <w:szCs w:val="18"/>
          <w:lang w:val="en-IE"/>
        </w:rPr>
      </w:pPr>
      <w:r w:rsidRPr="00A3193A">
        <w:rPr>
          <w:rStyle w:val="FootnoteReference"/>
          <w:sz w:val="18"/>
          <w:szCs w:val="18"/>
        </w:rPr>
        <w:footnoteRef/>
      </w:r>
      <w:r w:rsidRPr="00A3193A">
        <w:rPr>
          <w:sz w:val="18"/>
          <w:szCs w:val="18"/>
        </w:rPr>
        <w:t xml:space="preserve"> </w:t>
      </w:r>
      <w:r w:rsidR="00293A9B" w:rsidRPr="00A3193A">
        <w:rPr>
          <w:sz w:val="18"/>
          <w:szCs w:val="18"/>
        </w:rPr>
        <w:t xml:space="preserve">Medicines for Europe, Biosimilar Medicines Sector Group. (2025). Reforming Regulations, Market Entry and Competition for Biosimilar Medicines (Pillar 2) [Factsheet]. Brussels: Medicines for Europe. </w:t>
      </w:r>
      <w:hyperlink r:id="rId136" w:history="1">
        <w:r w:rsidR="0077219E" w:rsidRPr="00A3193A">
          <w:rPr>
            <w:rStyle w:val="Hyperlink"/>
            <w:sz w:val="18"/>
            <w:szCs w:val="18"/>
          </w:rPr>
          <w:t>https://www.medicinesforeurope.com/wp-content/uploads/2026/03/FOOTPRINT-Biotech-Act-factsheet.pdf</w:t>
        </w:r>
      </w:hyperlink>
      <w:r w:rsidR="00460C46">
        <w:rPr>
          <w:sz w:val="18"/>
          <w:szCs w:val="18"/>
        </w:rPr>
        <w:t>.</w:t>
      </w:r>
    </w:p>
  </w:footnote>
  <w:footnote w:id="233">
    <w:p w14:paraId="588ADBAD" w14:textId="09D765D2" w:rsidR="00B3419C" w:rsidRPr="00A3193A" w:rsidRDefault="00B3419C" w:rsidP="00A3193A">
      <w:pPr>
        <w:pStyle w:val="FootnoteText"/>
        <w:rPr>
          <w:sz w:val="18"/>
          <w:szCs w:val="18"/>
        </w:rPr>
      </w:pPr>
      <w:r w:rsidRPr="00A3193A">
        <w:rPr>
          <w:rStyle w:val="FootnoteReference"/>
          <w:sz w:val="18"/>
          <w:szCs w:val="18"/>
        </w:rPr>
        <w:footnoteRef/>
      </w:r>
      <w:r w:rsidRPr="00A3193A">
        <w:rPr>
          <w:sz w:val="18"/>
          <w:szCs w:val="18"/>
        </w:rPr>
        <w:t xml:space="preserve"> </w:t>
      </w:r>
      <w:r w:rsidR="006E0068" w:rsidRPr="00A3193A">
        <w:rPr>
          <w:sz w:val="18"/>
          <w:szCs w:val="18"/>
        </w:rPr>
        <w:t xml:space="preserve">151 biosimilars already authorised in 2024. </w:t>
      </w:r>
      <w:r w:rsidR="004A6CA7" w:rsidRPr="00A3193A">
        <w:rPr>
          <w:sz w:val="18"/>
          <w:szCs w:val="18"/>
        </w:rPr>
        <w:t>To this, we add the expected new approvals between 2025 and 2030</w:t>
      </w:r>
      <w:r w:rsidR="006E0068" w:rsidRPr="00A3193A">
        <w:rPr>
          <w:sz w:val="18"/>
          <w:szCs w:val="18"/>
        </w:rPr>
        <w:t xml:space="preserve"> i.e. </w:t>
      </w:r>
      <w:r w:rsidR="004A6CA7" w:rsidRPr="00A3193A">
        <w:rPr>
          <w:sz w:val="18"/>
          <w:szCs w:val="18"/>
        </w:rPr>
        <w:t xml:space="preserve">between </w:t>
      </w:r>
      <w:r w:rsidR="004A6CA7" w:rsidRPr="00443C31">
        <w:rPr>
          <w:sz w:val="18"/>
          <w:szCs w:val="18"/>
        </w:rPr>
        <w:t>25 and 45 new applications</w:t>
      </w:r>
      <w:r w:rsidR="006E0068" w:rsidRPr="00A3193A">
        <w:rPr>
          <w:sz w:val="18"/>
          <w:szCs w:val="18"/>
        </w:rPr>
        <w:t xml:space="preserve">, of which </w:t>
      </w:r>
      <w:r w:rsidR="00BF1B0B" w:rsidRPr="00A3193A">
        <w:rPr>
          <w:sz w:val="18"/>
          <w:szCs w:val="18"/>
        </w:rPr>
        <w:t>~</w:t>
      </w:r>
      <w:r w:rsidR="006E0068" w:rsidRPr="00A3193A">
        <w:rPr>
          <w:sz w:val="18"/>
          <w:szCs w:val="18"/>
        </w:rPr>
        <w:t>89</w:t>
      </w:r>
      <w:r w:rsidR="00405618">
        <w:rPr>
          <w:sz w:val="18"/>
          <w:szCs w:val="18"/>
        </w:rPr>
        <w:t>%</w:t>
      </w:r>
      <w:r w:rsidR="006E0068" w:rsidRPr="00A3193A">
        <w:rPr>
          <w:sz w:val="18"/>
          <w:szCs w:val="18"/>
        </w:rPr>
        <w:t xml:space="preserve"> will</w:t>
      </w:r>
      <w:r w:rsidR="00564B4E" w:rsidRPr="00A3193A">
        <w:rPr>
          <w:sz w:val="18"/>
          <w:szCs w:val="18"/>
        </w:rPr>
        <w:t xml:space="preserve"> be </w:t>
      </w:r>
      <w:r w:rsidR="00F82DB4" w:rsidRPr="00A3193A">
        <w:rPr>
          <w:sz w:val="18"/>
          <w:szCs w:val="18"/>
        </w:rPr>
        <w:t>successful over</w:t>
      </w:r>
      <w:r w:rsidR="00564B4E" w:rsidRPr="00A3193A">
        <w:rPr>
          <w:sz w:val="18"/>
          <w:szCs w:val="18"/>
        </w:rPr>
        <w:t xml:space="preserve"> </w:t>
      </w:r>
      <w:r w:rsidRPr="00A3193A">
        <w:rPr>
          <w:sz w:val="18"/>
          <w:szCs w:val="18"/>
        </w:rPr>
        <w:t xml:space="preserve">5 years </w:t>
      </w:r>
    </w:p>
    <w:p w14:paraId="002D12DC" w14:textId="19DB1DA1" w:rsidR="00BF1B0B" w:rsidRPr="00A3193A" w:rsidRDefault="00BF1B0B" w:rsidP="00430713">
      <w:pPr>
        <w:pStyle w:val="FootnoteText"/>
        <w:numPr>
          <w:ilvl w:val="0"/>
          <w:numId w:val="16"/>
        </w:numPr>
        <w:rPr>
          <w:sz w:val="18"/>
          <w:szCs w:val="18"/>
          <w:lang w:val="en-IE"/>
        </w:rPr>
      </w:pPr>
      <w:r w:rsidRPr="00A3193A">
        <w:rPr>
          <w:sz w:val="18"/>
          <w:szCs w:val="18"/>
          <w:lang w:val="en-IE"/>
        </w:rPr>
        <w:t xml:space="preserve">  Low estimate: 25 × 5 × 0.89 = ~111 new products → total ~262 </w:t>
      </w:r>
    </w:p>
    <w:p w14:paraId="06A4F20E" w14:textId="789B21A5" w:rsidR="00564B4E" w:rsidRPr="00A3193A" w:rsidRDefault="00BF1B0B" w:rsidP="00430713">
      <w:pPr>
        <w:pStyle w:val="FootnoteText"/>
        <w:numPr>
          <w:ilvl w:val="0"/>
          <w:numId w:val="16"/>
        </w:numPr>
        <w:rPr>
          <w:sz w:val="18"/>
          <w:szCs w:val="18"/>
        </w:rPr>
      </w:pPr>
      <w:r w:rsidRPr="00A3193A">
        <w:rPr>
          <w:sz w:val="18"/>
          <w:szCs w:val="18"/>
          <w:lang w:val="en-IE"/>
        </w:rPr>
        <w:t xml:space="preserve">  High estimate: 45 × 5 × 0.89 = ~200 new products → total ~351</w:t>
      </w:r>
    </w:p>
  </w:footnote>
  <w:footnote w:id="234">
    <w:p w14:paraId="2EE97310" w14:textId="0409BDC3" w:rsidR="00BD3418" w:rsidRPr="00A3193A" w:rsidRDefault="00BD3418" w:rsidP="00A3193A">
      <w:pPr>
        <w:pStyle w:val="FootnoteText"/>
        <w:rPr>
          <w:sz w:val="18"/>
          <w:szCs w:val="18"/>
        </w:rPr>
      </w:pPr>
      <w:r w:rsidRPr="00A3193A">
        <w:rPr>
          <w:rStyle w:val="FootnoteReference"/>
          <w:sz w:val="18"/>
          <w:szCs w:val="18"/>
        </w:rPr>
        <w:footnoteRef/>
      </w:r>
      <w:r w:rsidRPr="00A3193A">
        <w:rPr>
          <w:sz w:val="18"/>
          <w:szCs w:val="18"/>
        </w:rPr>
        <w:t xml:space="preserve"> ~300 authorised products in 2030</w:t>
      </w:r>
      <w:r w:rsidR="00101363" w:rsidRPr="00A3193A">
        <w:rPr>
          <w:sz w:val="18"/>
          <w:szCs w:val="18"/>
        </w:rPr>
        <w:t>, to this we add</w:t>
      </w:r>
      <w:r w:rsidRPr="00A3193A">
        <w:rPr>
          <w:sz w:val="18"/>
          <w:szCs w:val="18"/>
        </w:rPr>
        <w:t xml:space="preserve"> 35–55 annual applications</w:t>
      </w:r>
      <w:r w:rsidR="00101363" w:rsidRPr="00A3193A">
        <w:rPr>
          <w:sz w:val="18"/>
          <w:szCs w:val="18"/>
        </w:rPr>
        <w:t xml:space="preserve"> between </w:t>
      </w:r>
      <w:r w:rsidR="009D6DE3" w:rsidRPr="00A3193A">
        <w:rPr>
          <w:sz w:val="18"/>
          <w:szCs w:val="18"/>
        </w:rPr>
        <w:t xml:space="preserve">2030 – </w:t>
      </w:r>
      <w:r w:rsidR="00F82DB4" w:rsidRPr="00A3193A">
        <w:rPr>
          <w:sz w:val="18"/>
          <w:szCs w:val="18"/>
        </w:rPr>
        <w:t>38 ×</w:t>
      </w:r>
      <w:r w:rsidRPr="00A3193A">
        <w:rPr>
          <w:sz w:val="18"/>
          <w:szCs w:val="18"/>
        </w:rPr>
        <w:t xml:space="preserve"> 8 years </w:t>
      </w:r>
      <w:r w:rsidR="009D6DE3" w:rsidRPr="00A3193A">
        <w:rPr>
          <w:sz w:val="18"/>
          <w:szCs w:val="18"/>
        </w:rPr>
        <w:t>~89</w:t>
      </w:r>
      <w:r w:rsidR="00405618">
        <w:rPr>
          <w:sz w:val="18"/>
          <w:szCs w:val="18"/>
        </w:rPr>
        <w:t>%</w:t>
      </w:r>
      <w:r w:rsidR="009D6DE3" w:rsidRPr="00A3193A">
        <w:rPr>
          <w:sz w:val="18"/>
          <w:szCs w:val="18"/>
        </w:rPr>
        <w:t xml:space="preserve"> </w:t>
      </w:r>
      <w:r w:rsidRPr="00A3193A">
        <w:rPr>
          <w:sz w:val="18"/>
          <w:szCs w:val="18"/>
        </w:rPr>
        <w:t>success rate</w:t>
      </w:r>
    </w:p>
    <w:p w14:paraId="1F85248E" w14:textId="7EE6BF9D" w:rsidR="005260D0" w:rsidRPr="00A3193A" w:rsidRDefault="005260D0" w:rsidP="00430713">
      <w:pPr>
        <w:pStyle w:val="FootnoteText"/>
        <w:numPr>
          <w:ilvl w:val="0"/>
          <w:numId w:val="16"/>
        </w:numPr>
        <w:rPr>
          <w:sz w:val="18"/>
          <w:szCs w:val="18"/>
          <w:lang w:val="en-IE"/>
        </w:rPr>
      </w:pPr>
      <w:r w:rsidRPr="00A3193A">
        <w:rPr>
          <w:sz w:val="18"/>
          <w:szCs w:val="18"/>
          <w:lang w:val="en-IE"/>
        </w:rPr>
        <w:t xml:space="preserve">Low estimate: 35 × 8 × 0.89 = ~249 new products → total ~549 </w:t>
      </w:r>
    </w:p>
    <w:p w14:paraId="313E25DD" w14:textId="04C1977E" w:rsidR="005260D0" w:rsidRPr="00A3193A" w:rsidRDefault="005260D0" w:rsidP="00430713">
      <w:pPr>
        <w:pStyle w:val="FootnoteText"/>
        <w:numPr>
          <w:ilvl w:val="0"/>
          <w:numId w:val="16"/>
        </w:numPr>
        <w:rPr>
          <w:sz w:val="18"/>
          <w:szCs w:val="18"/>
        </w:rPr>
      </w:pPr>
      <w:r w:rsidRPr="00A3193A">
        <w:rPr>
          <w:sz w:val="18"/>
          <w:szCs w:val="18"/>
          <w:lang w:val="en-IE"/>
        </w:rPr>
        <w:t>High estimate: 55 × 8 × 0.89 = ~392 new products → total ~692</w:t>
      </w:r>
    </w:p>
  </w:footnote>
  <w:footnote w:id="235">
    <w:p w14:paraId="2768AE00" w14:textId="77777777" w:rsidR="00C93567" w:rsidRPr="00C93567" w:rsidRDefault="00C93567" w:rsidP="00C93567">
      <w:pPr>
        <w:pStyle w:val="FootnoteText"/>
        <w:rPr>
          <w:i/>
          <w:iCs/>
          <w:sz w:val="18"/>
          <w:szCs w:val="18"/>
        </w:rPr>
      </w:pPr>
      <w:r w:rsidRPr="00CD4A81">
        <w:rPr>
          <w:rStyle w:val="FootnoteReference"/>
          <w:sz w:val="18"/>
          <w:szCs w:val="18"/>
        </w:rPr>
        <w:footnoteRef/>
      </w:r>
      <w:r w:rsidRPr="00CD4A81">
        <w:rPr>
          <w:sz w:val="18"/>
          <w:szCs w:val="18"/>
        </w:rPr>
        <w:t xml:space="preserve"> </w:t>
      </w:r>
      <w:r w:rsidRPr="00C93567">
        <w:rPr>
          <w:i/>
          <w:iCs/>
          <w:sz w:val="18"/>
          <w:szCs w:val="18"/>
        </w:rPr>
        <w:t>Risk based tailoring of clinical evidence requirements for biosimilar marketing authorisations does not lower safety standards; it reflects the maturity of the EU regulatory framework for biosimilars and advances in analytical science used to demonstrate comparability with the originator product. The EU has the longest global experience with biosimilars, with the first EU biosimilar approved in 2006, and since then over 100 biosimilars authorised across around 30 reference products, with no withdrawals on safety grounds. This long-standing experience confirms the robustness of the comparability-based regulatory approach.</w:t>
      </w:r>
    </w:p>
    <w:p w14:paraId="75E7EF8B" w14:textId="77777777" w:rsidR="00C93567" w:rsidRPr="00C93567" w:rsidRDefault="00C93567" w:rsidP="00C93567">
      <w:pPr>
        <w:pStyle w:val="FootnoteText"/>
        <w:rPr>
          <w:i/>
          <w:iCs/>
          <w:sz w:val="18"/>
          <w:szCs w:val="18"/>
        </w:rPr>
      </w:pPr>
      <w:r w:rsidRPr="00C93567">
        <w:rPr>
          <w:i/>
          <w:iCs/>
          <w:sz w:val="18"/>
          <w:szCs w:val="18"/>
        </w:rPr>
        <w:t>At the same time, analytical methods have significantly evolved. High-resolution structural characterisation, advanced functional assays, and improved immunogenicity testing now allow very sensitive detection to demonstrate comparability with the originator medicinal product.</w:t>
      </w:r>
    </w:p>
    <w:p w14:paraId="0AD29A15" w14:textId="5DDD9484" w:rsidR="00C93567" w:rsidRPr="00C93567" w:rsidRDefault="00C93567" w:rsidP="00C93567">
      <w:pPr>
        <w:pStyle w:val="FootnoteText"/>
        <w:rPr>
          <w:i/>
          <w:iCs/>
        </w:rPr>
      </w:pPr>
      <w:r w:rsidRPr="00C93567">
        <w:rPr>
          <w:i/>
          <w:iCs/>
          <w:sz w:val="18"/>
          <w:szCs w:val="18"/>
        </w:rPr>
        <w:t>This is complemented by strong post-authorisation safety monitoring through the European Medicines Agency. In this context, streamlined clinical requirements do not weaken safety; they align regulatory expectations with current scientific capability while preserving continuous real-world pharmacovigilance.</w:t>
      </w:r>
    </w:p>
  </w:footnote>
  <w:footnote w:id="236">
    <w:p w14:paraId="6496F6D5" w14:textId="5EA40A4B" w:rsidR="4E26AC25" w:rsidRPr="00A3193A" w:rsidRDefault="4E26AC25" w:rsidP="00A3193A">
      <w:pPr>
        <w:spacing w:after="0"/>
        <w:rPr>
          <w:rFonts w:eastAsia="Times New Roman"/>
          <w:sz w:val="18"/>
          <w:szCs w:val="18"/>
        </w:rPr>
      </w:pPr>
      <w:r w:rsidRPr="00A3193A">
        <w:rPr>
          <w:sz w:val="18"/>
          <w:szCs w:val="18"/>
          <w:vertAlign w:val="superscript"/>
        </w:rPr>
        <w:footnoteRef/>
      </w:r>
      <w:r w:rsidRPr="00A3193A">
        <w:rPr>
          <w:sz w:val="18"/>
          <w:szCs w:val="18"/>
        </w:rPr>
        <w:t xml:space="preserve"> </w:t>
      </w:r>
      <w:r w:rsidR="002979E7" w:rsidRPr="001F05A0">
        <w:rPr>
          <w:sz w:val="18"/>
          <w:szCs w:val="18"/>
        </w:rPr>
        <w:t xml:space="preserve">IQVIA, </w:t>
      </w:r>
      <w:r w:rsidR="002979E7" w:rsidRPr="00945BA5">
        <w:rPr>
          <w:sz w:val="18"/>
          <w:szCs w:val="18"/>
        </w:rPr>
        <w:t>The Impact of Biosimilar Competition in Europe</w:t>
      </w:r>
      <w:r w:rsidR="002979E7" w:rsidRPr="00D635D0">
        <w:rPr>
          <w:sz w:val="18"/>
          <w:szCs w:val="18"/>
        </w:rPr>
        <w:t>,</w:t>
      </w:r>
      <w:r w:rsidR="002979E7" w:rsidRPr="001F05A0">
        <w:rPr>
          <w:sz w:val="18"/>
          <w:szCs w:val="18"/>
        </w:rPr>
        <w:t xml:space="preserve"> 2026</w:t>
      </w:r>
      <w:r w:rsidR="002979E7">
        <w:rPr>
          <w:sz w:val="18"/>
          <w:szCs w:val="18"/>
        </w:rPr>
        <w:t xml:space="preserve">, </w:t>
      </w:r>
      <w:hyperlink r:id="rId137" w:history="1">
        <w:r w:rsidRPr="00A3193A">
          <w:rPr>
            <w:rStyle w:val="Hyperlink"/>
            <w:rFonts w:eastAsia="Times New Roman"/>
            <w:sz w:val="18"/>
            <w:szCs w:val="18"/>
          </w:rPr>
          <w:t>iqvia-the-impact-of-biosimilar-competition-in-europe-2026-01-26-forweb.pdf</w:t>
        </w:r>
      </w:hyperlink>
      <w:r w:rsidR="00460C46">
        <w:rPr>
          <w:sz w:val="18"/>
          <w:szCs w:val="18"/>
        </w:rPr>
        <w:t>.</w:t>
      </w:r>
    </w:p>
  </w:footnote>
  <w:footnote w:id="237">
    <w:p w14:paraId="7F937797" w14:textId="77777777" w:rsidR="008619D4" w:rsidRPr="00A3193A" w:rsidRDefault="008619D4" w:rsidP="00A3193A">
      <w:pPr>
        <w:spacing w:after="0"/>
        <w:rPr>
          <w:sz w:val="18"/>
          <w:szCs w:val="18"/>
        </w:rPr>
      </w:pPr>
      <w:r w:rsidRPr="00A3193A">
        <w:rPr>
          <w:rStyle w:val="FootnoteReference"/>
          <w:sz w:val="18"/>
          <w:szCs w:val="18"/>
        </w:rPr>
        <w:footnoteRef/>
      </w:r>
      <w:r w:rsidRPr="00A3193A">
        <w:rPr>
          <w:rFonts w:eastAsia="Arial"/>
          <w:sz w:val="18"/>
          <w:szCs w:val="18"/>
        </w:rPr>
        <w:t>Alira Health. (2025, November 6). 2025 global biosimilars report: Market size, growth drivers, regional dynamics. https://alirahealth.com/biosimilars-market-2025-market-size-growth-drivers-regional-dynamics/</w:t>
      </w:r>
    </w:p>
  </w:footnote>
  <w:footnote w:id="238">
    <w:p w14:paraId="799641D2" w14:textId="2769F1AC" w:rsidR="001601CC" w:rsidRPr="00817A9D" w:rsidRDefault="001601CC" w:rsidP="00A3193A">
      <w:pPr>
        <w:pStyle w:val="FootnoteText"/>
        <w:rPr>
          <w:sz w:val="18"/>
          <w:szCs w:val="18"/>
          <w:lang w:val="it-IT"/>
        </w:rPr>
      </w:pPr>
      <w:r w:rsidRPr="00A3193A">
        <w:rPr>
          <w:rStyle w:val="FootnoteReference"/>
          <w:sz w:val="18"/>
          <w:szCs w:val="18"/>
        </w:rPr>
        <w:footnoteRef/>
      </w:r>
      <w:r w:rsidRPr="00A3193A">
        <w:rPr>
          <w:sz w:val="18"/>
          <w:szCs w:val="18"/>
        </w:rPr>
        <w:t xml:space="preserve"> </w:t>
      </w:r>
      <w:r w:rsidR="00F63417" w:rsidRPr="00A3193A">
        <w:rPr>
          <w:sz w:val="18"/>
          <w:szCs w:val="18"/>
        </w:rPr>
        <w:t>Troein, P., Newton, M., Stoddart, K., Travaglio, M., &amp; Arias, A. (2025, January). </w:t>
      </w:r>
      <w:r w:rsidR="00F63417" w:rsidRPr="00A3193A">
        <w:rPr>
          <w:i/>
          <w:sz w:val="18"/>
          <w:szCs w:val="18"/>
        </w:rPr>
        <w:t>The impact of biosimilar competition in Europe</w:t>
      </w:r>
      <w:r w:rsidR="00F63417" w:rsidRPr="00A3193A">
        <w:rPr>
          <w:sz w:val="18"/>
          <w:szCs w:val="18"/>
        </w:rPr>
        <w:t>. </w:t>
      </w:r>
      <w:r w:rsidR="00F63417" w:rsidRPr="00817A9D">
        <w:rPr>
          <w:sz w:val="18"/>
          <w:szCs w:val="18"/>
          <w:lang w:val="it-IT"/>
        </w:rPr>
        <w:t xml:space="preserve">IQVIA. </w:t>
      </w:r>
      <w:hyperlink r:id="rId138" w:history="1">
        <w:r w:rsidR="001F449A" w:rsidRPr="00817A9D">
          <w:rPr>
            <w:rStyle w:val="Hyperlink"/>
            <w:sz w:val="18"/>
            <w:szCs w:val="18"/>
            <w:lang w:val="it-IT"/>
          </w:rPr>
          <w:t>http://www.iqvia.com/-/media/iqvia/pdfs/library/white-papers/the-impact-of-biosimilar-competition-in-europe-2024.pdf</w:t>
        </w:r>
      </w:hyperlink>
      <w:r w:rsidR="00460C46" w:rsidRPr="00817A9D">
        <w:rPr>
          <w:sz w:val="18"/>
          <w:szCs w:val="18"/>
          <w:lang w:val="it-IT"/>
        </w:rPr>
        <w:t>.</w:t>
      </w:r>
    </w:p>
  </w:footnote>
  <w:footnote w:id="239">
    <w:p w14:paraId="0DD15C60" w14:textId="45E48280" w:rsidR="00C93149" w:rsidRPr="00443C31" w:rsidRDefault="00C93149">
      <w:pPr>
        <w:pStyle w:val="FootnoteText"/>
        <w:rPr>
          <w:lang w:val="en-US"/>
        </w:rPr>
      </w:pPr>
      <w:r w:rsidRPr="00443C31">
        <w:rPr>
          <w:rStyle w:val="FootnoteReference"/>
          <w:sz w:val="18"/>
          <w:szCs w:val="18"/>
        </w:rPr>
        <w:footnoteRef/>
      </w:r>
      <w:r w:rsidRPr="00443C31">
        <w:rPr>
          <w:sz w:val="18"/>
          <w:szCs w:val="18"/>
        </w:rPr>
        <w:t xml:space="preserve"> </w:t>
      </w:r>
      <w:r w:rsidR="007E6143" w:rsidRPr="00443C31">
        <w:rPr>
          <w:sz w:val="18"/>
          <w:szCs w:val="18"/>
        </w:rPr>
        <w:t>Six-month additional extension is available in accordance with Regulation (EC) No 1901/2006 if the SPC relates to a medicinal product for children for which data has been submitted according to a Paediatric Investigation Plan (PIP). PIPs are required to support the authorisation of medicines for children. They ensure that enough data is collected on the effects of the medicine on children</w:t>
      </w:r>
      <w:r w:rsidR="00443C31" w:rsidRPr="00443C31">
        <w:rPr>
          <w:sz w:val="18"/>
          <w:szCs w:val="18"/>
        </w:rPr>
        <w:t>.</w:t>
      </w:r>
    </w:p>
  </w:footnote>
  <w:footnote w:id="240">
    <w:p w14:paraId="0A6DF01F" w14:textId="77777777" w:rsidR="00736FC0" w:rsidRPr="00443C31" w:rsidRDefault="00736FC0" w:rsidP="00736FC0">
      <w:pPr>
        <w:pStyle w:val="FootnoteText"/>
        <w:rPr>
          <w:sz w:val="18"/>
          <w:szCs w:val="18"/>
          <w:lang w:val="en-IE"/>
        </w:rPr>
      </w:pPr>
      <w:r w:rsidRPr="00443C31">
        <w:rPr>
          <w:rStyle w:val="FootnoteReference"/>
          <w:sz w:val="18"/>
          <w:szCs w:val="18"/>
        </w:rPr>
        <w:footnoteRef/>
      </w:r>
      <w:r w:rsidRPr="00443C31">
        <w:rPr>
          <w:sz w:val="18"/>
          <w:szCs w:val="18"/>
        </w:rPr>
        <w:t xml:space="preserve"> Regulation (EC) No 469/2009 of the European Parliament and of the Council of 6 May 2009 concerning the supplementary protection certificate for medicinal products, OJ L 152 16.6.2009, p. 1 httphttp://data.europa.eu/eli/reg/2009/469/2019-07-01.</w:t>
      </w:r>
    </w:p>
  </w:footnote>
  <w:footnote w:id="241">
    <w:p w14:paraId="10010D94" w14:textId="77777777" w:rsidR="009D5540" w:rsidRPr="00443C31" w:rsidRDefault="009D5540" w:rsidP="009D5540">
      <w:pPr>
        <w:pStyle w:val="FootnoteText"/>
        <w:rPr>
          <w:sz w:val="18"/>
          <w:szCs w:val="18"/>
          <w:lang w:val="en-IE"/>
        </w:rPr>
      </w:pPr>
      <w:r w:rsidRPr="00443C31">
        <w:rPr>
          <w:rStyle w:val="FootnoteReference"/>
          <w:sz w:val="18"/>
          <w:szCs w:val="18"/>
        </w:rPr>
        <w:footnoteRef/>
      </w:r>
      <w:r w:rsidRPr="00443C31">
        <w:rPr>
          <w:sz w:val="18"/>
          <w:szCs w:val="18"/>
        </w:rPr>
        <w:t xml:space="preserve"> Max Planck Institute for Innovation and Competition (2018), Study on the Legal Aspects of Supplementary Protection Certificates in the EU.</w:t>
      </w:r>
    </w:p>
  </w:footnote>
  <w:footnote w:id="242">
    <w:p w14:paraId="1372A9D4" w14:textId="77777777" w:rsidR="009D5540" w:rsidRPr="00344F4D" w:rsidRDefault="009D5540" w:rsidP="009D5540">
      <w:pPr>
        <w:pStyle w:val="FootnoteText"/>
        <w:rPr>
          <w:sz w:val="18"/>
          <w:szCs w:val="18"/>
          <w:lang w:val="en-IE"/>
        </w:rPr>
      </w:pPr>
      <w:r w:rsidRPr="00443C31">
        <w:rPr>
          <w:rStyle w:val="FootnoteReference"/>
          <w:sz w:val="18"/>
          <w:szCs w:val="18"/>
        </w:rPr>
        <w:footnoteRef/>
      </w:r>
      <w:r w:rsidRPr="00443C31">
        <w:rPr>
          <w:sz w:val="18"/>
          <w:szCs w:val="18"/>
        </w:rPr>
        <w:t xml:space="preserve"> </w:t>
      </w:r>
      <w:r w:rsidRPr="00443C31">
        <w:rPr>
          <w:sz w:val="18"/>
          <w:szCs w:val="18"/>
          <w:lang w:val="en-IE"/>
        </w:rPr>
        <w:t xml:space="preserve">Impact assessment accompanying the revision of the pharmaceutical legislation </w:t>
      </w:r>
      <w:hyperlink r:id="rId139" w:history="1">
        <w:r w:rsidRPr="00443C31">
          <w:rPr>
            <w:rStyle w:val="Hyperlink"/>
            <w:sz w:val="18"/>
            <w:szCs w:val="18"/>
            <w:lang w:val="en-IE"/>
          </w:rPr>
          <w:t>https://health.ec.europa.eu/publications/impact-assessment-report-and-executive-summary-accompanying-revision-general-pharmaceutical_en</w:t>
        </w:r>
      </w:hyperlink>
      <w:r w:rsidRPr="00443C31">
        <w:rPr>
          <w:sz w:val="18"/>
          <w:szCs w:val="18"/>
          <w:lang w:val="en-IE"/>
        </w:rPr>
        <w:t xml:space="preserve"> supports this statement, furthermore data analysed for the impact of the SPC extension measure confirm the same trend. Of the 31 biological products in the nine-year cohort studied, 12 had SPC as last protection to expire and 10 had RDP. While the SPC-reliant products averaged EUR</w:t>
      </w:r>
      <w:r w:rsidRPr="00443C31" w:rsidDel="00025307">
        <w:rPr>
          <w:sz w:val="18"/>
          <w:szCs w:val="18"/>
          <w:lang w:val="en-IE"/>
        </w:rPr>
        <w:t xml:space="preserve"> </w:t>
      </w:r>
      <w:r w:rsidRPr="00443C31">
        <w:rPr>
          <w:sz w:val="18"/>
          <w:szCs w:val="18"/>
          <w:lang w:val="en-IE"/>
        </w:rPr>
        <w:t>740 million during their last year of protection collectively, the 10 RDP-reliant medicines averaged EUR 83 million.</w:t>
      </w:r>
      <w:r w:rsidRPr="00344F4D">
        <w:rPr>
          <w:sz w:val="18"/>
          <w:szCs w:val="18"/>
          <w:lang w:val="en-IE"/>
        </w:rPr>
        <w:t xml:space="preserve"> </w:t>
      </w:r>
    </w:p>
  </w:footnote>
  <w:footnote w:id="243">
    <w:p w14:paraId="1EC9B294" w14:textId="640B8423" w:rsidR="00A9235B" w:rsidRPr="00443C31" w:rsidRDefault="00A9235B">
      <w:pPr>
        <w:pStyle w:val="FootnoteText"/>
        <w:rPr>
          <w:sz w:val="18"/>
          <w:szCs w:val="18"/>
        </w:rPr>
      </w:pPr>
      <w:r w:rsidRPr="00443C31">
        <w:rPr>
          <w:rStyle w:val="FootnoteReference"/>
          <w:sz w:val="18"/>
          <w:szCs w:val="18"/>
        </w:rPr>
        <w:footnoteRef/>
      </w:r>
      <w:r w:rsidRPr="00443C31">
        <w:rPr>
          <w:sz w:val="18"/>
          <w:szCs w:val="18"/>
        </w:rPr>
        <w:t xml:space="preserve"> </w:t>
      </w:r>
      <w:r w:rsidRPr="00A3193A">
        <w:rPr>
          <w:sz w:val="18"/>
          <w:szCs w:val="18"/>
        </w:rPr>
        <w:t>To accurately measure economic impact, we shouldn't just count all eligible products. We must isolate those where the SPC extension is the sole factor preventing biosimilar entry (last layer of protection to expire). If other protections remain in place after the SPC expires, the extension has no real-world economic effect.</w:t>
      </w:r>
    </w:p>
  </w:footnote>
  <w:footnote w:id="244">
    <w:p w14:paraId="0E6B9E87" w14:textId="77777777" w:rsidR="002207D0" w:rsidRPr="00A3193A" w:rsidRDefault="002207D0" w:rsidP="00A3193A">
      <w:pPr>
        <w:spacing w:after="0"/>
        <w:rPr>
          <w:sz w:val="18"/>
          <w:szCs w:val="18"/>
        </w:rPr>
      </w:pPr>
      <w:r w:rsidRPr="00A3193A">
        <w:rPr>
          <w:rStyle w:val="FootnoteReference"/>
          <w:sz w:val="18"/>
          <w:szCs w:val="18"/>
        </w:rPr>
        <w:footnoteRef/>
      </w:r>
      <w:r w:rsidRPr="00A3193A">
        <w:rPr>
          <w:sz w:val="18"/>
          <w:szCs w:val="18"/>
        </w:rPr>
        <w:t xml:space="preserve"> </w:t>
      </w:r>
      <w:r w:rsidRPr="00A3193A">
        <w:rPr>
          <w:rFonts w:eastAsiaTheme="minorEastAsia"/>
          <w:sz w:val="18"/>
          <w:szCs w:val="18"/>
          <w:lang w:val="en-IE"/>
        </w:rPr>
        <w:t>For the purposes of this graph, one medicine from the sample, with particular outlier characteristics was excluded. The product is a moderately high revenue medicine with no biosimilar entry even after several years and a far shorter lifecycle than all the other SPC-reliant biologicals in the sample.</w:t>
      </w:r>
    </w:p>
  </w:footnote>
  <w:footnote w:id="245">
    <w:p w14:paraId="4DAB74E0" w14:textId="77777777" w:rsidR="00D81BB8" w:rsidRPr="00A3193A" w:rsidRDefault="00D81BB8" w:rsidP="00A3193A">
      <w:pPr>
        <w:pStyle w:val="FootnoteText"/>
        <w:rPr>
          <w:sz w:val="18"/>
          <w:szCs w:val="18"/>
          <w:lang w:val="en-IE"/>
        </w:rPr>
      </w:pPr>
      <w:r w:rsidRPr="00A3193A">
        <w:rPr>
          <w:rStyle w:val="FootnoteReference"/>
          <w:sz w:val="18"/>
          <w:szCs w:val="18"/>
        </w:rPr>
        <w:footnoteRef/>
      </w:r>
      <w:r w:rsidRPr="00A3193A">
        <w:rPr>
          <w:sz w:val="18"/>
          <w:szCs w:val="18"/>
          <w:lang w:val="en-IE"/>
        </w:rPr>
        <w:t xml:space="preserve"> </w:t>
      </w:r>
      <w:r w:rsidR="00C040F9" w:rsidRPr="00A3193A">
        <w:rPr>
          <w:sz w:val="18"/>
          <w:szCs w:val="18"/>
        </w:rPr>
        <w:t xml:space="preserve">To accurately measure economic impact, we shouldn't just count all eligible products. We must isolate those where the SPC extension is the sole factor preventing biosimilar entry (last </w:t>
      </w:r>
      <w:r w:rsidR="00B15E6F" w:rsidRPr="00A3193A">
        <w:rPr>
          <w:sz w:val="18"/>
          <w:szCs w:val="18"/>
        </w:rPr>
        <w:t>layer of</w:t>
      </w:r>
      <w:r w:rsidR="00C040F9" w:rsidRPr="00A3193A">
        <w:rPr>
          <w:sz w:val="18"/>
          <w:szCs w:val="18"/>
        </w:rPr>
        <w:t xml:space="preserve"> protection to expire). If other protections remain in place after the SPC expires, the extension has no real-world economic effect</w:t>
      </w:r>
      <w:r w:rsidR="00F822B6" w:rsidRPr="00A3193A">
        <w:rPr>
          <w:sz w:val="18"/>
          <w:szCs w:val="18"/>
        </w:rPr>
        <w:t>.</w:t>
      </w:r>
    </w:p>
  </w:footnote>
  <w:footnote w:id="246">
    <w:p w14:paraId="235A6222" w14:textId="5B4505E9" w:rsidR="00265748" w:rsidRPr="00443C31" w:rsidRDefault="00265748">
      <w:pPr>
        <w:pStyle w:val="FootnoteText"/>
        <w:rPr>
          <w:sz w:val="18"/>
          <w:szCs w:val="18"/>
        </w:rPr>
      </w:pPr>
      <w:r>
        <w:rPr>
          <w:rStyle w:val="FootnoteReference"/>
        </w:rPr>
        <w:footnoteRef/>
      </w:r>
      <w:r>
        <w:t xml:space="preserve"> </w:t>
      </w:r>
      <w:r w:rsidRPr="00443C31">
        <w:rPr>
          <w:sz w:val="18"/>
          <w:szCs w:val="18"/>
        </w:rPr>
        <w:t xml:space="preserve">As set out in Annex </w:t>
      </w:r>
      <w:r w:rsidR="00292BD6">
        <w:rPr>
          <w:sz w:val="18"/>
          <w:szCs w:val="18"/>
        </w:rPr>
        <w:t>11</w:t>
      </w:r>
      <w:r>
        <w:rPr>
          <w:sz w:val="18"/>
          <w:szCs w:val="18"/>
        </w:rPr>
        <w:t xml:space="preserve">, this latter transfer </w:t>
      </w:r>
      <w:r w:rsidRPr="00265748">
        <w:rPr>
          <w:sz w:val="18"/>
          <w:szCs w:val="18"/>
        </w:rPr>
        <w:t>can be approximated by the combined total of the monetised loss to patients and the additional costs to the public payer of EUR 205 million per medicine.</w:t>
      </w:r>
    </w:p>
  </w:footnote>
  <w:footnote w:id="247">
    <w:p w14:paraId="1BD9C1E7" w14:textId="28E8FE43" w:rsidR="0008629D" w:rsidRPr="00443C31" w:rsidRDefault="0008629D" w:rsidP="00A3193A">
      <w:pPr>
        <w:pStyle w:val="FootnoteText"/>
      </w:pPr>
      <w:r w:rsidRPr="00A3193A">
        <w:rPr>
          <w:rStyle w:val="FootnoteReference"/>
          <w:sz w:val="18"/>
          <w:szCs w:val="18"/>
        </w:rPr>
        <w:footnoteRef/>
      </w:r>
      <w:r w:rsidRPr="00A3193A">
        <w:rPr>
          <w:sz w:val="18"/>
          <w:szCs w:val="18"/>
        </w:rPr>
        <w:t xml:space="preserve"> </w:t>
      </w:r>
      <w:r w:rsidR="006A7FA3" w:rsidRPr="00A3193A">
        <w:rPr>
          <w:sz w:val="18"/>
          <w:szCs w:val="18"/>
        </w:rPr>
        <w:t>I</w:t>
      </w:r>
      <w:r w:rsidRPr="00A3193A">
        <w:rPr>
          <w:sz w:val="18"/>
          <w:szCs w:val="18"/>
        </w:rPr>
        <w:t xml:space="preserve">nternal analysis by the authors using IQVIA MIDAS® </w:t>
      </w:r>
      <w:r w:rsidR="00427F69">
        <w:rPr>
          <w:sz w:val="18"/>
          <w:szCs w:val="18"/>
        </w:rPr>
        <w:t>quarterly</w:t>
      </w:r>
      <w:r w:rsidR="00427F69" w:rsidRPr="00A3193A">
        <w:rPr>
          <w:sz w:val="18"/>
          <w:szCs w:val="18"/>
        </w:rPr>
        <w:t xml:space="preserve"> </w:t>
      </w:r>
      <w:r w:rsidRPr="00A3193A">
        <w:rPr>
          <w:sz w:val="18"/>
          <w:szCs w:val="18"/>
        </w:rPr>
        <w:t>sales data 200</w:t>
      </w:r>
      <w:r w:rsidR="00B15E6F" w:rsidRPr="00A3193A">
        <w:rPr>
          <w:sz w:val="18"/>
          <w:szCs w:val="18"/>
        </w:rPr>
        <w:t>8</w:t>
      </w:r>
      <w:r w:rsidRPr="00A3193A">
        <w:rPr>
          <w:sz w:val="18"/>
          <w:szCs w:val="18"/>
        </w:rPr>
        <w:t>-2024</w:t>
      </w:r>
      <w:r w:rsidR="009A565F" w:rsidRPr="00A3193A">
        <w:rPr>
          <w:sz w:val="18"/>
          <w:szCs w:val="18"/>
        </w:rPr>
        <w:t>. Geographical coverage: EU27 without Cyprus, Malta and Denmark.</w:t>
      </w:r>
      <w:r w:rsidRPr="00A3193A">
        <w:rPr>
          <w:sz w:val="18"/>
          <w:szCs w:val="18"/>
        </w:rPr>
        <w:t xml:space="preserve"> which were obtained under license from IQVIA and reflect estimates of </w:t>
      </w:r>
      <w:r w:rsidR="0063582A" w:rsidRPr="00A3193A">
        <w:rPr>
          <w:sz w:val="18"/>
          <w:szCs w:val="18"/>
        </w:rPr>
        <w:t>real-world</w:t>
      </w:r>
      <w:r w:rsidRPr="00A3193A">
        <w:rPr>
          <w:sz w:val="18"/>
          <w:szCs w:val="18"/>
        </w:rPr>
        <w:t xml:space="preserve"> activity. Copyright IQVIA. All rights reserved</w:t>
      </w:r>
      <w:r w:rsidR="005C644F">
        <w:rPr>
          <w:sz w:val="18"/>
          <w:szCs w:val="18"/>
        </w:rPr>
        <w:t>.</w:t>
      </w:r>
      <w:r w:rsidR="00C30C99" w:rsidRPr="00C30C99">
        <w:rPr>
          <w:sz w:val="18"/>
          <w:szCs w:val="18"/>
        </w:rPr>
        <w:t xml:space="preserve"> </w:t>
      </w:r>
      <w:r w:rsidR="00C30C99" w:rsidRPr="00500707">
        <w:rPr>
          <w:sz w:val="18"/>
          <w:szCs w:val="18"/>
        </w:rPr>
        <w:t>The statements, findings, conclusions, views, and opinions contained and expressed herein are not necessarily those of IQVIA</w:t>
      </w:r>
      <w:r w:rsidR="00C30C99">
        <w:rPr>
          <w:sz w:val="18"/>
          <w:szCs w:val="18"/>
        </w:rPr>
        <w:t>.</w:t>
      </w:r>
    </w:p>
  </w:footnote>
  <w:footnote w:id="248">
    <w:p w14:paraId="75AF6570" w14:textId="7625E2D7" w:rsidR="00121829" w:rsidRPr="00121829" w:rsidRDefault="00121829">
      <w:pPr>
        <w:pStyle w:val="FootnoteText"/>
        <w:rPr>
          <w:lang w:val="en-IE"/>
        </w:rPr>
      </w:pPr>
      <w:r>
        <w:rPr>
          <w:rStyle w:val="FootnoteReference"/>
        </w:rPr>
        <w:footnoteRef/>
      </w:r>
      <w:r w:rsidRPr="0053782F">
        <w:rPr>
          <w:lang w:val="fr-FR"/>
        </w:rPr>
        <w:t xml:space="preserve"> </w:t>
      </w:r>
      <w:r w:rsidRPr="0053782F">
        <w:rPr>
          <w:sz w:val="18"/>
          <w:szCs w:val="18"/>
          <w:lang w:val="fr-FR"/>
        </w:rPr>
        <w:t xml:space="preserve">Polignano, M. G., et.al. (2022). </w:t>
      </w:r>
      <w:r w:rsidRPr="00121829">
        <w:rPr>
          <w:sz w:val="18"/>
          <w:szCs w:val="18"/>
          <w:lang w:val="en-US"/>
        </w:rPr>
        <w:t xml:space="preserve">Economic impact of industry-sponsored clinical trials in inflammatory bowel diseases: Results from the national institute of gastroenterology "Saverio de Bellis". Frontiers in pharmacology, 13, 1027760. </w:t>
      </w:r>
      <w:hyperlink r:id="rId140" w:history="1">
        <w:r w:rsidRPr="00121829">
          <w:rPr>
            <w:rStyle w:val="Hyperlink"/>
            <w:sz w:val="18"/>
            <w:szCs w:val="18"/>
          </w:rPr>
          <w:t>https://doi.org/10.3389/fphar.2022.1027760</w:t>
        </w:r>
      </w:hyperlink>
      <w:r w:rsidRPr="00121829">
        <w:rPr>
          <w:sz w:val="18"/>
          <w:szCs w:val="18"/>
          <w:lang w:val="en-US"/>
        </w:rPr>
        <w:t>.</w:t>
      </w:r>
    </w:p>
  </w:footnote>
  <w:footnote w:id="249">
    <w:p w14:paraId="0078C4BB" w14:textId="30D812B5" w:rsidR="00EE63A2" w:rsidRPr="00A3193A" w:rsidRDefault="00EE63A2" w:rsidP="00A3193A">
      <w:pPr>
        <w:pStyle w:val="FootnoteText"/>
        <w:rPr>
          <w:sz w:val="18"/>
          <w:szCs w:val="18"/>
        </w:rPr>
      </w:pPr>
      <w:r w:rsidRPr="00A3193A">
        <w:rPr>
          <w:rStyle w:val="FootnoteReference"/>
          <w:sz w:val="18"/>
          <w:szCs w:val="18"/>
        </w:rPr>
        <w:footnoteRef/>
      </w:r>
      <w:r w:rsidRPr="00A3193A">
        <w:rPr>
          <w:sz w:val="18"/>
          <w:szCs w:val="18"/>
        </w:rPr>
        <w:t xml:space="preserve"> Refer to the relevant section of the SWD on the Clinical Trials Regulation for a full assessment of </w:t>
      </w:r>
      <w:r w:rsidR="002F192C" w:rsidRPr="00A3193A">
        <w:rPr>
          <w:sz w:val="18"/>
          <w:szCs w:val="18"/>
        </w:rPr>
        <w:t>costs and benefits</w:t>
      </w:r>
    </w:p>
  </w:footnote>
  <w:footnote w:id="250">
    <w:p w14:paraId="71231E21" w14:textId="309EB48A" w:rsidR="0097523C" w:rsidRPr="00167552" w:rsidRDefault="0097523C">
      <w:pPr>
        <w:pStyle w:val="FootnoteText"/>
        <w:rPr>
          <w:sz w:val="18"/>
          <w:szCs w:val="18"/>
          <w:lang w:val="pt-PT"/>
        </w:rPr>
      </w:pPr>
      <w:r w:rsidRPr="00443C31">
        <w:rPr>
          <w:rStyle w:val="FootnoteReference"/>
          <w:sz w:val="18"/>
          <w:szCs w:val="18"/>
        </w:rPr>
        <w:footnoteRef/>
      </w:r>
      <w:r w:rsidRPr="00167552">
        <w:rPr>
          <w:sz w:val="18"/>
          <w:szCs w:val="18"/>
          <w:lang w:val="pt-PT"/>
        </w:rPr>
        <w:t xml:space="preserve"> </w:t>
      </w:r>
      <w:r w:rsidR="00087C97" w:rsidRPr="00167552">
        <w:rPr>
          <w:sz w:val="18"/>
          <w:szCs w:val="18"/>
          <w:lang w:val="pt-PT"/>
        </w:rPr>
        <w:t xml:space="preserve">COM/2023/193 final and </w:t>
      </w:r>
      <w:r w:rsidR="00207320" w:rsidRPr="00167552">
        <w:rPr>
          <w:sz w:val="18"/>
          <w:szCs w:val="18"/>
          <w:lang w:val="pt-PT"/>
        </w:rPr>
        <w:t xml:space="preserve">COM/2023/192 final. </w:t>
      </w:r>
    </w:p>
  </w:footnote>
  <w:footnote w:id="251">
    <w:p w14:paraId="63BA21E6" w14:textId="172AEC33" w:rsidR="009C2FC0" w:rsidRPr="00443C31" w:rsidRDefault="009C2FC0" w:rsidP="00A3193A">
      <w:pPr>
        <w:pStyle w:val="FootnoteText"/>
        <w:rPr>
          <w:sz w:val="18"/>
          <w:szCs w:val="18"/>
        </w:rPr>
      </w:pPr>
      <w:r w:rsidRPr="00443C31">
        <w:rPr>
          <w:rStyle w:val="FootnoteReference"/>
          <w:sz w:val="18"/>
          <w:szCs w:val="18"/>
        </w:rPr>
        <w:footnoteRef/>
      </w:r>
      <w:r w:rsidRPr="00443C31">
        <w:rPr>
          <w:sz w:val="18"/>
          <w:szCs w:val="18"/>
        </w:rPr>
        <w:t xml:space="preserve"> European Commission (2023), Commission Staff Working Document – Impact Assessment accompanying the proposals on supplementary protection certificates, </w:t>
      </w:r>
      <w:r w:rsidR="005C644F" w:rsidRPr="00443C31">
        <w:rPr>
          <w:sz w:val="18"/>
          <w:szCs w:val="18"/>
        </w:rPr>
        <w:t>SWD (</w:t>
      </w:r>
      <w:r w:rsidRPr="00443C31">
        <w:rPr>
          <w:sz w:val="18"/>
          <w:szCs w:val="18"/>
        </w:rPr>
        <w:t>2023) 118 final, Brussels, 27 April 2023, Section 2.3.2 and Annex 6 (SME Test).</w:t>
      </w:r>
    </w:p>
  </w:footnote>
  <w:footnote w:id="252">
    <w:p w14:paraId="76B3677E" w14:textId="64B40DDB" w:rsidR="009C2FC0" w:rsidRPr="00443C31" w:rsidRDefault="009C2FC0" w:rsidP="00A3193A">
      <w:pPr>
        <w:pStyle w:val="FootnoteText"/>
        <w:rPr>
          <w:sz w:val="18"/>
          <w:szCs w:val="18"/>
        </w:rPr>
      </w:pPr>
      <w:r w:rsidRPr="00443C31">
        <w:rPr>
          <w:rStyle w:val="FootnoteReference"/>
          <w:sz w:val="18"/>
          <w:szCs w:val="18"/>
        </w:rPr>
        <w:footnoteRef/>
      </w:r>
      <w:r w:rsidRPr="00443C31">
        <w:rPr>
          <w:sz w:val="18"/>
          <w:szCs w:val="18"/>
        </w:rPr>
        <w:t xml:space="preserve"> European Commission (2023), Commission Staff Working Document – Impact Assessment accompanying the Proposal for a Regulation of the European Parliament and of the Council on the supplementary protection certificate for medicinal products (recast) and the Proposal for a Regulation on the unitary supplementary protection certificate for medicinal products, </w:t>
      </w:r>
      <w:r w:rsidR="005C644F" w:rsidRPr="00443C31">
        <w:rPr>
          <w:sz w:val="18"/>
          <w:szCs w:val="18"/>
        </w:rPr>
        <w:t>SWD (</w:t>
      </w:r>
      <w:r w:rsidRPr="00443C31">
        <w:rPr>
          <w:sz w:val="18"/>
          <w:szCs w:val="18"/>
        </w:rPr>
        <w:t>2023) 118 final, Brussels, 27 April 2023, Section 2.3.2 and Annex 5B.</w:t>
      </w:r>
    </w:p>
  </w:footnote>
  <w:footnote w:id="253">
    <w:p w14:paraId="47BE801D" w14:textId="2A2F4E77" w:rsidR="00AD37BD" w:rsidRPr="00AD37BD" w:rsidRDefault="00AD37BD">
      <w:pPr>
        <w:pStyle w:val="FootnoteText"/>
        <w:rPr>
          <w:lang w:val="en-IE"/>
        </w:rPr>
      </w:pPr>
      <w:r w:rsidRPr="00AD37BD">
        <w:rPr>
          <w:rStyle w:val="FootnoteReference"/>
          <w:sz w:val="18"/>
          <w:szCs w:val="18"/>
        </w:rPr>
        <w:footnoteRef/>
      </w:r>
      <w:r w:rsidRPr="00AD37BD">
        <w:rPr>
          <w:sz w:val="18"/>
          <w:szCs w:val="18"/>
        </w:rPr>
        <w:t xml:space="preserve"> Technopolis Group (2018) Effects of supplementary protection mechanisms for pharmaceutical products. Final report, May 2018. Amsterdam/Vienna: Technopolis Group.</w:t>
      </w:r>
    </w:p>
  </w:footnote>
  <w:footnote w:id="254">
    <w:p w14:paraId="098BFA48" w14:textId="77777777" w:rsidR="00C77E01" w:rsidRPr="00344F4D" w:rsidRDefault="00C77E01" w:rsidP="00C77E01">
      <w:pPr>
        <w:pStyle w:val="FootnoteText"/>
        <w:rPr>
          <w:sz w:val="18"/>
          <w:szCs w:val="18"/>
        </w:rPr>
      </w:pPr>
      <w:r w:rsidRPr="00344F4D">
        <w:rPr>
          <w:rStyle w:val="FootnoteReference"/>
          <w:sz w:val="18"/>
          <w:szCs w:val="18"/>
        </w:rPr>
        <w:footnoteRef/>
      </w:r>
      <w:r w:rsidRPr="00344F4D">
        <w:rPr>
          <w:sz w:val="18"/>
          <w:szCs w:val="18"/>
        </w:rPr>
        <w:t xml:space="preserve"> Regulation (EU, Euratom) 2024/2509 of the European Parliament and of the Council of 23 September 2024 on the financial rules applicable to the general budget of the Union, OJ L, 2024/2509, 26.9.2024.</w:t>
      </w:r>
    </w:p>
  </w:footnote>
  <w:footnote w:id="255">
    <w:p w14:paraId="5A0D466A" w14:textId="77777777" w:rsidR="00C77E01" w:rsidRPr="00344F4D" w:rsidRDefault="00C77E01" w:rsidP="00C77E01">
      <w:pPr>
        <w:pStyle w:val="FootnoteText"/>
        <w:rPr>
          <w:sz w:val="18"/>
          <w:szCs w:val="18"/>
          <w:lang w:val="en-IE"/>
        </w:rPr>
      </w:pPr>
      <w:r w:rsidRPr="00344F4D">
        <w:rPr>
          <w:rStyle w:val="FootnoteReference"/>
          <w:sz w:val="18"/>
          <w:szCs w:val="18"/>
        </w:rPr>
        <w:footnoteRef/>
      </w:r>
      <w:r w:rsidRPr="00344F4D">
        <w:rPr>
          <w:sz w:val="18"/>
          <w:szCs w:val="18"/>
        </w:rPr>
        <w:t xml:space="preserve"> InvestEU guarantee in the current MFF, EFSI and COSME-EFG in the previous MFF.</w:t>
      </w:r>
    </w:p>
  </w:footnote>
  <w:footnote w:id="256">
    <w:p w14:paraId="4A533B6E" w14:textId="77777777" w:rsidR="00C77E01" w:rsidRPr="00344F4D" w:rsidRDefault="00C77E01" w:rsidP="00C77E01">
      <w:pPr>
        <w:pStyle w:val="FootnoteText"/>
        <w:rPr>
          <w:sz w:val="18"/>
          <w:szCs w:val="18"/>
        </w:rPr>
      </w:pPr>
      <w:r w:rsidRPr="00344F4D">
        <w:rPr>
          <w:rStyle w:val="FootnoteReference"/>
          <w:sz w:val="18"/>
          <w:szCs w:val="18"/>
        </w:rPr>
        <w:footnoteRef/>
      </w:r>
      <w:r w:rsidRPr="00344F4D">
        <w:rPr>
          <w:sz w:val="18"/>
          <w:szCs w:val="18"/>
        </w:rPr>
        <w:t xml:space="preserve"> Over the time period 2015-2025, out of the EUR 7 billion EIB corporate life-sciences loans (730/year), only EUR 2 billion (EUR 200 million/year) were backed by a guarantee of EUR 700 million (EUR 70 million/year). The remaining EUR 5 billion were financed from EIB own resources.</w:t>
      </w:r>
    </w:p>
  </w:footnote>
  <w:footnote w:id="257">
    <w:p w14:paraId="761BCC84" w14:textId="77777777" w:rsidR="00C77E01" w:rsidRPr="00344F4D" w:rsidRDefault="00C77E01" w:rsidP="00C77E01">
      <w:pPr>
        <w:pStyle w:val="FootnoteText"/>
        <w:rPr>
          <w:sz w:val="18"/>
          <w:szCs w:val="18"/>
          <w:lang w:val="en-IE"/>
        </w:rPr>
      </w:pPr>
      <w:r w:rsidRPr="00344F4D">
        <w:rPr>
          <w:rStyle w:val="FootnoteReference"/>
          <w:sz w:val="18"/>
          <w:szCs w:val="18"/>
        </w:rPr>
        <w:footnoteRef/>
      </w:r>
      <w:r w:rsidRPr="00344F4D">
        <w:rPr>
          <w:sz w:val="18"/>
          <w:szCs w:val="18"/>
        </w:rPr>
        <w:t xml:space="preserve"> The EIB Group uses industry data of EUR 69.7 billion investment for the US vs EUR 26.5 billion in the EU in 2021, resulting in a gap of ca. EUR 40 billion.</w:t>
      </w:r>
    </w:p>
  </w:footnote>
  <w:footnote w:id="258">
    <w:p w14:paraId="7905FF4B" w14:textId="65782F52" w:rsidR="00ED4820" w:rsidRPr="00A3193A" w:rsidRDefault="00ED4820" w:rsidP="00A3193A">
      <w:pPr>
        <w:pStyle w:val="FootnoteText"/>
        <w:rPr>
          <w:sz w:val="18"/>
          <w:szCs w:val="18"/>
          <w:lang w:val="en-US"/>
        </w:rPr>
      </w:pPr>
      <w:r w:rsidRPr="00A3193A">
        <w:rPr>
          <w:rStyle w:val="FootnoteReference"/>
          <w:sz w:val="18"/>
          <w:szCs w:val="18"/>
        </w:rPr>
        <w:footnoteRef/>
      </w:r>
      <w:r w:rsidRPr="00A3193A">
        <w:rPr>
          <w:sz w:val="18"/>
          <w:szCs w:val="18"/>
        </w:rPr>
        <w:t xml:space="preserve"> </w:t>
      </w:r>
      <w:r w:rsidRPr="00A3193A">
        <w:rPr>
          <w:sz w:val="18"/>
          <w:szCs w:val="18"/>
          <w:lang w:val="en-IE"/>
        </w:rPr>
        <w:t xml:space="preserve">See further findings in the </w:t>
      </w:r>
      <w:r w:rsidRPr="00A3193A">
        <w:rPr>
          <w:i/>
          <w:sz w:val="18"/>
          <w:szCs w:val="18"/>
          <w:lang w:val="en-US"/>
        </w:rPr>
        <w:t>Study to support the rapid assessment of policy scenarios to strengthen innovation and competitiveness in the field of biotechnology in the EU</w:t>
      </w:r>
      <w:r w:rsidRPr="00443C31">
        <w:rPr>
          <w:sz w:val="18"/>
          <w:szCs w:val="18"/>
          <w:lang w:val="en-US"/>
        </w:rPr>
        <w:t xml:space="preserve">, </w:t>
      </w:r>
      <w:r w:rsidR="00ED45EA" w:rsidRPr="00A3193A">
        <w:rPr>
          <w:sz w:val="18"/>
          <w:szCs w:val="18"/>
          <w:lang w:val="en-US"/>
        </w:rPr>
        <w:t>Rapid Assessment Scenario Study</w:t>
      </w:r>
      <w:r w:rsidRPr="00A3193A">
        <w:rPr>
          <w:sz w:val="18"/>
          <w:szCs w:val="18"/>
          <w:lang w:val="en-US"/>
        </w:rPr>
        <w:t>.</w:t>
      </w:r>
    </w:p>
  </w:footnote>
  <w:footnote w:id="259">
    <w:p w14:paraId="293D2CEF" w14:textId="2ED09E26" w:rsidR="00C312E1" w:rsidRPr="00C312E1" w:rsidRDefault="00C312E1">
      <w:pPr>
        <w:pStyle w:val="FootnoteText"/>
      </w:pPr>
      <w:r w:rsidRPr="00443C31">
        <w:rPr>
          <w:rStyle w:val="FootnoteReference"/>
          <w:sz w:val="18"/>
          <w:szCs w:val="18"/>
        </w:rPr>
        <w:footnoteRef/>
      </w:r>
      <w:r w:rsidRPr="00443C31">
        <w:rPr>
          <w:sz w:val="18"/>
          <w:szCs w:val="18"/>
        </w:rPr>
        <w:t xml:space="preserve"> See Annex 7 and relevant sections of the Rapid Assessment Study – forthcoming – for further details.</w:t>
      </w:r>
    </w:p>
  </w:footnote>
  <w:footnote w:id="260">
    <w:p w14:paraId="0516DCD8" w14:textId="51DDEA11" w:rsidR="00F34CA8" w:rsidRPr="00344F4D" w:rsidRDefault="00F34CA8" w:rsidP="00F34CA8">
      <w:pPr>
        <w:pStyle w:val="FootnoteText"/>
        <w:rPr>
          <w:sz w:val="18"/>
          <w:szCs w:val="18"/>
        </w:rPr>
      </w:pPr>
      <w:r w:rsidRPr="00344F4D">
        <w:rPr>
          <w:rStyle w:val="FootnoteReference"/>
          <w:sz w:val="18"/>
          <w:szCs w:val="18"/>
        </w:rPr>
        <w:footnoteRef/>
      </w:r>
      <w:r w:rsidRPr="00344F4D">
        <w:rPr>
          <w:sz w:val="18"/>
          <w:szCs w:val="18"/>
        </w:rPr>
        <w:t xml:space="preserve"> </w:t>
      </w:r>
      <w:r w:rsidR="001E3326" w:rsidRPr="001E3326">
        <w:rPr>
          <w:sz w:val="18"/>
          <w:szCs w:val="18"/>
        </w:rPr>
        <w:t xml:space="preserve">Estimations based on GrandViewResearch estimates of the overall EU DNA synthesis market </w:t>
      </w:r>
      <w:hyperlink r:id="rId141" w:tgtFrame="_blank" w:tooltip="https://www.grandviewresearch.com/horizon/outlook/dna-synthesis-market/europe" w:history="1">
        <w:r w:rsidR="001E3326" w:rsidRPr="001E3326">
          <w:rPr>
            <w:rStyle w:val="Hyperlink"/>
            <w:sz w:val="18"/>
            <w:szCs w:val="18"/>
          </w:rPr>
          <w:t>https://www.grandviewresearch.com/horizon/outlook/dna-synthesis-market/europe</w:t>
        </w:r>
      </w:hyperlink>
      <w:r w:rsidR="001E3326" w:rsidRPr="001E3326">
        <w:rPr>
          <w:sz w:val="18"/>
          <w:szCs w:val="18"/>
        </w:rPr>
        <w:t xml:space="preserve"> and EU Biotech market </w:t>
      </w:r>
      <w:hyperlink r:id="rId142" w:tgtFrame="_blank" w:tooltip="https://www.grandviewresearch.com/horizon/outlook/biotechnology-market/europe" w:history="1">
        <w:r w:rsidR="001E3326" w:rsidRPr="001E3326">
          <w:rPr>
            <w:rStyle w:val="Hyperlink"/>
            <w:sz w:val="18"/>
            <w:szCs w:val="18"/>
          </w:rPr>
          <w:t>https://www.grandviewresearch.com/horizon/outlook/biotechnology-market/europe</w:t>
        </w:r>
      </w:hyperlink>
      <w:r w:rsidR="001E3326" w:rsidRPr="001E3326">
        <w:rPr>
          <w:sz w:val="18"/>
          <w:szCs w:val="18"/>
        </w:rPr>
        <w:t xml:space="preserve">, assuming 50% of the overall EU DNA synthesis market (0.2% of the Biotech sector) is custom DNA synthesis, based on the number of companies – see footnote 260 and Annex 4 </w:t>
      </w:r>
      <w:r w:rsidR="001E3326" w:rsidRPr="001E3326">
        <w:rPr>
          <w:i/>
          <w:iCs/>
          <w:sz w:val="18"/>
          <w:szCs w:val="18"/>
        </w:rPr>
        <w:t>Additional methodological information on specific measures</w:t>
      </w:r>
      <w:r w:rsidR="001E3326" w:rsidRPr="001E3326">
        <w:rPr>
          <w:sz w:val="18"/>
          <w:szCs w:val="18"/>
        </w:rPr>
        <w:t xml:space="preserve"> for details</w:t>
      </w:r>
      <w:r w:rsidRPr="00344F4D">
        <w:rPr>
          <w:sz w:val="18"/>
          <w:szCs w:val="18"/>
        </w:rPr>
        <w:t>.</w:t>
      </w:r>
    </w:p>
  </w:footnote>
  <w:footnote w:id="261">
    <w:p w14:paraId="5922FEEB" w14:textId="77777777" w:rsidR="00F34CA8" w:rsidRPr="00344F4D" w:rsidRDefault="00F34CA8" w:rsidP="00F34CA8">
      <w:pPr>
        <w:spacing w:after="0"/>
        <w:rPr>
          <w:sz w:val="18"/>
          <w:szCs w:val="18"/>
        </w:rPr>
      </w:pPr>
      <w:r w:rsidRPr="00344F4D">
        <w:rPr>
          <w:rStyle w:val="FootnoteReference"/>
          <w:sz w:val="18"/>
          <w:szCs w:val="18"/>
        </w:rPr>
        <w:footnoteRef/>
      </w:r>
      <w:r w:rsidRPr="00344F4D">
        <w:rPr>
          <w:sz w:val="18"/>
          <w:szCs w:val="18"/>
        </w:rPr>
        <w:t xml:space="preserve"> </w:t>
      </w:r>
      <w:r w:rsidRPr="00344F4D">
        <w:rPr>
          <w:rStyle w:val="FootnoteTextChar"/>
          <w:rFonts w:eastAsiaTheme="majorEastAsia"/>
          <w:sz w:val="18"/>
          <w:szCs w:val="18"/>
        </w:rPr>
        <w:t>IBBIS has identified 215 companies in the NA synthesis market in the EU, of which 66 companies performing custom synthesis, including oligos and data storage. The EU also has 4 benchtop manufacturers and 40 third-party vendors. The share of EU synthetic DNA providers is calculated following IBBIS number, namely 215 over 1,023 globally identified providers.</w:t>
      </w:r>
    </w:p>
  </w:footnote>
  <w:footnote w:id="262">
    <w:p w14:paraId="2E9A5CE8" w14:textId="77777777" w:rsidR="00F34CA8" w:rsidRPr="008310F0" w:rsidRDefault="00F34CA8" w:rsidP="00F34CA8">
      <w:pPr>
        <w:pStyle w:val="FootnoteText"/>
        <w:rPr>
          <w:sz w:val="18"/>
          <w:szCs w:val="18"/>
          <w:lang w:val="en-IE"/>
        </w:rPr>
      </w:pPr>
      <w:r w:rsidRPr="00344F4D">
        <w:rPr>
          <w:rStyle w:val="FootnoteReference"/>
          <w:sz w:val="18"/>
          <w:szCs w:val="18"/>
        </w:rPr>
        <w:footnoteRef/>
      </w:r>
      <w:r w:rsidRPr="0053782F">
        <w:rPr>
          <w:sz w:val="18"/>
          <w:szCs w:val="18"/>
          <w:lang w:val="en-IE"/>
        </w:rPr>
        <w:t xml:space="preserve"> Esvelt K. (2024), </w:t>
      </w:r>
      <w:hyperlink r:id="rId143" w:history="1">
        <w:r w:rsidRPr="008310F0">
          <w:rPr>
            <w:rStyle w:val="Hyperlink"/>
            <w:sz w:val="18"/>
            <w:szCs w:val="18"/>
            <w:lang w:val="en-IE"/>
          </w:rPr>
          <w:t>https://drive.google.com/file/d/1hNUnU8i2yubt5uesmmV17aTJXhYYDgTY/edit?pli=1</w:t>
        </w:r>
      </w:hyperlink>
    </w:p>
  </w:footnote>
  <w:footnote w:id="263">
    <w:p w14:paraId="72EAFA75" w14:textId="77777777" w:rsidR="00F34CA8" w:rsidRPr="00344F4D" w:rsidRDefault="00F34CA8" w:rsidP="00F34CA8">
      <w:pPr>
        <w:pStyle w:val="FootnoteText"/>
        <w:rPr>
          <w:sz w:val="18"/>
          <w:szCs w:val="18"/>
          <w:lang w:val="fr-BE"/>
        </w:rPr>
      </w:pPr>
      <w:r w:rsidRPr="00344F4D">
        <w:rPr>
          <w:rStyle w:val="FootnoteReference"/>
          <w:sz w:val="18"/>
          <w:szCs w:val="18"/>
        </w:rPr>
        <w:footnoteRef/>
      </w:r>
      <w:hyperlink r:id="rId144" w:history="1">
        <w:r w:rsidRPr="00344F4D">
          <w:rPr>
            <w:rStyle w:val="Hyperlink"/>
            <w:sz w:val="18"/>
            <w:szCs w:val="18"/>
            <w:lang w:val="fr-BE"/>
          </w:rPr>
          <w:t>https://jamestown.org/ricins-round-two-germany-prevents-another-islamic-state-motivated-bioterrorism-attack/</w:t>
        </w:r>
      </w:hyperlink>
      <w:r w:rsidRPr="00344F4D">
        <w:rPr>
          <w:sz w:val="18"/>
          <w:szCs w:val="18"/>
          <w:lang w:val="fr-BE"/>
        </w:rPr>
        <w:t>, </w:t>
      </w:r>
      <w:hyperlink r:id="rId145" w:tgtFrame="_blank" w:history="1">
        <w:r w:rsidRPr="00344F4D">
          <w:rPr>
            <w:rStyle w:val="Hyperlink"/>
            <w:sz w:val="18"/>
            <w:szCs w:val="18"/>
            <w:lang w:val="fr-BE"/>
          </w:rPr>
          <w:t>https://www.dw.com/en/germany-teens-home-searched-over-suspected-ricin-plot/a-72272711</w:t>
        </w:r>
      </w:hyperlink>
      <w:r w:rsidRPr="00344F4D">
        <w:rPr>
          <w:sz w:val="18"/>
          <w:szCs w:val="18"/>
          <w:lang w:val="fr-BE"/>
        </w:rPr>
        <w:t xml:space="preserve">, </w:t>
      </w:r>
      <w:hyperlink r:id="rId146" w:tgtFrame="_blank" w:history="1">
        <w:r w:rsidRPr="00344F4D">
          <w:rPr>
            <w:rStyle w:val="Hyperlink"/>
            <w:sz w:val="18"/>
            <w:szCs w:val="18"/>
            <w:lang w:val="fr-BE"/>
          </w:rPr>
          <w:t>https://health.ec.europa.eu/document/download/1be3e462-bd50-4c64-b147-add9d1d5a580_en?filename=com_2025-529-1_act_en.pdf</w:t>
        </w:r>
      </w:hyperlink>
      <w:r w:rsidRPr="00344F4D">
        <w:rPr>
          <w:sz w:val="18"/>
          <w:szCs w:val="18"/>
          <w:lang w:val="fr-BE"/>
        </w:rPr>
        <w:t xml:space="preserve"> on page 5.</w:t>
      </w:r>
    </w:p>
  </w:footnote>
  <w:footnote w:id="264">
    <w:p w14:paraId="3B9753F7" w14:textId="77777777" w:rsidR="00F34CA8" w:rsidRPr="00344F4D" w:rsidRDefault="00F34CA8" w:rsidP="00F34CA8">
      <w:pPr>
        <w:pStyle w:val="FootnoteText"/>
        <w:rPr>
          <w:sz w:val="18"/>
          <w:szCs w:val="18"/>
        </w:rPr>
      </w:pPr>
      <w:r w:rsidRPr="00344F4D">
        <w:rPr>
          <w:rStyle w:val="FootnoteReference"/>
          <w:sz w:val="18"/>
          <w:szCs w:val="18"/>
        </w:rPr>
        <w:footnoteRef/>
      </w:r>
      <w:r w:rsidRPr="00344F4D">
        <w:rPr>
          <w:sz w:val="18"/>
          <w:szCs w:val="18"/>
        </w:rPr>
        <w:t xml:space="preserve"> RAND 2026.</w:t>
      </w:r>
    </w:p>
  </w:footnote>
  <w:footnote w:id="265">
    <w:p w14:paraId="377CEF24" w14:textId="77777777" w:rsidR="00F34CA8" w:rsidRPr="00443C31" w:rsidRDefault="00F34CA8" w:rsidP="00F34CA8">
      <w:pPr>
        <w:pStyle w:val="FootnoteText"/>
        <w:rPr>
          <w:sz w:val="18"/>
          <w:szCs w:val="18"/>
        </w:rPr>
      </w:pPr>
      <w:r w:rsidRPr="00443C31">
        <w:rPr>
          <w:rStyle w:val="FootnoteReference"/>
          <w:sz w:val="18"/>
          <w:szCs w:val="18"/>
        </w:rPr>
        <w:footnoteRef/>
      </w:r>
      <w:r w:rsidRPr="00443C31">
        <w:rPr>
          <w:sz w:val="18"/>
          <w:szCs w:val="18"/>
        </w:rPr>
        <w:t xml:space="preserve"> Large-spreading events, global pandemics on the scale of COVID-19 or the 1918 influenza</w:t>
      </w:r>
    </w:p>
  </w:footnote>
  <w:footnote w:id="266">
    <w:p w14:paraId="4EEF0BB3" w14:textId="77777777" w:rsidR="00F34CA8" w:rsidRPr="00344F4D" w:rsidRDefault="00F34CA8" w:rsidP="00F34CA8">
      <w:pPr>
        <w:pStyle w:val="FootnoteText"/>
        <w:rPr>
          <w:sz w:val="18"/>
          <w:szCs w:val="18"/>
        </w:rPr>
      </w:pPr>
      <w:r w:rsidRPr="00344F4D">
        <w:rPr>
          <w:rStyle w:val="FootnoteReference"/>
          <w:sz w:val="18"/>
          <w:szCs w:val="18"/>
        </w:rPr>
        <w:footnoteRef/>
      </w:r>
      <w:r w:rsidRPr="00344F4D">
        <w:rPr>
          <w:sz w:val="18"/>
          <w:szCs w:val="18"/>
        </w:rPr>
        <w:t xml:space="preserve"> Expected to result in 65 deaths in case the event happens.</w:t>
      </w:r>
    </w:p>
  </w:footnote>
  <w:footnote w:id="267">
    <w:p w14:paraId="5DCB2C5C" w14:textId="77777777" w:rsidR="00F34CA8" w:rsidRPr="00344F4D" w:rsidRDefault="00F34CA8" w:rsidP="00F34CA8">
      <w:pPr>
        <w:pStyle w:val="FootnoteText"/>
        <w:rPr>
          <w:sz w:val="18"/>
          <w:szCs w:val="18"/>
        </w:rPr>
      </w:pPr>
      <w:r w:rsidRPr="00344F4D">
        <w:rPr>
          <w:rStyle w:val="FootnoteReference"/>
          <w:sz w:val="18"/>
          <w:szCs w:val="18"/>
        </w:rPr>
        <w:footnoteRef/>
      </w:r>
      <w:r w:rsidRPr="00344F4D">
        <w:rPr>
          <w:sz w:val="18"/>
          <w:szCs w:val="18"/>
        </w:rPr>
        <w:t xml:space="preserve"> </w:t>
      </w:r>
      <w:hyperlink r:id="rId147" w:history="1">
        <w:r w:rsidRPr="00344F4D">
          <w:rPr>
            <w:rStyle w:val="Hyperlink"/>
            <w:sz w:val="18"/>
            <w:szCs w:val="18"/>
          </w:rPr>
          <w:t>https://ec.europa.eu/info/law/better-regulation/have-your-say/initiatives/14627-Biotech-Act/F3565340_en</w:t>
        </w:r>
      </w:hyperlink>
      <w:r w:rsidRPr="00344F4D">
        <w:rPr>
          <w:sz w:val="18"/>
          <w:szCs w:val="18"/>
        </w:rPr>
        <w:t xml:space="preserve"> </w:t>
      </w:r>
    </w:p>
  </w:footnote>
  <w:footnote w:id="268">
    <w:p w14:paraId="5671A8ED" w14:textId="77777777" w:rsidR="00F34CA8" w:rsidRPr="00344F4D" w:rsidRDefault="00F34CA8" w:rsidP="00F34CA8">
      <w:pPr>
        <w:pStyle w:val="FootnoteText"/>
        <w:rPr>
          <w:sz w:val="18"/>
          <w:szCs w:val="18"/>
          <w:lang w:val="en-IE"/>
        </w:rPr>
      </w:pPr>
      <w:r w:rsidRPr="00344F4D">
        <w:rPr>
          <w:rStyle w:val="FootnoteReference"/>
          <w:sz w:val="18"/>
          <w:szCs w:val="18"/>
        </w:rPr>
        <w:footnoteRef/>
      </w:r>
      <w:r w:rsidRPr="00344F4D">
        <w:rPr>
          <w:sz w:val="18"/>
          <w:szCs w:val="18"/>
        </w:rPr>
        <w:t xml:space="preserve"> https://pmc.ncbi.nlm.nih.gov/articles/PMC11319849/</w:t>
      </w:r>
    </w:p>
  </w:footnote>
  <w:footnote w:id="269">
    <w:p w14:paraId="616A6E54" w14:textId="77777777" w:rsidR="00F34CA8" w:rsidRPr="00344F4D" w:rsidRDefault="00F34CA8" w:rsidP="00F34CA8">
      <w:pPr>
        <w:pStyle w:val="FootnoteText"/>
        <w:rPr>
          <w:sz w:val="18"/>
          <w:szCs w:val="18"/>
          <w:lang w:val="en-IE"/>
        </w:rPr>
      </w:pPr>
      <w:r w:rsidRPr="00344F4D">
        <w:rPr>
          <w:rStyle w:val="FootnoteReference"/>
          <w:sz w:val="18"/>
          <w:szCs w:val="18"/>
        </w:rPr>
        <w:footnoteRef/>
      </w:r>
      <w:r w:rsidRPr="00344F4D">
        <w:rPr>
          <w:sz w:val="18"/>
          <w:szCs w:val="18"/>
        </w:rPr>
        <w:t xml:space="preserve"> </w:t>
      </w:r>
      <w:r w:rsidRPr="00344F4D">
        <w:rPr>
          <w:sz w:val="18"/>
          <w:szCs w:val="18"/>
          <w:lang w:val="en-IE"/>
        </w:rPr>
        <w:t xml:space="preserve">See IBBIS mapping of explicit and implicit rules on NA synthesis screening across countries: </w:t>
      </w:r>
      <w:hyperlink r:id="rId148" w:history="1">
        <w:r w:rsidRPr="00344F4D">
          <w:rPr>
            <w:rStyle w:val="Hyperlink"/>
            <w:sz w:val="18"/>
            <w:szCs w:val="18"/>
            <w:lang w:val="en-IE"/>
          </w:rPr>
          <w:t>https://globalsynthesismap.bio/policy?country=FRA</w:t>
        </w:r>
      </w:hyperlink>
      <w:r w:rsidRPr="00344F4D">
        <w:rPr>
          <w:sz w:val="18"/>
          <w:szCs w:val="18"/>
          <w:lang w:val="en-IE"/>
        </w:rPr>
        <w:t>.</w:t>
      </w:r>
    </w:p>
  </w:footnote>
  <w:footnote w:id="270">
    <w:p w14:paraId="4B176B60" w14:textId="77777777" w:rsidR="00F34CA8" w:rsidRPr="00344F4D" w:rsidRDefault="00F34CA8" w:rsidP="00F34CA8">
      <w:pPr>
        <w:pStyle w:val="FootnoteText"/>
        <w:rPr>
          <w:b/>
          <w:sz w:val="18"/>
          <w:szCs w:val="18"/>
        </w:rPr>
      </w:pPr>
      <w:r w:rsidRPr="00344F4D">
        <w:rPr>
          <w:rStyle w:val="FootnoteReference"/>
          <w:sz w:val="18"/>
          <w:szCs w:val="18"/>
        </w:rPr>
        <w:footnoteRef/>
      </w:r>
      <w:r w:rsidRPr="00344F4D">
        <w:rPr>
          <w:sz w:val="18"/>
          <w:szCs w:val="18"/>
        </w:rPr>
        <w:t xml:space="preserve"> Harmonized screening protocol v2.0 (2017). International Gene Synthesis Corporation.</w:t>
      </w:r>
    </w:p>
  </w:footnote>
  <w:footnote w:id="271">
    <w:p w14:paraId="5C7F1A10" w14:textId="77777777" w:rsidR="00F34CA8" w:rsidRPr="00344F4D" w:rsidRDefault="00F34CA8" w:rsidP="00F34CA8">
      <w:pPr>
        <w:pStyle w:val="FootnoteText"/>
        <w:rPr>
          <w:sz w:val="18"/>
          <w:szCs w:val="18"/>
          <w:lang w:val="en-IE"/>
        </w:rPr>
      </w:pPr>
      <w:r w:rsidRPr="00344F4D">
        <w:rPr>
          <w:rStyle w:val="FootnoteReference"/>
          <w:sz w:val="18"/>
          <w:szCs w:val="18"/>
        </w:rPr>
        <w:footnoteRef/>
      </w:r>
      <w:r w:rsidRPr="00344F4D">
        <w:rPr>
          <w:sz w:val="18"/>
          <w:szCs w:val="18"/>
        </w:rPr>
        <w:t xml:space="preserve"> </w:t>
      </w:r>
      <w:r w:rsidRPr="00344F4D">
        <w:rPr>
          <w:sz w:val="18"/>
          <w:szCs w:val="18"/>
          <w:lang w:val="en-IE"/>
        </w:rPr>
        <w:t xml:space="preserve">If not matched by a similar decrease in the cost of screening with advancements in AI, as investigated in </w:t>
      </w:r>
      <w:r w:rsidRPr="00344F4D">
        <w:rPr>
          <w:sz w:val="18"/>
          <w:szCs w:val="18"/>
        </w:rPr>
        <w:t>Acelas</w:t>
      </w:r>
      <w:r w:rsidRPr="00344F4D" w:rsidDel="00192783">
        <w:rPr>
          <w:sz w:val="18"/>
          <w:szCs w:val="18"/>
        </w:rPr>
        <w:t xml:space="preserve"> </w:t>
      </w:r>
      <w:r w:rsidRPr="00344F4D">
        <w:rPr>
          <w:i/>
          <w:sz w:val="18"/>
          <w:szCs w:val="18"/>
        </w:rPr>
        <w:t>et al.</w:t>
      </w:r>
      <w:r w:rsidRPr="00344F4D">
        <w:rPr>
          <w:sz w:val="18"/>
          <w:szCs w:val="18"/>
        </w:rPr>
        <w:t xml:space="preserve"> (2026) cited below.</w:t>
      </w:r>
    </w:p>
  </w:footnote>
  <w:footnote w:id="272">
    <w:p w14:paraId="1317D000" w14:textId="77777777" w:rsidR="00F34CA8" w:rsidRPr="00344F4D" w:rsidRDefault="00F34CA8" w:rsidP="00F34CA8">
      <w:pPr>
        <w:pStyle w:val="FootnoteText"/>
        <w:rPr>
          <w:sz w:val="18"/>
          <w:szCs w:val="18"/>
          <w:lang w:val="en-IE"/>
        </w:rPr>
      </w:pPr>
      <w:r w:rsidRPr="00344F4D">
        <w:rPr>
          <w:rStyle w:val="FootnoteReference"/>
          <w:sz w:val="18"/>
          <w:szCs w:val="18"/>
        </w:rPr>
        <w:footnoteRef/>
      </w:r>
      <w:hyperlink r:id="rId149" w:history="1">
        <w:r w:rsidRPr="00344F4D">
          <w:rPr>
            <w:rStyle w:val="Hyperlink"/>
            <w:sz w:val="18"/>
            <w:szCs w:val="18"/>
          </w:rPr>
          <w:t>https://www.weforum.org/publications/biosecurity-innovation-and-risk-reduction-a-global-framework-for-accessible-safe-and-secure-dna-synthesis-582d582cd4/</w:t>
        </w:r>
      </w:hyperlink>
    </w:p>
  </w:footnote>
  <w:footnote w:id="273">
    <w:p w14:paraId="139350F7" w14:textId="77777777" w:rsidR="00F34CA8" w:rsidRPr="00344F4D" w:rsidRDefault="00F34CA8" w:rsidP="00F34CA8">
      <w:pPr>
        <w:pStyle w:val="FootnoteText"/>
        <w:rPr>
          <w:sz w:val="18"/>
          <w:szCs w:val="18"/>
        </w:rPr>
      </w:pPr>
      <w:r w:rsidRPr="00344F4D">
        <w:rPr>
          <w:rStyle w:val="FootnoteReference"/>
          <w:sz w:val="18"/>
          <w:szCs w:val="18"/>
        </w:rPr>
        <w:footnoteRef/>
      </w:r>
      <w:r w:rsidRPr="00344F4D">
        <w:rPr>
          <w:sz w:val="18"/>
          <w:szCs w:val="18"/>
          <w:lang w:val="en-IE"/>
        </w:rPr>
        <w:t xml:space="preserve"> Zakaria, S. </w:t>
      </w:r>
      <w:r w:rsidRPr="00344F4D">
        <w:rPr>
          <w:i/>
          <w:sz w:val="18"/>
          <w:szCs w:val="18"/>
          <w:lang w:val="en-IE"/>
        </w:rPr>
        <w:t>et al.</w:t>
      </w:r>
      <w:r w:rsidRPr="00344F4D">
        <w:rPr>
          <w:sz w:val="18"/>
          <w:szCs w:val="18"/>
          <w:lang w:val="en-IE"/>
        </w:rPr>
        <w:t xml:space="preserve"> </w:t>
      </w:r>
      <w:r w:rsidRPr="00344F4D">
        <w:rPr>
          <w:sz w:val="18"/>
          <w:szCs w:val="18"/>
        </w:rPr>
        <w:t xml:space="preserve">(2026). Cost–benefit analysis for synthetic nucleic acid screening in the European Union. Santa Monica, CA: RAND Corporation, 2026. </w:t>
      </w:r>
      <w:hyperlink r:id="rId150" w:history="1">
        <w:r w:rsidRPr="00344F4D">
          <w:rPr>
            <w:rStyle w:val="Hyperlink"/>
            <w:sz w:val="18"/>
            <w:szCs w:val="18"/>
          </w:rPr>
          <w:t>https://www.rand.org/pubs/research_reports/RRA4805-1.html</w:t>
        </w:r>
      </w:hyperlink>
      <w:r w:rsidRPr="00344F4D">
        <w:rPr>
          <w:sz w:val="18"/>
          <w:szCs w:val="18"/>
        </w:rPr>
        <w:t xml:space="preserve">; The analysis is conducted over </w:t>
      </w:r>
      <w:r w:rsidRPr="00344F4D">
        <w:rPr>
          <w:b/>
          <w:sz w:val="18"/>
          <w:szCs w:val="18"/>
        </w:rPr>
        <w:t>ten years</w:t>
      </w:r>
      <w:r w:rsidRPr="00344F4D">
        <w:rPr>
          <w:sz w:val="18"/>
          <w:szCs w:val="18"/>
        </w:rPr>
        <w:t xml:space="preserve"> and assumes a mandatory screening policy for all synthetic nucleic acids longer </w:t>
      </w:r>
      <w:r w:rsidRPr="00344F4D">
        <w:rPr>
          <w:b/>
          <w:sz w:val="18"/>
          <w:szCs w:val="18"/>
        </w:rPr>
        <w:t>than 50bp</w:t>
      </w:r>
      <w:r w:rsidRPr="00344F4D">
        <w:rPr>
          <w:sz w:val="18"/>
          <w:szCs w:val="18"/>
        </w:rPr>
        <w:t xml:space="preserve"> bought and sold in the EU.</w:t>
      </w:r>
    </w:p>
  </w:footnote>
  <w:footnote w:id="274">
    <w:p w14:paraId="1595D9B7" w14:textId="77777777" w:rsidR="00F34CA8" w:rsidRPr="00344F4D" w:rsidRDefault="00F34CA8" w:rsidP="00F34CA8">
      <w:pPr>
        <w:pStyle w:val="FootnoteText"/>
        <w:rPr>
          <w:sz w:val="18"/>
          <w:szCs w:val="18"/>
        </w:rPr>
      </w:pPr>
      <w:r w:rsidRPr="00443C31">
        <w:rPr>
          <w:rStyle w:val="FootnoteReference"/>
          <w:sz w:val="18"/>
          <w:szCs w:val="18"/>
        </w:rPr>
        <w:footnoteRef/>
      </w:r>
      <w:r w:rsidRPr="00443C31">
        <w:rPr>
          <w:sz w:val="18"/>
          <w:szCs w:val="18"/>
        </w:rPr>
        <w:t xml:space="preserve"> </w:t>
      </w:r>
      <w:r w:rsidRPr="00344F4D">
        <w:rPr>
          <w:sz w:val="18"/>
          <w:szCs w:val="18"/>
        </w:rPr>
        <w:t>The benefits quantify the reduction in the probability of biological events, such as another pandemic or an agro-terrorism attack, and the resulting reduction in expected public health and economic costs</w:t>
      </w:r>
      <w:r w:rsidRPr="00344F4D">
        <w:rPr>
          <w:i/>
          <w:sz w:val="18"/>
          <w:szCs w:val="18"/>
        </w:rPr>
        <w:t>.</w:t>
      </w:r>
    </w:p>
  </w:footnote>
  <w:footnote w:id="275">
    <w:p w14:paraId="30CE0DFC" w14:textId="77777777" w:rsidR="00F34CA8" w:rsidRPr="00344F4D" w:rsidRDefault="00F34CA8" w:rsidP="00F34CA8">
      <w:pPr>
        <w:pStyle w:val="FootnoteText"/>
        <w:rPr>
          <w:sz w:val="18"/>
          <w:szCs w:val="18"/>
        </w:rPr>
      </w:pPr>
      <w:r w:rsidRPr="00344F4D">
        <w:rPr>
          <w:rStyle w:val="FootnoteReference"/>
          <w:sz w:val="18"/>
          <w:szCs w:val="18"/>
        </w:rPr>
        <w:footnoteRef/>
      </w:r>
      <w:r w:rsidRPr="00344F4D">
        <w:rPr>
          <w:sz w:val="18"/>
          <w:szCs w:val="18"/>
        </w:rPr>
        <w:t xml:space="preserve"> Held on the 18</w:t>
      </w:r>
      <w:r w:rsidRPr="00344F4D">
        <w:rPr>
          <w:sz w:val="18"/>
          <w:szCs w:val="18"/>
          <w:vertAlign w:val="superscript"/>
        </w:rPr>
        <w:t>th</w:t>
      </w:r>
      <w:r w:rsidRPr="00344F4D">
        <w:rPr>
          <w:sz w:val="18"/>
          <w:szCs w:val="18"/>
        </w:rPr>
        <w:t xml:space="preserve"> February 2026 in the context of stakeholder consultations for the Rapid Assessment Scenario Study (forthcoming).</w:t>
      </w:r>
    </w:p>
  </w:footnote>
  <w:footnote w:id="276">
    <w:p w14:paraId="6BFB417B" w14:textId="77777777" w:rsidR="00F34CA8" w:rsidRPr="00344F4D" w:rsidRDefault="00F34CA8" w:rsidP="00F34CA8">
      <w:pPr>
        <w:pStyle w:val="FootnoteText"/>
        <w:rPr>
          <w:sz w:val="18"/>
          <w:szCs w:val="18"/>
        </w:rPr>
      </w:pPr>
      <w:r w:rsidRPr="00344F4D">
        <w:rPr>
          <w:rStyle w:val="FootnoteReference"/>
          <w:sz w:val="18"/>
          <w:szCs w:val="18"/>
        </w:rPr>
        <w:footnoteRef/>
      </w:r>
      <w:r w:rsidRPr="00344F4D">
        <w:rPr>
          <w:sz w:val="18"/>
          <w:szCs w:val="18"/>
        </w:rPr>
        <w:t xml:space="preserve"> Evidence from SME expert interviews.</w:t>
      </w:r>
    </w:p>
  </w:footnote>
  <w:footnote w:id="277">
    <w:p w14:paraId="210BE9B9" w14:textId="2D763022" w:rsidR="00F34CA8" w:rsidRPr="00344F4D" w:rsidRDefault="00F34CA8" w:rsidP="00F34CA8">
      <w:pPr>
        <w:pStyle w:val="FootnoteText"/>
        <w:rPr>
          <w:sz w:val="18"/>
          <w:szCs w:val="18"/>
        </w:rPr>
      </w:pPr>
      <w:r w:rsidRPr="00344F4D">
        <w:rPr>
          <w:rStyle w:val="FootnoteReference"/>
          <w:sz w:val="18"/>
          <w:szCs w:val="18"/>
        </w:rPr>
        <w:footnoteRef/>
      </w:r>
      <w:r w:rsidRPr="00344F4D">
        <w:rPr>
          <w:sz w:val="18"/>
          <w:szCs w:val="18"/>
        </w:rPr>
        <w:t xml:space="preserve"> Estimation based on the average between minimum (15</w:t>
      </w:r>
      <w:r w:rsidR="00405618">
        <w:rPr>
          <w:sz w:val="18"/>
          <w:szCs w:val="18"/>
        </w:rPr>
        <w:t>%</w:t>
      </w:r>
      <w:r w:rsidRPr="00344F4D">
        <w:rPr>
          <w:sz w:val="18"/>
          <w:szCs w:val="18"/>
        </w:rPr>
        <w:t>) and maximum (45</w:t>
      </w:r>
      <w:r w:rsidR="00405618">
        <w:rPr>
          <w:sz w:val="18"/>
          <w:szCs w:val="18"/>
        </w:rPr>
        <w:t>%</w:t>
      </w:r>
      <w:r w:rsidRPr="00344F4D">
        <w:rPr>
          <w:sz w:val="18"/>
          <w:szCs w:val="18"/>
        </w:rPr>
        <w:t>) values of the proportion of EU gene companies that voluntarily screen now, from the RAND analysis. The number is also in line with the global results of the survey conducted by Sentinel Bio on major screening tool providers and Response to the European Biotech Act - Call for Evidence.</w:t>
      </w:r>
      <w:r w:rsidR="1A163B29" w:rsidRPr="00344F4D">
        <w:rPr>
          <w:sz w:val="18"/>
          <w:szCs w:val="18"/>
        </w:rPr>
        <w:t xml:space="preserve"> See details on methodology in </w:t>
      </w:r>
      <w:r w:rsidR="1A163B29" w:rsidRPr="1A163B29">
        <w:rPr>
          <w:sz w:val="18"/>
          <w:szCs w:val="18"/>
        </w:rPr>
        <w:t xml:space="preserve">Annex 4 </w:t>
      </w:r>
      <w:r w:rsidR="1A163B29" w:rsidRPr="1A163B29">
        <w:rPr>
          <w:i/>
          <w:iCs/>
          <w:sz w:val="18"/>
          <w:szCs w:val="18"/>
        </w:rPr>
        <w:t>Additional methodological information on specific measures</w:t>
      </w:r>
      <w:r w:rsidR="1A163B29" w:rsidRPr="1A163B29">
        <w:rPr>
          <w:sz w:val="18"/>
          <w:szCs w:val="18"/>
        </w:rPr>
        <w:t xml:space="preserve"> for Intervention No 16.</w:t>
      </w:r>
    </w:p>
  </w:footnote>
  <w:footnote w:id="278">
    <w:p w14:paraId="6112102F" w14:textId="77777777" w:rsidR="00F34CA8" w:rsidRPr="00344F4D" w:rsidRDefault="00F34CA8" w:rsidP="00F34CA8">
      <w:pPr>
        <w:pStyle w:val="FootnoteText"/>
        <w:rPr>
          <w:sz w:val="18"/>
          <w:szCs w:val="18"/>
        </w:rPr>
      </w:pPr>
      <w:r w:rsidRPr="00344F4D">
        <w:rPr>
          <w:rStyle w:val="FootnoteReference"/>
          <w:sz w:val="18"/>
          <w:szCs w:val="18"/>
        </w:rPr>
        <w:footnoteRef/>
      </w:r>
      <w:r w:rsidRPr="00344F4D">
        <w:rPr>
          <w:sz w:val="18"/>
          <w:szCs w:val="18"/>
        </w:rPr>
        <w:t xml:space="preserve"> Assumed to be relatively moderate at EUR 1.5 million for all companies, given the availability of free tools to screen for sequences of concern: </w:t>
      </w:r>
      <w:hyperlink r:id="rId151">
        <w:r w:rsidRPr="00344F4D">
          <w:rPr>
            <w:rStyle w:val="Hyperlink"/>
            <w:sz w:val="18"/>
            <w:szCs w:val="18"/>
          </w:rPr>
          <w:t>https://github.com/ibbis-bio/common-mechanism</w:t>
        </w:r>
      </w:hyperlink>
      <w:r w:rsidRPr="00344F4D">
        <w:rPr>
          <w:sz w:val="18"/>
          <w:szCs w:val="18"/>
        </w:rPr>
        <w:t>; and Response Call for Evidence for EU Biotech Act.</w:t>
      </w:r>
    </w:p>
  </w:footnote>
  <w:footnote w:id="279">
    <w:p w14:paraId="0D03BAD6" w14:textId="687FF2F5" w:rsidR="00F34CA8" w:rsidRPr="00344F4D" w:rsidRDefault="00F34CA8" w:rsidP="00F34CA8">
      <w:pPr>
        <w:pStyle w:val="FootnoteText"/>
        <w:rPr>
          <w:sz w:val="18"/>
          <w:szCs w:val="18"/>
          <w:lang w:val="en-IE"/>
        </w:rPr>
      </w:pPr>
      <w:r w:rsidRPr="00344F4D">
        <w:rPr>
          <w:rStyle w:val="FootnoteReference"/>
          <w:sz w:val="18"/>
          <w:szCs w:val="18"/>
        </w:rPr>
        <w:footnoteRef/>
      </w:r>
      <w:r w:rsidRPr="00344F4D">
        <w:rPr>
          <w:sz w:val="18"/>
          <w:szCs w:val="18"/>
        </w:rPr>
        <w:t xml:space="preserve"> Estimations based on </w:t>
      </w:r>
      <w:hyperlink r:id="rId152" w:history="1">
        <w:r w:rsidRPr="00344F4D">
          <w:rPr>
            <w:rStyle w:val="Hyperlink"/>
            <w:sz w:val="18"/>
            <w:szCs w:val="18"/>
          </w:rPr>
          <w:t>https://www.grandviewresearch.com/horizon/outlook/dna-synthesis-market/europe</w:t>
        </w:r>
      </w:hyperlink>
      <w:r w:rsidRPr="00344F4D">
        <w:rPr>
          <w:sz w:val="18"/>
          <w:szCs w:val="18"/>
        </w:rPr>
        <w:t>. Assuming 50</w:t>
      </w:r>
      <w:r w:rsidR="00405618">
        <w:rPr>
          <w:sz w:val="18"/>
          <w:szCs w:val="18"/>
        </w:rPr>
        <w:t>%</w:t>
      </w:r>
      <w:r w:rsidRPr="00344F4D">
        <w:rPr>
          <w:sz w:val="18"/>
          <w:szCs w:val="18"/>
        </w:rPr>
        <w:t xml:space="preserve"> of the overall DNA synthesis market is custom NA synthesis.</w:t>
      </w:r>
    </w:p>
  </w:footnote>
  <w:footnote w:id="280">
    <w:p w14:paraId="63235C76" w14:textId="77777777" w:rsidR="00F34CA8" w:rsidRPr="00344F4D" w:rsidRDefault="00F34CA8" w:rsidP="00F34CA8">
      <w:pPr>
        <w:pStyle w:val="FootnoteText"/>
        <w:rPr>
          <w:sz w:val="18"/>
          <w:szCs w:val="18"/>
        </w:rPr>
      </w:pPr>
      <w:r w:rsidRPr="00344F4D">
        <w:rPr>
          <w:rStyle w:val="FootnoteReference"/>
          <w:sz w:val="18"/>
          <w:szCs w:val="18"/>
        </w:rPr>
        <w:footnoteRef/>
      </w:r>
      <w:r w:rsidRPr="00344F4D">
        <w:rPr>
          <w:sz w:val="18"/>
          <w:szCs w:val="18"/>
        </w:rPr>
        <w:t xml:space="preserve"> Estimations based on RAND analysis, but adjusted for EU average labour costs, number of custom providers, and orders by the share of the market belonging only to custom providers (110 custom providers/215 total companies in the synthetic DNA= 0.51).</w:t>
      </w:r>
    </w:p>
  </w:footnote>
  <w:footnote w:id="281">
    <w:p w14:paraId="5E9F07F6" w14:textId="77777777" w:rsidR="00F34CA8" w:rsidRPr="00344F4D" w:rsidRDefault="00F34CA8" w:rsidP="00F34CA8">
      <w:pPr>
        <w:pStyle w:val="FootnoteText"/>
        <w:rPr>
          <w:sz w:val="18"/>
          <w:szCs w:val="18"/>
        </w:rPr>
      </w:pPr>
      <w:r w:rsidRPr="00344F4D">
        <w:rPr>
          <w:rStyle w:val="FootnoteReference"/>
          <w:sz w:val="18"/>
          <w:szCs w:val="18"/>
        </w:rPr>
        <w:footnoteRef/>
      </w:r>
      <w:r w:rsidRPr="00344F4D">
        <w:rPr>
          <w:sz w:val="18"/>
          <w:szCs w:val="18"/>
          <w:lang w:val="es-ES"/>
        </w:rPr>
        <w:t xml:space="preserve"> Acelas, A., Palya, H., Flyangolts, K., Fady, P. E., &amp; Nelson, C. (2026). </w:t>
      </w:r>
      <w:r w:rsidRPr="00344F4D">
        <w:rPr>
          <w:sz w:val="18"/>
          <w:szCs w:val="18"/>
        </w:rPr>
        <w:t>Evaluating AI-Assisted Customer Verification for Synthetic Nucleic Acid Screening. </w:t>
      </w:r>
      <w:r w:rsidRPr="00344F4D">
        <w:rPr>
          <w:i/>
          <w:sz w:val="18"/>
          <w:szCs w:val="18"/>
        </w:rPr>
        <w:t>bioRxiv</w:t>
      </w:r>
      <w:r w:rsidRPr="00344F4D">
        <w:rPr>
          <w:sz w:val="18"/>
          <w:szCs w:val="18"/>
        </w:rPr>
        <w:t xml:space="preserve">. </w:t>
      </w:r>
      <w:hyperlink r:id="rId153" w:history="1">
        <w:r w:rsidRPr="00344F4D">
          <w:rPr>
            <w:rStyle w:val="Hyperlink"/>
            <w:sz w:val="18"/>
            <w:szCs w:val="18"/>
          </w:rPr>
          <w:t>https://www.biorxiv.org/content/10.64898/2026.02.27.708645v1?ct=</w:t>
        </w:r>
      </w:hyperlink>
      <w:r w:rsidRPr="00344F4D">
        <w:rPr>
          <w:sz w:val="18"/>
          <w:szCs w:val="18"/>
        </w:rPr>
        <w:t xml:space="preserve"> </w:t>
      </w:r>
    </w:p>
  </w:footnote>
  <w:footnote w:id="282">
    <w:p w14:paraId="16015431" w14:textId="77777777" w:rsidR="00F34CA8" w:rsidRPr="00344F4D" w:rsidRDefault="00F34CA8" w:rsidP="00F34CA8">
      <w:pPr>
        <w:pStyle w:val="FootnoteText"/>
        <w:rPr>
          <w:sz w:val="18"/>
          <w:szCs w:val="18"/>
          <w:lang w:val="en-IE"/>
        </w:rPr>
      </w:pPr>
      <w:r w:rsidRPr="00344F4D">
        <w:rPr>
          <w:rStyle w:val="FootnoteReference"/>
          <w:sz w:val="18"/>
          <w:szCs w:val="18"/>
        </w:rPr>
        <w:footnoteRef/>
      </w:r>
      <w:r w:rsidRPr="00344F4D">
        <w:rPr>
          <w:sz w:val="18"/>
          <w:szCs w:val="18"/>
        </w:rPr>
        <w:t xml:space="preserve"> Calculation based on 2027 numbers. Costs may rise in the long run as the market also continues growing.</w:t>
      </w:r>
    </w:p>
  </w:footnote>
  <w:footnote w:id="283">
    <w:p w14:paraId="4C079DE3" w14:textId="77777777" w:rsidR="00F34CA8" w:rsidRPr="00344F4D" w:rsidRDefault="00F34CA8" w:rsidP="00F34CA8">
      <w:pPr>
        <w:pStyle w:val="FootnoteText"/>
        <w:rPr>
          <w:sz w:val="18"/>
          <w:szCs w:val="18"/>
          <w:lang w:val="en-IE"/>
        </w:rPr>
      </w:pPr>
      <w:r w:rsidRPr="00344F4D">
        <w:rPr>
          <w:rStyle w:val="FootnoteReference"/>
          <w:sz w:val="18"/>
          <w:szCs w:val="18"/>
        </w:rPr>
        <w:footnoteRef/>
      </w:r>
      <w:r w:rsidRPr="00344F4D">
        <w:rPr>
          <w:sz w:val="18"/>
          <w:szCs w:val="18"/>
        </w:rPr>
        <w:t xml:space="preserve"> Taking the upper bound of all cost estimates and including the relatively high RAND estimate of indirect costs.</w:t>
      </w:r>
    </w:p>
  </w:footnote>
  <w:footnote w:id="284">
    <w:p w14:paraId="5083D28E" w14:textId="77777777" w:rsidR="00A3413A" w:rsidRPr="00344F4D" w:rsidRDefault="00A3413A" w:rsidP="00A3413A">
      <w:pPr>
        <w:spacing w:after="0"/>
        <w:rPr>
          <w:sz w:val="18"/>
          <w:szCs w:val="18"/>
        </w:rPr>
      </w:pPr>
      <w:r w:rsidRPr="00344F4D">
        <w:rPr>
          <w:rStyle w:val="FootnoteReference"/>
          <w:sz w:val="18"/>
          <w:szCs w:val="18"/>
        </w:rPr>
        <w:footnoteRef/>
      </w:r>
      <w:r w:rsidRPr="00344F4D">
        <w:rPr>
          <w:sz w:val="18"/>
          <w:szCs w:val="18"/>
        </w:rPr>
        <w:t xml:space="preserve"> </w:t>
      </w:r>
      <w:hyperlink r:id="rId154" w:history="1">
        <w:r w:rsidRPr="00344F4D">
          <w:rPr>
            <w:rStyle w:val="Hyperlink"/>
            <w:sz w:val="18"/>
            <w:szCs w:val="18"/>
          </w:rPr>
          <w:t>Russia has expanded site of past bioweapons research, satellite images show - Washington Post</w:t>
        </w:r>
      </w:hyperlink>
      <w:r w:rsidRPr="00344F4D">
        <w:rPr>
          <w:sz w:val="18"/>
          <w:szCs w:val="18"/>
        </w:rPr>
        <w:t>.</w:t>
      </w:r>
    </w:p>
  </w:footnote>
  <w:footnote w:id="285">
    <w:p w14:paraId="6C3172D7" w14:textId="77777777" w:rsidR="00A3413A" w:rsidRPr="00344F4D" w:rsidRDefault="00A3413A" w:rsidP="00A3413A">
      <w:pPr>
        <w:spacing w:after="0"/>
        <w:rPr>
          <w:sz w:val="18"/>
          <w:szCs w:val="18"/>
        </w:rPr>
      </w:pPr>
      <w:r w:rsidRPr="00344F4D">
        <w:rPr>
          <w:rStyle w:val="FootnoteReference"/>
          <w:sz w:val="18"/>
          <w:szCs w:val="18"/>
        </w:rPr>
        <w:footnoteRef/>
      </w:r>
      <w:r w:rsidRPr="00344F4D">
        <w:rPr>
          <w:rFonts w:eastAsia="Arial"/>
          <w:sz w:val="18"/>
          <w:szCs w:val="18"/>
        </w:rPr>
        <w:t>Nelson, C., The Threat No One is Talking About in Iran, RUSI Commentary, 23 March 2026.</w:t>
      </w:r>
    </w:p>
  </w:footnote>
  <w:footnote w:id="286">
    <w:p w14:paraId="400F9977" w14:textId="77777777" w:rsidR="00A3413A" w:rsidRPr="00344F4D" w:rsidRDefault="00A3413A" w:rsidP="00A3413A">
      <w:pPr>
        <w:spacing w:after="0"/>
        <w:rPr>
          <w:sz w:val="18"/>
          <w:szCs w:val="18"/>
        </w:rPr>
      </w:pPr>
      <w:r w:rsidRPr="00344F4D">
        <w:rPr>
          <w:rStyle w:val="FootnoteReference"/>
          <w:sz w:val="18"/>
          <w:szCs w:val="18"/>
        </w:rPr>
        <w:footnoteRef/>
      </w:r>
      <w:r w:rsidRPr="00344F4D">
        <w:rPr>
          <w:rFonts w:eastAsia="Arial"/>
          <w:sz w:val="18"/>
          <w:szCs w:val="18"/>
        </w:rPr>
        <w:t xml:space="preserve">Williams </w:t>
      </w:r>
      <w:r w:rsidRPr="00344F4D">
        <w:rPr>
          <w:rFonts w:eastAsia="Arial"/>
          <w:i/>
          <w:sz w:val="18"/>
          <w:szCs w:val="18"/>
        </w:rPr>
        <w:t xml:space="preserve">et al. </w:t>
      </w:r>
      <w:r w:rsidRPr="00344F4D">
        <w:rPr>
          <w:rFonts w:eastAsia="Arial"/>
          <w:sz w:val="18"/>
          <w:szCs w:val="18"/>
        </w:rPr>
        <w:t>(2025), Forecasting LLM-Enabled Biorisk and the Efficacy of Safeguards, Research Forecasting Institute.</w:t>
      </w:r>
    </w:p>
  </w:footnote>
  <w:footnote w:id="287">
    <w:p w14:paraId="317F51B5" w14:textId="38CF25F4" w:rsidR="00A3413A" w:rsidRPr="00344F4D" w:rsidRDefault="00A3413A" w:rsidP="00A3413A">
      <w:pPr>
        <w:spacing w:after="0"/>
        <w:rPr>
          <w:sz w:val="18"/>
          <w:szCs w:val="18"/>
        </w:rPr>
      </w:pPr>
      <w:r w:rsidRPr="00344F4D">
        <w:rPr>
          <w:rStyle w:val="FootnoteReference"/>
          <w:sz w:val="18"/>
          <w:szCs w:val="18"/>
        </w:rPr>
        <w:footnoteRef/>
      </w:r>
      <w:r w:rsidRPr="00344F4D">
        <w:rPr>
          <w:rFonts w:eastAsia="Arial"/>
          <w:sz w:val="18"/>
          <w:szCs w:val="18"/>
        </w:rPr>
        <w:t>SecureBio Detection (2025), Scaling US Pathogen Detection.</w:t>
      </w:r>
      <w:r w:rsidR="1A163B29" w:rsidRPr="00344F4D">
        <w:rPr>
          <w:rFonts w:eastAsia="Arial"/>
          <w:sz w:val="18"/>
          <w:szCs w:val="18"/>
        </w:rPr>
        <w:t xml:space="preserve"> </w:t>
      </w:r>
      <w:r w:rsidR="1A163B29" w:rsidRPr="1A163B29">
        <w:rPr>
          <w:sz w:val="18"/>
          <w:szCs w:val="18"/>
        </w:rPr>
        <w:t xml:space="preserve">See details on methodology in Annex 4 </w:t>
      </w:r>
      <w:r w:rsidR="1A163B29" w:rsidRPr="1A163B29">
        <w:rPr>
          <w:i/>
          <w:iCs/>
          <w:sz w:val="18"/>
          <w:szCs w:val="18"/>
        </w:rPr>
        <w:t>Additional methodological information on specific measures</w:t>
      </w:r>
      <w:r w:rsidR="1A163B29" w:rsidRPr="1A163B29">
        <w:rPr>
          <w:sz w:val="18"/>
          <w:szCs w:val="18"/>
        </w:rPr>
        <w:t xml:space="preserve"> for Intervention No 17.</w:t>
      </w:r>
    </w:p>
  </w:footnote>
  <w:footnote w:id="288">
    <w:p w14:paraId="7C6E60AC" w14:textId="77777777" w:rsidR="00A3413A" w:rsidRPr="00344F4D" w:rsidRDefault="00A3413A" w:rsidP="00A3413A">
      <w:pPr>
        <w:spacing w:after="0"/>
        <w:rPr>
          <w:sz w:val="18"/>
          <w:szCs w:val="18"/>
        </w:rPr>
      </w:pPr>
      <w:r w:rsidRPr="00344F4D">
        <w:rPr>
          <w:sz w:val="18"/>
          <w:szCs w:val="18"/>
          <w:vertAlign w:val="superscript"/>
        </w:rPr>
        <w:footnoteRef/>
      </w:r>
      <w:r w:rsidRPr="00344F4D">
        <w:rPr>
          <w:sz w:val="18"/>
          <w:szCs w:val="18"/>
        </w:rPr>
        <w:t>Based on swabs of airport travellers, municipal monitoring and aircraft wastewater analysis.</w:t>
      </w:r>
    </w:p>
  </w:footnote>
  <w:footnote w:id="289">
    <w:p w14:paraId="317F911C" w14:textId="77777777" w:rsidR="00A3413A" w:rsidRPr="00344F4D" w:rsidRDefault="00A3413A" w:rsidP="00A3413A">
      <w:pPr>
        <w:spacing w:after="0"/>
        <w:rPr>
          <w:sz w:val="18"/>
          <w:szCs w:val="18"/>
        </w:rPr>
      </w:pPr>
      <w:r w:rsidRPr="00344F4D">
        <w:rPr>
          <w:rStyle w:val="FootnoteReference"/>
          <w:sz w:val="18"/>
          <w:szCs w:val="18"/>
        </w:rPr>
        <w:footnoteRef/>
      </w:r>
      <w:r w:rsidRPr="00344F4D">
        <w:rPr>
          <w:rFonts w:eastAsia="Arial"/>
          <w:sz w:val="18"/>
          <w:szCs w:val="18"/>
        </w:rPr>
        <w:t>See Methodology Annex for scenario descriptions and cost calculations.</w:t>
      </w:r>
    </w:p>
  </w:footnote>
  <w:footnote w:id="290">
    <w:p w14:paraId="05EEA4EF" w14:textId="77777777" w:rsidR="00A3413A" w:rsidRPr="00443C31" w:rsidRDefault="00A3413A" w:rsidP="00A3413A">
      <w:pPr>
        <w:pStyle w:val="FootnoteText"/>
        <w:rPr>
          <w:sz w:val="18"/>
          <w:szCs w:val="18"/>
          <w:lang w:val="en-IE"/>
        </w:rPr>
      </w:pPr>
      <w:r w:rsidRPr="00443C31">
        <w:rPr>
          <w:rStyle w:val="FootnoteReference"/>
          <w:sz w:val="18"/>
          <w:szCs w:val="18"/>
        </w:rPr>
        <w:footnoteRef/>
      </w:r>
      <w:r w:rsidRPr="00443C31">
        <w:rPr>
          <w:sz w:val="18"/>
          <w:szCs w:val="18"/>
          <w:lang w:val="it-IT"/>
        </w:rPr>
        <w:t xml:space="preserve"> </w:t>
      </w:r>
      <w:r w:rsidRPr="00344F4D">
        <w:rPr>
          <w:rFonts w:eastAsia="Arial"/>
          <w:sz w:val="18"/>
          <w:szCs w:val="18"/>
          <w:lang w:val="it-IT"/>
        </w:rPr>
        <w:t xml:space="preserve">Nascimento de Lima, P. </w:t>
      </w:r>
      <w:r w:rsidRPr="00344F4D">
        <w:rPr>
          <w:rFonts w:eastAsia="Arial"/>
          <w:i/>
          <w:sz w:val="18"/>
          <w:szCs w:val="18"/>
          <w:lang w:val="it-IT"/>
        </w:rPr>
        <w:t>et al.</w:t>
      </w:r>
      <w:r w:rsidRPr="00344F4D">
        <w:rPr>
          <w:rFonts w:eastAsia="Arial"/>
          <w:sz w:val="18"/>
          <w:szCs w:val="18"/>
          <w:lang w:val="it-IT"/>
        </w:rPr>
        <w:t xml:space="preserve"> </w:t>
      </w:r>
      <w:r w:rsidRPr="00344F4D">
        <w:rPr>
          <w:rFonts w:eastAsia="Arial"/>
          <w:sz w:val="18"/>
          <w:szCs w:val="18"/>
        </w:rPr>
        <w:t>(2024), The value of environmental surveillance for pandemic response, Scientific Reports, 14, 28935.</w:t>
      </w:r>
    </w:p>
  </w:footnote>
  <w:footnote w:id="291">
    <w:p w14:paraId="2F3A1C6C" w14:textId="76AC9157" w:rsidR="00A3413A" w:rsidRPr="00344F4D" w:rsidRDefault="00A3413A" w:rsidP="00A3413A">
      <w:pPr>
        <w:spacing w:after="0"/>
        <w:rPr>
          <w:sz w:val="18"/>
          <w:szCs w:val="18"/>
        </w:rPr>
      </w:pPr>
      <w:r w:rsidRPr="00344F4D">
        <w:rPr>
          <w:rStyle w:val="FootnoteReference"/>
          <w:sz w:val="18"/>
          <w:szCs w:val="18"/>
        </w:rPr>
        <w:footnoteRef/>
      </w:r>
      <w:r w:rsidR="00137F71">
        <w:rPr>
          <w:rFonts w:eastAsia="Arial"/>
          <w:sz w:val="18"/>
          <w:szCs w:val="18"/>
        </w:rPr>
        <w:t xml:space="preserve"> </w:t>
      </w:r>
      <w:r w:rsidRPr="00344F4D">
        <w:rPr>
          <w:rFonts w:eastAsia="Arial"/>
          <w:sz w:val="18"/>
          <w:szCs w:val="18"/>
        </w:rPr>
        <w:t xml:space="preserve">ECDC (2025), Framework for integration of wastewater-based surveillance; Viviani </w:t>
      </w:r>
      <w:r w:rsidRPr="00344F4D">
        <w:rPr>
          <w:rFonts w:eastAsia="Arial"/>
          <w:i/>
          <w:sz w:val="18"/>
          <w:szCs w:val="18"/>
        </w:rPr>
        <w:t>et al.</w:t>
      </w:r>
      <w:r w:rsidRPr="00344F4D">
        <w:rPr>
          <w:rFonts w:eastAsia="Arial"/>
          <w:sz w:val="18"/>
          <w:szCs w:val="18"/>
        </w:rPr>
        <w:t xml:space="preserve"> (2025).</w:t>
      </w:r>
    </w:p>
  </w:footnote>
  <w:footnote w:id="292">
    <w:p w14:paraId="63612C88" w14:textId="77777777" w:rsidR="00A3413A" w:rsidRPr="00344F4D" w:rsidRDefault="00A3413A" w:rsidP="00A3413A">
      <w:pPr>
        <w:spacing w:after="0"/>
        <w:rPr>
          <w:sz w:val="18"/>
          <w:szCs w:val="18"/>
        </w:rPr>
      </w:pPr>
      <w:r w:rsidRPr="00344F4D">
        <w:rPr>
          <w:rStyle w:val="FootnoteReference"/>
          <w:sz w:val="18"/>
          <w:szCs w:val="18"/>
        </w:rPr>
        <w:footnoteRef/>
      </w:r>
      <w:r w:rsidRPr="001B1EE0">
        <w:rPr>
          <w:rFonts w:eastAsia="Arial"/>
          <w:sz w:val="18"/>
          <w:szCs w:val="18"/>
        </w:rPr>
        <w:t xml:space="preserve"> Nascimento de Lima, P. </w:t>
      </w:r>
      <w:r w:rsidRPr="00443C31">
        <w:rPr>
          <w:rFonts w:eastAsia="Arial"/>
          <w:i/>
          <w:sz w:val="18"/>
          <w:szCs w:val="18"/>
        </w:rPr>
        <w:t>et al.</w:t>
      </w:r>
      <w:r w:rsidRPr="001B1EE0">
        <w:rPr>
          <w:rFonts w:eastAsia="Arial"/>
          <w:sz w:val="18"/>
          <w:szCs w:val="18"/>
        </w:rPr>
        <w:t xml:space="preserve"> </w:t>
      </w:r>
      <w:r w:rsidRPr="00344F4D">
        <w:rPr>
          <w:rFonts w:eastAsia="Arial"/>
          <w:sz w:val="18"/>
          <w:szCs w:val="18"/>
        </w:rPr>
        <w:t>(2024), The value of environmental surveillance for pandemic response, Scientific Reports, 14, 28935.</w:t>
      </w:r>
    </w:p>
  </w:footnote>
  <w:footnote w:id="293">
    <w:p w14:paraId="21F63A52" w14:textId="77777777" w:rsidR="00A3413A" w:rsidRPr="00344F4D" w:rsidRDefault="00A3413A" w:rsidP="00A3413A">
      <w:pPr>
        <w:spacing w:after="0"/>
        <w:rPr>
          <w:sz w:val="18"/>
          <w:szCs w:val="18"/>
        </w:rPr>
      </w:pPr>
      <w:r w:rsidRPr="00344F4D">
        <w:rPr>
          <w:rStyle w:val="FootnoteReference"/>
          <w:sz w:val="18"/>
          <w:szCs w:val="18"/>
        </w:rPr>
        <w:footnoteRef/>
      </w:r>
      <w:r w:rsidRPr="008310F0">
        <w:rPr>
          <w:rFonts w:eastAsia="Arial"/>
          <w:sz w:val="18"/>
          <w:szCs w:val="18"/>
        </w:rPr>
        <w:t xml:space="preserve"> Bernstein, A. S. </w:t>
      </w:r>
      <w:r w:rsidRPr="008310F0">
        <w:rPr>
          <w:rFonts w:eastAsia="Arial"/>
          <w:i/>
          <w:sz w:val="18"/>
          <w:szCs w:val="18"/>
        </w:rPr>
        <w:t>et al.</w:t>
      </w:r>
      <w:r w:rsidRPr="008310F0">
        <w:rPr>
          <w:rFonts w:eastAsia="Arial"/>
          <w:sz w:val="18"/>
          <w:szCs w:val="18"/>
        </w:rPr>
        <w:t xml:space="preserve"> </w:t>
      </w:r>
      <w:r w:rsidRPr="00344F4D">
        <w:rPr>
          <w:rFonts w:eastAsia="Arial"/>
          <w:sz w:val="18"/>
          <w:szCs w:val="18"/>
        </w:rPr>
        <w:t>(2022), The costs and benefits of primary prevention of zoonotic pandemics, Science Advances, 8(5).</w:t>
      </w:r>
    </w:p>
  </w:footnote>
  <w:footnote w:id="294">
    <w:p w14:paraId="1CFADA06" w14:textId="27A3A679" w:rsidR="00622DCE" w:rsidRPr="001B1EE0" w:rsidRDefault="00622DCE">
      <w:pPr>
        <w:pStyle w:val="FootnoteText"/>
        <w:rPr>
          <w:sz w:val="18"/>
          <w:szCs w:val="18"/>
        </w:rPr>
      </w:pPr>
      <w:r w:rsidRPr="001B1EE0">
        <w:rPr>
          <w:rStyle w:val="FootnoteReference"/>
          <w:sz w:val="18"/>
          <w:szCs w:val="18"/>
        </w:rPr>
        <w:footnoteRef/>
      </w:r>
      <w:r w:rsidRPr="001B1EE0">
        <w:rPr>
          <w:sz w:val="18"/>
          <w:szCs w:val="18"/>
        </w:rPr>
        <w:t xml:space="preserve"> </w:t>
      </w:r>
      <w:r w:rsidRPr="00622DCE">
        <w:rPr>
          <w:sz w:val="18"/>
          <w:szCs w:val="18"/>
        </w:rPr>
        <w:t xml:space="preserve">The cumulative programme-level impact results from a combination of a) measure stacking within a single application (e.g., a single clinical trial application can benefit from several reforms simultaneously); and b) lifecycle accumulation (i.e., the same per-application saving recurs across many transactions and jurisdictions in one clinical development </w:t>
      </w:r>
      <w:r w:rsidRPr="00FF2DF2">
        <w:rPr>
          <w:sz w:val="18"/>
          <w:szCs w:val="18"/>
        </w:rPr>
        <w:t>programme.</w:t>
      </w:r>
    </w:p>
  </w:footnote>
  <w:footnote w:id="295">
    <w:p w14:paraId="6BF630F6" w14:textId="5EF46CFB" w:rsidR="00FF2DF2" w:rsidRPr="00FF2DF2" w:rsidRDefault="00FF2DF2">
      <w:pPr>
        <w:pStyle w:val="FootnoteText"/>
      </w:pPr>
      <w:r w:rsidRPr="001B1EE0">
        <w:rPr>
          <w:rStyle w:val="FootnoteReference"/>
          <w:sz w:val="18"/>
          <w:szCs w:val="18"/>
        </w:rPr>
        <w:footnoteRef/>
      </w:r>
      <w:r w:rsidRPr="001B1EE0">
        <w:rPr>
          <w:sz w:val="18"/>
          <w:szCs w:val="18"/>
        </w:rPr>
        <w:t xml:space="preserve"> </w:t>
      </w:r>
      <w:r w:rsidRPr="00FF2DF2">
        <w:rPr>
          <w:sz w:val="18"/>
          <w:szCs w:val="18"/>
        </w:rPr>
        <w:t xml:space="preserve">The indicated complimentary simplification effect stems </w:t>
      </w:r>
      <w:r w:rsidR="00E558EE">
        <w:rPr>
          <w:sz w:val="18"/>
          <w:szCs w:val="18"/>
        </w:rPr>
        <w:t>for example</w:t>
      </w:r>
      <w:r w:rsidRPr="00FF2DF2">
        <w:rPr>
          <w:sz w:val="18"/>
          <w:szCs w:val="18"/>
        </w:rPr>
        <w:t xml:space="preserve"> from: a) the revised Pharma Package, which has already transferred ERA for investigational medicinal products from the GMO legislation to the CTR, and which the Biotech Act builds directly on by introducing risk-proportionate ERA derogations for specified categories of low-risk GMO-ATMPs; b) the Commission's proposal of 16 December 2025 on the MDR and IVDR, which the Biotech Act's combined-studies measure complements by replacing parallel CTR-MDR/IVDR tracks with a single coordinated assessment; and c) for novel biotechnology products that currently span pharmaceutical, medical devices, and SoHO frameworks simultaneously, the Biotech Act's regulatory status repository and Foresight Panel resolve cross-framework classification ambiguity that neither the pharmaceutical nor the medical devices reforms can address in isolation.</w:t>
      </w:r>
    </w:p>
  </w:footnote>
  <w:footnote w:id="296">
    <w:p w14:paraId="06B20FCF" w14:textId="51F7221D" w:rsidR="23D05D95" w:rsidRPr="00A3193A" w:rsidRDefault="23D05D95" w:rsidP="00A3193A">
      <w:pPr>
        <w:spacing w:after="0"/>
        <w:rPr>
          <w:rFonts w:eastAsia="Times New Roman"/>
          <w:sz w:val="18"/>
          <w:szCs w:val="18"/>
        </w:rPr>
      </w:pPr>
      <w:r w:rsidRPr="00A3193A">
        <w:rPr>
          <w:sz w:val="18"/>
          <w:szCs w:val="18"/>
          <w:vertAlign w:val="superscript"/>
        </w:rPr>
        <w:footnoteRef/>
      </w:r>
      <w:r w:rsidR="00C763F2">
        <w:rPr>
          <w:sz w:val="18"/>
          <w:szCs w:val="18"/>
        </w:rPr>
        <w:t xml:space="preserve"> Farid et al. (20</w:t>
      </w:r>
      <w:r w:rsidR="00F127BA">
        <w:rPr>
          <w:sz w:val="18"/>
          <w:szCs w:val="18"/>
        </w:rPr>
        <w:t>20</w:t>
      </w:r>
      <w:r w:rsidR="00C763F2">
        <w:rPr>
          <w:sz w:val="18"/>
          <w:szCs w:val="18"/>
        </w:rPr>
        <w:t>)</w:t>
      </w:r>
      <w:r w:rsidRPr="00A3193A">
        <w:rPr>
          <w:sz w:val="18"/>
          <w:szCs w:val="18"/>
        </w:rPr>
        <w:t xml:space="preserve"> </w:t>
      </w:r>
      <w:hyperlink r:id="rId155" w:history="1">
        <w:r w:rsidRPr="00A3193A">
          <w:rPr>
            <w:rStyle w:val="Hyperlink"/>
            <w:rFonts w:eastAsia="Times New Roman"/>
            <w:sz w:val="18"/>
            <w:szCs w:val="18"/>
          </w:rPr>
          <w:t>Benchmarking biopharmaceutical process development and manufacturing cost contributions to R&amp;D - PMC</w:t>
        </w:r>
      </w:hyperlink>
      <w:r w:rsidR="00E329DF">
        <w:rPr>
          <w:sz w:val="18"/>
          <w:szCs w:val="18"/>
        </w:rPr>
        <w:t>.</w:t>
      </w:r>
    </w:p>
  </w:footnote>
  <w:footnote w:id="297">
    <w:p w14:paraId="73C5541E" w14:textId="72DC3D4E" w:rsidR="00EF4E31" w:rsidRPr="001B1EE0" w:rsidRDefault="00EF4E31">
      <w:pPr>
        <w:pStyle w:val="FootnoteText"/>
        <w:rPr>
          <w:lang w:val="en-US"/>
        </w:rPr>
      </w:pPr>
      <w:r w:rsidRPr="00594DA3">
        <w:rPr>
          <w:rStyle w:val="FootnoteReference"/>
          <w:sz w:val="18"/>
          <w:szCs w:val="18"/>
        </w:rPr>
        <w:footnoteRef/>
      </w:r>
      <w:r w:rsidRPr="00594DA3">
        <w:rPr>
          <w:sz w:val="18"/>
          <w:szCs w:val="18"/>
        </w:rPr>
        <w:t xml:space="preserve"> </w:t>
      </w:r>
      <w:r w:rsidR="00B35485">
        <w:rPr>
          <w:sz w:val="18"/>
          <w:szCs w:val="18"/>
        </w:rPr>
        <w:t xml:space="preserve">See </w:t>
      </w:r>
      <w:r w:rsidR="00B35485" w:rsidRPr="00B35485">
        <w:rPr>
          <w:i/>
          <w:iCs/>
          <w:sz w:val="18"/>
          <w:szCs w:val="18"/>
        </w:rPr>
        <w:t>Regulatory Framework Study </w:t>
      </w:r>
      <w:r w:rsidR="00B35485">
        <w:rPr>
          <w:i/>
          <w:iCs/>
          <w:sz w:val="18"/>
          <w:szCs w:val="18"/>
        </w:rPr>
        <w:t>(</w:t>
      </w:r>
      <w:r w:rsidR="00B35485" w:rsidRPr="00B35485">
        <w:rPr>
          <w:i/>
          <w:iCs/>
          <w:sz w:val="18"/>
          <w:szCs w:val="18"/>
        </w:rPr>
        <w:t>forthcoming</w:t>
      </w:r>
      <w:r w:rsidR="00B35485">
        <w:rPr>
          <w:i/>
          <w:iCs/>
          <w:sz w:val="18"/>
          <w:szCs w:val="18"/>
        </w:rPr>
        <w:t xml:space="preserve">). </w:t>
      </w:r>
      <w:r w:rsidRPr="001B1EE0">
        <w:rPr>
          <w:sz w:val="18"/>
          <w:szCs w:val="18"/>
          <w:lang w:val="en-US"/>
        </w:rPr>
        <w:t>The simplified costs-benefit a</w:t>
      </w:r>
      <w:r w:rsidRPr="00594DA3">
        <w:rPr>
          <w:sz w:val="18"/>
          <w:szCs w:val="18"/>
          <w:lang w:val="en-US"/>
        </w:rPr>
        <w:t xml:space="preserve">nalysis focus on operational costs, not considering </w:t>
      </w:r>
      <w:r w:rsidR="00E1279B" w:rsidRPr="00594DA3">
        <w:rPr>
          <w:sz w:val="18"/>
          <w:szCs w:val="18"/>
          <w:lang w:val="en-US"/>
        </w:rPr>
        <w:t>costs arising from transitioning to new regulatory requirements.</w:t>
      </w:r>
    </w:p>
  </w:footnote>
  <w:footnote w:id="298">
    <w:p w14:paraId="4F38E346" w14:textId="23282E48" w:rsidR="00AF1F5A" w:rsidRPr="00A3193A" w:rsidRDefault="00AF1F5A" w:rsidP="00A3193A">
      <w:pPr>
        <w:pStyle w:val="FootnoteText"/>
        <w:rPr>
          <w:sz w:val="18"/>
          <w:szCs w:val="18"/>
        </w:rPr>
      </w:pPr>
      <w:r w:rsidRPr="00A3193A">
        <w:rPr>
          <w:rStyle w:val="FootnoteReference"/>
          <w:sz w:val="18"/>
          <w:szCs w:val="18"/>
        </w:rPr>
        <w:footnoteRef/>
      </w:r>
      <w:r w:rsidRPr="00A3193A">
        <w:rPr>
          <w:sz w:val="18"/>
          <w:szCs w:val="18"/>
        </w:rPr>
        <w:t xml:space="preserve"> See section 3 for further elaboration.</w:t>
      </w:r>
    </w:p>
  </w:footnote>
  <w:footnote w:id="299">
    <w:p w14:paraId="0F033F01" w14:textId="6673557A" w:rsidR="008C657A" w:rsidRPr="00A3193A" w:rsidRDefault="008C657A" w:rsidP="00A3193A">
      <w:pPr>
        <w:pStyle w:val="FootnoteText"/>
        <w:rPr>
          <w:sz w:val="18"/>
          <w:szCs w:val="18"/>
        </w:rPr>
      </w:pPr>
      <w:r w:rsidRPr="00A3193A">
        <w:rPr>
          <w:rStyle w:val="FootnoteReference"/>
          <w:sz w:val="18"/>
          <w:szCs w:val="18"/>
        </w:rPr>
        <w:footnoteRef/>
      </w:r>
      <w:r w:rsidR="00F26A01" w:rsidRPr="00A3193A">
        <w:rPr>
          <w:sz w:val="18"/>
          <w:szCs w:val="18"/>
        </w:rPr>
        <w:t xml:space="preserve"> IQVIA Institute for Human Data Science (2026), </w:t>
      </w:r>
      <w:r w:rsidR="00F26A01" w:rsidRPr="00A3193A">
        <w:rPr>
          <w:i/>
          <w:sz w:val="18"/>
          <w:szCs w:val="18"/>
        </w:rPr>
        <w:t>The Impact of Biosimilar Competition in Europe</w:t>
      </w:r>
      <w:r w:rsidR="00F26A01" w:rsidRPr="00A3193A">
        <w:rPr>
          <w:sz w:val="18"/>
          <w:szCs w:val="18"/>
        </w:rPr>
        <w:t>, estimating the EU biosimilars market at approximately USD 18 billion (list prices).</w:t>
      </w:r>
      <w:r w:rsidR="00575716">
        <w:rPr>
          <w:sz w:val="18"/>
          <w:szCs w:val="18"/>
        </w:rPr>
        <w:t xml:space="preserve"> </w:t>
      </w:r>
    </w:p>
  </w:footnote>
  <w:footnote w:id="300">
    <w:p w14:paraId="4D2A3C93" w14:textId="77777777" w:rsidR="00250A59" w:rsidRPr="00A3193A" w:rsidRDefault="00250A59" w:rsidP="00A3193A">
      <w:pPr>
        <w:pStyle w:val="FootnoteText"/>
        <w:rPr>
          <w:sz w:val="18"/>
          <w:szCs w:val="18"/>
        </w:rPr>
      </w:pPr>
      <w:r w:rsidRPr="00A3193A">
        <w:rPr>
          <w:rStyle w:val="FootnoteReference"/>
          <w:sz w:val="18"/>
          <w:szCs w:val="18"/>
        </w:rPr>
        <w:footnoteRef/>
      </w:r>
      <w:r w:rsidRPr="00A3193A">
        <w:rPr>
          <w:sz w:val="18"/>
          <w:szCs w:val="18"/>
        </w:rPr>
        <w:t xml:space="preserve"> The average is 2-3 products per year rounded to 3 for ease of illustrating the systemic impact.</w:t>
      </w:r>
    </w:p>
  </w:footnote>
  <w:footnote w:id="301">
    <w:p w14:paraId="6CC50518" w14:textId="4BF86407" w:rsidR="003918F9" w:rsidRPr="00A3193A" w:rsidRDefault="003918F9" w:rsidP="00A3193A">
      <w:pPr>
        <w:spacing w:after="0"/>
        <w:rPr>
          <w:sz w:val="18"/>
          <w:szCs w:val="18"/>
        </w:rPr>
      </w:pPr>
      <w:r w:rsidRPr="00A3193A">
        <w:rPr>
          <w:rStyle w:val="FootnoteReference"/>
          <w:sz w:val="18"/>
          <w:szCs w:val="18"/>
        </w:rPr>
        <w:footnoteRef/>
      </w:r>
      <w:r w:rsidRPr="00A3193A">
        <w:rPr>
          <w:sz w:val="18"/>
          <w:szCs w:val="18"/>
        </w:rPr>
        <w:t xml:space="preserve"> Example of the value for patients of biotechnology medicines </w:t>
      </w:r>
      <w:r w:rsidR="3045D831" w:rsidRPr="00A3193A">
        <w:rPr>
          <w:sz w:val="18"/>
          <w:szCs w:val="18"/>
        </w:rPr>
        <w:t>include: Jönsson</w:t>
      </w:r>
      <w:r w:rsidRPr="00A3193A">
        <w:rPr>
          <w:sz w:val="18"/>
          <w:szCs w:val="18"/>
        </w:rPr>
        <w:t xml:space="preserve"> B, Hampson G, Michaels J, Towse A, von der Schulenburg JG, Wong O. Advanced therapy medicinal products and health technology assessment principles and practices for value-based and sustainable healthcare. Eur J Health Econ. 2019 Apr;20(3):427-438. doi: 10.1007/s10198-018-1007-x. Epub 2018 Sep 18. PMID: 30229376; PMCID: PMC6438935. </w:t>
      </w:r>
    </w:p>
    <w:p w14:paraId="79665FBA" w14:textId="38C23DB1" w:rsidR="003918F9" w:rsidRPr="00A3193A" w:rsidRDefault="003918F9" w:rsidP="0056528C">
      <w:pPr>
        <w:spacing w:after="0"/>
        <w:rPr>
          <w:sz w:val="18"/>
          <w:szCs w:val="18"/>
        </w:rPr>
      </w:pPr>
      <w:r w:rsidRPr="00A3193A">
        <w:rPr>
          <w:sz w:val="18"/>
          <w:szCs w:val="18"/>
        </w:rPr>
        <w:t>Ohashi T. The impact of monoclonal antibody drugs on healthcare economics in the treatment of multiple sclerosis and neuromyelitis optica spectrum disorders. Clin Exp Neuroimmunol. 2022;13(3):166–171. https://doi.org/10.1111/cen3.12718</w:t>
      </w:r>
      <w:r w:rsidR="00E329DF">
        <w:rPr>
          <w:sz w:val="18"/>
          <w:szCs w:val="18"/>
        </w:rPr>
        <w:t>.</w:t>
      </w:r>
    </w:p>
  </w:footnote>
  <w:footnote w:id="302">
    <w:p w14:paraId="0AC4C81B" w14:textId="78B6776A" w:rsidR="12AD196C" w:rsidRPr="00A3193A" w:rsidRDefault="12AD196C" w:rsidP="00A3193A">
      <w:pPr>
        <w:spacing w:after="0"/>
        <w:rPr>
          <w:sz w:val="18"/>
          <w:szCs w:val="18"/>
        </w:rPr>
      </w:pPr>
      <w:r w:rsidRPr="00A3193A">
        <w:rPr>
          <w:sz w:val="18"/>
          <w:szCs w:val="18"/>
          <w:vertAlign w:val="superscript"/>
        </w:rPr>
        <w:footnoteRef/>
      </w:r>
      <w:r w:rsidR="6C8C6B11" w:rsidRPr="00A3193A">
        <w:rPr>
          <w:sz w:val="18"/>
          <w:szCs w:val="18"/>
        </w:rPr>
        <w:t xml:space="preserve"> </w:t>
      </w:r>
      <w:r w:rsidR="4EF7D239" w:rsidRPr="00A3193A">
        <w:rPr>
          <w:sz w:val="18"/>
          <w:szCs w:val="18"/>
        </w:rPr>
        <w:t xml:space="preserve">According to </w:t>
      </w:r>
      <w:r w:rsidR="74512099" w:rsidRPr="00A3193A">
        <w:rPr>
          <w:sz w:val="18"/>
          <w:szCs w:val="18"/>
        </w:rPr>
        <w:t>one</w:t>
      </w:r>
      <w:r w:rsidR="6C8C6B11" w:rsidRPr="00A3193A">
        <w:rPr>
          <w:sz w:val="18"/>
          <w:szCs w:val="18"/>
        </w:rPr>
        <w:t xml:space="preserve"> study </w:t>
      </w:r>
      <w:r w:rsidR="74512099" w:rsidRPr="00A3193A">
        <w:rPr>
          <w:sz w:val="18"/>
          <w:szCs w:val="18"/>
        </w:rPr>
        <w:t>(</w:t>
      </w:r>
      <w:r w:rsidR="00F529EE" w:rsidRPr="00F67346">
        <w:rPr>
          <w:i/>
          <w:iCs/>
          <w:sz w:val="18"/>
          <w:szCs w:val="18"/>
        </w:rPr>
        <w:t>Regulatory Framework Study</w:t>
      </w:r>
      <w:r w:rsidR="00F67346" w:rsidRPr="00F67346">
        <w:rPr>
          <w:i/>
          <w:iCs/>
          <w:sz w:val="18"/>
          <w:szCs w:val="18"/>
        </w:rPr>
        <w:t xml:space="preserve"> forthcoming</w:t>
      </w:r>
      <w:r w:rsidR="74512099" w:rsidRPr="00A3193A">
        <w:rPr>
          <w:sz w:val="18"/>
          <w:szCs w:val="18"/>
        </w:rPr>
        <w:t>),</w:t>
      </w:r>
      <w:r w:rsidR="6C8C6B11" w:rsidRPr="00A3193A">
        <w:rPr>
          <w:sz w:val="18"/>
          <w:szCs w:val="18"/>
        </w:rPr>
        <w:t xml:space="preserve"> the </w:t>
      </w:r>
      <w:r w:rsidR="190A6207" w:rsidRPr="00A3193A">
        <w:rPr>
          <w:sz w:val="18"/>
          <w:szCs w:val="18"/>
        </w:rPr>
        <w:t>number of</w:t>
      </w:r>
      <w:r w:rsidR="6C8C6B11" w:rsidRPr="00A3193A">
        <w:rPr>
          <w:sz w:val="18"/>
          <w:szCs w:val="18"/>
        </w:rPr>
        <w:t xml:space="preserve"> clinical trials is expected </w:t>
      </w:r>
      <w:r w:rsidR="190A6207" w:rsidRPr="00A3193A">
        <w:rPr>
          <w:sz w:val="18"/>
          <w:szCs w:val="18"/>
        </w:rPr>
        <w:t>to increase by</w:t>
      </w:r>
      <w:r w:rsidR="6C8C6B11" w:rsidRPr="00A3193A">
        <w:rPr>
          <w:sz w:val="18"/>
          <w:szCs w:val="18"/>
        </w:rPr>
        <w:t xml:space="preserve"> 32</w:t>
      </w:r>
      <w:r w:rsidR="00405618">
        <w:rPr>
          <w:sz w:val="18"/>
          <w:szCs w:val="18"/>
        </w:rPr>
        <w:t>%</w:t>
      </w:r>
      <w:r w:rsidR="6C8C6B11" w:rsidRPr="00A3193A">
        <w:rPr>
          <w:sz w:val="18"/>
          <w:szCs w:val="18"/>
        </w:rPr>
        <w:t xml:space="preserve"> </w:t>
      </w:r>
      <w:r w:rsidR="74512099" w:rsidRPr="00A3193A">
        <w:rPr>
          <w:sz w:val="18"/>
          <w:szCs w:val="18"/>
        </w:rPr>
        <w:t xml:space="preserve">considering the outcomes of a </w:t>
      </w:r>
      <w:r w:rsidR="190A6207" w:rsidRPr="00A3193A">
        <w:rPr>
          <w:sz w:val="18"/>
          <w:szCs w:val="18"/>
        </w:rPr>
        <w:t xml:space="preserve">survey </w:t>
      </w:r>
      <w:r w:rsidR="74512099" w:rsidRPr="00A3193A">
        <w:rPr>
          <w:sz w:val="18"/>
          <w:szCs w:val="18"/>
        </w:rPr>
        <w:t>with sponsors.</w:t>
      </w:r>
      <w:r w:rsidR="190A6207" w:rsidRPr="00A3193A">
        <w:rPr>
          <w:sz w:val="18"/>
          <w:szCs w:val="18"/>
        </w:rPr>
        <w:t xml:space="preserve"> A second study</w:t>
      </w:r>
      <w:r w:rsidR="00F67346">
        <w:rPr>
          <w:sz w:val="18"/>
          <w:szCs w:val="18"/>
        </w:rPr>
        <w:t xml:space="preserve"> (</w:t>
      </w:r>
      <w:r w:rsidR="00250208" w:rsidRPr="00250208">
        <w:rPr>
          <w:i/>
          <w:iCs/>
          <w:sz w:val="18"/>
          <w:szCs w:val="18"/>
        </w:rPr>
        <w:t>Rapid Assessment Scenarios study, forthcoming</w:t>
      </w:r>
      <w:r w:rsidR="00F67346">
        <w:rPr>
          <w:sz w:val="18"/>
          <w:szCs w:val="18"/>
        </w:rPr>
        <w:t>)</w:t>
      </w:r>
      <w:r w:rsidR="190A6207" w:rsidRPr="00A3193A">
        <w:rPr>
          <w:sz w:val="18"/>
          <w:szCs w:val="18"/>
        </w:rPr>
        <w:t xml:space="preserve"> </w:t>
      </w:r>
      <w:r w:rsidR="07210DE4" w:rsidRPr="00A3193A">
        <w:rPr>
          <w:sz w:val="18"/>
          <w:szCs w:val="18"/>
        </w:rPr>
        <w:t>suggests</w:t>
      </w:r>
      <w:r w:rsidR="190A6207" w:rsidRPr="00A3193A">
        <w:rPr>
          <w:sz w:val="18"/>
          <w:szCs w:val="18"/>
        </w:rPr>
        <w:t xml:space="preserve"> an </w:t>
      </w:r>
      <w:r w:rsidR="00B20467">
        <w:rPr>
          <w:sz w:val="18"/>
          <w:szCs w:val="18"/>
        </w:rPr>
        <w:t xml:space="preserve">average </w:t>
      </w:r>
      <w:r w:rsidR="190A6207" w:rsidRPr="00A3193A">
        <w:rPr>
          <w:sz w:val="18"/>
          <w:szCs w:val="18"/>
        </w:rPr>
        <w:t>increase of</w:t>
      </w:r>
      <w:r w:rsidR="00F67346">
        <w:rPr>
          <w:sz w:val="18"/>
          <w:szCs w:val="18"/>
        </w:rPr>
        <w:t xml:space="preserve"> </w:t>
      </w:r>
      <w:r w:rsidR="190A6207" w:rsidRPr="00A3193A">
        <w:rPr>
          <w:sz w:val="18"/>
          <w:szCs w:val="18"/>
        </w:rPr>
        <w:t xml:space="preserve"> 1</w:t>
      </w:r>
      <w:r w:rsidR="00F67346">
        <w:rPr>
          <w:sz w:val="18"/>
          <w:szCs w:val="18"/>
        </w:rPr>
        <w:t>0</w:t>
      </w:r>
      <w:r w:rsidR="00B20467">
        <w:rPr>
          <w:sz w:val="18"/>
          <w:szCs w:val="18"/>
        </w:rPr>
        <w:t xml:space="preserve"> </w:t>
      </w:r>
      <w:r w:rsidR="00405618">
        <w:rPr>
          <w:sz w:val="18"/>
          <w:szCs w:val="18"/>
        </w:rPr>
        <w:t>%</w:t>
      </w:r>
      <w:r w:rsidR="63425194" w:rsidRPr="00A3193A">
        <w:rPr>
          <w:sz w:val="18"/>
          <w:szCs w:val="18"/>
        </w:rPr>
        <w:t xml:space="preserve">.  </w:t>
      </w:r>
      <w:r w:rsidR="74512099" w:rsidRPr="00A3193A">
        <w:rPr>
          <w:sz w:val="18"/>
          <w:szCs w:val="18"/>
        </w:rPr>
        <w:t>Additionally, the</w:t>
      </w:r>
      <w:r w:rsidR="09956700" w:rsidRPr="00A3193A">
        <w:rPr>
          <w:sz w:val="18"/>
          <w:szCs w:val="18"/>
        </w:rPr>
        <w:t xml:space="preserve"> lower bound aligns with the ACT EU target of an increase of 11.1</w:t>
      </w:r>
      <w:r w:rsidR="00405618">
        <w:rPr>
          <w:sz w:val="18"/>
          <w:szCs w:val="18"/>
        </w:rPr>
        <w:t>%</w:t>
      </w:r>
      <w:r w:rsidR="09956700" w:rsidRPr="00A3193A">
        <w:rPr>
          <w:sz w:val="18"/>
          <w:szCs w:val="18"/>
        </w:rPr>
        <w:t xml:space="preserve"> of multinational clinical trials in the EU in the next five years.   </w:t>
      </w:r>
    </w:p>
  </w:footnote>
  <w:footnote w:id="303">
    <w:p w14:paraId="15C3E12A" w14:textId="62A13E65" w:rsidR="004E4A1A" w:rsidRPr="00A3193A" w:rsidRDefault="004E4A1A" w:rsidP="00A3193A">
      <w:pPr>
        <w:pStyle w:val="FootnoteText"/>
        <w:rPr>
          <w:sz w:val="18"/>
          <w:szCs w:val="18"/>
          <w:lang w:val="en-IE"/>
        </w:rPr>
      </w:pPr>
      <w:r w:rsidRPr="00A3193A">
        <w:rPr>
          <w:rStyle w:val="FootnoteReference"/>
          <w:sz w:val="18"/>
          <w:szCs w:val="18"/>
        </w:rPr>
        <w:footnoteRef/>
      </w:r>
      <w:r w:rsidRPr="00A3193A">
        <w:rPr>
          <w:sz w:val="18"/>
          <w:szCs w:val="18"/>
        </w:rPr>
        <w:t xml:space="preserve"> </w:t>
      </w:r>
      <w:r w:rsidRPr="00A3193A">
        <w:rPr>
          <w:color w:val="000000" w:themeColor="text1"/>
          <w:sz w:val="18"/>
          <w:szCs w:val="18"/>
        </w:rPr>
        <w:t>US biotech firms have raised approximately 870</w:t>
      </w:r>
      <w:r w:rsidR="00405618">
        <w:rPr>
          <w:color w:val="000000" w:themeColor="text1"/>
          <w:sz w:val="18"/>
          <w:szCs w:val="18"/>
        </w:rPr>
        <w:t>%</w:t>
      </w:r>
      <w:r w:rsidRPr="00A3193A">
        <w:rPr>
          <w:color w:val="000000" w:themeColor="text1"/>
          <w:sz w:val="18"/>
          <w:szCs w:val="18"/>
        </w:rPr>
        <w:t xml:space="preserve"> more Series C capital over the past decade and 945</w:t>
      </w:r>
      <w:r w:rsidR="00405618">
        <w:rPr>
          <w:color w:val="000000" w:themeColor="text1"/>
          <w:sz w:val="18"/>
          <w:szCs w:val="18"/>
        </w:rPr>
        <w:t>%</w:t>
      </w:r>
      <w:r w:rsidRPr="00A3193A">
        <w:rPr>
          <w:color w:val="000000" w:themeColor="text1"/>
          <w:sz w:val="18"/>
          <w:szCs w:val="18"/>
        </w:rPr>
        <w:t xml:space="preserve"> more in IPO proceeds (USD 53 billion versus USD 5 billion), while EU venture capital in biotech and healthcare fell from 34</w:t>
      </w:r>
      <w:r w:rsidR="00405618">
        <w:rPr>
          <w:color w:val="000000" w:themeColor="text1"/>
          <w:sz w:val="18"/>
          <w:szCs w:val="18"/>
        </w:rPr>
        <w:t>%</w:t>
      </w:r>
      <w:r w:rsidRPr="00A3193A">
        <w:rPr>
          <w:color w:val="000000" w:themeColor="text1"/>
          <w:sz w:val="18"/>
          <w:szCs w:val="18"/>
        </w:rPr>
        <w:t xml:space="preserve"> of global share in 2013 to 18</w:t>
      </w:r>
      <w:r w:rsidR="00405618">
        <w:rPr>
          <w:color w:val="000000" w:themeColor="text1"/>
          <w:sz w:val="18"/>
          <w:szCs w:val="18"/>
        </w:rPr>
        <w:t>%</w:t>
      </w:r>
      <w:r w:rsidRPr="00A3193A">
        <w:rPr>
          <w:color w:val="000000" w:themeColor="text1"/>
          <w:sz w:val="18"/>
          <w:szCs w:val="18"/>
        </w:rPr>
        <w:t xml:space="preserve"> in 2022.</w:t>
      </w:r>
    </w:p>
  </w:footnote>
  <w:footnote w:id="304">
    <w:p w14:paraId="0D6A459D" w14:textId="07BAD90A" w:rsidR="00BA7F50" w:rsidRPr="00A3193A" w:rsidRDefault="00BA7F50" w:rsidP="00A3193A">
      <w:pPr>
        <w:pStyle w:val="FootnoteText"/>
        <w:rPr>
          <w:sz w:val="18"/>
          <w:szCs w:val="18"/>
        </w:rPr>
      </w:pPr>
      <w:r w:rsidRPr="00A3193A">
        <w:rPr>
          <w:rStyle w:val="FootnoteReference"/>
          <w:sz w:val="18"/>
          <w:szCs w:val="18"/>
        </w:rPr>
        <w:footnoteRef/>
      </w:r>
      <w:r w:rsidRPr="00A3193A">
        <w:rPr>
          <w:sz w:val="18"/>
          <w:szCs w:val="18"/>
        </w:rPr>
        <w:t xml:space="preserve"> Evidence from integrated shared-facility models, based on DiMasi, J., Dirks, A., &amp; Getz, K. (2025). "The Net Financial Benefits of Single Vendor Integrated CDMO and CRO Drug Development Services." Tufts Center for the Study of Drug Development. Announced June 16, 2025.</w:t>
      </w:r>
    </w:p>
  </w:footnote>
  <w:footnote w:id="305">
    <w:p w14:paraId="17077B75" w14:textId="18F2397D" w:rsidR="00C92EE3" w:rsidRPr="00442AF1" w:rsidRDefault="00C92EE3">
      <w:pPr>
        <w:pStyle w:val="FootnoteText"/>
        <w:rPr>
          <w:sz w:val="18"/>
          <w:szCs w:val="18"/>
        </w:rPr>
      </w:pPr>
      <w:r w:rsidRPr="00442AF1">
        <w:rPr>
          <w:rStyle w:val="FootnoteReference"/>
          <w:sz w:val="18"/>
          <w:szCs w:val="18"/>
        </w:rPr>
        <w:footnoteRef/>
      </w:r>
      <w:r w:rsidRPr="00442AF1">
        <w:rPr>
          <w:sz w:val="18"/>
          <w:szCs w:val="18"/>
        </w:rPr>
        <w:t xml:space="preserve"> </w:t>
      </w:r>
      <w:r w:rsidR="00F2069C" w:rsidRPr="00442AF1">
        <w:rPr>
          <w:sz w:val="18"/>
          <w:szCs w:val="18"/>
        </w:rPr>
        <w:t>E.g. t</w:t>
      </w:r>
      <w:r w:rsidRPr="00442AF1">
        <w:rPr>
          <w:sz w:val="18"/>
          <w:szCs w:val="18"/>
          <w:lang w:eastAsia="en-GB"/>
        </w:rPr>
        <w:t>hree Important Projects of Common European Interest (IPCEI) in the biotechnology domain are currently under design</w:t>
      </w:r>
      <w:r w:rsidR="00F2069C" w:rsidRPr="00442AF1">
        <w:rPr>
          <w:sz w:val="18"/>
          <w:szCs w:val="18"/>
          <w:lang w:eastAsia="en-GB"/>
        </w:rPr>
        <w:t xml:space="preserve"> (</w:t>
      </w:r>
      <w:r w:rsidR="00F2069C" w:rsidRPr="008628C5">
        <w:rPr>
          <w:sz w:val="18"/>
          <w:szCs w:val="18"/>
        </w:rPr>
        <w:t>https://competition-policy.ec.europa.eu/state-aid/ipcei/design-support-hub_en#ipcei-candidates-in-the-design-support-hub</w:t>
      </w:r>
      <w:r w:rsidR="00F2069C">
        <w:rPr>
          <w:sz w:val="18"/>
          <w:szCs w:val="18"/>
        </w:rPr>
        <w:t>)</w:t>
      </w:r>
      <w:r w:rsidR="00442AF1">
        <w:rPr>
          <w:sz w:val="18"/>
          <w:szCs w:val="18"/>
        </w:rPr>
        <w:t>.</w:t>
      </w:r>
    </w:p>
  </w:footnote>
  <w:footnote w:id="306">
    <w:p w14:paraId="061D6F1A" w14:textId="14C8D93B" w:rsidR="00C105BA" w:rsidRPr="00A3193A" w:rsidRDefault="00C105BA" w:rsidP="00A3193A">
      <w:pPr>
        <w:pStyle w:val="FootnoteText"/>
        <w:rPr>
          <w:sz w:val="18"/>
          <w:szCs w:val="18"/>
          <w:lang w:val="en-IE"/>
        </w:rPr>
      </w:pPr>
      <w:r w:rsidRPr="00A3193A">
        <w:rPr>
          <w:rStyle w:val="FootnoteReference"/>
          <w:sz w:val="18"/>
          <w:szCs w:val="18"/>
        </w:rPr>
        <w:footnoteRef/>
      </w:r>
      <w:r w:rsidRPr="00A3193A">
        <w:rPr>
          <w:sz w:val="18"/>
          <w:szCs w:val="18"/>
        </w:rPr>
        <w:t xml:space="preserve"> </w:t>
      </w:r>
      <w:r w:rsidR="00487350" w:rsidRPr="00A3193A">
        <w:rPr>
          <w:sz w:val="18"/>
          <w:szCs w:val="18"/>
        </w:rPr>
        <w:t xml:space="preserve">Calculation methodology to ensure that </w:t>
      </w:r>
      <w:r w:rsidR="00627652" w:rsidRPr="00A3193A">
        <w:rPr>
          <w:sz w:val="18"/>
          <w:szCs w:val="18"/>
        </w:rPr>
        <w:t xml:space="preserve">short-term volatility and year-to-year fluctuations do not distort the assessment of underlying investment trends, </w:t>
      </w:r>
      <w:r w:rsidR="00487350" w:rsidRPr="00A3193A">
        <w:rPr>
          <w:sz w:val="18"/>
          <w:szCs w:val="18"/>
        </w:rPr>
        <w:t>such as by using t</w:t>
      </w:r>
      <w:r w:rsidRPr="00A3193A">
        <w:rPr>
          <w:sz w:val="18"/>
          <w:szCs w:val="18"/>
        </w:rPr>
        <w:t>hree-year moving average of annual investment flows</w:t>
      </w:r>
      <w:r w:rsidR="00C01ABB">
        <w:rPr>
          <w:sz w:val="18"/>
          <w:szCs w:val="18"/>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931F80" w14:textId="77777777" w:rsidR="00817A9D" w:rsidRPr="006E33A5" w:rsidRDefault="00817A9D" w:rsidP="006E33A5">
    <w:pPr>
      <w:pStyle w:val="HeaderCoverPag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E78FB20" w14:textId="77777777" w:rsidR="00817A9D" w:rsidRPr="006E33A5" w:rsidRDefault="00817A9D" w:rsidP="006E33A5">
    <w:pPr>
      <w:pStyle w:val="HeaderCoverPage"/>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4C4A225" w14:textId="77777777" w:rsidR="00817A9D" w:rsidRPr="006E33A5" w:rsidRDefault="00817A9D" w:rsidP="006E33A5">
    <w:pPr>
      <w:pStyle w:val="HeaderCoverPage"/>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BC1650F" w14:textId="33D2CC7A" w:rsidR="00CB14B2" w:rsidRDefault="00CB14B2" w:rsidP="000E3086">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B76C1C3" w14:textId="38FB3638" w:rsidR="00CB14B2" w:rsidRDefault="00CB14B2" w:rsidP="000E3086">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FD8A40" w14:textId="787ECEDC" w:rsidR="00CB14B2" w:rsidRDefault="00CB14B2" w:rsidP="000E3086">
    <w:pPr>
      <w:pStyle w:val="Header"/>
    </w:pPr>
  </w:p>
</w:hdr>
</file>

<file path=word/intelligence2.xml><?xml version="1.0" encoding="utf-8"?>
<int2:intelligence xmlns:int2="http://schemas.microsoft.com/office/intelligence/2020/intelligence" xmlns:oel="http://schemas.microsoft.com/office/2019/extlst">
  <int2:observations>
    <int2:textHash int2:hashCode="SlYFDncvjWIs3o" int2:id="2FjDhGOi">
      <int2:state int2:value="Rejected" int2:type="spell"/>
    </int2:textHash>
    <int2:textHash int2:hashCode="svizOJidlRzRSR" int2:id="480umIXp">
      <int2:state int2:value="Rejected" int2:type="spell"/>
    </int2:textHash>
    <int2:textHash int2:hashCode="QRzTRe2PnPjF0T" int2:id="7YDYFovQ">
      <int2:state int2:value="Rejected" int2:type="spell"/>
    </int2:textHash>
    <int2:textHash int2:hashCode="znIsrZe3Fd2WDU" int2:id="WH1LxKCN">
      <int2:state int2:value="Rejected" int2:type="spell"/>
    </int2:textHash>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A42F3E"/>
    <w:multiLevelType w:val="hybridMultilevel"/>
    <w:tmpl w:val="0E9CE262"/>
    <w:lvl w:ilvl="0" w:tplc="6A5842E6">
      <w:start w:val="1"/>
      <w:numFmt w:val="lowerRoman"/>
      <w:lvlText w:val="(%1)"/>
      <w:lvlJc w:val="left"/>
      <w:pPr>
        <w:ind w:left="1080" w:hanging="720"/>
      </w:pPr>
      <w:rPr>
        <w:rFonts w:hint="default"/>
        <w:b/>
        <w:bCs/>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 w15:restartNumberingAfterBreak="0">
    <w:nsid w:val="07D519B4"/>
    <w:multiLevelType w:val="multilevel"/>
    <w:tmpl w:val="851ABD56"/>
    <w:lvl w:ilvl="0">
      <w:start w:val="1"/>
      <w:numFmt w:val="decimal"/>
      <w:lvlText w:val="%1."/>
      <w:lvlJc w:val="left"/>
      <w:pPr>
        <w:ind w:left="720" w:hanging="360"/>
      </w:pPr>
    </w:lvl>
    <w:lvl w:ilvl="1">
      <w:start w:val="3"/>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 w15:restartNumberingAfterBreak="0">
    <w:nsid w:val="09687F6E"/>
    <w:multiLevelType w:val="multilevel"/>
    <w:tmpl w:val="96281630"/>
    <w:name w:val="ListNumberNumbering"/>
    <w:lvl w:ilvl="0">
      <w:start w:val="1"/>
      <w:numFmt w:val="decimal"/>
      <w:pStyle w:val="ListNumber"/>
      <w:lvlText w:val="%1."/>
      <w:lvlJc w:val="left"/>
      <w:pPr>
        <w:ind w:left="1134" w:hanging="567"/>
      </w:pPr>
      <w:rPr>
        <w:rFonts w:hint="default"/>
        <w:color w:val="003399"/>
      </w:rPr>
    </w:lvl>
    <w:lvl w:ilvl="1">
      <w:start w:val="1"/>
      <w:numFmt w:val="decimal"/>
      <w:pStyle w:val="ListNumberLevel2"/>
      <w:lvlText w:val="%1.%2."/>
      <w:lvlJc w:val="left"/>
      <w:pPr>
        <w:ind w:left="1701" w:hanging="567"/>
      </w:pPr>
      <w:rPr>
        <w:rFonts w:hint="default"/>
        <w:color w:val="003399"/>
      </w:rPr>
    </w:lvl>
    <w:lvl w:ilvl="2">
      <w:start w:val="1"/>
      <w:numFmt w:val="decimal"/>
      <w:pStyle w:val="ListNumberLevel3"/>
      <w:lvlText w:val="%1.%2.%3."/>
      <w:lvlJc w:val="left"/>
      <w:pPr>
        <w:ind w:left="2268" w:hanging="851"/>
      </w:pPr>
      <w:rPr>
        <w:rFonts w:hint="default"/>
        <w:color w:val="003399"/>
      </w:rPr>
    </w:lvl>
    <w:lvl w:ilvl="3">
      <w:start w:val="1"/>
      <w:numFmt w:val="decimal"/>
      <w:pStyle w:val="ListNumberLevel4"/>
      <w:lvlText w:val="%1.%2.%3.%4."/>
      <w:lvlJc w:val="left"/>
      <w:pPr>
        <w:ind w:left="3118" w:hanging="1134"/>
      </w:pPr>
      <w:rPr>
        <w:rFonts w:ascii="Arial" w:hAnsi="Arial" w:hint="default"/>
        <w:color w:val="003399"/>
      </w:rPr>
    </w:lvl>
    <w:lvl w:ilvl="4">
      <w:start w:val="1"/>
      <w:numFmt w:val="decimal"/>
      <w:pStyle w:val="ListNumberLevel5"/>
      <w:lvlText w:val="%1.%2.%3.%4.%5."/>
      <w:lvlJc w:val="left"/>
      <w:pPr>
        <w:ind w:left="3969" w:hanging="1134"/>
      </w:pPr>
      <w:rPr>
        <w:rFonts w:ascii="Arial" w:hAnsi="Arial" w:hint="default"/>
        <w:color w:val="1F497D" w:themeColor="text2"/>
      </w:rPr>
    </w:lvl>
    <w:lvl w:ilvl="5">
      <w:start w:val="1"/>
      <w:numFmt w:val="decimal"/>
      <w:lvlText w:val="%1.%2.%3.%4.%5."/>
      <w:lvlJc w:val="left"/>
      <w:pPr>
        <w:ind w:left="3969" w:hanging="1134"/>
      </w:pPr>
      <w:rPr>
        <w:rFonts w:ascii="Arial" w:hAnsi="Arial" w:hint="default"/>
        <w:color w:val="1F497D" w:themeColor="text2"/>
      </w:rPr>
    </w:lvl>
    <w:lvl w:ilvl="6">
      <w:start w:val="1"/>
      <w:numFmt w:val="decimal"/>
      <w:lvlText w:val="%1.%2.%3.%4.%5."/>
      <w:lvlJc w:val="left"/>
      <w:pPr>
        <w:ind w:left="3969" w:hanging="1134"/>
      </w:pPr>
      <w:rPr>
        <w:rFonts w:ascii="Arial" w:hAnsi="Arial" w:hint="default"/>
        <w:color w:val="1F497D" w:themeColor="text2"/>
      </w:rPr>
    </w:lvl>
    <w:lvl w:ilvl="7">
      <w:start w:val="1"/>
      <w:numFmt w:val="decimal"/>
      <w:lvlText w:val="%1.%2.%3.%4.%5."/>
      <w:lvlJc w:val="left"/>
      <w:pPr>
        <w:ind w:left="3969" w:hanging="1134"/>
      </w:pPr>
      <w:rPr>
        <w:rFonts w:ascii="Arial" w:hAnsi="Arial" w:hint="default"/>
        <w:color w:val="1F497D" w:themeColor="text2"/>
      </w:rPr>
    </w:lvl>
    <w:lvl w:ilvl="8">
      <w:start w:val="1"/>
      <w:numFmt w:val="decimal"/>
      <w:lvlText w:val="%1.%2.%3.%4.%5."/>
      <w:lvlJc w:val="left"/>
      <w:pPr>
        <w:ind w:left="3969" w:hanging="1134"/>
      </w:pPr>
      <w:rPr>
        <w:rFonts w:ascii="Arial" w:hAnsi="Arial" w:hint="default"/>
        <w:color w:val="1F497D" w:themeColor="text2"/>
      </w:rPr>
    </w:lvl>
  </w:abstractNum>
  <w:abstractNum w:abstractNumId="3" w15:restartNumberingAfterBreak="0">
    <w:nsid w:val="098B58BF"/>
    <w:multiLevelType w:val="hybridMultilevel"/>
    <w:tmpl w:val="B100E134"/>
    <w:lvl w:ilvl="0" w:tplc="04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4" w15:restartNumberingAfterBreak="0">
    <w:nsid w:val="130F4F7A"/>
    <w:multiLevelType w:val="hybridMultilevel"/>
    <w:tmpl w:val="7CFC6B06"/>
    <w:lvl w:ilvl="0" w:tplc="04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5" w15:restartNumberingAfterBreak="0">
    <w:nsid w:val="18F818E6"/>
    <w:multiLevelType w:val="hybridMultilevel"/>
    <w:tmpl w:val="87DA465A"/>
    <w:lvl w:ilvl="0" w:tplc="6438187E">
      <w:start w:val="1"/>
      <w:numFmt w:val="decimal"/>
      <w:pStyle w:val="HTABLES"/>
      <w:lvlText w:val="TABLE %1:"/>
      <w:lvlJc w:val="left"/>
      <w:pPr>
        <w:tabs>
          <w:tab w:val="num" w:pos="851"/>
        </w:tabs>
        <w:ind w:left="0" w:firstLine="0"/>
      </w:pPr>
      <w:rPr>
        <w:rFonts w:ascii="Corbel" w:hAnsi="Corbel" w:hint="default"/>
        <w:b/>
        <w:i w:val="0"/>
        <w:caps/>
        <w:strike w:val="0"/>
        <w:dstrike w:val="0"/>
        <w:vanish w:val="0"/>
        <w:color w:val="353332"/>
        <w:spacing w:val="0"/>
        <w:position w:val="0"/>
        <w:sz w:val="20"/>
        <w:vertAlign w:val="baseline"/>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24AE727E"/>
    <w:multiLevelType w:val="hybridMultilevel"/>
    <w:tmpl w:val="6A20E714"/>
    <w:lvl w:ilvl="0" w:tplc="0409000F">
      <w:start w:val="1"/>
      <w:numFmt w:val="decimal"/>
      <w:lvlText w:val="%1."/>
      <w:lvlJc w:val="left"/>
      <w:pPr>
        <w:ind w:left="720" w:hanging="360"/>
      </w:pPr>
      <w:rPr>
        <w:rFonts w:hint="default"/>
        <w:b/>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7" w15:restartNumberingAfterBreak="0">
    <w:nsid w:val="398C015E"/>
    <w:multiLevelType w:val="multilevel"/>
    <w:tmpl w:val="027A66BA"/>
    <w:name w:val="List Dash 4"/>
    <w:lvl w:ilvl="0">
      <w:start w:val="1"/>
      <w:numFmt w:val="decimal"/>
      <w:pStyle w:val="ListNumber2"/>
      <w:lvlText w:val="(%1)"/>
      <w:lvlJc w:val="left"/>
      <w:pPr>
        <w:tabs>
          <w:tab w:val="num" w:pos="1560"/>
        </w:tabs>
        <w:ind w:left="1560" w:hanging="709"/>
      </w:pPr>
      <w:rPr>
        <w:rFonts w:cs="Times New Roman"/>
      </w:rPr>
    </w:lvl>
    <w:lvl w:ilvl="1">
      <w:start w:val="1"/>
      <w:numFmt w:val="lowerLetter"/>
      <w:pStyle w:val="ListNumber2Level2"/>
      <w:lvlText w:val="(%2)"/>
      <w:lvlJc w:val="left"/>
      <w:pPr>
        <w:tabs>
          <w:tab w:val="num" w:pos="2268"/>
        </w:tabs>
        <w:ind w:left="2268" w:hanging="708"/>
      </w:pPr>
      <w:rPr>
        <w:rFonts w:cs="Times New Roman"/>
      </w:rPr>
    </w:lvl>
    <w:lvl w:ilvl="2">
      <w:start w:val="1"/>
      <w:numFmt w:val="bullet"/>
      <w:pStyle w:val="ListNumber2Level3"/>
      <w:lvlText w:val="–"/>
      <w:lvlJc w:val="left"/>
      <w:pPr>
        <w:tabs>
          <w:tab w:val="num" w:pos="2977"/>
        </w:tabs>
        <w:ind w:left="2977" w:hanging="709"/>
      </w:pPr>
      <w:rPr>
        <w:rFonts w:ascii="Times New Roman" w:hAnsi="Times New Roman"/>
      </w:rPr>
    </w:lvl>
    <w:lvl w:ilvl="3">
      <w:start w:val="1"/>
      <w:numFmt w:val="bullet"/>
      <w:pStyle w:val="ListNumber2Level4"/>
      <w:lvlText w:val=""/>
      <w:lvlJc w:val="left"/>
      <w:pPr>
        <w:tabs>
          <w:tab w:val="num" w:pos="3686"/>
        </w:tabs>
        <w:ind w:left="3686" w:hanging="709"/>
      </w:pPr>
      <w:rPr>
        <w:rFonts w:ascii="Symbol" w:hAnsi="Symbol" w:hint="default"/>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8" w15:restartNumberingAfterBreak="0">
    <w:nsid w:val="3CF00E18"/>
    <w:multiLevelType w:val="singleLevel"/>
    <w:tmpl w:val="40BCC854"/>
    <w:lvl w:ilvl="0">
      <w:start w:val="1"/>
      <w:numFmt w:val="bullet"/>
      <w:pStyle w:val="ListBullet"/>
      <w:lvlText w:val=""/>
      <w:lvlJc w:val="left"/>
      <w:pPr>
        <w:tabs>
          <w:tab w:val="num" w:pos="283"/>
        </w:tabs>
        <w:ind w:left="283" w:hanging="283"/>
      </w:pPr>
      <w:rPr>
        <w:rFonts w:ascii="Symbol" w:hAnsi="Symbol"/>
      </w:rPr>
    </w:lvl>
  </w:abstractNum>
  <w:abstractNum w:abstractNumId="9" w15:restartNumberingAfterBreak="0">
    <w:nsid w:val="3DE409C0"/>
    <w:multiLevelType w:val="hybridMultilevel"/>
    <w:tmpl w:val="553C6D66"/>
    <w:lvl w:ilvl="0" w:tplc="69425FDA">
      <w:numFmt w:val="bullet"/>
      <w:lvlText w:val="-"/>
      <w:lvlJc w:val="left"/>
      <w:pPr>
        <w:ind w:left="720" w:hanging="360"/>
      </w:pPr>
      <w:rPr>
        <w:rFonts w:ascii="Times New Roman" w:hAnsi="Times New Roman" w:hint="default"/>
      </w:rPr>
    </w:lvl>
    <w:lvl w:ilvl="1" w:tplc="A0CA0ADA" w:tentative="1">
      <w:start w:val="1"/>
      <w:numFmt w:val="bullet"/>
      <w:lvlText w:val="o"/>
      <w:lvlJc w:val="left"/>
      <w:pPr>
        <w:ind w:left="1440" w:hanging="360"/>
      </w:pPr>
      <w:rPr>
        <w:rFonts w:ascii="Courier New" w:hAnsi="Courier New" w:hint="default"/>
      </w:rPr>
    </w:lvl>
    <w:lvl w:ilvl="2" w:tplc="8B082B2E" w:tentative="1">
      <w:start w:val="1"/>
      <w:numFmt w:val="bullet"/>
      <w:lvlText w:val=""/>
      <w:lvlJc w:val="left"/>
      <w:pPr>
        <w:ind w:left="2160" w:hanging="360"/>
      </w:pPr>
      <w:rPr>
        <w:rFonts w:ascii="Wingdings" w:hAnsi="Wingdings" w:hint="default"/>
      </w:rPr>
    </w:lvl>
    <w:lvl w:ilvl="3" w:tplc="DF82F9EA" w:tentative="1">
      <w:start w:val="1"/>
      <w:numFmt w:val="bullet"/>
      <w:lvlText w:val=""/>
      <w:lvlJc w:val="left"/>
      <w:pPr>
        <w:ind w:left="2880" w:hanging="360"/>
      </w:pPr>
      <w:rPr>
        <w:rFonts w:ascii="Symbol" w:hAnsi="Symbol" w:hint="default"/>
      </w:rPr>
    </w:lvl>
    <w:lvl w:ilvl="4" w:tplc="08725678" w:tentative="1">
      <w:start w:val="1"/>
      <w:numFmt w:val="bullet"/>
      <w:lvlText w:val="o"/>
      <w:lvlJc w:val="left"/>
      <w:pPr>
        <w:ind w:left="3600" w:hanging="360"/>
      </w:pPr>
      <w:rPr>
        <w:rFonts w:ascii="Courier New" w:hAnsi="Courier New" w:hint="default"/>
      </w:rPr>
    </w:lvl>
    <w:lvl w:ilvl="5" w:tplc="9FC2792A" w:tentative="1">
      <w:start w:val="1"/>
      <w:numFmt w:val="bullet"/>
      <w:lvlText w:val=""/>
      <w:lvlJc w:val="left"/>
      <w:pPr>
        <w:ind w:left="4320" w:hanging="360"/>
      </w:pPr>
      <w:rPr>
        <w:rFonts w:ascii="Wingdings" w:hAnsi="Wingdings" w:hint="default"/>
      </w:rPr>
    </w:lvl>
    <w:lvl w:ilvl="6" w:tplc="E58CC7A0" w:tentative="1">
      <w:start w:val="1"/>
      <w:numFmt w:val="bullet"/>
      <w:lvlText w:val=""/>
      <w:lvlJc w:val="left"/>
      <w:pPr>
        <w:ind w:left="5040" w:hanging="360"/>
      </w:pPr>
      <w:rPr>
        <w:rFonts w:ascii="Symbol" w:hAnsi="Symbol" w:hint="default"/>
      </w:rPr>
    </w:lvl>
    <w:lvl w:ilvl="7" w:tplc="E1AC2768" w:tentative="1">
      <w:start w:val="1"/>
      <w:numFmt w:val="bullet"/>
      <w:lvlText w:val="o"/>
      <w:lvlJc w:val="left"/>
      <w:pPr>
        <w:ind w:left="5760" w:hanging="360"/>
      </w:pPr>
      <w:rPr>
        <w:rFonts w:ascii="Courier New" w:hAnsi="Courier New" w:hint="default"/>
      </w:rPr>
    </w:lvl>
    <w:lvl w:ilvl="8" w:tplc="039A91D8" w:tentative="1">
      <w:start w:val="1"/>
      <w:numFmt w:val="bullet"/>
      <w:lvlText w:val=""/>
      <w:lvlJc w:val="left"/>
      <w:pPr>
        <w:ind w:left="6480" w:hanging="360"/>
      </w:pPr>
      <w:rPr>
        <w:rFonts w:ascii="Wingdings" w:hAnsi="Wingdings" w:hint="default"/>
      </w:rPr>
    </w:lvl>
  </w:abstractNum>
  <w:abstractNum w:abstractNumId="10" w15:restartNumberingAfterBreak="0">
    <w:nsid w:val="3EED4743"/>
    <w:multiLevelType w:val="hybridMultilevel"/>
    <w:tmpl w:val="E1E84264"/>
    <w:lvl w:ilvl="0" w:tplc="0F50F476">
      <w:start w:val="1"/>
      <w:numFmt w:val="decimal"/>
      <w:pStyle w:val="BOXHEADING"/>
      <w:lvlText w:val="BOX %1."/>
      <w:lvlJc w:val="left"/>
      <w:pPr>
        <w:tabs>
          <w:tab w:val="num" w:pos="624"/>
        </w:tabs>
        <w:ind w:left="0" w:firstLine="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15:restartNumberingAfterBreak="0">
    <w:nsid w:val="42B01560"/>
    <w:multiLevelType w:val="hybridMultilevel"/>
    <w:tmpl w:val="910C239E"/>
    <w:lvl w:ilvl="0" w:tplc="04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2" w15:restartNumberingAfterBreak="0">
    <w:nsid w:val="5A123EBB"/>
    <w:multiLevelType w:val="multilevel"/>
    <w:tmpl w:val="21A8A286"/>
    <w:lvl w:ilvl="0">
      <w:start w:val="1"/>
      <w:numFmt w:val="decimal"/>
      <w:pStyle w:val="Heading1"/>
      <w:lvlText w:val="%1"/>
      <w:lvlJc w:val="left"/>
      <w:pPr>
        <w:ind w:left="432" w:hanging="432"/>
      </w:pPr>
    </w:lvl>
    <w:lvl w:ilvl="1">
      <w:start w:val="1"/>
      <w:numFmt w:val="decimal"/>
      <w:pStyle w:val="Heading2"/>
      <w:lvlText w:val="%1.%2"/>
      <w:lvlJc w:val="left"/>
      <w:pPr>
        <w:ind w:left="576" w:hanging="576"/>
      </w:pPr>
    </w:lvl>
    <w:lvl w:ilvl="2">
      <w:start w:val="1"/>
      <w:numFmt w:val="decimal"/>
      <w:pStyle w:val="Heading3"/>
      <w:lvlText w:val="%1.%2.%3"/>
      <w:lvlJc w:val="left"/>
      <w:pPr>
        <w:ind w:left="1571" w:hanging="720"/>
      </w:pPr>
      <w:rPr>
        <w:vertAlign w:val="baseline"/>
      </w:rPr>
    </w:lvl>
    <w:lvl w:ilvl="3">
      <w:start w:val="1"/>
      <w:numFmt w:val="decimal"/>
      <w:pStyle w:val="Heading4"/>
      <w:lvlText w:val="%1.%2.%3.%4"/>
      <w:lvlJc w:val="left"/>
      <w:pPr>
        <w:ind w:left="864" w:hanging="864"/>
      </w:pPr>
    </w:lvl>
    <w:lvl w:ilvl="4">
      <w:start w:val="1"/>
      <w:numFmt w:val="decimal"/>
      <w:pStyle w:val="Heading5"/>
      <w:lvlText w:val="%1.%2.%3.%4.%5"/>
      <w:lvlJc w:val="left"/>
      <w:pPr>
        <w:ind w:left="1008" w:hanging="1008"/>
      </w:pPr>
    </w:lvl>
    <w:lvl w:ilvl="5">
      <w:start w:val="1"/>
      <w:numFmt w:val="decimal"/>
      <w:pStyle w:val="Heading6"/>
      <w:lvlText w:val="%1.%2.%3.%4.%5.%6"/>
      <w:lvlJc w:val="left"/>
      <w:pPr>
        <w:ind w:left="1152" w:hanging="1152"/>
      </w:pPr>
    </w:lvl>
    <w:lvl w:ilvl="6">
      <w:start w:val="1"/>
      <w:numFmt w:val="decimal"/>
      <w:pStyle w:val="Heading7"/>
      <w:lvlText w:val="%1.%2.%3.%4.%5.%6.%7"/>
      <w:lvlJc w:val="left"/>
      <w:pPr>
        <w:ind w:left="1296" w:hanging="1296"/>
      </w:pPr>
    </w:lvl>
    <w:lvl w:ilvl="7">
      <w:start w:val="1"/>
      <w:numFmt w:val="decimal"/>
      <w:pStyle w:val="Heading8"/>
      <w:lvlText w:val="%1.%2.%3.%4.%5.%6.%7.%8"/>
      <w:lvlJc w:val="left"/>
      <w:pPr>
        <w:ind w:left="1440" w:hanging="1440"/>
      </w:pPr>
    </w:lvl>
    <w:lvl w:ilvl="8">
      <w:start w:val="1"/>
      <w:numFmt w:val="decimal"/>
      <w:pStyle w:val="Heading9"/>
      <w:lvlText w:val="%1.%2.%3.%4.%5.%6.%7.%8.%9"/>
      <w:lvlJc w:val="left"/>
      <w:pPr>
        <w:ind w:left="1584" w:hanging="1584"/>
      </w:pPr>
    </w:lvl>
  </w:abstractNum>
  <w:abstractNum w:abstractNumId="13" w15:restartNumberingAfterBreak="0">
    <w:nsid w:val="5CA31A15"/>
    <w:multiLevelType w:val="singleLevel"/>
    <w:tmpl w:val="72AEDCB0"/>
    <w:name w:val="Tiret 0"/>
    <w:lvl w:ilvl="0">
      <w:start w:val="1"/>
      <w:numFmt w:val="bullet"/>
      <w:lvlRestart w:val="0"/>
      <w:pStyle w:val="Tiret0"/>
      <w:lvlText w:val="–"/>
      <w:lvlJc w:val="left"/>
      <w:pPr>
        <w:tabs>
          <w:tab w:val="num" w:pos="850"/>
        </w:tabs>
        <w:ind w:left="850" w:hanging="850"/>
      </w:pPr>
    </w:lvl>
  </w:abstractNum>
  <w:abstractNum w:abstractNumId="14" w15:restartNumberingAfterBreak="0">
    <w:nsid w:val="5EB8022A"/>
    <w:multiLevelType w:val="hybridMultilevel"/>
    <w:tmpl w:val="3716D1F6"/>
    <w:lvl w:ilvl="0" w:tplc="5008A5F4">
      <w:start w:val="1"/>
      <w:numFmt w:val="decimal"/>
      <w:pStyle w:val="NumberedList"/>
      <w:lvlText w:val="%1."/>
      <w:lvlJc w:val="left"/>
      <w:pPr>
        <w:ind w:left="567" w:hanging="567"/>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5" w15:restartNumberingAfterBreak="0">
    <w:nsid w:val="6057433F"/>
    <w:multiLevelType w:val="singleLevel"/>
    <w:tmpl w:val="3D5ECD48"/>
    <w:lvl w:ilvl="0">
      <w:start w:val="1"/>
      <w:numFmt w:val="bullet"/>
      <w:pStyle w:val="ListDash1"/>
      <w:lvlText w:val="–"/>
      <w:lvlJc w:val="left"/>
      <w:pPr>
        <w:tabs>
          <w:tab w:val="num" w:pos="765"/>
        </w:tabs>
        <w:ind w:left="765" w:hanging="283"/>
      </w:pPr>
      <w:rPr>
        <w:rFonts w:ascii="Times New Roman" w:hAnsi="Times New Roman"/>
      </w:rPr>
    </w:lvl>
  </w:abstractNum>
  <w:abstractNum w:abstractNumId="16" w15:restartNumberingAfterBreak="0">
    <w:nsid w:val="6340613D"/>
    <w:multiLevelType w:val="hybridMultilevel"/>
    <w:tmpl w:val="0560905C"/>
    <w:lvl w:ilvl="0" w:tplc="ECF4F170">
      <w:start w:val="1"/>
      <w:numFmt w:val="lowerRoman"/>
      <w:lvlText w:val="(%1)"/>
      <w:lvlJc w:val="left"/>
      <w:pPr>
        <w:ind w:left="1080" w:hanging="72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7" w15:restartNumberingAfterBreak="0">
    <w:nsid w:val="666903F7"/>
    <w:multiLevelType w:val="hybridMultilevel"/>
    <w:tmpl w:val="BA8C4324"/>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8" w15:restartNumberingAfterBreak="0">
    <w:nsid w:val="6B93423F"/>
    <w:multiLevelType w:val="hybridMultilevel"/>
    <w:tmpl w:val="FF70126C"/>
    <w:lvl w:ilvl="0" w:tplc="08CE48F6">
      <w:start w:val="1"/>
      <w:numFmt w:val="decimal"/>
      <w:pStyle w:val="HFIGURE"/>
      <w:lvlText w:val="FIGURE %1:"/>
      <w:lvlJc w:val="left"/>
      <w:pPr>
        <w:tabs>
          <w:tab w:val="num" w:pos="936"/>
        </w:tabs>
        <w:ind w:left="0" w:firstLine="0"/>
      </w:pPr>
      <w:rPr>
        <w:rFonts w:ascii="Corbel" w:hAnsi="Corbel" w:hint="default"/>
        <w:b/>
        <w:i w:val="0"/>
        <w:caps/>
        <w:strike w:val="0"/>
        <w:dstrike w:val="0"/>
        <w:vanish w:val="0"/>
        <w:color w:val="353332"/>
        <w:spacing w:val="0"/>
        <w:position w:val="0"/>
        <w:sz w:val="20"/>
        <w:vertAlign w:val="baseline"/>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9" w15:restartNumberingAfterBreak="0">
    <w:nsid w:val="6CDE5D6E"/>
    <w:multiLevelType w:val="hybridMultilevel"/>
    <w:tmpl w:val="3B9ADDBC"/>
    <w:lvl w:ilvl="0" w:tplc="86A61A32">
      <w:start w:val="9"/>
      <w:numFmt w:val="bullet"/>
      <w:lvlText w:val="-"/>
      <w:lvlJc w:val="left"/>
      <w:pPr>
        <w:ind w:left="720" w:hanging="360"/>
      </w:pPr>
      <w:rPr>
        <w:rFonts w:ascii="Times New Roman" w:eastAsiaTheme="minorEastAsia" w:hAnsi="Times New Roman" w:cs="Times New Roman"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0" w15:restartNumberingAfterBreak="0">
    <w:nsid w:val="78371741"/>
    <w:multiLevelType w:val="hybridMultilevel"/>
    <w:tmpl w:val="A5EA823C"/>
    <w:lvl w:ilvl="0" w:tplc="2840A058">
      <w:start w:val="1"/>
      <w:numFmt w:val="lowerRoman"/>
      <w:lvlText w:val="(%1)"/>
      <w:lvlJc w:val="left"/>
      <w:pPr>
        <w:ind w:left="720" w:hanging="720"/>
      </w:pPr>
      <w:rPr>
        <w:rFonts w:hint="default"/>
        <w:i/>
        <w:iCs/>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num w:numId="1" w16cid:durableId="1023554559">
    <w:abstractNumId w:val="15"/>
  </w:num>
  <w:num w:numId="2" w16cid:durableId="1627007051">
    <w:abstractNumId w:val="8"/>
  </w:num>
  <w:num w:numId="3" w16cid:durableId="1429423268">
    <w:abstractNumId w:val="13"/>
  </w:num>
  <w:num w:numId="4" w16cid:durableId="204871954">
    <w:abstractNumId w:val="7"/>
  </w:num>
  <w:num w:numId="5" w16cid:durableId="230625194">
    <w:abstractNumId w:val="9"/>
  </w:num>
  <w:num w:numId="6" w16cid:durableId="262226206">
    <w:abstractNumId w:val="2"/>
  </w:num>
  <w:num w:numId="7" w16cid:durableId="2007514675">
    <w:abstractNumId w:val="20"/>
  </w:num>
  <w:num w:numId="8" w16cid:durableId="531724420">
    <w:abstractNumId w:val="18"/>
  </w:num>
  <w:num w:numId="9" w16cid:durableId="957026256">
    <w:abstractNumId w:val="5"/>
  </w:num>
  <w:num w:numId="10" w16cid:durableId="659310450">
    <w:abstractNumId w:val="14"/>
  </w:num>
  <w:num w:numId="11" w16cid:durableId="1790275795">
    <w:abstractNumId w:val="10"/>
  </w:num>
  <w:num w:numId="12" w16cid:durableId="1721633420">
    <w:abstractNumId w:val="12"/>
  </w:num>
  <w:num w:numId="13" w16cid:durableId="1468470455">
    <w:abstractNumId w:val="17"/>
  </w:num>
  <w:num w:numId="14" w16cid:durableId="1569224394">
    <w:abstractNumId w:val="1"/>
  </w:num>
  <w:num w:numId="15" w16cid:durableId="790787628">
    <w:abstractNumId w:val="6"/>
  </w:num>
  <w:num w:numId="16" w16cid:durableId="1915581569">
    <w:abstractNumId w:val="19"/>
  </w:num>
  <w:num w:numId="17" w16cid:durableId="976884504">
    <w:abstractNumId w:val="11"/>
  </w:num>
  <w:num w:numId="18" w16cid:durableId="1338652725">
    <w:abstractNumId w:val="4"/>
  </w:num>
  <w:num w:numId="19" w16cid:durableId="2016958362">
    <w:abstractNumId w:val="3"/>
  </w:num>
  <w:num w:numId="20" w16cid:durableId="1562400012">
    <w:abstractNumId w:val="16"/>
  </w:num>
  <w:num w:numId="21" w16cid:durableId="605962248">
    <w:abstractNumId w:val="0"/>
  </w:num>
  <w:numIdMacAtCleanup w:val="2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9"/>
  <w:defaultTabStop w:val="720"/>
  <w:hyphenationZone w:val="425"/>
  <w:characterSpacingControl w:val="doNotCompress"/>
  <w:hdrShapeDefaults>
    <o:shapedefaults v:ext="edit" spidmax="2051"/>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ocStatus" w:val="Green"/>
    <w:docVar w:name="LW_ACCOMPAGNANT.CP" w:val="Accompanying the documents"/>
    <w:docVar w:name="LW_CORRIGENDUM" w:val="Addendum to _x000b_COM(2025) 1022 and COM(2025) 1031 adopted on 16.12.2025"/>
    <w:docVar w:name="LW_COVERPAGE_EXISTS" w:val="True"/>
    <w:docVar w:name="LW_COVERPAGE_GUID" w:val="BA78598F-C7FE-483C-A5E4-63797C4D2CBB"/>
    <w:docVar w:name="LW_COVERPAGE_TYPE" w:val="1"/>
    <w:docVar w:name="LW_CROSSREFERENCE" w:val="{COM(2025) 1022 final}_x000a_{COM(2025) 1031 final}"/>
    <w:docVar w:name="LW_DocType" w:val="NORMAL"/>
    <w:docVar w:name="LW_EMISSION" w:val="26.5.2026"/>
    <w:docVar w:name="LW_EMISSION_ISODATE" w:val="2026-05-26"/>
    <w:docVar w:name="LW_EMISSION_LOCATION" w:val="BRX"/>
    <w:docVar w:name="LW_EMISSION_PREFIX" w:val="Brussels, "/>
    <w:docVar w:name="LW_EMISSION_SUFFIX" w:val=" "/>
    <w:docVar w:name="LW_ID_DOCTYPE_NONLW" w:val="CP-025"/>
    <w:docVar w:name="LW_LANGUE" w:val="EN"/>
    <w:docVar w:name="LW_LEVEL_OF_SENSITIVITY" w:val="Standard treatment"/>
    <w:docVar w:name="LW_NOM.INST" w:val="EUROPEAN COMMISSION"/>
    <w:docVar w:name="LW_NOM.INST_JOINTDOC" w:val="&lt;EMPTY&gt;"/>
    <w:docVar w:name="LW_OBJETACTEPRINCIPAL.CP" w:val="Proposal for a Regulation of the European Parliament and of the Council on establishing a framework of measures for strengthening Union's biotechnology and biomanufacturing sectors particularly in the area of health and amending Regulations (EC) No 178/2002, (EC) No 1394/2007, (EU) No 536/2014, (EU) 2019/6, (EU) 2024/795 and (EU) 2024/1938 (European Biotech Act)_x000d__x000d__x000b__x000d__x000d__x000b_and_x000d__x000d__x000b__x000d__x000d__x000b_Proposal for a Directive of the European Parliament and of the Council amending Directives 2001/18/EC and 2010/53/EU as regards the placing on the market of genetically modified micro-organisms and the processing of organs"/>
    <w:docVar w:name="LW_PART_NBR" w:val="1"/>
    <w:docVar w:name="LW_PART_NBR_TOTAL" w:val="2"/>
    <w:docVar w:name="LW_REF.INST.NEW" w:val="SWD"/>
    <w:docVar w:name="LW_REF.INST.NEW_ADOPTED" w:val="final"/>
    <w:docVar w:name="LW_REF.INST.NEW_TEXT" w:val="(2026) 450"/>
    <w:docVar w:name="LW_REF.INTERNE" w:val="&lt;UNUSED&gt;"/>
    <w:docVar w:name="LW_SENSITIVITY" w:val="&lt;?xml version=&quot;1.0&quot; encoding=&quot;utf-8&quot;?&gt;_x000d__x000a_&lt;SensitivityLevel xmlns:xsd=&quot;http://www.w3.org/2001/XMLSchema&quot; xmlns:xsi=&quot;http://www.w3.org/2001/XMLSchema-instance&quot; id=&quot;standard&quot;&gt;_x000d__x000a_  &lt;nicename EN=&quot;Standard treatment&quot; FR=&quot;Traitement standard&quot; /&gt;_x000d__x000a_  &lt;documentProperty&gt;Standard treatment&lt;/documentProperty&gt;_x000d__x000a_  &lt;markingConfig isAvailable=&quot;false&quot; isMandatory=&quot;false&quot; sensitiveMarkingMandatory=&quot;false&quot; specialMarkingMandatory=&quot;true&quot; isOptionDisplayInHeaderAvailable=&quot;true&quot; sensitiveMarkingListSee=&quot;SensitiveMarkings&quot; specialMarkingListSee=&quot;SpecialMarkings&quot; sensitiveFootnoteTextSee=&quot;sensitiveFootnote&quot; specialFootnoteTextSee=&quot;specialFootnote&quot; /&gt;_x000d__x000a_  &lt;chosenMainMarking xsi:nil=&quot;true&quot; /&gt;_x000d__x000a_  &lt;dateMarking xsi:nil=&quot;true&quot; /&gt;_x000d__x000a_  &lt;releasableToConfig isAvailable=&quot;false&quot; institutionListSee=&quot;DefaultInstitutions&quot; /&gt;_x000d__x000a_  &lt;chosenReleasableTo xsi:nil=&quot;true&quot; /&gt;_x000d__x000a_  &lt;detached xsi:nil=&quot;true&quot; /&gt;_x000d__x000a_  &lt;declassify xsi:nil=&quot;true&quot; /&gt;_x000d__x000a_  &lt;headerTexts xsi:nil=&quot;true&quot; /&gt;_x000d__x000a_  &lt;footerTexts xsi:nil=&quot;true&quot; /&gt;_x000d__x000a_  &lt;isRestricted&gt;false&lt;/isRestricted&gt;_x000d__x000a_&lt;/SensitivityLevel&gt;"/>
    <w:docVar w:name="LW_SUPERTITRE" w:val="&lt;UNUSED&gt;"/>
    <w:docVar w:name="LW_TITRE.OBJ.CP" w:val="European Biotech Act"/>
    <w:docVar w:name="LW_TYPE.DOC.CP" w:val="COMMISSION STAFF WORKING DOCUMENT"/>
    <w:docVar w:name="LW_TYPEACTEPRINCIPAL.CP" w:val="    "/>
  </w:docVars>
  <w:rsids>
    <w:rsidRoot w:val="006B087E"/>
    <w:rsid w:val="00000066"/>
    <w:rsid w:val="000000A5"/>
    <w:rsid w:val="0000014C"/>
    <w:rsid w:val="00000253"/>
    <w:rsid w:val="000002B1"/>
    <w:rsid w:val="000002C0"/>
    <w:rsid w:val="000002FD"/>
    <w:rsid w:val="00000315"/>
    <w:rsid w:val="000003F8"/>
    <w:rsid w:val="000004EA"/>
    <w:rsid w:val="000004FA"/>
    <w:rsid w:val="0000053D"/>
    <w:rsid w:val="000005FA"/>
    <w:rsid w:val="0000064E"/>
    <w:rsid w:val="00000769"/>
    <w:rsid w:val="00000789"/>
    <w:rsid w:val="000007CA"/>
    <w:rsid w:val="00000881"/>
    <w:rsid w:val="00000A18"/>
    <w:rsid w:val="00000A2A"/>
    <w:rsid w:val="00000AED"/>
    <w:rsid w:val="00000B2B"/>
    <w:rsid w:val="00000B57"/>
    <w:rsid w:val="00000CDF"/>
    <w:rsid w:val="00000CFC"/>
    <w:rsid w:val="00000DAD"/>
    <w:rsid w:val="00000E5B"/>
    <w:rsid w:val="00000F34"/>
    <w:rsid w:val="00000F9D"/>
    <w:rsid w:val="00001040"/>
    <w:rsid w:val="000010E4"/>
    <w:rsid w:val="00001209"/>
    <w:rsid w:val="00001235"/>
    <w:rsid w:val="00001262"/>
    <w:rsid w:val="000012C9"/>
    <w:rsid w:val="0000134B"/>
    <w:rsid w:val="00001359"/>
    <w:rsid w:val="00001429"/>
    <w:rsid w:val="0000148A"/>
    <w:rsid w:val="0000151A"/>
    <w:rsid w:val="00001560"/>
    <w:rsid w:val="00001578"/>
    <w:rsid w:val="000016C0"/>
    <w:rsid w:val="00001705"/>
    <w:rsid w:val="00001784"/>
    <w:rsid w:val="000017C0"/>
    <w:rsid w:val="000018E4"/>
    <w:rsid w:val="00001941"/>
    <w:rsid w:val="0000197D"/>
    <w:rsid w:val="00001A39"/>
    <w:rsid w:val="00001A46"/>
    <w:rsid w:val="00001AA0"/>
    <w:rsid w:val="00001AF1"/>
    <w:rsid w:val="00001AFB"/>
    <w:rsid w:val="00001B43"/>
    <w:rsid w:val="00001B44"/>
    <w:rsid w:val="00001B63"/>
    <w:rsid w:val="00001B7F"/>
    <w:rsid w:val="00001C17"/>
    <w:rsid w:val="00001CD4"/>
    <w:rsid w:val="00001E8E"/>
    <w:rsid w:val="00001EB1"/>
    <w:rsid w:val="000020B4"/>
    <w:rsid w:val="000020E6"/>
    <w:rsid w:val="00002168"/>
    <w:rsid w:val="000021D6"/>
    <w:rsid w:val="00002213"/>
    <w:rsid w:val="0000222C"/>
    <w:rsid w:val="0000239D"/>
    <w:rsid w:val="000023A8"/>
    <w:rsid w:val="00002602"/>
    <w:rsid w:val="0000261D"/>
    <w:rsid w:val="0000266B"/>
    <w:rsid w:val="0000270C"/>
    <w:rsid w:val="00002818"/>
    <w:rsid w:val="0000282E"/>
    <w:rsid w:val="0000285E"/>
    <w:rsid w:val="00002869"/>
    <w:rsid w:val="000028B8"/>
    <w:rsid w:val="00002933"/>
    <w:rsid w:val="00002980"/>
    <w:rsid w:val="00002C43"/>
    <w:rsid w:val="00002CD4"/>
    <w:rsid w:val="00002CDA"/>
    <w:rsid w:val="00002D2C"/>
    <w:rsid w:val="00002D2E"/>
    <w:rsid w:val="00002D9D"/>
    <w:rsid w:val="00002F47"/>
    <w:rsid w:val="00002F71"/>
    <w:rsid w:val="00003134"/>
    <w:rsid w:val="00003135"/>
    <w:rsid w:val="0000326B"/>
    <w:rsid w:val="00003598"/>
    <w:rsid w:val="0000359A"/>
    <w:rsid w:val="000035D1"/>
    <w:rsid w:val="000035E6"/>
    <w:rsid w:val="00003636"/>
    <w:rsid w:val="0000368B"/>
    <w:rsid w:val="000036B5"/>
    <w:rsid w:val="000037BB"/>
    <w:rsid w:val="0000382A"/>
    <w:rsid w:val="00003861"/>
    <w:rsid w:val="000038CE"/>
    <w:rsid w:val="000038E0"/>
    <w:rsid w:val="0000391B"/>
    <w:rsid w:val="0000394C"/>
    <w:rsid w:val="00003A67"/>
    <w:rsid w:val="00003A96"/>
    <w:rsid w:val="00003AB5"/>
    <w:rsid w:val="00003B2F"/>
    <w:rsid w:val="00003B45"/>
    <w:rsid w:val="00003D4F"/>
    <w:rsid w:val="00003E1D"/>
    <w:rsid w:val="00003E29"/>
    <w:rsid w:val="00003E8B"/>
    <w:rsid w:val="00003EB7"/>
    <w:rsid w:val="00003F37"/>
    <w:rsid w:val="0000401C"/>
    <w:rsid w:val="00004060"/>
    <w:rsid w:val="0000407D"/>
    <w:rsid w:val="0000409F"/>
    <w:rsid w:val="000041F3"/>
    <w:rsid w:val="00004221"/>
    <w:rsid w:val="0000427A"/>
    <w:rsid w:val="00004597"/>
    <w:rsid w:val="000045D5"/>
    <w:rsid w:val="0000461D"/>
    <w:rsid w:val="00004690"/>
    <w:rsid w:val="000046D2"/>
    <w:rsid w:val="000046DF"/>
    <w:rsid w:val="00004778"/>
    <w:rsid w:val="000047F5"/>
    <w:rsid w:val="00004814"/>
    <w:rsid w:val="000048B5"/>
    <w:rsid w:val="000048BB"/>
    <w:rsid w:val="00004939"/>
    <w:rsid w:val="00004951"/>
    <w:rsid w:val="00004965"/>
    <w:rsid w:val="0000498A"/>
    <w:rsid w:val="000049C2"/>
    <w:rsid w:val="00004AA8"/>
    <w:rsid w:val="00004C01"/>
    <w:rsid w:val="00004C4D"/>
    <w:rsid w:val="00004D9B"/>
    <w:rsid w:val="00004D9F"/>
    <w:rsid w:val="00004E3D"/>
    <w:rsid w:val="00005115"/>
    <w:rsid w:val="00005155"/>
    <w:rsid w:val="000051A7"/>
    <w:rsid w:val="000051BC"/>
    <w:rsid w:val="000051DB"/>
    <w:rsid w:val="00005252"/>
    <w:rsid w:val="0000528C"/>
    <w:rsid w:val="0000535C"/>
    <w:rsid w:val="00005365"/>
    <w:rsid w:val="000053C1"/>
    <w:rsid w:val="000054E5"/>
    <w:rsid w:val="000054FB"/>
    <w:rsid w:val="00005547"/>
    <w:rsid w:val="00005577"/>
    <w:rsid w:val="000056AB"/>
    <w:rsid w:val="000056F5"/>
    <w:rsid w:val="00005763"/>
    <w:rsid w:val="000057BD"/>
    <w:rsid w:val="00005835"/>
    <w:rsid w:val="0000588C"/>
    <w:rsid w:val="00005931"/>
    <w:rsid w:val="00005ACC"/>
    <w:rsid w:val="00005ADD"/>
    <w:rsid w:val="00005C35"/>
    <w:rsid w:val="00005CBE"/>
    <w:rsid w:val="00005CF2"/>
    <w:rsid w:val="00005DEE"/>
    <w:rsid w:val="00005E14"/>
    <w:rsid w:val="00005EF8"/>
    <w:rsid w:val="00005F14"/>
    <w:rsid w:val="00005FBE"/>
    <w:rsid w:val="0000601C"/>
    <w:rsid w:val="00006038"/>
    <w:rsid w:val="00006215"/>
    <w:rsid w:val="0000622E"/>
    <w:rsid w:val="00006238"/>
    <w:rsid w:val="0000628B"/>
    <w:rsid w:val="000064AC"/>
    <w:rsid w:val="000064D1"/>
    <w:rsid w:val="0000662C"/>
    <w:rsid w:val="000068D1"/>
    <w:rsid w:val="000068F4"/>
    <w:rsid w:val="00006947"/>
    <w:rsid w:val="000069C3"/>
    <w:rsid w:val="00006A41"/>
    <w:rsid w:val="00006A4B"/>
    <w:rsid w:val="00006AD9"/>
    <w:rsid w:val="00006B3C"/>
    <w:rsid w:val="00006B67"/>
    <w:rsid w:val="00006B76"/>
    <w:rsid w:val="00006BD6"/>
    <w:rsid w:val="00006C0D"/>
    <w:rsid w:val="00006C67"/>
    <w:rsid w:val="00006C76"/>
    <w:rsid w:val="00006E1E"/>
    <w:rsid w:val="00006EF5"/>
    <w:rsid w:val="00006EF8"/>
    <w:rsid w:val="00006FB9"/>
    <w:rsid w:val="00006FD4"/>
    <w:rsid w:val="00007029"/>
    <w:rsid w:val="0000706E"/>
    <w:rsid w:val="000070AD"/>
    <w:rsid w:val="000071F0"/>
    <w:rsid w:val="000071FA"/>
    <w:rsid w:val="000072B6"/>
    <w:rsid w:val="000072F5"/>
    <w:rsid w:val="0000737D"/>
    <w:rsid w:val="000074D1"/>
    <w:rsid w:val="000074D9"/>
    <w:rsid w:val="00007768"/>
    <w:rsid w:val="0000777D"/>
    <w:rsid w:val="00007784"/>
    <w:rsid w:val="00007891"/>
    <w:rsid w:val="000078BE"/>
    <w:rsid w:val="000079B9"/>
    <w:rsid w:val="000079BC"/>
    <w:rsid w:val="00007A72"/>
    <w:rsid w:val="00007A7F"/>
    <w:rsid w:val="00007AFC"/>
    <w:rsid w:val="00007B09"/>
    <w:rsid w:val="00007B36"/>
    <w:rsid w:val="00007D55"/>
    <w:rsid w:val="00007D6D"/>
    <w:rsid w:val="00007DA5"/>
    <w:rsid w:val="00007E8E"/>
    <w:rsid w:val="00007F1B"/>
    <w:rsid w:val="00007F21"/>
    <w:rsid w:val="00007F6A"/>
    <w:rsid w:val="00007F97"/>
    <w:rsid w:val="00007F9B"/>
    <w:rsid w:val="00010069"/>
    <w:rsid w:val="00010079"/>
    <w:rsid w:val="000100F3"/>
    <w:rsid w:val="00010104"/>
    <w:rsid w:val="0001019A"/>
    <w:rsid w:val="00010269"/>
    <w:rsid w:val="00010376"/>
    <w:rsid w:val="00010401"/>
    <w:rsid w:val="00010471"/>
    <w:rsid w:val="000104C9"/>
    <w:rsid w:val="000104FB"/>
    <w:rsid w:val="00010537"/>
    <w:rsid w:val="0001061D"/>
    <w:rsid w:val="00010697"/>
    <w:rsid w:val="00010768"/>
    <w:rsid w:val="000107AA"/>
    <w:rsid w:val="000107DB"/>
    <w:rsid w:val="00010966"/>
    <w:rsid w:val="00010976"/>
    <w:rsid w:val="0001099E"/>
    <w:rsid w:val="000109D3"/>
    <w:rsid w:val="00010A2D"/>
    <w:rsid w:val="00010A6A"/>
    <w:rsid w:val="00010A93"/>
    <w:rsid w:val="00010AF8"/>
    <w:rsid w:val="00010B83"/>
    <w:rsid w:val="00010BC5"/>
    <w:rsid w:val="00010BF4"/>
    <w:rsid w:val="00010C0D"/>
    <w:rsid w:val="00010C29"/>
    <w:rsid w:val="00010D69"/>
    <w:rsid w:val="00010D8F"/>
    <w:rsid w:val="00010E23"/>
    <w:rsid w:val="00010F45"/>
    <w:rsid w:val="00010F89"/>
    <w:rsid w:val="00010FAA"/>
    <w:rsid w:val="00010FB9"/>
    <w:rsid w:val="00010FD9"/>
    <w:rsid w:val="00010FFF"/>
    <w:rsid w:val="0001102C"/>
    <w:rsid w:val="00011068"/>
    <w:rsid w:val="00011141"/>
    <w:rsid w:val="0001114D"/>
    <w:rsid w:val="00011168"/>
    <w:rsid w:val="00011191"/>
    <w:rsid w:val="00011227"/>
    <w:rsid w:val="000112D5"/>
    <w:rsid w:val="000113AD"/>
    <w:rsid w:val="000113CC"/>
    <w:rsid w:val="000114BF"/>
    <w:rsid w:val="0001152E"/>
    <w:rsid w:val="00011537"/>
    <w:rsid w:val="0001155F"/>
    <w:rsid w:val="000115C8"/>
    <w:rsid w:val="0001167F"/>
    <w:rsid w:val="000116CA"/>
    <w:rsid w:val="00011710"/>
    <w:rsid w:val="00011814"/>
    <w:rsid w:val="00011819"/>
    <w:rsid w:val="0001186D"/>
    <w:rsid w:val="000118E8"/>
    <w:rsid w:val="000119ED"/>
    <w:rsid w:val="00011AE7"/>
    <w:rsid w:val="00011AED"/>
    <w:rsid w:val="00011B2E"/>
    <w:rsid w:val="00011B6E"/>
    <w:rsid w:val="00011C06"/>
    <w:rsid w:val="00011C8C"/>
    <w:rsid w:val="00011CBC"/>
    <w:rsid w:val="00011CC8"/>
    <w:rsid w:val="00011D42"/>
    <w:rsid w:val="00011D73"/>
    <w:rsid w:val="00011D77"/>
    <w:rsid w:val="00011DC0"/>
    <w:rsid w:val="00011E1D"/>
    <w:rsid w:val="00011E96"/>
    <w:rsid w:val="00011EBA"/>
    <w:rsid w:val="00011EF6"/>
    <w:rsid w:val="0001204C"/>
    <w:rsid w:val="00012074"/>
    <w:rsid w:val="00012248"/>
    <w:rsid w:val="0001229A"/>
    <w:rsid w:val="000122C3"/>
    <w:rsid w:val="000122CF"/>
    <w:rsid w:val="000122DA"/>
    <w:rsid w:val="00012325"/>
    <w:rsid w:val="00012428"/>
    <w:rsid w:val="00012533"/>
    <w:rsid w:val="00012578"/>
    <w:rsid w:val="00012678"/>
    <w:rsid w:val="000126AF"/>
    <w:rsid w:val="000126B0"/>
    <w:rsid w:val="000127DC"/>
    <w:rsid w:val="000127F3"/>
    <w:rsid w:val="00012802"/>
    <w:rsid w:val="00012822"/>
    <w:rsid w:val="00012838"/>
    <w:rsid w:val="0001292E"/>
    <w:rsid w:val="00012951"/>
    <w:rsid w:val="000129F0"/>
    <w:rsid w:val="00012A6A"/>
    <w:rsid w:val="00012A8C"/>
    <w:rsid w:val="00012AE1"/>
    <w:rsid w:val="00012B26"/>
    <w:rsid w:val="00012B6A"/>
    <w:rsid w:val="00012C3C"/>
    <w:rsid w:val="00012CE2"/>
    <w:rsid w:val="00012D48"/>
    <w:rsid w:val="00012D68"/>
    <w:rsid w:val="00012D84"/>
    <w:rsid w:val="00012DC0"/>
    <w:rsid w:val="00012DE1"/>
    <w:rsid w:val="00012DF0"/>
    <w:rsid w:val="00012E21"/>
    <w:rsid w:val="00012E65"/>
    <w:rsid w:val="00012E9D"/>
    <w:rsid w:val="00012EA2"/>
    <w:rsid w:val="00012F72"/>
    <w:rsid w:val="00013059"/>
    <w:rsid w:val="000130FA"/>
    <w:rsid w:val="00013159"/>
    <w:rsid w:val="000131C3"/>
    <w:rsid w:val="0001322A"/>
    <w:rsid w:val="000132A0"/>
    <w:rsid w:val="0001337D"/>
    <w:rsid w:val="000135A9"/>
    <w:rsid w:val="00013655"/>
    <w:rsid w:val="00013699"/>
    <w:rsid w:val="000136CD"/>
    <w:rsid w:val="00013743"/>
    <w:rsid w:val="00013771"/>
    <w:rsid w:val="000138C4"/>
    <w:rsid w:val="000139AA"/>
    <w:rsid w:val="00013A77"/>
    <w:rsid w:val="00013BAB"/>
    <w:rsid w:val="00013C64"/>
    <w:rsid w:val="00013C83"/>
    <w:rsid w:val="00013C9F"/>
    <w:rsid w:val="00013CD0"/>
    <w:rsid w:val="00013D81"/>
    <w:rsid w:val="00013DF5"/>
    <w:rsid w:val="00013EB5"/>
    <w:rsid w:val="00013F9C"/>
    <w:rsid w:val="00014011"/>
    <w:rsid w:val="0001405A"/>
    <w:rsid w:val="00014119"/>
    <w:rsid w:val="0001415A"/>
    <w:rsid w:val="000141F0"/>
    <w:rsid w:val="000142A3"/>
    <w:rsid w:val="00014369"/>
    <w:rsid w:val="00014442"/>
    <w:rsid w:val="00014489"/>
    <w:rsid w:val="00014594"/>
    <w:rsid w:val="00014661"/>
    <w:rsid w:val="0001466B"/>
    <w:rsid w:val="0001467F"/>
    <w:rsid w:val="000146BE"/>
    <w:rsid w:val="00014707"/>
    <w:rsid w:val="00014710"/>
    <w:rsid w:val="00014749"/>
    <w:rsid w:val="000147A7"/>
    <w:rsid w:val="00014812"/>
    <w:rsid w:val="0001495A"/>
    <w:rsid w:val="00014A20"/>
    <w:rsid w:val="00014A49"/>
    <w:rsid w:val="00014AF5"/>
    <w:rsid w:val="00014B63"/>
    <w:rsid w:val="00014BD6"/>
    <w:rsid w:val="00014C5F"/>
    <w:rsid w:val="00014CBF"/>
    <w:rsid w:val="00014D59"/>
    <w:rsid w:val="00014D6F"/>
    <w:rsid w:val="00014DDA"/>
    <w:rsid w:val="00014ECE"/>
    <w:rsid w:val="00014F1A"/>
    <w:rsid w:val="00014FAB"/>
    <w:rsid w:val="0001503C"/>
    <w:rsid w:val="000150E3"/>
    <w:rsid w:val="000150E7"/>
    <w:rsid w:val="00015155"/>
    <w:rsid w:val="000151C2"/>
    <w:rsid w:val="00015384"/>
    <w:rsid w:val="00015443"/>
    <w:rsid w:val="000156B5"/>
    <w:rsid w:val="000156C5"/>
    <w:rsid w:val="000156DC"/>
    <w:rsid w:val="00015765"/>
    <w:rsid w:val="000158D4"/>
    <w:rsid w:val="000158D7"/>
    <w:rsid w:val="0001592D"/>
    <w:rsid w:val="000159C0"/>
    <w:rsid w:val="00015B1E"/>
    <w:rsid w:val="00015B1F"/>
    <w:rsid w:val="00015B7E"/>
    <w:rsid w:val="00015B82"/>
    <w:rsid w:val="00015DAC"/>
    <w:rsid w:val="00015E35"/>
    <w:rsid w:val="00015F26"/>
    <w:rsid w:val="00015FD0"/>
    <w:rsid w:val="00016015"/>
    <w:rsid w:val="00016050"/>
    <w:rsid w:val="00016111"/>
    <w:rsid w:val="00016232"/>
    <w:rsid w:val="00016306"/>
    <w:rsid w:val="00016432"/>
    <w:rsid w:val="0001656B"/>
    <w:rsid w:val="000165FD"/>
    <w:rsid w:val="000166CC"/>
    <w:rsid w:val="0001670E"/>
    <w:rsid w:val="0001683F"/>
    <w:rsid w:val="00016875"/>
    <w:rsid w:val="00016879"/>
    <w:rsid w:val="00016920"/>
    <w:rsid w:val="00016959"/>
    <w:rsid w:val="00016978"/>
    <w:rsid w:val="00016A52"/>
    <w:rsid w:val="00016A9A"/>
    <w:rsid w:val="00016B4F"/>
    <w:rsid w:val="00016B8A"/>
    <w:rsid w:val="00016DAE"/>
    <w:rsid w:val="00016F0E"/>
    <w:rsid w:val="00016F90"/>
    <w:rsid w:val="00016FDB"/>
    <w:rsid w:val="000170AC"/>
    <w:rsid w:val="000170CA"/>
    <w:rsid w:val="000170F1"/>
    <w:rsid w:val="00017215"/>
    <w:rsid w:val="0001722C"/>
    <w:rsid w:val="00017254"/>
    <w:rsid w:val="00017354"/>
    <w:rsid w:val="000173E1"/>
    <w:rsid w:val="000174CA"/>
    <w:rsid w:val="00017576"/>
    <w:rsid w:val="0001758F"/>
    <w:rsid w:val="00017609"/>
    <w:rsid w:val="00017627"/>
    <w:rsid w:val="000176DE"/>
    <w:rsid w:val="00017741"/>
    <w:rsid w:val="00017754"/>
    <w:rsid w:val="000177B1"/>
    <w:rsid w:val="0001786C"/>
    <w:rsid w:val="0001790B"/>
    <w:rsid w:val="00017971"/>
    <w:rsid w:val="0001798B"/>
    <w:rsid w:val="0001799E"/>
    <w:rsid w:val="000179B7"/>
    <w:rsid w:val="00017A35"/>
    <w:rsid w:val="00017B71"/>
    <w:rsid w:val="00017BD3"/>
    <w:rsid w:val="00017BD8"/>
    <w:rsid w:val="00017CBF"/>
    <w:rsid w:val="00017CE6"/>
    <w:rsid w:val="00017D37"/>
    <w:rsid w:val="00017E38"/>
    <w:rsid w:val="00017E8B"/>
    <w:rsid w:val="00017F51"/>
    <w:rsid w:val="00017F72"/>
    <w:rsid w:val="0002000A"/>
    <w:rsid w:val="0002006F"/>
    <w:rsid w:val="000200A1"/>
    <w:rsid w:val="000201F6"/>
    <w:rsid w:val="0002020E"/>
    <w:rsid w:val="00020258"/>
    <w:rsid w:val="000202A0"/>
    <w:rsid w:val="000202B5"/>
    <w:rsid w:val="000202E6"/>
    <w:rsid w:val="00020395"/>
    <w:rsid w:val="000203AD"/>
    <w:rsid w:val="000203C8"/>
    <w:rsid w:val="00020426"/>
    <w:rsid w:val="00020533"/>
    <w:rsid w:val="00020541"/>
    <w:rsid w:val="00020619"/>
    <w:rsid w:val="00020682"/>
    <w:rsid w:val="000206AD"/>
    <w:rsid w:val="0002077E"/>
    <w:rsid w:val="00020790"/>
    <w:rsid w:val="0002082B"/>
    <w:rsid w:val="0002084A"/>
    <w:rsid w:val="00020872"/>
    <w:rsid w:val="00020921"/>
    <w:rsid w:val="000209D8"/>
    <w:rsid w:val="00020A0A"/>
    <w:rsid w:val="00020A47"/>
    <w:rsid w:val="00020C6F"/>
    <w:rsid w:val="00020C75"/>
    <w:rsid w:val="00020DED"/>
    <w:rsid w:val="00020DF3"/>
    <w:rsid w:val="00020E76"/>
    <w:rsid w:val="00020EB6"/>
    <w:rsid w:val="00020F42"/>
    <w:rsid w:val="00020FFD"/>
    <w:rsid w:val="00021095"/>
    <w:rsid w:val="00021100"/>
    <w:rsid w:val="00021114"/>
    <w:rsid w:val="00021182"/>
    <w:rsid w:val="000211DE"/>
    <w:rsid w:val="0002124E"/>
    <w:rsid w:val="000212F3"/>
    <w:rsid w:val="00021325"/>
    <w:rsid w:val="0002134B"/>
    <w:rsid w:val="00021360"/>
    <w:rsid w:val="00021364"/>
    <w:rsid w:val="000213AE"/>
    <w:rsid w:val="000213D2"/>
    <w:rsid w:val="0002147A"/>
    <w:rsid w:val="000215A0"/>
    <w:rsid w:val="000215B0"/>
    <w:rsid w:val="00021629"/>
    <w:rsid w:val="0002164C"/>
    <w:rsid w:val="0002169D"/>
    <w:rsid w:val="000216BC"/>
    <w:rsid w:val="0002171D"/>
    <w:rsid w:val="00021733"/>
    <w:rsid w:val="00021767"/>
    <w:rsid w:val="00021853"/>
    <w:rsid w:val="0002187C"/>
    <w:rsid w:val="000218C4"/>
    <w:rsid w:val="00021988"/>
    <w:rsid w:val="00021A62"/>
    <w:rsid w:val="00021A7E"/>
    <w:rsid w:val="00021ACC"/>
    <w:rsid w:val="00021B90"/>
    <w:rsid w:val="00021BDB"/>
    <w:rsid w:val="00021C35"/>
    <w:rsid w:val="00021C53"/>
    <w:rsid w:val="00021D9F"/>
    <w:rsid w:val="00021DDD"/>
    <w:rsid w:val="00021E44"/>
    <w:rsid w:val="00021F28"/>
    <w:rsid w:val="00021F4D"/>
    <w:rsid w:val="00021FF7"/>
    <w:rsid w:val="000220D0"/>
    <w:rsid w:val="00022101"/>
    <w:rsid w:val="0002213C"/>
    <w:rsid w:val="00022144"/>
    <w:rsid w:val="000221A9"/>
    <w:rsid w:val="00022213"/>
    <w:rsid w:val="00022247"/>
    <w:rsid w:val="0002234A"/>
    <w:rsid w:val="00022433"/>
    <w:rsid w:val="00022452"/>
    <w:rsid w:val="000224DF"/>
    <w:rsid w:val="000224E2"/>
    <w:rsid w:val="000224EC"/>
    <w:rsid w:val="000224FE"/>
    <w:rsid w:val="00022597"/>
    <w:rsid w:val="000226CB"/>
    <w:rsid w:val="00022791"/>
    <w:rsid w:val="000227BD"/>
    <w:rsid w:val="000227E0"/>
    <w:rsid w:val="00022806"/>
    <w:rsid w:val="0002281A"/>
    <w:rsid w:val="00022825"/>
    <w:rsid w:val="000228A2"/>
    <w:rsid w:val="00022921"/>
    <w:rsid w:val="00022974"/>
    <w:rsid w:val="000229C7"/>
    <w:rsid w:val="000229D7"/>
    <w:rsid w:val="00022AF7"/>
    <w:rsid w:val="00022C60"/>
    <w:rsid w:val="00022CC8"/>
    <w:rsid w:val="00022E04"/>
    <w:rsid w:val="00022E89"/>
    <w:rsid w:val="000230A9"/>
    <w:rsid w:val="000230C3"/>
    <w:rsid w:val="00023143"/>
    <w:rsid w:val="000231A7"/>
    <w:rsid w:val="000231BA"/>
    <w:rsid w:val="00023237"/>
    <w:rsid w:val="000232E0"/>
    <w:rsid w:val="00023470"/>
    <w:rsid w:val="00023499"/>
    <w:rsid w:val="000234FA"/>
    <w:rsid w:val="00023578"/>
    <w:rsid w:val="0002364A"/>
    <w:rsid w:val="0002391C"/>
    <w:rsid w:val="00023933"/>
    <w:rsid w:val="000239B3"/>
    <w:rsid w:val="000239E0"/>
    <w:rsid w:val="00023A32"/>
    <w:rsid w:val="00023A80"/>
    <w:rsid w:val="00023BB8"/>
    <w:rsid w:val="00023C53"/>
    <w:rsid w:val="00023C5D"/>
    <w:rsid w:val="00023D34"/>
    <w:rsid w:val="00023D6D"/>
    <w:rsid w:val="00023E50"/>
    <w:rsid w:val="00023F11"/>
    <w:rsid w:val="00023FC0"/>
    <w:rsid w:val="00024132"/>
    <w:rsid w:val="000241DC"/>
    <w:rsid w:val="0002426A"/>
    <w:rsid w:val="00024274"/>
    <w:rsid w:val="000242EC"/>
    <w:rsid w:val="00024321"/>
    <w:rsid w:val="00024481"/>
    <w:rsid w:val="000244B6"/>
    <w:rsid w:val="0002455D"/>
    <w:rsid w:val="00024561"/>
    <w:rsid w:val="0002464F"/>
    <w:rsid w:val="00024658"/>
    <w:rsid w:val="0002478E"/>
    <w:rsid w:val="000249CC"/>
    <w:rsid w:val="000249E5"/>
    <w:rsid w:val="00024AA3"/>
    <w:rsid w:val="00024AD7"/>
    <w:rsid w:val="00024C23"/>
    <w:rsid w:val="00024C37"/>
    <w:rsid w:val="00024D01"/>
    <w:rsid w:val="00024D9F"/>
    <w:rsid w:val="00024DA6"/>
    <w:rsid w:val="00024DD2"/>
    <w:rsid w:val="00024EE4"/>
    <w:rsid w:val="00024EE7"/>
    <w:rsid w:val="00024F2A"/>
    <w:rsid w:val="00024FDE"/>
    <w:rsid w:val="000250A7"/>
    <w:rsid w:val="000250AD"/>
    <w:rsid w:val="000250D4"/>
    <w:rsid w:val="00025154"/>
    <w:rsid w:val="00025160"/>
    <w:rsid w:val="00025173"/>
    <w:rsid w:val="000251E0"/>
    <w:rsid w:val="000252AE"/>
    <w:rsid w:val="000252C0"/>
    <w:rsid w:val="000252C5"/>
    <w:rsid w:val="000252FB"/>
    <w:rsid w:val="00025307"/>
    <w:rsid w:val="0002531E"/>
    <w:rsid w:val="00025397"/>
    <w:rsid w:val="000253CA"/>
    <w:rsid w:val="000253D0"/>
    <w:rsid w:val="000253EA"/>
    <w:rsid w:val="0002543D"/>
    <w:rsid w:val="00025481"/>
    <w:rsid w:val="000254B5"/>
    <w:rsid w:val="000254D4"/>
    <w:rsid w:val="000254E9"/>
    <w:rsid w:val="000254EE"/>
    <w:rsid w:val="00025519"/>
    <w:rsid w:val="00025547"/>
    <w:rsid w:val="000255C9"/>
    <w:rsid w:val="000255EE"/>
    <w:rsid w:val="00025660"/>
    <w:rsid w:val="00025666"/>
    <w:rsid w:val="000256E6"/>
    <w:rsid w:val="0002572C"/>
    <w:rsid w:val="0002573A"/>
    <w:rsid w:val="00025818"/>
    <w:rsid w:val="0002587D"/>
    <w:rsid w:val="00025882"/>
    <w:rsid w:val="00025A1C"/>
    <w:rsid w:val="00025A96"/>
    <w:rsid w:val="00025B52"/>
    <w:rsid w:val="00025C03"/>
    <w:rsid w:val="00025C2D"/>
    <w:rsid w:val="00025C4A"/>
    <w:rsid w:val="00025D97"/>
    <w:rsid w:val="00025DC0"/>
    <w:rsid w:val="00025F18"/>
    <w:rsid w:val="00025F71"/>
    <w:rsid w:val="00025FC5"/>
    <w:rsid w:val="00026036"/>
    <w:rsid w:val="0002628B"/>
    <w:rsid w:val="00026346"/>
    <w:rsid w:val="0002635E"/>
    <w:rsid w:val="0002636F"/>
    <w:rsid w:val="0002662E"/>
    <w:rsid w:val="00026686"/>
    <w:rsid w:val="000266E4"/>
    <w:rsid w:val="00026850"/>
    <w:rsid w:val="0002687A"/>
    <w:rsid w:val="00026934"/>
    <w:rsid w:val="0002697E"/>
    <w:rsid w:val="000269B5"/>
    <w:rsid w:val="00026A75"/>
    <w:rsid w:val="00026AEF"/>
    <w:rsid w:val="00026B6A"/>
    <w:rsid w:val="00026BB0"/>
    <w:rsid w:val="00026C8D"/>
    <w:rsid w:val="00026CF2"/>
    <w:rsid w:val="00026E1F"/>
    <w:rsid w:val="00026E93"/>
    <w:rsid w:val="00026EC3"/>
    <w:rsid w:val="00026F24"/>
    <w:rsid w:val="00027081"/>
    <w:rsid w:val="000270DB"/>
    <w:rsid w:val="00027114"/>
    <w:rsid w:val="00027145"/>
    <w:rsid w:val="0002723F"/>
    <w:rsid w:val="00027306"/>
    <w:rsid w:val="00027334"/>
    <w:rsid w:val="0002734E"/>
    <w:rsid w:val="000275F7"/>
    <w:rsid w:val="00027607"/>
    <w:rsid w:val="0002771D"/>
    <w:rsid w:val="000277B8"/>
    <w:rsid w:val="00027807"/>
    <w:rsid w:val="00027820"/>
    <w:rsid w:val="000278CD"/>
    <w:rsid w:val="000278EE"/>
    <w:rsid w:val="00027915"/>
    <w:rsid w:val="00027A4F"/>
    <w:rsid w:val="00027AC5"/>
    <w:rsid w:val="00027BD2"/>
    <w:rsid w:val="00027CF9"/>
    <w:rsid w:val="00027E31"/>
    <w:rsid w:val="000300C6"/>
    <w:rsid w:val="00030165"/>
    <w:rsid w:val="00030168"/>
    <w:rsid w:val="000301DC"/>
    <w:rsid w:val="0003026D"/>
    <w:rsid w:val="00030276"/>
    <w:rsid w:val="000302ED"/>
    <w:rsid w:val="00030451"/>
    <w:rsid w:val="000304C4"/>
    <w:rsid w:val="0003051E"/>
    <w:rsid w:val="00030559"/>
    <w:rsid w:val="00030627"/>
    <w:rsid w:val="000306B2"/>
    <w:rsid w:val="00030784"/>
    <w:rsid w:val="000307F0"/>
    <w:rsid w:val="0003082B"/>
    <w:rsid w:val="000308EE"/>
    <w:rsid w:val="0003093B"/>
    <w:rsid w:val="00030942"/>
    <w:rsid w:val="000309D1"/>
    <w:rsid w:val="00030A73"/>
    <w:rsid w:val="00030B4B"/>
    <w:rsid w:val="00030B6B"/>
    <w:rsid w:val="00030BF9"/>
    <w:rsid w:val="00030BFC"/>
    <w:rsid w:val="00030CAF"/>
    <w:rsid w:val="00030CB2"/>
    <w:rsid w:val="00030D16"/>
    <w:rsid w:val="00030D3C"/>
    <w:rsid w:val="00030D46"/>
    <w:rsid w:val="00030D70"/>
    <w:rsid w:val="00030DA7"/>
    <w:rsid w:val="00030DF1"/>
    <w:rsid w:val="00030E35"/>
    <w:rsid w:val="00030F11"/>
    <w:rsid w:val="00030F9B"/>
    <w:rsid w:val="00030FA9"/>
    <w:rsid w:val="00030FDD"/>
    <w:rsid w:val="000312E1"/>
    <w:rsid w:val="000312F1"/>
    <w:rsid w:val="000312F4"/>
    <w:rsid w:val="00031327"/>
    <w:rsid w:val="00031395"/>
    <w:rsid w:val="000313A2"/>
    <w:rsid w:val="000313B2"/>
    <w:rsid w:val="000314B2"/>
    <w:rsid w:val="000314F2"/>
    <w:rsid w:val="000315B2"/>
    <w:rsid w:val="000315C7"/>
    <w:rsid w:val="000315DB"/>
    <w:rsid w:val="000315E2"/>
    <w:rsid w:val="0003162A"/>
    <w:rsid w:val="000316AB"/>
    <w:rsid w:val="0003175C"/>
    <w:rsid w:val="00031788"/>
    <w:rsid w:val="000317C5"/>
    <w:rsid w:val="000317F2"/>
    <w:rsid w:val="00031801"/>
    <w:rsid w:val="00031809"/>
    <w:rsid w:val="00031844"/>
    <w:rsid w:val="00031856"/>
    <w:rsid w:val="00031923"/>
    <w:rsid w:val="0003198D"/>
    <w:rsid w:val="00031A6A"/>
    <w:rsid w:val="00031A7C"/>
    <w:rsid w:val="00031AA1"/>
    <w:rsid w:val="00031B46"/>
    <w:rsid w:val="00031B4E"/>
    <w:rsid w:val="00031CDF"/>
    <w:rsid w:val="00031D7B"/>
    <w:rsid w:val="00031D85"/>
    <w:rsid w:val="00031DF2"/>
    <w:rsid w:val="00031E12"/>
    <w:rsid w:val="00031E34"/>
    <w:rsid w:val="00031E35"/>
    <w:rsid w:val="00031E56"/>
    <w:rsid w:val="00031FF9"/>
    <w:rsid w:val="0003207A"/>
    <w:rsid w:val="000320A3"/>
    <w:rsid w:val="00032200"/>
    <w:rsid w:val="00032367"/>
    <w:rsid w:val="00032387"/>
    <w:rsid w:val="00032464"/>
    <w:rsid w:val="00032491"/>
    <w:rsid w:val="000324A9"/>
    <w:rsid w:val="00032513"/>
    <w:rsid w:val="0003258C"/>
    <w:rsid w:val="000325B5"/>
    <w:rsid w:val="000325CA"/>
    <w:rsid w:val="00032604"/>
    <w:rsid w:val="0003262B"/>
    <w:rsid w:val="00032701"/>
    <w:rsid w:val="00032785"/>
    <w:rsid w:val="000327A8"/>
    <w:rsid w:val="00032A3A"/>
    <w:rsid w:val="00032A73"/>
    <w:rsid w:val="00032B34"/>
    <w:rsid w:val="00032B5C"/>
    <w:rsid w:val="00032C15"/>
    <w:rsid w:val="00032C29"/>
    <w:rsid w:val="00032D31"/>
    <w:rsid w:val="00032DFA"/>
    <w:rsid w:val="00032F73"/>
    <w:rsid w:val="0003309F"/>
    <w:rsid w:val="000331EE"/>
    <w:rsid w:val="00033284"/>
    <w:rsid w:val="0003329E"/>
    <w:rsid w:val="0003343E"/>
    <w:rsid w:val="000334A7"/>
    <w:rsid w:val="000334E2"/>
    <w:rsid w:val="00033558"/>
    <w:rsid w:val="00033560"/>
    <w:rsid w:val="00033819"/>
    <w:rsid w:val="00033B29"/>
    <w:rsid w:val="00033B51"/>
    <w:rsid w:val="00033BF7"/>
    <w:rsid w:val="00033C35"/>
    <w:rsid w:val="00033C56"/>
    <w:rsid w:val="00033C9C"/>
    <w:rsid w:val="00033CB0"/>
    <w:rsid w:val="00033CFB"/>
    <w:rsid w:val="00033D03"/>
    <w:rsid w:val="00033DEC"/>
    <w:rsid w:val="00033E29"/>
    <w:rsid w:val="00033E7D"/>
    <w:rsid w:val="00033EDD"/>
    <w:rsid w:val="00033EF5"/>
    <w:rsid w:val="00033F20"/>
    <w:rsid w:val="00033F28"/>
    <w:rsid w:val="00033F47"/>
    <w:rsid w:val="00033F56"/>
    <w:rsid w:val="00033FEE"/>
    <w:rsid w:val="00034069"/>
    <w:rsid w:val="000340CF"/>
    <w:rsid w:val="000340D1"/>
    <w:rsid w:val="000340DC"/>
    <w:rsid w:val="000340EC"/>
    <w:rsid w:val="00034104"/>
    <w:rsid w:val="0003418B"/>
    <w:rsid w:val="000341BC"/>
    <w:rsid w:val="0003421F"/>
    <w:rsid w:val="0003429B"/>
    <w:rsid w:val="000342A7"/>
    <w:rsid w:val="00034444"/>
    <w:rsid w:val="000344B1"/>
    <w:rsid w:val="0003451B"/>
    <w:rsid w:val="0003453E"/>
    <w:rsid w:val="000345EE"/>
    <w:rsid w:val="00034641"/>
    <w:rsid w:val="00034703"/>
    <w:rsid w:val="0003479C"/>
    <w:rsid w:val="000347D5"/>
    <w:rsid w:val="0003496D"/>
    <w:rsid w:val="000349B4"/>
    <w:rsid w:val="000349E7"/>
    <w:rsid w:val="00034A8A"/>
    <w:rsid w:val="00034AC0"/>
    <w:rsid w:val="00034BA1"/>
    <w:rsid w:val="00034BAC"/>
    <w:rsid w:val="00034C04"/>
    <w:rsid w:val="00034C1B"/>
    <w:rsid w:val="00034E62"/>
    <w:rsid w:val="00034EAD"/>
    <w:rsid w:val="00034F7D"/>
    <w:rsid w:val="00034FDB"/>
    <w:rsid w:val="0003514C"/>
    <w:rsid w:val="000351C9"/>
    <w:rsid w:val="000352BB"/>
    <w:rsid w:val="00035362"/>
    <w:rsid w:val="000354DA"/>
    <w:rsid w:val="000354E5"/>
    <w:rsid w:val="000354F7"/>
    <w:rsid w:val="000354FF"/>
    <w:rsid w:val="0003556B"/>
    <w:rsid w:val="00035597"/>
    <w:rsid w:val="000355BC"/>
    <w:rsid w:val="000355F9"/>
    <w:rsid w:val="000357B2"/>
    <w:rsid w:val="000357B8"/>
    <w:rsid w:val="0003599E"/>
    <w:rsid w:val="00035ADF"/>
    <w:rsid w:val="00035BA6"/>
    <w:rsid w:val="00035C92"/>
    <w:rsid w:val="00035CCB"/>
    <w:rsid w:val="00035D01"/>
    <w:rsid w:val="00035D8C"/>
    <w:rsid w:val="00035FC5"/>
    <w:rsid w:val="000360B7"/>
    <w:rsid w:val="00036101"/>
    <w:rsid w:val="00036138"/>
    <w:rsid w:val="00036170"/>
    <w:rsid w:val="000361CC"/>
    <w:rsid w:val="000362A6"/>
    <w:rsid w:val="000362CE"/>
    <w:rsid w:val="0003640D"/>
    <w:rsid w:val="00036423"/>
    <w:rsid w:val="00036429"/>
    <w:rsid w:val="000364D3"/>
    <w:rsid w:val="0003650C"/>
    <w:rsid w:val="00036518"/>
    <w:rsid w:val="000365A7"/>
    <w:rsid w:val="000365AA"/>
    <w:rsid w:val="000366D9"/>
    <w:rsid w:val="0003671D"/>
    <w:rsid w:val="000367EB"/>
    <w:rsid w:val="00036BEA"/>
    <w:rsid w:val="00036C72"/>
    <w:rsid w:val="00036C87"/>
    <w:rsid w:val="00036C88"/>
    <w:rsid w:val="00036D05"/>
    <w:rsid w:val="00036D0B"/>
    <w:rsid w:val="00036D0D"/>
    <w:rsid w:val="00036D28"/>
    <w:rsid w:val="00036D5B"/>
    <w:rsid w:val="00036E2F"/>
    <w:rsid w:val="00036EC2"/>
    <w:rsid w:val="00036F0C"/>
    <w:rsid w:val="00036F40"/>
    <w:rsid w:val="00036FE5"/>
    <w:rsid w:val="00037060"/>
    <w:rsid w:val="00037078"/>
    <w:rsid w:val="00037170"/>
    <w:rsid w:val="0003718A"/>
    <w:rsid w:val="000372E7"/>
    <w:rsid w:val="000372F8"/>
    <w:rsid w:val="00037318"/>
    <w:rsid w:val="000374E9"/>
    <w:rsid w:val="000375BA"/>
    <w:rsid w:val="000376B0"/>
    <w:rsid w:val="000376C1"/>
    <w:rsid w:val="000376FB"/>
    <w:rsid w:val="0003775D"/>
    <w:rsid w:val="000377C1"/>
    <w:rsid w:val="000377EB"/>
    <w:rsid w:val="0003793A"/>
    <w:rsid w:val="00037956"/>
    <w:rsid w:val="000379CD"/>
    <w:rsid w:val="00037A1F"/>
    <w:rsid w:val="00037A29"/>
    <w:rsid w:val="00037B50"/>
    <w:rsid w:val="00037BAB"/>
    <w:rsid w:val="00037BBE"/>
    <w:rsid w:val="00037C47"/>
    <w:rsid w:val="00037C8B"/>
    <w:rsid w:val="00037CEE"/>
    <w:rsid w:val="00037DC7"/>
    <w:rsid w:val="00037DD8"/>
    <w:rsid w:val="00037E17"/>
    <w:rsid w:val="00037E45"/>
    <w:rsid w:val="00037F28"/>
    <w:rsid w:val="00037F97"/>
    <w:rsid w:val="00037FE1"/>
    <w:rsid w:val="000400BE"/>
    <w:rsid w:val="000400C7"/>
    <w:rsid w:val="000401E3"/>
    <w:rsid w:val="00040268"/>
    <w:rsid w:val="00040293"/>
    <w:rsid w:val="000402D1"/>
    <w:rsid w:val="0004042C"/>
    <w:rsid w:val="000404A6"/>
    <w:rsid w:val="00040519"/>
    <w:rsid w:val="00040557"/>
    <w:rsid w:val="000405E3"/>
    <w:rsid w:val="00040645"/>
    <w:rsid w:val="000406DB"/>
    <w:rsid w:val="000407CC"/>
    <w:rsid w:val="000407D5"/>
    <w:rsid w:val="0004083F"/>
    <w:rsid w:val="00040862"/>
    <w:rsid w:val="000408A7"/>
    <w:rsid w:val="000408AE"/>
    <w:rsid w:val="00040913"/>
    <w:rsid w:val="0004099C"/>
    <w:rsid w:val="000409EC"/>
    <w:rsid w:val="00040A4C"/>
    <w:rsid w:val="00040AC9"/>
    <w:rsid w:val="00040C05"/>
    <w:rsid w:val="00040CEC"/>
    <w:rsid w:val="00040DAD"/>
    <w:rsid w:val="00040DE2"/>
    <w:rsid w:val="00040E69"/>
    <w:rsid w:val="00040EAF"/>
    <w:rsid w:val="00040F5A"/>
    <w:rsid w:val="00040FE4"/>
    <w:rsid w:val="0004106B"/>
    <w:rsid w:val="000410EF"/>
    <w:rsid w:val="000411DD"/>
    <w:rsid w:val="00041253"/>
    <w:rsid w:val="0004126A"/>
    <w:rsid w:val="00041286"/>
    <w:rsid w:val="000412A6"/>
    <w:rsid w:val="000412FC"/>
    <w:rsid w:val="000412FF"/>
    <w:rsid w:val="000414DC"/>
    <w:rsid w:val="0004153B"/>
    <w:rsid w:val="00041667"/>
    <w:rsid w:val="0004166B"/>
    <w:rsid w:val="00041672"/>
    <w:rsid w:val="000416BA"/>
    <w:rsid w:val="0004175D"/>
    <w:rsid w:val="000417C2"/>
    <w:rsid w:val="00041855"/>
    <w:rsid w:val="000418E7"/>
    <w:rsid w:val="00041932"/>
    <w:rsid w:val="00041968"/>
    <w:rsid w:val="00041999"/>
    <w:rsid w:val="000419C0"/>
    <w:rsid w:val="00041A74"/>
    <w:rsid w:val="00041A97"/>
    <w:rsid w:val="00041B0E"/>
    <w:rsid w:val="00041B5C"/>
    <w:rsid w:val="00041C57"/>
    <w:rsid w:val="00041DB1"/>
    <w:rsid w:val="00041ED6"/>
    <w:rsid w:val="00041F7D"/>
    <w:rsid w:val="0004201E"/>
    <w:rsid w:val="000420E6"/>
    <w:rsid w:val="00042240"/>
    <w:rsid w:val="00042249"/>
    <w:rsid w:val="00042307"/>
    <w:rsid w:val="0004230D"/>
    <w:rsid w:val="0004233D"/>
    <w:rsid w:val="00042367"/>
    <w:rsid w:val="00042379"/>
    <w:rsid w:val="00042422"/>
    <w:rsid w:val="000425FF"/>
    <w:rsid w:val="00042687"/>
    <w:rsid w:val="000426D2"/>
    <w:rsid w:val="00042725"/>
    <w:rsid w:val="0004277E"/>
    <w:rsid w:val="00042822"/>
    <w:rsid w:val="00042914"/>
    <w:rsid w:val="0004295C"/>
    <w:rsid w:val="000429AC"/>
    <w:rsid w:val="000429D5"/>
    <w:rsid w:val="00042AC9"/>
    <w:rsid w:val="00042B39"/>
    <w:rsid w:val="00042B7B"/>
    <w:rsid w:val="00042BAD"/>
    <w:rsid w:val="00042BC8"/>
    <w:rsid w:val="00042C33"/>
    <w:rsid w:val="00042C47"/>
    <w:rsid w:val="00042D03"/>
    <w:rsid w:val="00042DD9"/>
    <w:rsid w:val="00042ED8"/>
    <w:rsid w:val="00042F0C"/>
    <w:rsid w:val="00042F4A"/>
    <w:rsid w:val="00042F90"/>
    <w:rsid w:val="00042FBA"/>
    <w:rsid w:val="000430A7"/>
    <w:rsid w:val="00043115"/>
    <w:rsid w:val="00043140"/>
    <w:rsid w:val="00043256"/>
    <w:rsid w:val="0004332C"/>
    <w:rsid w:val="0004347B"/>
    <w:rsid w:val="0004347E"/>
    <w:rsid w:val="000434CD"/>
    <w:rsid w:val="000434DC"/>
    <w:rsid w:val="000434DE"/>
    <w:rsid w:val="000434FE"/>
    <w:rsid w:val="000435A6"/>
    <w:rsid w:val="000435E5"/>
    <w:rsid w:val="000435F5"/>
    <w:rsid w:val="0004360C"/>
    <w:rsid w:val="000436BC"/>
    <w:rsid w:val="000437C3"/>
    <w:rsid w:val="0004387F"/>
    <w:rsid w:val="00043934"/>
    <w:rsid w:val="0004393A"/>
    <w:rsid w:val="00043964"/>
    <w:rsid w:val="00043A66"/>
    <w:rsid w:val="00043AB2"/>
    <w:rsid w:val="00043C34"/>
    <w:rsid w:val="00043C74"/>
    <w:rsid w:val="00043C7A"/>
    <w:rsid w:val="00043CAC"/>
    <w:rsid w:val="00043DD7"/>
    <w:rsid w:val="00043E0C"/>
    <w:rsid w:val="00043F59"/>
    <w:rsid w:val="0004400D"/>
    <w:rsid w:val="00044012"/>
    <w:rsid w:val="0004411E"/>
    <w:rsid w:val="00044123"/>
    <w:rsid w:val="0004413D"/>
    <w:rsid w:val="000441AC"/>
    <w:rsid w:val="000441BE"/>
    <w:rsid w:val="00044216"/>
    <w:rsid w:val="0004424A"/>
    <w:rsid w:val="0004434C"/>
    <w:rsid w:val="00044359"/>
    <w:rsid w:val="000443F6"/>
    <w:rsid w:val="0004449B"/>
    <w:rsid w:val="00044530"/>
    <w:rsid w:val="0004458D"/>
    <w:rsid w:val="00044672"/>
    <w:rsid w:val="00044720"/>
    <w:rsid w:val="000447B4"/>
    <w:rsid w:val="000447C7"/>
    <w:rsid w:val="000447FD"/>
    <w:rsid w:val="00044848"/>
    <w:rsid w:val="000448A4"/>
    <w:rsid w:val="00044979"/>
    <w:rsid w:val="00044A4F"/>
    <w:rsid w:val="00044B00"/>
    <w:rsid w:val="00044B5E"/>
    <w:rsid w:val="00044BB8"/>
    <w:rsid w:val="00044CDE"/>
    <w:rsid w:val="00044CF9"/>
    <w:rsid w:val="00044D0A"/>
    <w:rsid w:val="00044D43"/>
    <w:rsid w:val="00044DAC"/>
    <w:rsid w:val="00044F3D"/>
    <w:rsid w:val="00044F72"/>
    <w:rsid w:val="00044F87"/>
    <w:rsid w:val="00044FB0"/>
    <w:rsid w:val="00044FC0"/>
    <w:rsid w:val="00044FDE"/>
    <w:rsid w:val="00045160"/>
    <w:rsid w:val="00045218"/>
    <w:rsid w:val="00045230"/>
    <w:rsid w:val="00045244"/>
    <w:rsid w:val="00045261"/>
    <w:rsid w:val="00045363"/>
    <w:rsid w:val="000453A4"/>
    <w:rsid w:val="000453FA"/>
    <w:rsid w:val="0004540F"/>
    <w:rsid w:val="000454D6"/>
    <w:rsid w:val="000454FA"/>
    <w:rsid w:val="000456E8"/>
    <w:rsid w:val="0004578A"/>
    <w:rsid w:val="00045812"/>
    <w:rsid w:val="00045907"/>
    <w:rsid w:val="00045926"/>
    <w:rsid w:val="000459DD"/>
    <w:rsid w:val="00045A46"/>
    <w:rsid w:val="00045B92"/>
    <w:rsid w:val="00045B9C"/>
    <w:rsid w:val="00045C10"/>
    <w:rsid w:val="00045C5E"/>
    <w:rsid w:val="00045C82"/>
    <w:rsid w:val="00045CFE"/>
    <w:rsid w:val="00045DA3"/>
    <w:rsid w:val="00045F00"/>
    <w:rsid w:val="00045FF9"/>
    <w:rsid w:val="00046040"/>
    <w:rsid w:val="0004613A"/>
    <w:rsid w:val="000461D8"/>
    <w:rsid w:val="00046281"/>
    <w:rsid w:val="00046388"/>
    <w:rsid w:val="0004639C"/>
    <w:rsid w:val="000463B3"/>
    <w:rsid w:val="00046416"/>
    <w:rsid w:val="00046502"/>
    <w:rsid w:val="00046504"/>
    <w:rsid w:val="000465C2"/>
    <w:rsid w:val="000465CB"/>
    <w:rsid w:val="000465F9"/>
    <w:rsid w:val="00046618"/>
    <w:rsid w:val="000466B2"/>
    <w:rsid w:val="000466C5"/>
    <w:rsid w:val="000466C7"/>
    <w:rsid w:val="000466DA"/>
    <w:rsid w:val="0004671E"/>
    <w:rsid w:val="0004684B"/>
    <w:rsid w:val="00046853"/>
    <w:rsid w:val="00046883"/>
    <w:rsid w:val="0004690A"/>
    <w:rsid w:val="0004695A"/>
    <w:rsid w:val="00046B0E"/>
    <w:rsid w:val="00046C69"/>
    <w:rsid w:val="00046DFA"/>
    <w:rsid w:val="00046E42"/>
    <w:rsid w:val="00046E9A"/>
    <w:rsid w:val="00046F7C"/>
    <w:rsid w:val="00046FC6"/>
    <w:rsid w:val="00047000"/>
    <w:rsid w:val="000470E8"/>
    <w:rsid w:val="0004711D"/>
    <w:rsid w:val="00047127"/>
    <w:rsid w:val="0004719E"/>
    <w:rsid w:val="000473C4"/>
    <w:rsid w:val="00047481"/>
    <w:rsid w:val="0004748D"/>
    <w:rsid w:val="000474B5"/>
    <w:rsid w:val="000474DB"/>
    <w:rsid w:val="00047578"/>
    <w:rsid w:val="0004757B"/>
    <w:rsid w:val="000475E6"/>
    <w:rsid w:val="000475F2"/>
    <w:rsid w:val="00047765"/>
    <w:rsid w:val="000477FF"/>
    <w:rsid w:val="00047861"/>
    <w:rsid w:val="00047A2D"/>
    <w:rsid w:val="00047A3F"/>
    <w:rsid w:val="00047ABB"/>
    <w:rsid w:val="00047ADB"/>
    <w:rsid w:val="00047AEE"/>
    <w:rsid w:val="00047B50"/>
    <w:rsid w:val="00047B56"/>
    <w:rsid w:val="00047B76"/>
    <w:rsid w:val="00047BFF"/>
    <w:rsid w:val="00047C2D"/>
    <w:rsid w:val="00047C4F"/>
    <w:rsid w:val="00047C94"/>
    <w:rsid w:val="00047D16"/>
    <w:rsid w:val="00047D60"/>
    <w:rsid w:val="00047EC1"/>
    <w:rsid w:val="00047F6C"/>
    <w:rsid w:val="00047F94"/>
    <w:rsid w:val="00047FB8"/>
    <w:rsid w:val="00050023"/>
    <w:rsid w:val="000501A3"/>
    <w:rsid w:val="0005020D"/>
    <w:rsid w:val="0005031C"/>
    <w:rsid w:val="00050334"/>
    <w:rsid w:val="0005034F"/>
    <w:rsid w:val="000503EA"/>
    <w:rsid w:val="00050449"/>
    <w:rsid w:val="00050468"/>
    <w:rsid w:val="0005047E"/>
    <w:rsid w:val="0005050F"/>
    <w:rsid w:val="00050516"/>
    <w:rsid w:val="00050554"/>
    <w:rsid w:val="0005058E"/>
    <w:rsid w:val="000505BA"/>
    <w:rsid w:val="000505FA"/>
    <w:rsid w:val="0005060D"/>
    <w:rsid w:val="000506AF"/>
    <w:rsid w:val="0005082E"/>
    <w:rsid w:val="000508EB"/>
    <w:rsid w:val="00050B83"/>
    <w:rsid w:val="00050CEA"/>
    <w:rsid w:val="00050CF3"/>
    <w:rsid w:val="00050D7E"/>
    <w:rsid w:val="00050DA6"/>
    <w:rsid w:val="00050E5A"/>
    <w:rsid w:val="00050EBD"/>
    <w:rsid w:val="00050FC6"/>
    <w:rsid w:val="00050FF6"/>
    <w:rsid w:val="00051000"/>
    <w:rsid w:val="00051051"/>
    <w:rsid w:val="00051135"/>
    <w:rsid w:val="000511FF"/>
    <w:rsid w:val="0005123D"/>
    <w:rsid w:val="00051389"/>
    <w:rsid w:val="000513F3"/>
    <w:rsid w:val="000513F7"/>
    <w:rsid w:val="00051468"/>
    <w:rsid w:val="00051469"/>
    <w:rsid w:val="00051508"/>
    <w:rsid w:val="00051579"/>
    <w:rsid w:val="000517E9"/>
    <w:rsid w:val="00051817"/>
    <w:rsid w:val="0005181A"/>
    <w:rsid w:val="00051984"/>
    <w:rsid w:val="0005199A"/>
    <w:rsid w:val="00051A2C"/>
    <w:rsid w:val="00051A4B"/>
    <w:rsid w:val="00051A69"/>
    <w:rsid w:val="00051A71"/>
    <w:rsid w:val="00051A93"/>
    <w:rsid w:val="00051CCE"/>
    <w:rsid w:val="00051D01"/>
    <w:rsid w:val="00051DB5"/>
    <w:rsid w:val="00051DD1"/>
    <w:rsid w:val="00051DE0"/>
    <w:rsid w:val="00051E75"/>
    <w:rsid w:val="00051E84"/>
    <w:rsid w:val="00051EA7"/>
    <w:rsid w:val="00051EB0"/>
    <w:rsid w:val="00051EDF"/>
    <w:rsid w:val="00051F02"/>
    <w:rsid w:val="00051F05"/>
    <w:rsid w:val="00051F88"/>
    <w:rsid w:val="00051FD0"/>
    <w:rsid w:val="00052028"/>
    <w:rsid w:val="000520B9"/>
    <w:rsid w:val="00052128"/>
    <w:rsid w:val="0005212B"/>
    <w:rsid w:val="0005220D"/>
    <w:rsid w:val="00052258"/>
    <w:rsid w:val="000522F4"/>
    <w:rsid w:val="00052398"/>
    <w:rsid w:val="00052476"/>
    <w:rsid w:val="00052527"/>
    <w:rsid w:val="0005255A"/>
    <w:rsid w:val="000525D7"/>
    <w:rsid w:val="000525EA"/>
    <w:rsid w:val="00052715"/>
    <w:rsid w:val="00052744"/>
    <w:rsid w:val="00052745"/>
    <w:rsid w:val="000527A7"/>
    <w:rsid w:val="000527C0"/>
    <w:rsid w:val="00052831"/>
    <w:rsid w:val="000528D2"/>
    <w:rsid w:val="00052985"/>
    <w:rsid w:val="00052A45"/>
    <w:rsid w:val="00052B17"/>
    <w:rsid w:val="00052B45"/>
    <w:rsid w:val="00052B73"/>
    <w:rsid w:val="00052CF7"/>
    <w:rsid w:val="00052D31"/>
    <w:rsid w:val="00052EB9"/>
    <w:rsid w:val="00052F62"/>
    <w:rsid w:val="00052F7A"/>
    <w:rsid w:val="00052F7F"/>
    <w:rsid w:val="00052F89"/>
    <w:rsid w:val="0005306B"/>
    <w:rsid w:val="000530E8"/>
    <w:rsid w:val="00053107"/>
    <w:rsid w:val="0005334B"/>
    <w:rsid w:val="000533D1"/>
    <w:rsid w:val="0005344F"/>
    <w:rsid w:val="00053477"/>
    <w:rsid w:val="00053493"/>
    <w:rsid w:val="000534E8"/>
    <w:rsid w:val="00053542"/>
    <w:rsid w:val="0005355F"/>
    <w:rsid w:val="000536B4"/>
    <w:rsid w:val="000536D0"/>
    <w:rsid w:val="00053732"/>
    <w:rsid w:val="00053764"/>
    <w:rsid w:val="0005377F"/>
    <w:rsid w:val="0005382E"/>
    <w:rsid w:val="00053850"/>
    <w:rsid w:val="0005387A"/>
    <w:rsid w:val="000539FA"/>
    <w:rsid w:val="00053AD3"/>
    <w:rsid w:val="00053B43"/>
    <w:rsid w:val="00053B48"/>
    <w:rsid w:val="00053B67"/>
    <w:rsid w:val="00053BC9"/>
    <w:rsid w:val="00053C8E"/>
    <w:rsid w:val="00053D37"/>
    <w:rsid w:val="00053D6A"/>
    <w:rsid w:val="00053DFE"/>
    <w:rsid w:val="00053E03"/>
    <w:rsid w:val="00053E6E"/>
    <w:rsid w:val="00053EE0"/>
    <w:rsid w:val="0005400E"/>
    <w:rsid w:val="00054024"/>
    <w:rsid w:val="00054132"/>
    <w:rsid w:val="00054198"/>
    <w:rsid w:val="00054246"/>
    <w:rsid w:val="000542EC"/>
    <w:rsid w:val="0005436C"/>
    <w:rsid w:val="000543ED"/>
    <w:rsid w:val="00054450"/>
    <w:rsid w:val="0005453D"/>
    <w:rsid w:val="00054600"/>
    <w:rsid w:val="0005465C"/>
    <w:rsid w:val="000546E3"/>
    <w:rsid w:val="000547A3"/>
    <w:rsid w:val="0005481B"/>
    <w:rsid w:val="00054865"/>
    <w:rsid w:val="000548B5"/>
    <w:rsid w:val="0005492C"/>
    <w:rsid w:val="00054978"/>
    <w:rsid w:val="00054A7A"/>
    <w:rsid w:val="00054A88"/>
    <w:rsid w:val="00054AE7"/>
    <w:rsid w:val="00054B18"/>
    <w:rsid w:val="00054BC3"/>
    <w:rsid w:val="00054BE9"/>
    <w:rsid w:val="00054DA1"/>
    <w:rsid w:val="00054E08"/>
    <w:rsid w:val="00054E47"/>
    <w:rsid w:val="00054E9E"/>
    <w:rsid w:val="00054F2F"/>
    <w:rsid w:val="00054F54"/>
    <w:rsid w:val="0005506A"/>
    <w:rsid w:val="000551AE"/>
    <w:rsid w:val="000551FC"/>
    <w:rsid w:val="0005528D"/>
    <w:rsid w:val="0005529C"/>
    <w:rsid w:val="000552AB"/>
    <w:rsid w:val="000552DC"/>
    <w:rsid w:val="00055316"/>
    <w:rsid w:val="00055348"/>
    <w:rsid w:val="00055656"/>
    <w:rsid w:val="00055692"/>
    <w:rsid w:val="000556D6"/>
    <w:rsid w:val="00055816"/>
    <w:rsid w:val="00055826"/>
    <w:rsid w:val="00055831"/>
    <w:rsid w:val="000558DE"/>
    <w:rsid w:val="000558F4"/>
    <w:rsid w:val="00055923"/>
    <w:rsid w:val="00055A4B"/>
    <w:rsid w:val="00055B2E"/>
    <w:rsid w:val="00055BC0"/>
    <w:rsid w:val="00055BF3"/>
    <w:rsid w:val="00055D1F"/>
    <w:rsid w:val="00055DD7"/>
    <w:rsid w:val="00055F8D"/>
    <w:rsid w:val="00055FB3"/>
    <w:rsid w:val="00055FDD"/>
    <w:rsid w:val="00055FF6"/>
    <w:rsid w:val="00056071"/>
    <w:rsid w:val="00056086"/>
    <w:rsid w:val="000560E6"/>
    <w:rsid w:val="000560EE"/>
    <w:rsid w:val="00056113"/>
    <w:rsid w:val="00056124"/>
    <w:rsid w:val="00056206"/>
    <w:rsid w:val="0005620E"/>
    <w:rsid w:val="0005626F"/>
    <w:rsid w:val="000562EF"/>
    <w:rsid w:val="000562F5"/>
    <w:rsid w:val="000562FF"/>
    <w:rsid w:val="00056466"/>
    <w:rsid w:val="000564E2"/>
    <w:rsid w:val="00056535"/>
    <w:rsid w:val="0005658D"/>
    <w:rsid w:val="0005663C"/>
    <w:rsid w:val="00056740"/>
    <w:rsid w:val="000567A3"/>
    <w:rsid w:val="00056803"/>
    <w:rsid w:val="00056996"/>
    <w:rsid w:val="000569B7"/>
    <w:rsid w:val="000569C9"/>
    <w:rsid w:val="00056A64"/>
    <w:rsid w:val="00056B2F"/>
    <w:rsid w:val="00056B6E"/>
    <w:rsid w:val="00056C16"/>
    <w:rsid w:val="00056C2F"/>
    <w:rsid w:val="00056C9A"/>
    <w:rsid w:val="00056CBC"/>
    <w:rsid w:val="00056CD1"/>
    <w:rsid w:val="00056DE5"/>
    <w:rsid w:val="00056E0D"/>
    <w:rsid w:val="00056F0E"/>
    <w:rsid w:val="00056FEC"/>
    <w:rsid w:val="000570CB"/>
    <w:rsid w:val="00057188"/>
    <w:rsid w:val="00057213"/>
    <w:rsid w:val="00057236"/>
    <w:rsid w:val="00057307"/>
    <w:rsid w:val="0005734B"/>
    <w:rsid w:val="0005738F"/>
    <w:rsid w:val="00057537"/>
    <w:rsid w:val="0005776A"/>
    <w:rsid w:val="000577BE"/>
    <w:rsid w:val="000578D4"/>
    <w:rsid w:val="000578EB"/>
    <w:rsid w:val="00057AD5"/>
    <w:rsid w:val="00057B04"/>
    <w:rsid w:val="00057D33"/>
    <w:rsid w:val="00057E53"/>
    <w:rsid w:val="00057E6D"/>
    <w:rsid w:val="00057F6B"/>
    <w:rsid w:val="00060049"/>
    <w:rsid w:val="00060084"/>
    <w:rsid w:val="0006009D"/>
    <w:rsid w:val="0006011C"/>
    <w:rsid w:val="0006015A"/>
    <w:rsid w:val="00060170"/>
    <w:rsid w:val="000601D5"/>
    <w:rsid w:val="000602B9"/>
    <w:rsid w:val="000602DB"/>
    <w:rsid w:val="0006040E"/>
    <w:rsid w:val="00060424"/>
    <w:rsid w:val="00060432"/>
    <w:rsid w:val="00060436"/>
    <w:rsid w:val="000605BE"/>
    <w:rsid w:val="000606DA"/>
    <w:rsid w:val="000606DF"/>
    <w:rsid w:val="000606FB"/>
    <w:rsid w:val="0006073C"/>
    <w:rsid w:val="0006076D"/>
    <w:rsid w:val="0006080B"/>
    <w:rsid w:val="00060880"/>
    <w:rsid w:val="0006091C"/>
    <w:rsid w:val="000609A9"/>
    <w:rsid w:val="00060A2E"/>
    <w:rsid w:val="00060AC0"/>
    <w:rsid w:val="00060C8C"/>
    <w:rsid w:val="00060CA3"/>
    <w:rsid w:val="00060CC9"/>
    <w:rsid w:val="00060D08"/>
    <w:rsid w:val="00060DDD"/>
    <w:rsid w:val="00060DF7"/>
    <w:rsid w:val="00060E3A"/>
    <w:rsid w:val="00060E3F"/>
    <w:rsid w:val="00060F02"/>
    <w:rsid w:val="00060F2B"/>
    <w:rsid w:val="00060F40"/>
    <w:rsid w:val="00060FA5"/>
    <w:rsid w:val="00061063"/>
    <w:rsid w:val="000610BE"/>
    <w:rsid w:val="000610F9"/>
    <w:rsid w:val="0006123C"/>
    <w:rsid w:val="000612DD"/>
    <w:rsid w:val="000612DE"/>
    <w:rsid w:val="000614BE"/>
    <w:rsid w:val="000615E6"/>
    <w:rsid w:val="000615F9"/>
    <w:rsid w:val="000616A9"/>
    <w:rsid w:val="000616B4"/>
    <w:rsid w:val="00061740"/>
    <w:rsid w:val="00061779"/>
    <w:rsid w:val="00061833"/>
    <w:rsid w:val="00061881"/>
    <w:rsid w:val="0006190B"/>
    <w:rsid w:val="000619B3"/>
    <w:rsid w:val="000619CB"/>
    <w:rsid w:val="00061A15"/>
    <w:rsid w:val="00061A1B"/>
    <w:rsid w:val="00061A54"/>
    <w:rsid w:val="00061B0D"/>
    <w:rsid w:val="00061C9D"/>
    <w:rsid w:val="00061E42"/>
    <w:rsid w:val="00061E47"/>
    <w:rsid w:val="00061EB2"/>
    <w:rsid w:val="00061F54"/>
    <w:rsid w:val="00062059"/>
    <w:rsid w:val="000620BE"/>
    <w:rsid w:val="000621B5"/>
    <w:rsid w:val="000623E3"/>
    <w:rsid w:val="00062414"/>
    <w:rsid w:val="00062436"/>
    <w:rsid w:val="00062462"/>
    <w:rsid w:val="000624AA"/>
    <w:rsid w:val="00062649"/>
    <w:rsid w:val="00062693"/>
    <w:rsid w:val="000626D4"/>
    <w:rsid w:val="00062706"/>
    <w:rsid w:val="00062733"/>
    <w:rsid w:val="000627AF"/>
    <w:rsid w:val="00062815"/>
    <w:rsid w:val="00062879"/>
    <w:rsid w:val="000628B7"/>
    <w:rsid w:val="0006290B"/>
    <w:rsid w:val="00062933"/>
    <w:rsid w:val="00062ACB"/>
    <w:rsid w:val="00062B54"/>
    <w:rsid w:val="00062B84"/>
    <w:rsid w:val="00062CAB"/>
    <w:rsid w:val="00062CBF"/>
    <w:rsid w:val="00062D91"/>
    <w:rsid w:val="00062F08"/>
    <w:rsid w:val="00062F14"/>
    <w:rsid w:val="00062FA0"/>
    <w:rsid w:val="00063004"/>
    <w:rsid w:val="0006303E"/>
    <w:rsid w:val="000630AA"/>
    <w:rsid w:val="000630B7"/>
    <w:rsid w:val="0006311D"/>
    <w:rsid w:val="000631BA"/>
    <w:rsid w:val="0006326C"/>
    <w:rsid w:val="00063289"/>
    <w:rsid w:val="0006330F"/>
    <w:rsid w:val="000633FD"/>
    <w:rsid w:val="0006341C"/>
    <w:rsid w:val="00063454"/>
    <w:rsid w:val="0006348A"/>
    <w:rsid w:val="0006358B"/>
    <w:rsid w:val="0006359B"/>
    <w:rsid w:val="00063620"/>
    <w:rsid w:val="00063634"/>
    <w:rsid w:val="00063690"/>
    <w:rsid w:val="000636D4"/>
    <w:rsid w:val="0006371E"/>
    <w:rsid w:val="00063887"/>
    <w:rsid w:val="000638AC"/>
    <w:rsid w:val="000638B4"/>
    <w:rsid w:val="0006394F"/>
    <w:rsid w:val="0006396E"/>
    <w:rsid w:val="000639F1"/>
    <w:rsid w:val="00063A7E"/>
    <w:rsid w:val="00063B72"/>
    <w:rsid w:val="00063C88"/>
    <w:rsid w:val="00063CBA"/>
    <w:rsid w:val="00063DAB"/>
    <w:rsid w:val="00063DF9"/>
    <w:rsid w:val="00063E5F"/>
    <w:rsid w:val="00063E83"/>
    <w:rsid w:val="00063F6A"/>
    <w:rsid w:val="00063F7D"/>
    <w:rsid w:val="00064087"/>
    <w:rsid w:val="0006413D"/>
    <w:rsid w:val="0006415C"/>
    <w:rsid w:val="0006416C"/>
    <w:rsid w:val="000643E6"/>
    <w:rsid w:val="000644BA"/>
    <w:rsid w:val="000646D6"/>
    <w:rsid w:val="000646E3"/>
    <w:rsid w:val="00064726"/>
    <w:rsid w:val="000649A7"/>
    <w:rsid w:val="000649D9"/>
    <w:rsid w:val="000649EB"/>
    <w:rsid w:val="00064A66"/>
    <w:rsid w:val="00064B54"/>
    <w:rsid w:val="00064C19"/>
    <w:rsid w:val="00064C20"/>
    <w:rsid w:val="00064C6D"/>
    <w:rsid w:val="00064CB8"/>
    <w:rsid w:val="00064CED"/>
    <w:rsid w:val="00064D85"/>
    <w:rsid w:val="00064E40"/>
    <w:rsid w:val="00064E49"/>
    <w:rsid w:val="00064EA7"/>
    <w:rsid w:val="00064F19"/>
    <w:rsid w:val="00064F3E"/>
    <w:rsid w:val="00064F44"/>
    <w:rsid w:val="00064F99"/>
    <w:rsid w:val="00064FBD"/>
    <w:rsid w:val="00065036"/>
    <w:rsid w:val="000650BC"/>
    <w:rsid w:val="00065101"/>
    <w:rsid w:val="00065289"/>
    <w:rsid w:val="000652CC"/>
    <w:rsid w:val="00065333"/>
    <w:rsid w:val="000653B3"/>
    <w:rsid w:val="00065471"/>
    <w:rsid w:val="00065480"/>
    <w:rsid w:val="000654E5"/>
    <w:rsid w:val="00065503"/>
    <w:rsid w:val="0006561E"/>
    <w:rsid w:val="000656BD"/>
    <w:rsid w:val="00065745"/>
    <w:rsid w:val="0006576E"/>
    <w:rsid w:val="000657C0"/>
    <w:rsid w:val="000657D7"/>
    <w:rsid w:val="000657F3"/>
    <w:rsid w:val="0006585C"/>
    <w:rsid w:val="000659E5"/>
    <w:rsid w:val="00065A18"/>
    <w:rsid w:val="00065AE2"/>
    <w:rsid w:val="00065B9A"/>
    <w:rsid w:val="00065C88"/>
    <w:rsid w:val="00065D2E"/>
    <w:rsid w:val="00065DA3"/>
    <w:rsid w:val="00065DD8"/>
    <w:rsid w:val="00065E4A"/>
    <w:rsid w:val="00065E96"/>
    <w:rsid w:val="00065F2B"/>
    <w:rsid w:val="0006601D"/>
    <w:rsid w:val="00066046"/>
    <w:rsid w:val="00066059"/>
    <w:rsid w:val="00066071"/>
    <w:rsid w:val="0006611B"/>
    <w:rsid w:val="0006620A"/>
    <w:rsid w:val="00066261"/>
    <w:rsid w:val="0006630D"/>
    <w:rsid w:val="0006631C"/>
    <w:rsid w:val="00066388"/>
    <w:rsid w:val="000663F3"/>
    <w:rsid w:val="00066473"/>
    <w:rsid w:val="000665A1"/>
    <w:rsid w:val="00066604"/>
    <w:rsid w:val="00066693"/>
    <w:rsid w:val="000666FA"/>
    <w:rsid w:val="0006684A"/>
    <w:rsid w:val="00066A35"/>
    <w:rsid w:val="00066A47"/>
    <w:rsid w:val="00066A48"/>
    <w:rsid w:val="00066A55"/>
    <w:rsid w:val="00066B85"/>
    <w:rsid w:val="00066BB1"/>
    <w:rsid w:val="00066BBA"/>
    <w:rsid w:val="00066C06"/>
    <w:rsid w:val="00066C58"/>
    <w:rsid w:val="00066C5D"/>
    <w:rsid w:val="00066C97"/>
    <w:rsid w:val="00066D0E"/>
    <w:rsid w:val="00066D5B"/>
    <w:rsid w:val="00066F60"/>
    <w:rsid w:val="00066FAE"/>
    <w:rsid w:val="00067045"/>
    <w:rsid w:val="00067192"/>
    <w:rsid w:val="000671A8"/>
    <w:rsid w:val="000671CC"/>
    <w:rsid w:val="00067210"/>
    <w:rsid w:val="00067261"/>
    <w:rsid w:val="00067263"/>
    <w:rsid w:val="00067296"/>
    <w:rsid w:val="0006737E"/>
    <w:rsid w:val="0006740D"/>
    <w:rsid w:val="00067438"/>
    <w:rsid w:val="00067442"/>
    <w:rsid w:val="0006748C"/>
    <w:rsid w:val="00067494"/>
    <w:rsid w:val="0006765B"/>
    <w:rsid w:val="00067725"/>
    <w:rsid w:val="0006778D"/>
    <w:rsid w:val="000677BA"/>
    <w:rsid w:val="0006788B"/>
    <w:rsid w:val="00067A17"/>
    <w:rsid w:val="00067A44"/>
    <w:rsid w:val="00067A96"/>
    <w:rsid w:val="00067AB7"/>
    <w:rsid w:val="00067B6E"/>
    <w:rsid w:val="00067BB4"/>
    <w:rsid w:val="00067C5E"/>
    <w:rsid w:val="00067CC3"/>
    <w:rsid w:val="00067CC4"/>
    <w:rsid w:val="00067CE9"/>
    <w:rsid w:val="00067E0E"/>
    <w:rsid w:val="00067E3E"/>
    <w:rsid w:val="00067E4A"/>
    <w:rsid w:val="00067EC3"/>
    <w:rsid w:val="00067F6F"/>
    <w:rsid w:val="0007007E"/>
    <w:rsid w:val="000700A0"/>
    <w:rsid w:val="00070101"/>
    <w:rsid w:val="00070263"/>
    <w:rsid w:val="0007028E"/>
    <w:rsid w:val="0007037E"/>
    <w:rsid w:val="00070393"/>
    <w:rsid w:val="0007048A"/>
    <w:rsid w:val="00070557"/>
    <w:rsid w:val="00070582"/>
    <w:rsid w:val="0007061C"/>
    <w:rsid w:val="00070627"/>
    <w:rsid w:val="00070657"/>
    <w:rsid w:val="00070746"/>
    <w:rsid w:val="0007075C"/>
    <w:rsid w:val="000708BB"/>
    <w:rsid w:val="000708EC"/>
    <w:rsid w:val="0007093F"/>
    <w:rsid w:val="00070965"/>
    <w:rsid w:val="000709CC"/>
    <w:rsid w:val="00070A04"/>
    <w:rsid w:val="00070A67"/>
    <w:rsid w:val="00070C26"/>
    <w:rsid w:val="00070C8B"/>
    <w:rsid w:val="00070D38"/>
    <w:rsid w:val="00070D8C"/>
    <w:rsid w:val="00070E8F"/>
    <w:rsid w:val="00070E9E"/>
    <w:rsid w:val="00070EAD"/>
    <w:rsid w:val="00070ED3"/>
    <w:rsid w:val="00070FEF"/>
    <w:rsid w:val="00071253"/>
    <w:rsid w:val="00071363"/>
    <w:rsid w:val="000713F4"/>
    <w:rsid w:val="00071495"/>
    <w:rsid w:val="00071618"/>
    <w:rsid w:val="00071677"/>
    <w:rsid w:val="00071696"/>
    <w:rsid w:val="00071708"/>
    <w:rsid w:val="0007170D"/>
    <w:rsid w:val="00071787"/>
    <w:rsid w:val="0007178B"/>
    <w:rsid w:val="00071790"/>
    <w:rsid w:val="0007179C"/>
    <w:rsid w:val="000717C8"/>
    <w:rsid w:val="000717F6"/>
    <w:rsid w:val="00071826"/>
    <w:rsid w:val="00071829"/>
    <w:rsid w:val="00071864"/>
    <w:rsid w:val="000718B8"/>
    <w:rsid w:val="00071989"/>
    <w:rsid w:val="000719B8"/>
    <w:rsid w:val="00071AC8"/>
    <w:rsid w:val="00071AE1"/>
    <w:rsid w:val="00071B83"/>
    <w:rsid w:val="00071C29"/>
    <w:rsid w:val="00071D54"/>
    <w:rsid w:val="00071D81"/>
    <w:rsid w:val="00071E4F"/>
    <w:rsid w:val="00071F6E"/>
    <w:rsid w:val="00071F79"/>
    <w:rsid w:val="00072013"/>
    <w:rsid w:val="00072117"/>
    <w:rsid w:val="000721E2"/>
    <w:rsid w:val="000721F8"/>
    <w:rsid w:val="0007230D"/>
    <w:rsid w:val="00072373"/>
    <w:rsid w:val="000723B4"/>
    <w:rsid w:val="00072439"/>
    <w:rsid w:val="000724C7"/>
    <w:rsid w:val="000724ED"/>
    <w:rsid w:val="000724F3"/>
    <w:rsid w:val="000724FD"/>
    <w:rsid w:val="00072666"/>
    <w:rsid w:val="000726F0"/>
    <w:rsid w:val="000726FA"/>
    <w:rsid w:val="000727CC"/>
    <w:rsid w:val="000727F5"/>
    <w:rsid w:val="000727FD"/>
    <w:rsid w:val="0007281E"/>
    <w:rsid w:val="00072820"/>
    <w:rsid w:val="0007286B"/>
    <w:rsid w:val="00072876"/>
    <w:rsid w:val="000728B6"/>
    <w:rsid w:val="00072903"/>
    <w:rsid w:val="00072991"/>
    <w:rsid w:val="00072A0A"/>
    <w:rsid w:val="00072C8F"/>
    <w:rsid w:val="00072C9E"/>
    <w:rsid w:val="00072CA6"/>
    <w:rsid w:val="00072D52"/>
    <w:rsid w:val="00072E26"/>
    <w:rsid w:val="00072E94"/>
    <w:rsid w:val="00072F38"/>
    <w:rsid w:val="0007300A"/>
    <w:rsid w:val="00073013"/>
    <w:rsid w:val="000730ED"/>
    <w:rsid w:val="000730EF"/>
    <w:rsid w:val="00073139"/>
    <w:rsid w:val="0007314A"/>
    <w:rsid w:val="00073188"/>
    <w:rsid w:val="00073197"/>
    <w:rsid w:val="0007319A"/>
    <w:rsid w:val="000731F0"/>
    <w:rsid w:val="00073269"/>
    <w:rsid w:val="00073333"/>
    <w:rsid w:val="00073358"/>
    <w:rsid w:val="000733A1"/>
    <w:rsid w:val="000733A2"/>
    <w:rsid w:val="00073476"/>
    <w:rsid w:val="000734E8"/>
    <w:rsid w:val="0007351A"/>
    <w:rsid w:val="0007355C"/>
    <w:rsid w:val="000735BF"/>
    <w:rsid w:val="00073616"/>
    <w:rsid w:val="000736C8"/>
    <w:rsid w:val="0007377A"/>
    <w:rsid w:val="00073894"/>
    <w:rsid w:val="00073930"/>
    <w:rsid w:val="00073966"/>
    <w:rsid w:val="0007399E"/>
    <w:rsid w:val="000739C0"/>
    <w:rsid w:val="000739E1"/>
    <w:rsid w:val="000739F1"/>
    <w:rsid w:val="000739FD"/>
    <w:rsid w:val="00073A1D"/>
    <w:rsid w:val="00073A33"/>
    <w:rsid w:val="00073A4F"/>
    <w:rsid w:val="00073B24"/>
    <w:rsid w:val="00073CBC"/>
    <w:rsid w:val="00073D64"/>
    <w:rsid w:val="00073E29"/>
    <w:rsid w:val="00073EF7"/>
    <w:rsid w:val="00073F47"/>
    <w:rsid w:val="00073F4A"/>
    <w:rsid w:val="0007404E"/>
    <w:rsid w:val="0007409A"/>
    <w:rsid w:val="000740D2"/>
    <w:rsid w:val="000740FC"/>
    <w:rsid w:val="0007426D"/>
    <w:rsid w:val="0007435C"/>
    <w:rsid w:val="00074478"/>
    <w:rsid w:val="0007448C"/>
    <w:rsid w:val="000744DC"/>
    <w:rsid w:val="00074504"/>
    <w:rsid w:val="0007451D"/>
    <w:rsid w:val="00074554"/>
    <w:rsid w:val="00074589"/>
    <w:rsid w:val="00074638"/>
    <w:rsid w:val="0007468E"/>
    <w:rsid w:val="00074764"/>
    <w:rsid w:val="0007476E"/>
    <w:rsid w:val="0007490D"/>
    <w:rsid w:val="0007494B"/>
    <w:rsid w:val="000749B8"/>
    <w:rsid w:val="000749C8"/>
    <w:rsid w:val="000749D6"/>
    <w:rsid w:val="00074A1F"/>
    <w:rsid w:val="00074A86"/>
    <w:rsid w:val="00074ACC"/>
    <w:rsid w:val="00074AF9"/>
    <w:rsid w:val="00074B51"/>
    <w:rsid w:val="00074B97"/>
    <w:rsid w:val="00074D64"/>
    <w:rsid w:val="00074D99"/>
    <w:rsid w:val="00074DC2"/>
    <w:rsid w:val="00074DD6"/>
    <w:rsid w:val="00074DE4"/>
    <w:rsid w:val="00074E8B"/>
    <w:rsid w:val="00074EC1"/>
    <w:rsid w:val="00074EC4"/>
    <w:rsid w:val="00074FEA"/>
    <w:rsid w:val="0007507E"/>
    <w:rsid w:val="00075391"/>
    <w:rsid w:val="0007539A"/>
    <w:rsid w:val="000754F5"/>
    <w:rsid w:val="00075584"/>
    <w:rsid w:val="0007559E"/>
    <w:rsid w:val="00075616"/>
    <w:rsid w:val="00075652"/>
    <w:rsid w:val="0007572B"/>
    <w:rsid w:val="0007577D"/>
    <w:rsid w:val="0007578C"/>
    <w:rsid w:val="00075867"/>
    <w:rsid w:val="0007588E"/>
    <w:rsid w:val="000758E9"/>
    <w:rsid w:val="0007592C"/>
    <w:rsid w:val="00075AD8"/>
    <w:rsid w:val="00075B40"/>
    <w:rsid w:val="00075BD4"/>
    <w:rsid w:val="00075C25"/>
    <w:rsid w:val="00075C44"/>
    <w:rsid w:val="00075D0D"/>
    <w:rsid w:val="00075E67"/>
    <w:rsid w:val="00075FCD"/>
    <w:rsid w:val="0007606F"/>
    <w:rsid w:val="000760C5"/>
    <w:rsid w:val="000761CF"/>
    <w:rsid w:val="00076218"/>
    <w:rsid w:val="00076252"/>
    <w:rsid w:val="0007630F"/>
    <w:rsid w:val="00076330"/>
    <w:rsid w:val="00076362"/>
    <w:rsid w:val="0007640E"/>
    <w:rsid w:val="0007648B"/>
    <w:rsid w:val="0007655B"/>
    <w:rsid w:val="0007669A"/>
    <w:rsid w:val="00076755"/>
    <w:rsid w:val="00076A43"/>
    <w:rsid w:val="00076C0E"/>
    <w:rsid w:val="00076C4B"/>
    <w:rsid w:val="00076D09"/>
    <w:rsid w:val="00076DFD"/>
    <w:rsid w:val="00076E90"/>
    <w:rsid w:val="00076EB5"/>
    <w:rsid w:val="00076F13"/>
    <w:rsid w:val="00077059"/>
    <w:rsid w:val="000770D0"/>
    <w:rsid w:val="0007715F"/>
    <w:rsid w:val="00077189"/>
    <w:rsid w:val="00077236"/>
    <w:rsid w:val="00077334"/>
    <w:rsid w:val="00077389"/>
    <w:rsid w:val="000774A5"/>
    <w:rsid w:val="000774D7"/>
    <w:rsid w:val="000774E3"/>
    <w:rsid w:val="0007750B"/>
    <w:rsid w:val="00077527"/>
    <w:rsid w:val="00077543"/>
    <w:rsid w:val="000775C3"/>
    <w:rsid w:val="0007762A"/>
    <w:rsid w:val="00077659"/>
    <w:rsid w:val="0007767F"/>
    <w:rsid w:val="000776EF"/>
    <w:rsid w:val="00077711"/>
    <w:rsid w:val="000777A3"/>
    <w:rsid w:val="000777CE"/>
    <w:rsid w:val="0007784C"/>
    <w:rsid w:val="00077893"/>
    <w:rsid w:val="00077898"/>
    <w:rsid w:val="00077972"/>
    <w:rsid w:val="00077A0C"/>
    <w:rsid w:val="00077A58"/>
    <w:rsid w:val="00077A65"/>
    <w:rsid w:val="00077AD7"/>
    <w:rsid w:val="00077B58"/>
    <w:rsid w:val="00077B91"/>
    <w:rsid w:val="00077BF1"/>
    <w:rsid w:val="00077C41"/>
    <w:rsid w:val="00077E73"/>
    <w:rsid w:val="00077F67"/>
    <w:rsid w:val="0007CDA4"/>
    <w:rsid w:val="0007F1C5"/>
    <w:rsid w:val="000800B6"/>
    <w:rsid w:val="000800BD"/>
    <w:rsid w:val="000800C6"/>
    <w:rsid w:val="000801ED"/>
    <w:rsid w:val="000802B8"/>
    <w:rsid w:val="000802FA"/>
    <w:rsid w:val="00080404"/>
    <w:rsid w:val="00080416"/>
    <w:rsid w:val="0008042E"/>
    <w:rsid w:val="000804B8"/>
    <w:rsid w:val="0008059D"/>
    <w:rsid w:val="00080684"/>
    <w:rsid w:val="000807AD"/>
    <w:rsid w:val="0008081B"/>
    <w:rsid w:val="00080846"/>
    <w:rsid w:val="000809AD"/>
    <w:rsid w:val="000809D4"/>
    <w:rsid w:val="000809E4"/>
    <w:rsid w:val="00080B7D"/>
    <w:rsid w:val="00080C85"/>
    <w:rsid w:val="00080DDF"/>
    <w:rsid w:val="00080E9B"/>
    <w:rsid w:val="00080F21"/>
    <w:rsid w:val="00080F22"/>
    <w:rsid w:val="00080F24"/>
    <w:rsid w:val="00080F6A"/>
    <w:rsid w:val="00080F6F"/>
    <w:rsid w:val="00080F99"/>
    <w:rsid w:val="00080FDB"/>
    <w:rsid w:val="000810A0"/>
    <w:rsid w:val="000810F4"/>
    <w:rsid w:val="00081157"/>
    <w:rsid w:val="00081166"/>
    <w:rsid w:val="000812BD"/>
    <w:rsid w:val="0008131D"/>
    <w:rsid w:val="00081381"/>
    <w:rsid w:val="00081387"/>
    <w:rsid w:val="00081408"/>
    <w:rsid w:val="0008144B"/>
    <w:rsid w:val="000815B0"/>
    <w:rsid w:val="00081677"/>
    <w:rsid w:val="00081756"/>
    <w:rsid w:val="000817A6"/>
    <w:rsid w:val="0008187F"/>
    <w:rsid w:val="000819D4"/>
    <w:rsid w:val="000819FF"/>
    <w:rsid w:val="00081BCE"/>
    <w:rsid w:val="00081D2F"/>
    <w:rsid w:val="00082054"/>
    <w:rsid w:val="000820C4"/>
    <w:rsid w:val="000820EF"/>
    <w:rsid w:val="000820F2"/>
    <w:rsid w:val="00082169"/>
    <w:rsid w:val="00082171"/>
    <w:rsid w:val="00082219"/>
    <w:rsid w:val="00082246"/>
    <w:rsid w:val="00082395"/>
    <w:rsid w:val="0008249F"/>
    <w:rsid w:val="000824E3"/>
    <w:rsid w:val="00082540"/>
    <w:rsid w:val="00082581"/>
    <w:rsid w:val="000825EE"/>
    <w:rsid w:val="0008264B"/>
    <w:rsid w:val="0008278D"/>
    <w:rsid w:val="00082793"/>
    <w:rsid w:val="000827A8"/>
    <w:rsid w:val="000827C6"/>
    <w:rsid w:val="000827CF"/>
    <w:rsid w:val="0008284A"/>
    <w:rsid w:val="0008286E"/>
    <w:rsid w:val="00082999"/>
    <w:rsid w:val="000829B4"/>
    <w:rsid w:val="000829BC"/>
    <w:rsid w:val="00082BFF"/>
    <w:rsid w:val="00082C8C"/>
    <w:rsid w:val="00082D03"/>
    <w:rsid w:val="00082D48"/>
    <w:rsid w:val="00082DD9"/>
    <w:rsid w:val="00082E34"/>
    <w:rsid w:val="00082E42"/>
    <w:rsid w:val="00082EC6"/>
    <w:rsid w:val="00082F92"/>
    <w:rsid w:val="00082FA5"/>
    <w:rsid w:val="0008308E"/>
    <w:rsid w:val="000830C2"/>
    <w:rsid w:val="000830DE"/>
    <w:rsid w:val="00083247"/>
    <w:rsid w:val="0008328E"/>
    <w:rsid w:val="00083367"/>
    <w:rsid w:val="0008336E"/>
    <w:rsid w:val="000833E8"/>
    <w:rsid w:val="00083400"/>
    <w:rsid w:val="00083443"/>
    <w:rsid w:val="000834F3"/>
    <w:rsid w:val="000837D8"/>
    <w:rsid w:val="00083908"/>
    <w:rsid w:val="00083950"/>
    <w:rsid w:val="00083A35"/>
    <w:rsid w:val="00083AB9"/>
    <w:rsid w:val="00083B5A"/>
    <w:rsid w:val="00083B86"/>
    <w:rsid w:val="00083C24"/>
    <w:rsid w:val="00083C37"/>
    <w:rsid w:val="00083C84"/>
    <w:rsid w:val="00083CCA"/>
    <w:rsid w:val="00083DFC"/>
    <w:rsid w:val="00083E07"/>
    <w:rsid w:val="00083E11"/>
    <w:rsid w:val="00083F4A"/>
    <w:rsid w:val="000840CA"/>
    <w:rsid w:val="000840EE"/>
    <w:rsid w:val="000841AC"/>
    <w:rsid w:val="000841BF"/>
    <w:rsid w:val="000841F9"/>
    <w:rsid w:val="000842A6"/>
    <w:rsid w:val="000842DE"/>
    <w:rsid w:val="000842FB"/>
    <w:rsid w:val="00084349"/>
    <w:rsid w:val="00084450"/>
    <w:rsid w:val="00084499"/>
    <w:rsid w:val="00084546"/>
    <w:rsid w:val="00084555"/>
    <w:rsid w:val="0008456D"/>
    <w:rsid w:val="0008457D"/>
    <w:rsid w:val="00084653"/>
    <w:rsid w:val="000847A1"/>
    <w:rsid w:val="000847D1"/>
    <w:rsid w:val="00084800"/>
    <w:rsid w:val="00084812"/>
    <w:rsid w:val="00084A5C"/>
    <w:rsid w:val="00084A73"/>
    <w:rsid w:val="00084B9C"/>
    <w:rsid w:val="00084BA6"/>
    <w:rsid w:val="00084D45"/>
    <w:rsid w:val="00084E44"/>
    <w:rsid w:val="00084E57"/>
    <w:rsid w:val="00084ED1"/>
    <w:rsid w:val="00084FD9"/>
    <w:rsid w:val="00085156"/>
    <w:rsid w:val="0008516E"/>
    <w:rsid w:val="0008519D"/>
    <w:rsid w:val="00085305"/>
    <w:rsid w:val="0008539C"/>
    <w:rsid w:val="000853A8"/>
    <w:rsid w:val="0008552A"/>
    <w:rsid w:val="00085553"/>
    <w:rsid w:val="000855B5"/>
    <w:rsid w:val="000857F2"/>
    <w:rsid w:val="00085813"/>
    <w:rsid w:val="0008586C"/>
    <w:rsid w:val="000858D7"/>
    <w:rsid w:val="000858DD"/>
    <w:rsid w:val="0008590B"/>
    <w:rsid w:val="00085B0D"/>
    <w:rsid w:val="00085C03"/>
    <w:rsid w:val="00085C4C"/>
    <w:rsid w:val="00085C69"/>
    <w:rsid w:val="00085CA1"/>
    <w:rsid w:val="00085D98"/>
    <w:rsid w:val="00085DCB"/>
    <w:rsid w:val="00085E1D"/>
    <w:rsid w:val="00085E34"/>
    <w:rsid w:val="00085E71"/>
    <w:rsid w:val="00085F21"/>
    <w:rsid w:val="00085F5C"/>
    <w:rsid w:val="00085F5D"/>
    <w:rsid w:val="00085F64"/>
    <w:rsid w:val="0008602B"/>
    <w:rsid w:val="00086048"/>
    <w:rsid w:val="0008610D"/>
    <w:rsid w:val="000861D7"/>
    <w:rsid w:val="00086217"/>
    <w:rsid w:val="0008629D"/>
    <w:rsid w:val="000862B9"/>
    <w:rsid w:val="000862D7"/>
    <w:rsid w:val="0008630B"/>
    <w:rsid w:val="0008635F"/>
    <w:rsid w:val="000863C5"/>
    <w:rsid w:val="000865CF"/>
    <w:rsid w:val="00086740"/>
    <w:rsid w:val="00086810"/>
    <w:rsid w:val="00086917"/>
    <w:rsid w:val="0008693D"/>
    <w:rsid w:val="0008697F"/>
    <w:rsid w:val="000869CD"/>
    <w:rsid w:val="00086C9B"/>
    <w:rsid w:val="00086E5F"/>
    <w:rsid w:val="00086E63"/>
    <w:rsid w:val="00087003"/>
    <w:rsid w:val="0008702E"/>
    <w:rsid w:val="00087031"/>
    <w:rsid w:val="000870E7"/>
    <w:rsid w:val="00087175"/>
    <w:rsid w:val="000871EA"/>
    <w:rsid w:val="00087254"/>
    <w:rsid w:val="00087304"/>
    <w:rsid w:val="0008731E"/>
    <w:rsid w:val="00087380"/>
    <w:rsid w:val="00087559"/>
    <w:rsid w:val="00087595"/>
    <w:rsid w:val="00087661"/>
    <w:rsid w:val="000876B6"/>
    <w:rsid w:val="00087713"/>
    <w:rsid w:val="00087725"/>
    <w:rsid w:val="00087733"/>
    <w:rsid w:val="00087865"/>
    <w:rsid w:val="0008795B"/>
    <w:rsid w:val="00087AF8"/>
    <w:rsid w:val="00087B39"/>
    <w:rsid w:val="00087C45"/>
    <w:rsid w:val="00087C48"/>
    <w:rsid w:val="00087C97"/>
    <w:rsid w:val="00087D76"/>
    <w:rsid w:val="00087D96"/>
    <w:rsid w:val="00087DC4"/>
    <w:rsid w:val="00087EA7"/>
    <w:rsid w:val="00087EBA"/>
    <w:rsid w:val="00087ECD"/>
    <w:rsid w:val="00087F7E"/>
    <w:rsid w:val="00087F93"/>
    <w:rsid w:val="00087F9E"/>
    <w:rsid w:val="00090020"/>
    <w:rsid w:val="00090026"/>
    <w:rsid w:val="00090030"/>
    <w:rsid w:val="000900F0"/>
    <w:rsid w:val="0009013E"/>
    <w:rsid w:val="00090152"/>
    <w:rsid w:val="0009022D"/>
    <w:rsid w:val="0009023B"/>
    <w:rsid w:val="000902A9"/>
    <w:rsid w:val="000903BE"/>
    <w:rsid w:val="0009043B"/>
    <w:rsid w:val="00090440"/>
    <w:rsid w:val="000904D5"/>
    <w:rsid w:val="000905BB"/>
    <w:rsid w:val="0009071C"/>
    <w:rsid w:val="00090860"/>
    <w:rsid w:val="000909AE"/>
    <w:rsid w:val="000909FD"/>
    <w:rsid w:val="00090A2A"/>
    <w:rsid w:val="00090ADC"/>
    <w:rsid w:val="00090B8F"/>
    <w:rsid w:val="00090BDA"/>
    <w:rsid w:val="00090C89"/>
    <w:rsid w:val="00090D2A"/>
    <w:rsid w:val="00090E1B"/>
    <w:rsid w:val="00090F2A"/>
    <w:rsid w:val="0009112F"/>
    <w:rsid w:val="00091180"/>
    <w:rsid w:val="000911AB"/>
    <w:rsid w:val="00091203"/>
    <w:rsid w:val="00091362"/>
    <w:rsid w:val="000913D5"/>
    <w:rsid w:val="0009140C"/>
    <w:rsid w:val="0009141C"/>
    <w:rsid w:val="00091459"/>
    <w:rsid w:val="000914D5"/>
    <w:rsid w:val="00091543"/>
    <w:rsid w:val="0009155C"/>
    <w:rsid w:val="00091619"/>
    <w:rsid w:val="00091658"/>
    <w:rsid w:val="0009187B"/>
    <w:rsid w:val="000918C8"/>
    <w:rsid w:val="000918CF"/>
    <w:rsid w:val="00091A46"/>
    <w:rsid w:val="00091BB6"/>
    <w:rsid w:val="00091BF7"/>
    <w:rsid w:val="00091DAC"/>
    <w:rsid w:val="00091E07"/>
    <w:rsid w:val="00091E52"/>
    <w:rsid w:val="00091E91"/>
    <w:rsid w:val="00091FBB"/>
    <w:rsid w:val="000920E0"/>
    <w:rsid w:val="000920FF"/>
    <w:rsid w:val="000921E4"/>
    <w:rsid w:val="00092260"/>
    <w:rsid w:val="000922D2"/>
    <w:rsid w:val="00092325"/>
    <w:rsid w:val="0009238A"/>
    <w:rsid w:val="000923A1"/>
    <w:rsid w:val="000923AE"/>
    <w:rsid w:val="000923E6"/>
    <w:rsid w:val="0009246D"/>
    <w:rsid w:val="000924B2"/>
    <w:rsid w:val="00092593"/>
    <w:rsid w:val="000925E0"/>
    <w:rsid w:val="00092651"/>
    <w:rsid w:val="0009269D"/>
    <w:rsid w:val="000926A3"/>
    <w:rsid w:val="000926F0"/>
    <w:rsid w:val="000927DE"/>
    <w:rsid w:val="0009280F"/>
    <w:rsid w:val="00092869"/>
    <w:rsid w:val="00092876"/>
    <w:rsid w:val="0009293C"/>
    <w:rsid w:val="00092A2B"/>
    <w:rsid w:val="00092ACD"/>
    <w:rsid w:val="00092B54"/>
    <w:rsid w:val="00092C1F"/>
    <w:rsid w:val="00092C2A"/>
    <w:rsid w:val="00092C92"/>
    <w:rsid w:val="00092CFF"/>
    <w:rsid w:val="00092D64"/>
    <w:rsid w:val="00092DAB"/>
    <w:rsid w:val="00092E07"/>
    <w:rsid w:val="00092E43"/>
    <w:rsid w:val="00092EA4"/>
    <w:rsid w:val="00092EDA"/>
    <w:rsid w:val="0009309E"/>
    <w:rsid w:val="000931D8"/>
    <w:rsid w:val="00093235"/>
    <w:rsid w:val="0009324D"/>
    <w:rsid w:val="000932F6"/>
    <w:rsid w:val="00093313"/>
    <w:rsid w:val="00093317"/>
    <w:rsid w:val="00093328"/>
    <w:rsid w:val="00093470"/>
    <w:rsid w:val="000934F1"/>
    <w:rsid w:val="0009354D"/>
    <w:rsid w:val="00093596"/>
    <w:rsid w:val="0009362E"/>
    <w:rsid w:val="000936C0"/>
    <w:rsid w:val="000937B8"/>
    <w:rsid w:val="000937D2"/>
    <w:rsid w:val="000937DE"/>
    <w:rsid w:val="000937F5"/>
    <w:rsid w:val="00093872"/>
    <w:rsid w:val="0009393E"/>
    <w:rsid w:val="000939C5"/>
    <w:rsid w:val="00093A1F"/>
    <w:rsid w:val="00093AA5"/>
    <w:rsid w:val="00093AF1"/>
    <w:rsid w:val="00093B02"/>
    <w:rsid w:val="00093B2B"/>
    <w:rsid w:val="00093BDC"/>
    <w:rsid w:val="00093C06"/>
    <w:rsid w:val="00093C20"/>
    <w:rsid w:val="00093C24"/>
    <w:rsid w:val="00093C9F"/>
    <w:rsid w:val="00093D5D"/>
    <w:rsid w:val="00093D78"/>
    <w:rsid w:val="00093D84"/>
    <w:rsid w:val="00093E0D"/>
    <w:rsid w:val="00093E9C"/>
    <w:rsid w:val="00093EDB"/>
    <w:rsid w:val="00093FB4"/>
    <w:rsid w:val="00093FC3"/>
    <w:rsid w:val="0009404E"/>
    <w:rsid w:val="000940D9"/>
    <w:rsid w:val="0009412E"/>
    <w:rsid w:val="00094131"/>
    <w:rsid w:val="00094141"/>
    <w:rsid w:val="000941D1"/>
    <w:rsid w:val="00094237"/>
    <w:rsid w:val="000942D1"/>
    <w:rsid w:val="00094393"/>
    <w:rsid w:val="00094403"/>
    <w:rsid w:val="00094551"/>
    <w:rsid w:val="0009467F"/>
    <w:rsid w:val="000946CC"/>
    <w:rsid w:val="000946E6"/>
    <w:rsid w:val="000946ED"/>
    <w:rsid w:val="000947F1"/>
    <w:rsid w:val="00094840"/>
    <w:rsid w:val="00094865"/>
    <w:rsid w:val="0009490F"/>
    <w:rsid w:val="00094B4D"/>
    <w:rsid w:val="00094B96"/>
    <w:rsid w:val="00094C44"/>
    <w:rsid w:val="00094D43"/>
    <w:rsid w:val="00094D71"/>
    <w:rsid w:val="00094DB4"/>
    <w:rsid w:val="00094E22"/>
    <w:rsid w:val="00094EEE"/>
    <w:rsid w:val="00094F31"/>
    <w:rsid w:val="00094FD4"/>
    <w:rsid w:val="000950B0"/>
    <w:rsid w:val="000950FE"/>
    <w:rsid w:val="00095108"/>
    <w:rsid w:val="00095116"/>
    <w:rsid w:val="00095293"/>
    <w:rsid w:val="00095368"/>
    <w:rsid w:val="00095435"/>
    <w:rsid w:val="000954C2"/>
    <w:rsid w:val="0009555F"/>
    <w:rsid w:val="000957A3"/>
    <w:rsid w:val="000957AA"/>
    <w:rsid w:val="000957D6"/>
    <w:rsid w:val="000957D7"/>
    <w:rsid w:val="0009585C"/>
    <w:rsid w:val="00095867"/>
    <w:rsid w:val="0009586B"/>
    <w:rsid w:val="00095938"/>
    <w:rsid w:val="00095A0F"/>
    <w:rsid w:val="00095A1A"/>
    <w:rsid w:val="00095ACF"/>
    <w:rsid w:val="00095BEF"/>
    <w:rsid w:val="00095CE4"/>
    <w:rsid w:val="00095D0A"/>
    <w:rsid w:val="00095DB6"/>
    <w:rsid w:val="00095F5A"/>
    <w:rsid w:val="00095F69"/>
    <w:rsid w:val="00095F85"/>
    <w:rsid w:val="00096006"/>
    <w:rsid w:val="0009624A"/>
    <w:rsid w:val="000962BA"/>
    <w:rsid w:val="00096317"/>
    <w:rsid w:val="0009650B"/>
    <w:rsid w:val="0009657C"/>
    <w:rsid w:val="000966A8"/>
    <w:rsid w:val="00096711"/>
    <w:rsid w:val="00096753"/>
    <w:rsid w:val="000967A8"/>
    <w:rsid w:val="00096832"/>
    <w:rsid w:val="00096885"/>
    <w:rsid w:val="000968CA"/>
    <w:rsid w:val="000968D1"/>
    <w:rsid w:val="00096A7E"/>
    <w:rsid w:val="00096AE7"/>
    <w:rsid w:val="00096CB3"/>
    <w:rsid w:val="00096D54"/>
    <w:rsid w:val="00096DEE"/>
    <w:rsid w:val="00096EFE"/>
    <w:rsid w:val="00096F1D"/>
    <w:rsid w:val="00096F1E"/>
    <w:rsid w:val="00096F4C"/>
    <w:rsid w:val="00096F8D"/>
    <w:rsid w:val="00096FD1"/>
    <w:rsid w:val="0009700E"/>
    <w:rsid w:val="00097029"/>
    <w:rsid w:val="0009705F"/>
    <w:rsid w:val="00097143"/>
    <w:rsid w:val="0009720F"/>
    <w:rsid w:val="00097370"/>
    <w:rsid w:val="0009748A"/>
    <w:rsid w:val="00097533"/>
    <w:rsid w:val="00097554"/>
    <w:rsid w:val="0009758F"/>
    <w:rsid w:val="00097595"/>
    <w:rsid w:val="000975F8"/>
    <w:rsid w:val="0009761F"/>
    <w:rsid w:val="0009763B"/>
    <w:rsid w:val="0009765E"/>
    <w:rsid w:val="000976C0"/>
    <w:rsid w:val="0009771A"/>
    <w:rsid w:val="00097722"/>
    <w:rsid w:val="000977DB"/>
    <w:rsid w:val="0009788F"/>
    <w:rsid w:val="00097BA4"/>
    <w:rsid w:val="00097BE2"/>
    <w:rsid w:val="00097D92"/>
    <w:rsid w:val="00097DDF"/>
    <w:rsid w:val="00097DFC"/>
    <w:rsid w:val="00097E79"/>
    <w:rsid w:val="00097EC9"/>
    <w:rsid w:val="00097EF5"/>
    <w:rsid w:val="000A005B"/>
    <w:rsid w:val="000A00ED"/>
    <w:rsid w:val="000A0213"/>
    <w:rsid w:val="000A030B"/>
    <w:rsid w:val="000A0316"/>
    <w:rsid w:val="000A0373"/>
    <w:rsid w:val="000A03EB"/>
    <w:rsid w:val="000A0438"/>
    <w:rsid w:val="000A04DB"/>
    <w:rsid w:val="000A04F0"/>
    <w:rsid w:val="000A063C"/>
    <w:rsid w:val="000A065E"/>
    <w:rsid w:val="000A0673"/>
    <w:rsid w:val="000A0686"/>
    <w:rsid w:val="000A0697"/>
    <w:rsid w:val="000A0852"/>
    <w:rsid w:val="000A0A72"/>
    <w:rsid w:val="000A0B20"/>
    <w:rsid w:val="000A0BF7"/>
    <w:rsid w:val="000A0BFA"/>
    <w:rsid w:val="000A0C0A"/>
    <w:rsid w:val="000A0CAD"/>
    <w:rsid w:val="000A0CB8"/>
    <w:rsid w:val="000A0CE2"/>
    <w:rsid w:val="000A0CEC"/>
    <w:rsid w:val="000A0D45"/>
    <w:rsid w:val="000A0DAA"/>
    <w:rsid w:val="000A0E8A"/>
    <w:rsid w:val="000A0E95"/>
    <w:rsid w:val="000A0EFC"/>
    <w:rsid w:val="000A0F69"/>
    <w:rsid w:val="000A0FE3"/>
    <w:rsid w:val="000A1199"/>
    <w:rsid w:val="000A11DE"/>
    <w:rsid w:val="000A1350"/>
    <w:rsid w:val="000A1469"/>
    <w:rsid w:val="000A151F"/>
    <w:rsid w:val="000A15F7"/>
    <w:rsid w:val="000A1657"/>
    <w:rsid w:val="000A176D"/>
    <w:rsid w:val="000A17B9"/>
    <w:rsid w:val="000A187E"/>
    <w:rsid w:val="000A18AC"/>
    <w:rsid w:val="000A1909"/>
    <w:rsid w:val="000A196F"/>
    <w:rsid w:val="000A1A9B"/>
    <w:rsid w:val="000A1A9F"/>
    <w:rsid w:val="000A1AA6"/>
    <w:rsid w:val="000A1AB7"/>
    <w:rsid w:val="000A1AC6"/>
    <w:rsid w:val="000A1B8D"/>
    <w:rsid w:val="000A1B9E"/>
    <w:rsid w:val="000A1BB3"/>
    <w:rsid w:val="000A1CB3"/>
    <w:rsid w:val="000A1CDC"/>
    <w:rsid w:val="000A1D21"/>
    <w:rsid w:val="000A1D4F"/>
    <w:rsid w:val="000A1D77"/>
    <w:rsid w:val="000A1DCB"/>
    <w:rsid w:val="000A1EEE"/>
    <w:rsid w:val="000A1F11"/>
    <w:rsid w:val="000A1FBB"/>
    <w:rsid w:val="000A20C5"/>
    <w:rsid w:val="000A2178"/>
    <w:rsid w:val="000A223B"/>
    <w:rsid w:val="000A225D"/>
    <w:rsid w:val="000A22C8"/>
    <w:rsid w:val="000A2310"/>
    <w:rsid w:val="000A2363"/>
    <w:rsid w:val="000A2452"/>
    <w:rsid w:val="000A2551"/>
    <w:rsid w:val="000A25AC"/>
    <w:rsid w:val="000A25B5"/>
    <w:rsid w:val="000A2640"/>
    <w:rsid w:val="000A265A"/>
    <w:rsid w:val="000A2683"/>
    <w:rsid w:val="000A2719"/>
    <w:rsid w:val="000A274E"/>
    <w:rsid w:val="000A277C"/>
    <w:rsid w:val="000A2831"/>
    <w:rsid w:val="000A28DF"/>
    <w:rsid w:val="000A28F3"/>
    <w:rsid w:val="000A296B"/>
    <w:rsid w:val="000A298A"/>
    <w:rsid w:val="000A29EC"/>
    <w:rsid w:val="000A2B48"/>
    <w:rsid w:val="000A2BE4"/>
    <w:rsid w:val="000A2C23"/>
    <w:rsid w:val="000A2C41"/>
    <w:rsid w:val="000A2E33"/>
    <w:rsid w:val="000A2E4D"/>
    <w:rsid w:val="000A2E51"/>
    <w:rsid w:val="000A2F2D"/>
    <w:rsid w:val="000A3114"/>
    <w:rsid w:val="000A316A"/>
    <w:rsid w:val="000A3226"/>
    <w:rsid w:val="000A339A"/>
    <w:rsid w:val="000A33CE"/>
    <w:rsid w:val="000A33FE"/>
    <w:rsid w:val="000A345C"/>
    <w:rsid w:val="000A3623"/>
    <w:rsid w:val="000A36DF"/>
    <w:rsid w:val="000A3715"/>
    <w:rsid w:val="000A3856"/>
    <w:rsid w:val="000A394D"/>
    <w:rsid w:val="000A39D8"/>
    <w:rsid w:val="000A3A3B"/>
    <w:rsid w:val="000A3A81"/>
    <w:rsid w:val="000A3B09"/>
    <w:rsid w:val="000A3B5F"/>
    <w:rsid w:val="000A3B98"/>
    <w:rsid w:val="000A3BA5"/>
    <w:rsid w:val="000A3C30"/>
    <w:rsid w:val="000A3F0B"/>
    <w:rsid w:val="000A3F9B"/>
    <w:rsid w:val="000A3FBD"/>
    <w:rsid w:val="000A418C"/>
    <w:rsid w:val="000A41FC"/>
    <w:rsid w:val="000A42B3"/>
    <w:rsid w:val="000A4344"/>
    <w:rsid w:val="000A43A8"/>
    <w:rsid w:val="000A4431"/>
    <w:rsid w:val="000A4606"/>
    <w:rsid w:val="000A463E"/>
    <w:rsid w:val="000A4851"/>
    <w:rsid w:val="000A4965"/>
    <w:rsid w:val="000A4A37"/>
    <w:rsid w:val="000A4BBA"/>
    <w:rsid w:val="000A4BED"/>
    <w:rsid w:val="000A4CCB"/>
    <w:rsid w:val="000A4CD0"/>
    <w:rsid w:val="000A4CDB"/>
    <w:rsid w:val="000A4D9F"/>
    <w:rsid w:val="000A4EF9"/>
    <w:rsid w:val="000A4FBF"/>
    <w:rsid w:val="000A4FD9"/>
    <w:rsid w:val="000A5037"/>
    <w:rsid w:val="000A5056"/>
    <w:rsid w:val="000A50B1"/>
    <w:rsid w:val="000A51DF"/>
    <w:rsid w:val="000A5424"/>
    <w:rsid w:val="000A54A1"/>
    <w:rsid w:val="000A5528"/>
    <w:rsid w:val="000A553E"/>
    <w:rsid w:val="000A555D"/>
    <w:rsid w:val="000A557C"/>
    <w:rsid w:val="000A55A7"/>
    <w:rsid w:val="000A55B0"/>
    <w:rsid w:val="000A5672"/>
    <w:rsid w:val="000A57F6"/>
    <w:rsid w:val="000A5863"/>
    <w:rsid w:val="000A5AAC"/>
    <w:rsid w:val="000A5AEA"/>
    <w:rsid w:val="000A5B3F"/>
    <w:rsid w:val="000A5B56"/>
    <w:rsid w:val="000A5B6B"/>
    <w:rsid w:val="000A5BFE"/>
    <w:rsid w:val="000A5C24"/>
    <w:rsid w:val="000A5C65"/>
    <w:rsid w:val="000A5D3F"/>
    <w:rsid w:val="000A5D84"/>
    <w:rsid w:val="000A5DE0"/>
    <w:rsid w:val="000A5E25"/>
    <w:rsid w:val="000A5EA5"/>
    <w:rsid w:val="000A5ED7"/>
    <w:rsid w:val="000A5F4B"/>
    <w:rsid w:val="000A5F6D"/>
    <w:rsid w:val="000A60C5"/>
    <w:rsid w:val="000A6181"/>
    <w:rsid w:val="000A630C"/>
    <w:rsid w:val="000A64A7"/>
    <w:rsid w:val="000A64E3"/>
    <w:rsid w:val="000A6530"/>
    <w:rsid w:val="000A6536"/>
    <w:rsid w:val="000A6545"/>
    <w:rsid w:val="000A6590"/>
    <w:rsid w:val="000A65DB"/>
    <w:rsid w:val="000A66DC"/>
    <w:rsid w:val="000A678F"/>
    <w:rsid w:val="000A6790"/>
    <w:rsid w:val="000A6816"/>
    <w:rsid w:val="000A681F"/>
    <w:rsid w:val="000A6859"/>
    <w:rsid w:val="000A6B2C"/>
    <w:rsid w:val="000A6B61"/>
    <w:rsid w:val="000A6BCF"/>
    <w:rsid w:val="000A6BF9"/>
    <w:rsid w:val="000A6C32"/>
    <w:rsid w:val="000A6D48"/>
    <w:rsid w:val="000A6DBF"/>
    <w:rsid w:val="000A6DCC"/>
    <w:rsid w:val="000A6DF1"/>
    <w:rsid w:val="000A6EA8"/>
    <w:rsid w:val="000A6FAC"/>
    <w:rsid w:val="000A6FEA"/>
    <w:rsid w:val="000A7066"/>
    <w:rsid w:val="000A7120"/>
    <w:rsid w:val="000A7203"/>
    <w:rsid w:val="000A720F"/>
    <w:rsid w:val="000A7220"/>
    <w:rsid w:val="000A7262"/>
    <w:rsid w:val="000A73BE"/>
    <w:rsid w:val="000A740F"/>
    <w:rsid w:val="000A7479"/>
    <w:rsid w:val="000A751D"/>
    <w:rsid w:val="000A7521"/>
    <w:rsid w:val="000A7569"/>
    <w:rsid w:val="000A75B7"/>
    <w:rsid w:val="000A7755"/>
    <w:rsid w:val="000A7790"/>
    <w:rsid w:val="000A7975"/>
    <w:rsid w:val="000A79E4"/>
    <w:rsid w:val="000A7B58"/>
    <w:rsid w:val="000A7C04"/>
    <w:rsid w:val="000A7C0F"/>
    <w:rsid w:val="000A7D00"/>
    <w:rsid w:val="000A7D14"/>
    <w:rsid w:val="000A7D55"/>
    <w:rsid w:val="000A7D96"/>
    <w:rsid w:val="000A7D9E"/>
    <w:rsid w:val="000A7EAD"/>
    <w:rsid w:val="000A7FAB"/>
    <w:rsid w:val="000B00AC"/>
    <w:rsid w:val="000B00D3"/>
    <w:rsid w:val="000B0104"/>
    <w:rsid w:val="000B0272"/>
    <w:rsid w:val="000B02DA"/>
    <w:rsid w:val="000B039F"/>
    <w:rsid w:val="000B03A2"/>
    <w:rsid w:val="000B0417"/>
    <w:rsid w:val="000B045F"/>
    <w:rsid w:val="000B04AF"/>
    <w:rsid w:val="000B052D"/>
    <w:rsid w:val="000B05E9"/>
    <w:rsid w:val="000B0683"/>
    <w:rsid w:val="000B0703"/>
    <w:rsid w:val="000B076B"/>
    <w:rsid w:val="000B07EB"/>
    <w:rsid w:val="000B0844"/>
    <w:rsid w:val="000B0956"/>
    <w:rsid w:val="000B099C"/>
    <w:rsid w:val="000B09A3"/>
    <w:rsid w:val="000B0A28"/>
    <w:rsid w:val="000B0ABB"/>
    <w:rsid w:val="000B0AC9"/>
    <w:rsid w:val="000B0B71"/>
    <w:rsid w:val="000B0BA2"/>
    <w:rsid w:val="000B0C60"/>
    <w:rsid w:val="000B0D4A"/>
    <w:rsid w:val="000B0E2B"/>
    <w:rsid w:val="000B0E7C"/>
    <w:rsid w:val="000B0F32"/>
    <w:rsid w:val="000B0F49"/>
    <w:rsid w:val="000B0F53"/>
    <w:rsid w:val="000B0FCC"/>
    <w:rsid w:val="000B1102"/>
    <w:rsid w:val="000B115A"/>
    <w:rsid w:val="000B12EA"/>
    <w:rsid w:val="000B14A8"/>
    <w:rsid w:val="000B150A"/>
    <w:rsid w:val="000B1614"/>
    <w:rsid w:val="000B180E"/>
    <w:rsid w:val="000B19FD"/>
    <w:rsid w:val="000B1A68"/>
    <w:rsid w:val="000B1A77"/>
    <w:rsid w:val="000B1B0B"/>
    <w:rsid w:val="000B1B57"/>
    <w:rsid w:val="000B1BC3"/>
    <w:rsid w:val="000B1DA2"/>
    <w:rsid w:val="000B1DE0"/>
    <w:rsid w:val="000B1EC1"/>
    <w:rsid w:val="000B1F87"/>
    <w:rsid w:val="000B1FAF"/>
    <w:rsid w:val="000B1FBF"/>
    <w:rsid w:val="000B2010"/>
    <w:rsid w:val="000B2043"/>
    <w:rsid w:val="000B204F"/>
    <w:rsid w:val="000B2055"/>
    <w:rsid w:val="000B208D"/>
    <w:rsid w:val="000B20F4"/>
    <w:rsid w:val="000B2112"/>
    <w:rsid w:val="000B211A"/>
    <w:rsid w:val="000B2241"/>
    <w:rsid w:val="000B22C1"/>
    <w:rsid w:val="000B242B"/>
    <w:rsid w:val="000B2445"/>
    <w:rsid w:val="000B2502"/>
    <w:rsid w:val="000B2512"/>
    <w:rsid w:val="000B2705"/>
    <w:rsid w:val="000B277D"/>
    <w:rsid w:val="000B282A"/>
    <w:rsid w:val="000B2875"/>
    <w:rsid w:val="000B28ED"/>
    <w:rsid w:val="000B28EE"/>
    <w:rsid w:val="000B2951"/>
    <w:rsid w:val="000B2972"/>
    <w:rsid w:val="000B2ACC"/>
    <w:rsid w:val="000B2B10"/>
    <w:rsid w:val="000B2B1D"/>
    <w:rsid w:val="000B2C7A"/>
    <w:rsid w:val="000B2D95"/>
    <w:rsid w:val="000B2DC7"/>
    <w:rsid w:val="000B2DFD"/>
    <w:rsid w:val="000B2F04"/>
    <w:rsid w:val="000B2F43"/>
    <w:rsid w:val="000B2FAC"/>
    <w:rsid w:val="000B30D1"/>
    <w:rsid w:val="000B3190"/>
    <w:rsid w:val="000B3278"/>
    <w:rsid w:val="000B327D"/>
    <w:rsid w:val="000B32C9"/>
    <w:rsid w:val="000B3406"/>
    <w:rsid w:val="000B3427"/>
    <w:rsid w:val="000B35D5"/>
    <w:rsid w:val="000B361F"/>
    <w:rsid w:val="000B36C8"/>
    <w:rsid w:val="000B372E"/>
    <w:rsid w:val="000B382E"/>
    <w:rsid w:val="000B3857"/>
    <w:rsid w:val="000B3882"/>
    <w:rsid w:val="000B3899"/>
    <w:rsid w:val="000B3918"/>
    <w:rsid w:val="000B397B"/>
    <w:rsid w:val="000B39A1"/>
    <w:rsid w:val="000B39FA"/>
    <w:rsid w:val="000B3AFB"/>
    <w:rsid w:val="000B3B06"/>
    <w:rsid w:val="000B3BC9"/>
    <w:rsid w:val="000B3C4B"/>
    <w:rsid w:val="000B3D78"/>
    <w:rsid w:val="000B3DEC"/>
    <w:rsid w:val="000B3E55"/>
    <w:rsid w:val="000B3E69"/>
    <w:rsid w:val="000B3E88"/>
    <w:rsid w:val="000B3EDC"/>
    <w:rsid w:val="000B3FFC"/>
    <w:rsid w:val="000B40AF"/>
    <w:rsid w:val="000B4153"/>
    <w:rsid w:val="000B422A"/>
    <w:rsid w:val="000B423F"/>
    <w:rsid w:val="000B4323"/>
    <w:rsid w:val="000B43A0"/>
    <w:rsid w:val="000B43B4"/>
    <w:rsid w:val="000B442B"/>
    <w:rsid w:val="000B44EC"/>
    <w:rsid w:val="000B450E"/>
    <w:rsid w:val="000B458E"/>
    <w:rsid w:val="000B45CF"/>
    <w:rsid w:val="000B4630"/>
    <w:rsid w:val="000B463D"/>
    <w:rsid w:val="000B4685"/>
    <w:rsid w:val="000B478D"/>
    <w:rsid w:val="000B4798"/>
    <w:rsid w:val="000B48DF"/>
    <w:rsid w:val="000B490B"/>
    <w:rsid w:val="000B4966"/>
    <w:rsid w:val="000B496F"/>
    <w:rsid w:val="000B49E6"/>
    <w:rsid w:val="000B4A4A"/>
    <w:rsid w:val="000B4B13"/>
    <w:rsid w:val="000B4BF2"/>
    <w:rsid w:val="000B4C4D"/>
    <w:rsid w:val="000B4CAA"/>
    <w:rsid w:val="000B4CF5"/>
    <w:rsid w:val="000B4E01"/>
    <w:rsid w:val="000B4E15"/>
    <w:rsid w:val="000B4E7B"/>
    <w:rsid w:val="000B4FBC"/>
    <w:rsid w:val="000B503F"/>
    <w:rsid w:val="000B50A0"/>
    <w:rsid w:val="000B51C7"/>
    <w:rsid w:val="000B52E6"/>
    <w:rsid w:val="000B532D"/>
    <w:rsid w:val="000B5399"/>
    <w:rsid w:val="000B5417"/>
    <w:rsid w:val="000B543D"/>
    <w:rsid w:val="000B5533"/>
    <w:rsid w:val="000B5535"/>
    <w:rsid w:val="000B55D3"/>
    <w:rsid w:val="000B55D5"/>
    <w:rsid w:val="000B55FA"/>
    <w:rsid w:val="000B564E"/>
    <w:rsid w:val="000B56AA"/>
    <w:rsid w:val="000B57C8"/>
    <w:rsid w:val="000B582E"/>
    <w:rsid w:val="000B587B"/>
    <w:rsid w:val="000B5918"/>
    <w:rsid w:val="000B5988"/>
    <w:rsid w:val="000B5B22"/>
    <w:rsid w:val="000B5B2F"/>
    <w:rsid w:val="000B5B32"/>
    <w:rsid w:val="000B5BF5"/>
    <w:rsid w:val="000B5CE0"/>
    <w:rsid w:val="000B5D79"/>
    <w:rsid w:val="000B5E14"/>
    <w:rsid w:val="000B5E89"/>
    <w:rsid w:val="000B5E95"/>
    <w:rsid w:val="000B5EC3"/>
    <w:rsid w:val="000B5F75"/>
    <w:rsid w:val="000B5F87"/>
    <w:rsid w:val="000B6002"/>
    <w:rsid w:val="000B6257"/>
    <w:rsid w:val="000B62E9"/>
    <w:rsid w:val="000B6302"/>
    <w:rsid w:val="000B630D"/>
    <w:rsid w:val="000B63BE"/>
    <w:rsid w:val="000B6407"/>
    <w:rsid w:val="000B6456"/>
    <w:rsid w:val="000B646C"/>
    <w:rsid w:val="000B64B8"/>
    <w:rsid w:val="000B64D5"/>
    <w:rsid w:val="000B6835"/>
    <w:rsid w:val="000B6940"/>
    <w:rsid w:val="000B69A9"/>
    <w:rsid w:val="000B6A0E"/>
    <w:rsid w:val="000B6A11"/>
    <w:rsid w:val="000B6A31"/>
    <w:rsid w:val="000B6B46"/>
    <w:rsid w:val="000B6B7F"/>
    <w:rsid w:val="000B6CA7"/>
    <w:rsid w:val="000B6D45"/>
    <w:rsid w:val="000B6DB1"/>
    <w:rsid w:val="000B6E3C"/>
    <w:rsid w:val="000B6FEE"/>
    <w:rsid w:val="000B6FF1"/>
    <w:rsid w:val="000B714F"/>
    <w:rsid w:val="000B7152"/>
    <w:rsid w:val="000B730C"/>
    <w:rsid w:val="000B736E"/>
    <w:rsid w:val="000B7389"/>
    <w:rsid w:val="000B739F"/>
    <w:rsid w:val="000B73DD"/>
    <w:rsid w:val="000B7430"/>
    <w:rsid w:val="000B76F9"/>
    <w:rsid w:val="000B7793"/>
    <w:rsid w:val="000B77A2"/>
    <w:rsid w:val="000B77AA"/>
    <w:rsid w:val="000B78AA"/>
    <w:rsid w:val="000B78F4"/>
    <w:rsid w:val="000B7950"/>
    <w:rsid w:val="000B7953"/>
    <w:rsid w:val="000B796F"/>
    <w:rsid w:val="000B7A70"/>
    <w:rsid w:val="000B7A7D"/>
    <w:rsid w:val="000B7A91"/>
    <w:rsid w:val="000B7B2C"/>
    <w:rsid w:val="000B7B3F"/>
    <w:rsid w:val="000B7B82"/>
    <w:rsid w:val="000B7BDB"/>
    <w:rsid w:val="000B7CC2"/>
    <w:rsid w:val="000B7D00"/>
    <w:rsid w:val="000B7D4A"/>
    <w:rsid w:val="000B7D67"/>
    <w:rsid w:val="000B7E63"/>
    <w:rsid w:val="000B7F87"/>
    <w:rsid w:val="000B7FB9"/>
    <w:rsid w:val="000C0020"/>
    <w:rsid w:val="000C0094"/>
    <w:rsid w:val="000C012D"/>
    <w:rsid w:val="000C01D8"/>
    <w:rsid w:val="000C0203"/>
    <w:rsid w:val="000C02DC"/>
    <w:rsid w:val="000C04AB"/>
    <w:rsid w:val="000C04D8"/>
    <w:rsid w:val="000C0536"/>
    <w:rsid w:val="000C05B8"/>
    <w:rsid w:val="000C065F"/>
    <w:rsid w:val="000C066F"/>
    <w:rsid w:val="000C0780"/>
    <w:rsid w:val="000C0810"/>
    <w:rsid w:val="000C0829"/>
    <w:rsid w:val="000C084F"/>
    <w:rsid w:val="000C08D7"/>
    <w:rsid w:val="000C094C"/>
    <w:rsid w:val="000C098D"/>
    <w:rsid w:val="000C09DA"/>
    <w:rsid w:val="000C0A09"/>
    <w:rsid w:val="000C0A79"/>
    <w:rsid w:val="000C0AAA"/>
    <w:rsid w:val="000C0B7D"/>
    <w:rsid w:val="000C0C29"/>
    <w:rsid w:val="000C0CEE"/>
    <w:rsid w:val="000C0D0A"/>
    <w:rsid w:val="000C0DF6"/>
    <w:rsid w:val="000C0E02"/>
    <w:rsid w:val="000C0E54"/>
    <w:rsid w:val="000C0E6E"/>
    <w:rsid w:val="000C0F1F"/>
    <w:rsid w:val="000C0F5C"/>
    <w:rsid w:val="000C0F72"/>
    <w:rsid w:val="000C0F91"/>
    <w:rsid w:val="000C0F99"/>
    <w:rsid w:val="000C0FEE"/>
    <w:rsid w:val="000C0FF2"/>
    <w:rsid w:val="000C0FF4"/>
    <w:rsid w:val="000C111C"/>
    <w:rsid w:val="000C11CE"/>
    <w:rsid w:val="000C1253"/>
    <w:rsid w:val="000C128D"/>
    <w:rsid w:val="000C1392"/>
    <w:rsid w:val="000C13A1"/>
    <w:rsid w:val="000C13FC"/>
    <w:rsid w:val="000C1435"/>
    <w:rsid w:val="000C1452"/>
    <w:rsid w:val="000C14C9"/>
    <w:rsid w:val="000C14F1"/>
    <w:rsid w:val="000C15E0"/>
    <w:rsid w:val="000C1682"/>
    <w:rsid w:val="000C18E6"/>
    <w:rsid w:val="000C18EE"/>
    <w:rsid w:val="000C18F7"/>
    <w:rsid w:val="000C191A"/>
    <w:rsid w:val="000C1958"/>
    <w:rsid w:val="000C197C"/>
    <w:rsid w:val="000C1A11"/>
    <w:rsid w:val="000C1A1F"/>
    <w:rsid w:val="000C1A3E"/>
    <w:rsid w:val="000C1A7A"/>
    <w:rsid w:val="000C1B81"/>
    <w:rsid w:val="000C1BEF"/>
    <w:rsid w:val="000C1D1D"/>
    <w:rsid w:val="000C1D5D"/>
    <w:rsid w:val="000C1EE1"/>
    <w:rsid w:val="000C1EF5"/>
    <w:rsid w:val="000C1F1E"/>
    <w:rsid w:val="000C1F40"/>
    <w:rsid w:val="000C20F0"/>
    <w:rsid w:val="000C2230"/>
    <w:rsid w:val="000C2255"/>
    <w:rsid w:val="000C225D"/>
    <w:rsid w:val="000C2277"/>
    <w:rsid w:val="000C227E"/>
    <w:rsid w:val="000C230D"/>
    <w:rsid w:val="000C2378"/>
    <w:rsid w:val="000C238D"/>
    <w:rsid w:val="000C23F7"/>
    <w:rsid w:val="000C262C"/>
    <w:rsid w:val="000C2654"/>
    <w:rsid w:val="000C26A5"/>
    <w:rsid w:val="000C26A9"/>
    <w:rsid w:val="000C26DF"/>
    <w:rsid w:val="000C274D"/>
    <w:rsid w:val="000C2750"/>
    <w:rsid w:val="000C277B"/>
    <w:rsid w:val="000C278A"/>
    <w:rsid w:val="000C27A5"/>
    <w:rsid w:val="000C27B5"/>
    <w:rsid w:val="000C27CA"/>
    <w:rsid w:val="000C294C"/>
    <w:rsid w:val="000C295D"/>
    <w:rsid w:val="000C297B"/>
    <w:rsid w:val="000C2A17"/>
    <w:rsid w:val="000C2A19"/>
    <w:rsid w:val="000C2B52"/>
    <w:rsid w:val="000C2DE3"/>
    <w:rsid w:val="000C30F8"/>
    <w:rsid w:val="000C313A"/>
    <w:rsid w:val="000C32C7"/>
    <w:rsid w:val="000C335A"/>
    <w:rsid w:val="000C3378"/>
    <w:rsid w:val="000C337E"/>
    <w:rsid w:val="000C339E"/>
    <w:rsid w:val="000C340F"/>
    <w:rsid w:val="000C355A"/>
    <w:rsid w:val="000C3704"/>
    <w:rsid w:val="000C37CE"/>
    <w:rsid w:val="000C37D8"/>
    <w:rsid w:val="000C3831"/>
    <w:rsid w:val="000C38CC"/>
    <w:rsid w:val="000C393E"/>
    <w:rsid w:val="000C3A4C"/>
    <w:rsid w:val="000C3ABE"/>
    <w:rsid w:val="000C3ACD"/>
    <w:rsid w:val="000C3B4E"/>
    <w:rsid w:val="000C3B70"/>
    <w:rsid w:val="000C3B72"/>
    <w:rsid w:val="000C3C2C"/>
    <w:rsid w:val="000C3C62"/>
    <w:rsid w:val="000C3C71"/>
    <w:rsid w:val="000C3D13"/>
    <w:rsid w:val="000C3F6E"/>
    <w:rsid w:val="000C3F79"/>
    <w:rsid w:val="000C3F7B"/>
    <w:rsid w:val="000C3F88"/>
    <w:rsid w:val="000C3FD7"/>
    <w:rsid w:val="000C4050"/>
    <w:rsid w:val="000C417B"/>
    <w:rsid w:val="000C4241"/>
    <w:rsid w:val="000C455A"/>
    <w:rsid w:val="000C45EB"/>
    <w:rsid w:val="000C466F"/>
    <w:rsid w:val="000C4694"/>
    <w:rsid w:val="000C48CA"/>
    <w:rsid w:val="000C48DE"/>
    <w:rsid w:val="000C4A0A"/>
    <w:rsid w:val="000C4B92"/>
    <w:rsid w:val="000C4C19"/>
    <w:rsid w:val="000C4CB1"/>
    <w:rsid w:val="000C4CCC"/>
    <w:rsid w:val="000C4CCE"/>
    <w:rsid w:val="000C4D2D"/>
    <w:rsid w:val="000C4DA0"/>
    <w:rsid w:val="000C4E8B"/>
    <w:rsid w:val="000C4EEA"/>
    <w:rsid w:val="000C4F3C"/>
    <w:rsid w:val="000C4FE1"/>
    <w:rsid w:val="000C50BE"/>
    <w:rsid w:val="000C5142"/>
    <w:rsid w:val="000C518A"/>
    <w:rsid w:val="000C5298"/>
    <w:rsid w:val="000C5299"/>
    <w:rsid w:val="000C52CD"/>
    <w:rsid w:val="000C530A"/>
    <w:rsid w:val="000C53D5"/>
    <w:rsid w:val="000C54D1"/>
    <w:rsid w:val="000C5541"/>
    <w:rsid w:val="000C55BC"/>
    <w:rsid w:val="000C55D0"/>
    <w:rsid w:val="000C56A5"/>
    <w:rsid w:val="000C56BD"/>
    <w:rsid w:val="000C57E4"/>
    <w:rsid w:val="000C57FD"/>
    <w:rsid w:val="000C5806"/>
    <w:rsid w:val="000C5815"/>
    <w:rsid w:val="000C588A"/>
    <w:rsid w:val="000C5A44"/>
    <w:rsid w:val="000C5AEB"/>
    <w:rsid w:val="000C5B2D"/>
    <w:rsid w:val="000C5B3B"/>
    <w:rsid w:val="000C5BD1"/>
    <w:rsid w:val="000C5C74"/>
    <w:rsid w:val="000C5CDA"/>
    <w:rsid w:val="000C5DE1"/>
    <w:rsid w:val="000C5E46"/>
    <w:rsid w:val="000C5EA3"/>
    <w:rsid w:val="000C5EE7"/>
    <w:rsid w:val="000C5EF9"/>
    <w:rsid w:val="000C5F12"/>
    <w:rsid w:val="000C6002"/>
    <w:rsid w:val="000C607C"/>
    <w:rsid w:val="000C60B3"/>
    <w:rsid w:val="000C60BB"/>
    <w:rsid w:val="000C62C9"/>
    <w:rsid w:val="000C62E2"/>
    <w:rsid w:val="000C6346"/>
    <w:rsid w:val="000C6411"/>
    <w:rsid w:val="000C646A"/>
    <w:rsid w:val="000C64F6"/>
    <w:rsid w:val="000C66C2"/>
    <w:rsid w:val="000C6787"/>
    <w:rsid w:val="000C68E6"/>
    <w:rsid w:val="000C691F"/>
    <w:rsid w:val="000C692E"/>
    <w:rsid w:val="000C697C"/>
    <w:rsid w:val="000C6B3E"/>
    <w:rsid w:val="000C6D5F"/>
    <w:rsid w:val="000C7050"/>
    <w:rsid w:val="000C70F2"/>
    <w:rsid w:val="000C7124"/>
    <w:rsid w:val="000C715F"/>
    <w:rsid w:val="000C73F5"/>
    <w:rsid w:val="000C74D1"/>
    <w:rsid w:val="000C77F1"/>
    <w:rsid w:val="000C7990"/>
    <w:rsid w:val="000C79C9"/>
    <w:rsid w:val="000C7A4A"/>
    <w:rsid w:val="000C7A89"/>
    <w:rsid w:val="000C7AE1"/>
    <w:rsid w:val="000C7B0D"/>
    <w:rsid w:val="000C7B2B"/>
    <w:rsid w:val="000C7B44"/>
    <w:rsid w:val="000C7BE2"/>
    <w:rsid w:val="000C7BF8"/>
    <w:rsid w:val="000C7C28"/>
    <w:rsid w:val="000C7D06"/>
    <w:rsid w:val="000C7D60"/>
    <w:rsid w:val="000C7DB1"/>
    <w:rsid w:val="000C7E79"/>
    <w:rsid w:val="000C7EC9"/>
    <w:rsid w:val="000C7F03"/>
    <w:rsid w:val="000C7FA9"/>
    <w:rsid w:val="000D000C"/>
    <w:rsid w:val="000D0045"/>
    <w:rsid w:val="000D0094"/>
    <w:rsid w:val="000D00A3"/>
    <w:rsid w:val="000D019E"/>
    <w:rsid w:val="000D021A"/>
    <w:rsid w:val="000D0247"/>
    <w:rsid w:val="000D02AC"/>
    <w:rsid w:val="000D0391"/>
    <w:rsid w:val="000D03CA"/>
    <w:rsid w:val="000D0452"/>
    <w:rsid w:val="000D0477"/>
    <w:rsid w:val="000D05AD"/>
    <w:rsid w:val="000D05BF"/>
    <w:rsid w:val="000D066B"/>
    <w:rsid w:val="000D0686"/>
    <w:rsid w:val="000D071B"/>
    <w:rsid w:val="000D08F3"/>
    <w:rsid w:val="000D0912"/>
    <w:rsid w:val="000D09E5"/>
    <w:rsid w:val="000D0A19"/>
    <w:rsid w:val="000D0A27"/>
    <w:rsid w:val="000D0A41"/>
    <w:rsid w:val="000D0A66"/>
    <w:rsid w:val="000D0B4F"/>
    <w:rsid w:val="000D0B59"/>
    <w:rsid w:val="000D0BE4"/>
    <w:rsid w:val="000D0C59"/>
    <w:rsid w:val="000D0C7B"/>
    <w:rsid w:val="000D0D15"/>
    <w:rsid w:val="000D0D59"/>
    <w:rsid w:val="000D0E0A"/>
    <w:rsid w:val="000D0E7D"/>
    <w:rsid w:val="000D0EC6"/>
    <w:rsid w:val="000D0FA1"/>
    <w:rsid w:val="000D0FC0"/>
    <w:rsid w:val="000D103F"/>
    <w:rsid w:val="000D10EE"/>
    <w:rsid w:val="000D1132"/>
    <w:rsid w:val="000D11A1"/>
    <w:rsid w:val="000D11A7"/>
    <w:rsid w:val="000D1203"/>
    <w:rsid w:val="000D124D"/>
    <w:rsid w:val="000D12F2"/>
    <w:rsid w:val="000D1304"/>
    <w:rsid w:val="000D15A8"/>
    <w:rsid w:val="000D162E"/>
    <w:rsid w:val="000D16C7"/>
    <w:rsid w:val="000D16F7"/>
    <w:rsid w:val="000D1701"/>
    <w:rsid w:val="000D172F"/>
    <w:rsid w:val="000D1800"/>
    <w:rsid w:val="000D1837"/>
    <w:rsid w:val="000D1AB8"/>
    <w:rsid w:val="000D1B93"/>
    <w:rsid w:val="000D1C1D"/>
    <w:rsid w:val="000D1CDC"/>
    <w:rsid w:val="000D1DCD"/>
    <w:rsid w:val="000D1E07"/>
    <w:rsid w:val="000D1E54"/>
    <w:rsid w:val="000D1E7C"/>
    <w:rsid w:val="000D1E7F"/>
    <w:rsid w:val="000D1F68"/>
    <w:rsid w:val="000D1FA4"/>
    <w:rsid w:val="000D2008"/>
    <w:rsid w:val="000D201B"/>
    <w:rsid w:val="000D2031"/>
    <w:rsid w:val="000D20EA"/>
    <w:rsid w:val="000D2140"/>
    <w:rsid w:val="000D218E"/>
    <w:rsid w:val="000D2196"/>
    <w:rsid w:val="000D21B7"/>
    <w:rsid w:val="000D2220"/>
    <w:rsid w:val="000D222F"/>
    <w:rsid w:val="000D2260"/>
    <w:rsid w:val="000D245F"/>
    <w:rsid w:val="000D2494"/>
    <w:rsid w:val="000D2659"/>
    <w:rsid w:val="000D26B6"/>
    <w:rsid w:val="000D293A"/>
    <w:rsid w:val="000D29A9"/>
    <w:rsid w:val="000D2A86"/>
    <w:rsid w:val="000D2B72"/>
    <w:rsid w:val="000D2C1F"/>
    <w:rsid w:val="000D2C29"/>
    <w:rsid w:val="000D2DA5"/>
    <w:rsid w:val="000D2DD4"/>
    <w:rsid w:val="000D2E0D"/>
    <w:rsid w:val="000D2E4F"/>
    <w:rsid w:val="000D2E97"/>
    <w:rsid w:val="000D2EAA"/>
    <w:rsid w:val="000D2F9E"/>
    <w:rsid w:val="000D314C"/>
    <w:rsid w:val="000D3198"/>
    <w:rsid w:val="000D32F3"/>
    <w:rsid w:val="000D33FE"/>
    <w:rsid w:val="000D3485"/>
    <w:rsid w:val="000D34AF"/>
    <w:rsid w:val="000D34EA"/>
    <w:rsid w:val="000D3527"/>
    <w:rsid w:val="000D356D"/>
    <w:rsid w:val="000D369D"/>
    <w:rsid w:val="000D36B9"/>
    <w:rsid w:val="000D3791"/>
    <w:rsid w:val="000D3846"/>
    <w:rsid w:val="000D389F"/>
    <w:rsid w:val="000D3A97"/>
    <w:rsid w:val="000D3AF4"/>
    <w:rsid w:val="000D3B1F"/>
    <w:rsid w:val="000D3B71"/>
    <w:rsid w:val="000D3BC3"/>
    <w:rsid w:val="000D3BCF"/>
    <w:rsid w:val="000D3D25"/>
    <w:rsid w:val="000D3E1F"/>
    <w:rsid w:val="000D3E64"/>
    <w:rsid w:val="000D4333"/>
    <w:rsid w:val="000D4372"/>
    <w:rsid w:val="000D43F5"/>
    <w:rsid w:val="000D45A5"/>
    <w:rsid w:val="000D45F8"/>
    <w:rsid w:val="000D4683"/>
    <w:rsid w:val="000D4807"/>
    <w:rsid w:val="000D485F"/>
    <w:rsid w:val="000D4870"/>
    <w:rsid w:val="000D48B0"/>
    <w:rsid w:val="000D496D"/>
    <w:rsid w:val="000D49DD"/>
    <w:rsid w:val="000D4AA0"/>
    <w:rsid w:val="000D4ACD"/>
    <w:rsid w:val="000D4AFD"/>
    <w:rsid w:val="000D4BDB"/>
    <w:rsid w:val="000D4BF7"/>
    <w:rsid w:val="000D4C29"/>
    <w:rsid w:val="000D4D03"/>
    <w:rsid w:val="000D4D33"/>
    <w:rsid w:val="000D4DF2"/>
    <w:rsid w:val="000D4EE0"/>
    <w:rsid w:val="000D4F3B"/>
    <w:rsid w:val="000D4F83"/>
    <w:rsid w:val="000D50AE"/>
    <w:rsid w:val="000D50DF"/>
    <w:rsid w:val="000D5206"/>
    <w:rsid w:val="000D5256"/>
    <w:rsid w:val="000D5260"/>
    <w:rsid w:val="000D52A8"/>
    <w:rsid w:val="000D541A"/>
    <w:rsid w:val="000D546F"/>
    <w:rsid w:val="000D5522"/>
    <w:rsid w:val="000D554C"/>
    <w:rsid w:val="000D55C8"/>
    <w:rsid w:val="000D55F5"/>
    <w:rsid w:val="000D5635"/>
    <w:rsid w:val="000D5657"/>
    <w:rsid w:val="000D56A2"/>
    <w:rsid w:val="000D56DB"/>
    <w:rsid w:val="000D5734"/>
    <w:rsid w:val="000D5741"/>
    <w:rsid w:val="000D57BC"/>
    <w:rsid w:val="000D585B"/>
    <w:rsid w:val="000D59A9"/>
    <w:rsid w:val="000D59D9"/>
    <w:rsid w:val="000D5B50"/>
    <w:rsid w:val="000D5BB8"/>
    <w:rsid w:val="000D5BE8"/>
    <w:rsid w:val="000D5C59"/>
    <w:rsid w:val="000D5C93"/>
    <w:rsid w:val="000D5D6E"/>
    <w:rsid w:val="000D5DE6"/>
    <w:rsid w:val="000D5EB9"/>
    <w:rsid w:val="000D5F0E"/>
    <w:rsid w:val="000D60AD"/>
    <w:rsid w:val="000D61D6"/>
    <w:rsid w:val="000D61FE"/>
    <w:rsid w:val="000D6226"/>
    <w:rsid w:val="000D63CF"/>
    <w:rsid w:val="000D6673"/>
    <w:rsid w:val="000D66EF"/>
    <w:rsid w:val="000D67FD"/>
    <w:rsid w:val="000D6884"/>
    <w:rsid w:val="000D6923"/>
    <w:rsid w:val="000D6A21"/>
    <w:rsid w:val="000D6A51"/>
    <w:rsid w:val="000D6CF2"/>
    <w:rsid w:val="000D6CF7"/>
    <w:rsid w:val="000D6D93"/>
    <w:rsid w:val="000D6E53"/>
    <w:rsid w:val="000D6E66"/>
    <w:rsid w:val="000D6F0E"/>
    <w:rsid w:val="000D6F29"/>
    <w:rsid w:val="000D6FCF"/>
    <w:rsid w:val="000D704E"/>
    <w:rsid w:val="000D70B4"/>
    <w:rsid w:val="000D7118"/>
    <w:rsid w:val="000D717F"/>
    <w:rsid w:val="000D7255"/>
    <w:rsid w:val="000D72A4"/>
    <w:rsid w:val="000D7404"/>
    <w:rsid w:val="000D7405"/>
    <w:rsid w:val="000D742A"/>
    <w:rsid w:val="000D7540"/>
    <w:rsid w:val="000D7605"/>
    <w:rsid w:val="000D7627"/>
    <w:rsid w:val="000D7659"/>
    <w:rsid w:val="000D7699"/>
    <w:rsid w:val="000D777E"/>
    <w:rsid w:val="000D779A"/>
    <w:rsid w:val="000D77A7"/>
    <w:rsid w:val="000D77C3"/>
    <w:rsid w:val="000D784C"/>
    <w:rsid w:val="000D7A11"/>
    <w:rsid w:val="000D7A78"/>
    <w:rsid w:val="000D7A83"/>
    <w:rsid w:val="000D7B16"/>
    <w:rsid w:val="000D7BC2"/>
    <w:rsid w:val="000D7C72"/>
    <w:rsid w:val="000D7CE8"/>
    <w:rsid w:val="000D7D78"/>
    <w:rsid w:val="000D7DAE"/>
    <w:rsid w:val="000D7E62"/>
    <w:rsid w:val="000D7ECF"/>
    <w:rsid w:val="000D7F23"/>
    <w:rsid w:val="000D7F58"/>
    <w:rsid w:val="000E0043"/>
    <w:rsid w:val="000E0181"/>
    <w:rsid w:val="000E0207"/>
    <w:rsid w:val="000E027E"/>
    <w:rsid w:val="000E02A4"/>
    <w:rsid w:val="000E02AB"/>
    <w:rsid w:val="000E0595"/>
    <w:rsid w:val="000E05A3"/>
    <w:rsid w:val="000E05C8"/>
    <w:rsid w:val="000E05D2"/>
    <w:rsid w:val="000E0663"/>
    <w:rsid w:val="000E06DD"/>
    <w:rsid w:val="000E0722"/>
    <w:rsid w:val="000E0829"/>
    <w:rsid w:val="000E0848"/>
    <w:rsid w:val="000E08B9"/>
    <w:rsid w:val="000E0909"/>
    <w:rsid w:val="000E0A01"/>
    <w:rsid w:val="000E0A83"/>
    <w:rsid w:val="000E0AAE"/>
    <w:rsid w:val="000E0B9A"/>
    <w:rsid w:val="000E0C0E"/>
    <w:rsid w:val="000E0C7F"/>
    <w:rsid w:val="000E0C95"/>
    <w:rsid w:val="000E0CA1"/>
    <w:rsid w:val="000E0E9B"/>
    <w:rsid w:val="000E0ECA"/>
    <w:rsid w:val="000E1034"/>
    <w:rsid w:val="000E10A4"/>
    <w:rsid w:val="000E11A8"/>
    <w:rsid w:val="000E12B3"/>
    <w:rsid w:val="000E1311"/>
    <w:rsid w:val="000E13C0"/>
    <w:rsid w:val="000E14D8"/>
    <w:rsid w:val="000E14DD"/>
    <w:rsid w:val="000E1647"/>
    <w:rsid w:val="000E16A1"/>
    <w:rsid w:val="000E16B3"/>
    <w:rsid w:val="000E16B6"/>
    <w:rsid w:val="000E16D5"/>
    <w:rsid w:val="000E1732"/>
    <w:rsid w:val="000E1760"/>
    <w:rsid w:val="000E1779"/>
    <w:rsid w:val="000E1888"/>
    <w:rsid w:val="000E18AA"/>
    <w:rsid w:val="000E18B4"/>
    <w:rsid w:val="000E195F"/>
    <w:rsid w:val="000E197D"/>
    <w:rsid w:val="000E19A0"/>
    <w:rsid w:val="000E1A11"/>
    <w:rsid w:val="000E1A12"/>
    <w:rsid w:val="000E1B04"/>
    <w:rsid w:val="000E1B5D"/>
    <w:rsid w:val="000E1B6F"/>
    <w:rsid w:val="000E1B70"/>
    <w:rsid w:val="000E1BA9"/>
    <w:rsid w:val="000E1C06"/>
    <w:rsid w:val="000E1C4D"/>
    <w:rsid w:val="000E1CF2"/>
    <w:rsid w:val="000E1D4C"/>
    <w:rsid w:val="000E1D6B"/>
    <w:rsid w:val="000E1DB2"/>
    <w:rsid w:val="000E1F40"/>
    <w:rsid w:val="000E1F4E"/>
    <w:rsid w:val="000E2023"/>
    <w:rsid w:val="000E20AA"/>
    <w:rsid w:val="000E20D2"/>
    <w:rsid w:val="000E2177"/>
    <w:rsid w:val="000E230F"/>
    <w:rsid w:val="000E23EA"/>
    <w:rsid w:val="000E2417"/>
    <w:rsid w:val="000E2462"/>
    <w:rsid w:val="000E24E0"/>
    <w:rsid w:val="000E2510"/>
    <w:rsid w:val="000E256F"/>
    <w:rsid w:val="000E25CE"/>
    <w:rsid w:val="000E268D"/>
    <w:rsid w:val="000E2739"/>
    <w:rsid w:val="000E2796"/>
    <w:rsid w:val="000E283C"/>
    <w:rsid w:val="000E2881"/>
    <w:rsid w:val="000E298E"/>
    <w:rsid w:val="000E29B0"/>
    <w:rsid w:val="000E29B2"/>
    <w:rsid w:val="000E2A80"/>
    <w:rsid w:val="000E2AA8"/>
    <w:rsid w:val="000E2AD4"/>
    <w:rsid w:val="000E2B71"/>
    <w:rsid w:val="000E2BAE"/>
    <w:rsid w:val="000E2BD8"/>
    <w:rsid w:val="000E2BED"/>
    <w:rsid w:val="000E2C5D"/>
    <w:rsid w:val="000E2C63"/>
    <w:rsid w:val="000E2C6D"/>
    <w:rsid w:val="000E2CB4"/>
    <w:rsid w:val="000E2CC7"/>
    <w:rsid w:val="000E2DBC"/>
    <w:rsid w:val="000E2DDF"/>
    <w:rsid w:val="000E2E08"/>
    <w:rsid w:val="000E302D"/>
    <w:rsid w:val="000E3086"/>
    <w:rsid w:val="000E30C0"/>
    <w:rsid w:val="000E30CB"/>
    <w:rsid w:val="000E31AA"/>
    <w:rsid w:val="000E31E9"/>
    <w:rsid w:val="000E331E"/>
    <w:rsid w:val="000E3328"/>
    <w:rsid w:val="000E342E"/>
    <w:rsid w:val="000E345B"/>
    <w:rsid w:val="000E3465"/>
    <w:rsid w:val="000E349C"/>
    <w:rsid w:val="000E34A7"/>
    <w:rsid w:val="000E34CD"/>
    <w:rsid w:val="000E34E6"/>
    <w:rsid w:val="000E3549"/>
    <w:rsid w:val="000E35DF"/>
    <w:rsid w:val="000E36AE"/>
    <w:rsid w:val="000E3736"/>
    <w:rsid w:val="000E3743"/>
    <w:rsid w:val="000E378E"/>
    <w:rsid w:val="000E3798"/>
    <w:rsid w:val="000E37BB"/>
    <w:rsid w:val="000E38AB"/>
    <w:rsid w:val="000E38FC"/>
    <w:rsid w:val="000E391F"/>
    <w:rsid w:val="000E3961"/>
    <w:rsid w:val="000E397B"/>
    <w:rsid w:val="000E39EC"/>
    <w:rsid w:val="000E3A36"/>
    <w:rsid w:val="000E3C0B"/>
    <w:rsid w:val="000E3C58"/>
    <w:rsid w:val="000E3D69"/>
    <w:rsid w:val="000E3D7D"/>
    <w:rsid w:val="000E3DE7"/>
    <w:rsid w:val="000E3DEB"/>
    <w:rsid w:val="000E3E0F"/>
    <w:rsid w:val="000E3ECA"/>
    <w:rsid w:val="000E3EE9"/>
    <w:rsid w:val="000E3F23"/>
    <w:rsid w:val="000E3F6B"/>
    <w:rsid w:val="000E3FB5"/>
    <w:rsid w:val="000E3FEC"/>
    <w:rsid w:val="000E400C"/>
    <w:rsid w:val="000E401F"/>
    <w:rsid w:val="000E4035"/>
    <w:rsid w:val="000E405F"/>
    <w:rsid w:val="000E4060"/>
    <w:rsid w:val="000E429C"/>
    <w:rsid w:val="000E437B"/>
    <w:rsid w:val="000E449D"/>
    <w:rsid w:val="000E44C5"/>
    <w:rsid w:val="000E44CA"/>
    <w:rsid w:val="000E4581"/>
    <w:rsid w:val="000E45B5"/>
    <w:rsid w:val="000E4693"/>
    <w:rsid w:val="000E469E"/>
    <w:rsid w:val="000E472A"/>
    <w:rsid w:val="000E477C"/>
    <w:rsid w:val="000E4802"/>
    <w:rsid w:val="000E483C"/>
    <w:rsid w:val="000E4A2E"/>
    <w:rsid w:val="000E4A32"/>
    <w:rsid w:val="000E4A3A"/>
    <w:rsid w:val="000E4AEE"/>
    <w:rsid w:val="000E4B3F"/>
    <w:rsid w:val="000E4BD3"/>
    <w:rsid w:val="000E4C0F"/>
    <w:rsid w:val="000E4C97"/>
    <w:rsid w:val="000E4CA1"/>
    <w:rsid w:val="000E4E40"/>
    <w:rsid w:val="000E4EA6"/>
    <w:rsid w:val="000E4F95"/>
    <w:rsid w:val="000E4FAD"/>
    <w:rsid w:val="000E5042"/>
    <w:rsid w:val="000E5123"/>
    <w:rsid w:val="000E51C0"/>
    <w:rsid w:val="000E51C9"/>
    <w:rsid w:val="000E51D3"/>
    <w:rsid w:val="000E52C3"/>
    <w:rsid w:val="000E52EF"/>
    <w:rsid w:val="000E531F"/>
    <w:rsid w:val="000E532A"/>
    <w:rsid w:val="000E53D0"/>
    <w:rsid w:val="000E5445"/>
    <w:rsid w:val="000E546D"/>
    <w:rsid w:val="000E5499"/>
    <w:rsid w:val="000E54E0"/>
    <w:rsid w:val="000E559D"/>
    <w:rsid w:val="000E5627"/>
    <w:rsid w:val="000E56A1"/>
    <w:rsid w:val="000E56A6"/>
    <w:rsid w:val="000E5703"/>
    <w:rsid w:val="000E5772"/>
    <w:rsid w:val="000E584F"/>
    <w:rsid w:val="000E5876"/>
    <w:rsid w:val="000E588E"/>
    <w:rsid w:val="000E58B3"/>
    <w:rsid w:val="000E5932"/>
    <w:rsid w:val="000E5980"/>
    <w:rsid w:val="000E5AA8"/>
    <w:rsid w:val="000E5AFA"/>
    <w:rsid w:val="000E5BD3"/>
    <w:rsid w:val="000E5CC7"/>
    <w:rsid w:val="000E5D02"/>
    <w:rsid w:val="000E5D9F"/>
    <w:rsid w:val="000E5DD6"/>
    <w:rsid w:val="000E5EA5"/>
    <w:rsid w:val="000E5F1B"/>
    <w:rsid w:val="000E5F28"/>
    <w:rsid w:val="000E5F3D"/>
    <w:rsid w:val="000E600C"/>
    <w:rsid w:val="000E6024"/>
    <w:rsid w:val="000E6048"/>
    <w:rsid w:val="000E609E"/>
    <w:rsid w:val="000E60B8"/>
    <w:rsid w:val="000E6137"/>
    <w:rsid w:val="000E61F6"/>
    <w:rsid w:val="000E626F"/>
    <w:rsid w:val="000E62DC"/>
    <w:rsid w:val="000E62EB"/>
    <w:rsid w:val="000E635D"/>
    <w:rsid w:val="000E6676"/>
    <w:rsid w:val="000E6694"/>
    <w:rsid w:val="000E6743"/>
    <w:rsid w:val="000E674B"/>
    <w:rsid w:val="000E683D"/>
    <w:rsid w:val="000E68F1"/>
    <w:rsid w:val="000E6954"/>
    <w:rsid w:val="000E695D"/>
    <w:rsid w:val="000E69D0"/>
    <w:rsid w:val="000E6AFC"/>
    <w:rsid w:val="000E6B08"/>
    <w:rsid w:val="000E6B42"/>
    <w:rsid w:val="000E6B5D"/>
    <w:rsid w:val="000E6C16"/>
    <w:rsid w:val="000E6F20"/>
    <w:rsid w:val="000E6F9C"/>
    <w:rsid w:val="000E6FA5"/>
    <w:rsid w:val="000E7016"/>
    <w:rsid w:val="000E708C"/>
    <w:rsid w:val="000E710D"/>
    <w:rsid w:val="000E7329"/>
    <w:rsid w:val="000E752D"/>
    <w:rsid w:val="000E75B7"/>
    <w:rsid w:val="000E763B"/>
    <w:rsid w:val="000E770A"/>
    <w:rsid w:val="000E7713"/>
    <w:rsid w:val="000E7717"/>
    <w:rsid w:val="000E772C"/>
    <w:rsid w:val="000E77DA"/>
    <w:rsid w:val="000E798D"/>
    <w:rsid w:val="000E7AC1"/>
    <w:rsid w:val="000E7ACC"/>
    <w:rsid w:val="000E7B1A"/>
    <w:rsid w:val="000E7B31"/>
    <w:rsid w:val="000E7BD6"/>
    <w:rsid w:val="000E7BDC"/>
    <w:rsid w:val="000E7C09"/>
    <w:rsid w:val="000E7E0D"/>
    <w:rsid w:val="000E7E8C"/>
    <w:rsid w:val="000E7EAC"/>
    <w:rsid w:val="000E7EF1"/>
    <w:rsid w:val="000E7F1F"/>
    <w:rsid w:val="000E7F51"/>
    <w:rsid w:val="000F00BF"/>
    <w:rsid w:val="000F0205"/>
    <w:rsid w:val="000F034A"/>
    <w:rsid w:val="000F039A"/>
    <w:rsid w:val="000F0408"/>
    <w:rsid w:val="000F04E0"/>
    <w:rsid w:val="000F050B"/>
    <w:rsid w:val="000F0583"/>
    <w:rsid w:val="000F0593"/>
    <w:rsid w:val="000F05EF"/>
    <w:rsid w:val="000F076C"/>
    <w:rsid w:val="000F0871"/>
    <w:rsid w:val="000F08AE"/>
    <w:rsid w:val="000F0983"/>
    <w:rsid w:val="000F0A7D"/>
    <w:rsid w:val="000F0ADD"/>
    <w:rsid w:val="000F0B5D"/>
    <w:rsid w:val="000F0CC7"/>
    <w:rsid w:val="000F0D0B"/>
    <w:rsid w:val="000F0D41"/>
    <w:rsid w:val="000F0D8C"/>
    <w:rsid w:val="000F0DD8"/>
    <w:rsid w:val="000F0E52"/>
    <w:rsid w:val="000F0E81"/>
    <w:rsid w:val="000F0E84"/>
    <w:rsid w:val="000F100B"/>
    <w:rsid w:val="000F111F"/>
    <w:rsid w:val="000F1121"/>
    <w:rsid w:val="000F11FC"/>
    <w:rsid w:val="000F1215"/>
    <w:rsid w:val="000F12F0"/>
    <w:rsid w:val="000F1347"/>
    <w:rsid w:val="000F13A5"/>
    <w:rsid w:val="000F14FD"/>
    <w:rsid w:val="000F1514"/>
    <w:rsid w:val="000F1587"/>
    <w:rsid w:val="000F166D"/>
    <w:rsid w:val="000F16DF"/>
    <w:rsid w:val="000F1789"/>
    <w:rsid w:val="000F1808"/>
    <w:rsid w:val="000F1908"/>
    <w:rsid w:val="000F197A"/>
    <w:rsid w:val="000F19BA"/>
    <w:rsid w:val="000F19C0"/>
    <w:rsid w:val="000F19E7"/>
    <w:rsid w:val="000F19FF"/>
    <w:rsid w:val="000F1BF5"/>
    <w:rsid w:val="000F1C0C"/>
    <w:rsid w:val="000F1D5E"/>
    <w:rsid w:val="000F1E61"/>
    <w:rsid w:val="000F1E93"/>
    <w:rsid w:val="000F1EA8"/>
    <w:rsid w:val="000F1F83"/>
    <w:rsid w:val="000F1FB3"/>
    <w:rsid w:val="000F2256"/>
    <w:rsid w:val="000F225F"/>
    <w:rsid w:val="000F22B4"/>
    <w:rsid w:val="000F239F"/>
    <w:rsid w:val="000F23EA"/>
    <w:rsid w:val="000F243A"/>
    <w:rsid w:val="000F2541"/>
    <w:rsid w:val="000F2544"/>
    <w:rsid w:val="000F2577"/>
    <w:rsid w:val="000F25A9"/>
    <w:rsid w:val="000F25BF"/>
    <w:rsid w:val="000F2613"/>
    <w:rsid w:val="000F26E8"/>
    <w:rsid w:val="000F290F"/>
    <w:rsid w:val="000F2915"/>
    <w:rsid w:val="000F293B"/>
    <w:rsid w:val="000F296D"/>
    <w:rsid w:val="000F29ED"/>
    <w:rsid w:val="000F2A52"/>
    <w:rsid w:val="000F2A75"/>
    <w:rsid w:val="000F2AEB"/>
    <w:rsid w:val="000F2B24"/>
    <w:rsid w:val="000F2B2E"/>
    <w:rsid w:val="000F2B37"/>
    <w:rsid w:val="000F2CAE"/>
    <w:rsid w:val="000F2D16"/>
    <w:rsid w:val="000F2D75"/>
    <w:rsid w:val="000F2EE1"/>
    <w:rsid w:val="000F2F90"/>
    <w:rsid w:val="000F2F9E"/>
    <w:rsid w:val="000F2FF4"/>
    <w:rsid w:val="000F301B"/>
    <w:rsid w:val="000F30DB"/>
    <w:rsid w:val="000F313A"/>
    <w:rsid w:val="000F33A8"/>
    <w:rsid w:val="000F33D6"/>
    <w:rsid w:val="000F33E9"/>
    <w:rsid w:val="000F342D"/>
    <w:rsid w:val="000F3479"/>
    <w:rsid w:val="000F35A9"/>
    <w:rsid w:val="000F35B4"/>
    <w:rsid w:val="000F35C0"/>
    <w:rsid w:val="000F372D"/>
    <w:rsid w:val="000F3781"/>
    <w:rsid w:val="000F37D1"/>
    <w:rsid w:val="000F383E"/>
    <w:rsid w:val="000F3872"/>
    <w:rsid w:val="000F387C"/>
    <w:rsid w:val="000F388B"/>
    <w:rsid w:val="000F38DC"/>
    <w:rsid w:val="000F394F"/>
    <w:rsid w:val="000F395B"/>
    <w:rsid w:val="000F39B5"/>
    <w:rsid w:val="000F3A77"/>
    <w:rsid w:val="000F3B8D"/>
    <w:rsid w:val="000F3CFA"/>
    <w:rsid w:val="000F3D14"/>
    <w:rsid w:val="000F3D48"/>
    <w:rsid w:val="000F3D99"/>
    <w:rsid w:val="000F3DD4"/>
    <w:rsid w:val="000F3E34"/>
    <w:rsid w:val="000F3E88"/>
    <w:rsid w:val="000F3F2B"/>
    <w:rsid w:val="000F3FE6"/>
    <w:rsid w:val="000F401D"/>
    <w:rsid w:val="000F41C1"/>
    <w:rsid w:val="000F4206"/>
    <w:rsid w:val="000F4230"/>
    <w:rsid w:val="000F4276"/>
    <w:rsid w:val="000F43AF"/>
    <w:rsid w:val="000F4438"/>
    <w:rsid w:val="000F443B"/>
    <w:rsid w:val="000F4799"/>
    <w:rsid w:val="000F4A47"/>
    <w:rsid w:val="000F4A68"/>
    <w:rsid w:val="000F4AAE"/>
    <w:rsid w:val="000F4AD8"/>
    <w:rsid w:val="000F4AE2"/>
    <w:rsid w:val="000F4BC8"/>
    <w:rsid w:val="000F4D0E"/>
    <w:rsid w:val="000F4E0E"/>
    <w:rsid w:val="000F4EC0"/>
    <w:rsid w:val="000F4ED2"/>
    <w:rsid w:val="000F4EEA"/>
    <w:rsid w:val="000F5062"/>
    <w:rsid w:val="000F50B3"/>
    <w:rsid w:val="000F52E6"/>
    <w:rsid w:val="000F5309"/>
    <w:rsid w:val="000F5385"/>
    <w:rsid w:val="000F540A"/>
    <w:rsid w:val="000F5414"/>
    <w:rsid w:val="000F541E"/>
    <w:rsid w:val="000F54CF"/>
    <w:rsid w:val="000F54F8"/>
    <w:rsid w:val="000F5747"/>
    <w:rsid w:val="000F5760"/>
    <w:rsid w:val="000F57AB"/>
    <w:rsid w:val="000F5807"/>
    <w:rsid w:val="000F583A"/>
    <w:rsid w:val="000F584A"/>
    <w:rsid w:val="000F5957"/>
    <w:rsid w:val="000F5964"/>
    <w:rsid w:val="000F59CD"/>
    <w:rsid w:val="000F59D4"/>
    <w:rsid w:val="000F5A86"/>
    <w:rsid w:val="000F5AAF"/>
    <w:rsid w:val="000F5B62"/>
    <w:rsid w:val="000F5B72"/>
    <w:rsid w:val="000F5C72"/>
    <w:rsid w:val="000F5D2B"/>
    <w:rsid w:val="000F5D38"/>
    <w:rsid w:val="000F5D7F"/>
    <w:rsid w:val="000F5DC7"/>
    <w:rsid w:val="000F5E9F"/>
    <w:rsid w:val="000F5F92"/>
    <w:rsid w:val="000F600B"/>
    <w:rsid w:val="000F60BA"/>
    <w:rsid w:val="000F60F4"/>
    <w:rsid w:val="000F60FC"/>
    <w:rsid w:val="000F610F"/>
    <w:rsid w:val="000F612D"/>
    <w:rsid w:val="000F6138"/>
    <w:rsid w:val="000F6217"/>
    <w:rsid w:val="000F6276"/>
    <w:rsid w:val="000F62A7"/>
    <w:rsid w:val="000F63CA"/>
    <w:rsid w:val="000F63F9"/>
    <w:rsid w:val="000F6411"/>
    <w:rsid w:val="000F6442"/>
    <w:rsid w:val="000F64EA"/>
    <w:rsid w:val="000F661D"/>
    <w:rsid w:val="000F6621"/>
    <w:rsid w:val="000F6633"/>
    <w:rsid w:val="000F6654"/>
    <w:rsid w:val="000F666F"/>
    <w:rsid w:val="000F66D7"/>
    <w:rsid w:val="000F66E2"/>
    <w:rsid w:val="000F670B"/>
    <w:rsid w:val="000F6793"/>
    <w:rsid w:val="000F67D0"/>
    <w:rsid w:val="000F67F1"/>
    <w:rsid w:val="000F6931"/>
    <w:rsid w:val="000F693C"/>
    <w:rsid w:val="000F6992"/>
    <w:rsid w:val="000F69BA"/>
    <w:rsid w:val="000F6CAD"/>
    <w:rsid w:val="000F6CDA"/>
    <w:rsid w:val="000F6D25"/>
    <w:rsid w:val="000F6DCC"/>
    <w:rsid w:val="000F6DE4"/>
    <w:rsid w:val="000F6E71"/>
    <w:rsid w:val="000F6F06"/>
    <w:rsid w:val="000F7058"/>
    <w:rsid w:val="000F70D6"/>
    <w:rsid w:val="000F70DD"/>
    <w:rsid w:val="000F7141"/>
    <w:rsid w:val="000F7264"/>
    <w:rsid w:val="000F72AC"/>
    <w:rsid w:val="000F737C"/>
    <w:rsid w:val="000F7419"/>
    <w:rsid w:val="000F744A"/>
    <w:rsid w:val="000F755B"/>
    <w:rsid w:val="000F75EC"/>
    <w:rsid w:val="000F7633"/>
    <w:rsid w:val="000F7774"/>
    <w:rsid w:val="000F779A"/>
    <w:rsid w:val="000F788D"/>
    <w:rsid w:val="000F78E8"/>
    <w:rsid w:val="000F793D"/>
    <w:rsid w:val="000F7955"/>
    <w:rsid w:val="000F79C6"/>
    <w:rsid w:val="000F7A6E"/>
    <w:rsid w:val="000F7AAF"/>
    <w:rsid w:val="000F7B49"/>
    <w:rsid w:val="000F7BAD"/>
    <w:rsid w:val="000F7BBB"/>
    <w:rsid w:val="000F7C06"/>
    <w:rsid w:val="000F7CBE"/>
    <w:rsid w:val="000F7D66"/>
    <w:rsid w:val="000F7E5E"/>
    <w:rsid w:val="000F7EB9"/>
    <w:rsid w:val="000F7ED7"/>
    <w:rsid w:val="000F7F6E"/>
    <w:rsid w:val="000F7F86"/>
    <w:rsid w:val="000F7FC9"/>
    <w:rsid w:val="001001A4"/>
    <w:rsid w:val="001001F9"/>
    <w:rsid w:val="0010020F"/>
    <w:rsid w:val="001003C6"/>
    <w:rsid w:val="00100450"/>
    <w:rsid w:val="001004A3"/>
    <w:rsid w:val="001004B4"/>
    <w:rsid w:val="001004D6"/>
    <w:rsid w:val="001004DC"/>
    <w:rsid w:val="001004E2"/>
    <w:rsid w:val="00100533"/>
    <w:rsid w:val="001005D8"/>
    <w:rsid w:val="00100618"/>
    <w:rsid w:val="00100736"/>
    <w:rsid w:val="0010074F"/>
    <w:rsid w:val="0010075B"/>
    <w:rsid w:val="00100763"/>
    <w:rsid w:val="001007A0"/>
    <w:rsid w:val="0010086E"/>
    <w:rsid w:val="00100948"/>
    <w:rsid w:val="00100AC0"/>
    <w:rsid w:val="00100B74"/>
    <w:rsid w:val="00100BBD"/>
    <w:rsid w:val="00100C54"/>
    <w:rsid w:val="00100D3D"/>
    <w:rsid w:val="00100D61"/>
    <w:rsid w:val="00100D74"/>
    <w:rsid w:val="00100DC1"/>
    <w:rsid w:val="00100E65"/>
    <w:rsid w:val="00100E9A"/>
    <w:rsid w:val="00100EB0"/>
    <w:rsid w:val="00101013"/>
    <w:rsid w:val="00101091"/>
    <w:rsid w:val="001010B1"/>
    <w:rsid w:val="00101123"/>
    <w:rsid w:val="00101167"/>
    <w:rsid w:val="001011BA"/>
    <w:rsid w:val="00101253"/>
    <w:rsid w:val="001012AC"/>
    <w:rsid w:val="00101363"/>
    <w:rsid w:val="001013BC"/>
    <w:rsid w:val="001013E6"/>
    <w:rsid w:val="001013F3"/>
    <w:rsid w:val="001014E5"/>
    <w:rsid w:val="00101504"/>
    <w:rsid w:val="0010150C"/>
    <w:rsid w:val="001015C6"/>
    <w:rsid w:val="001015D7"/>
    <w:rsid w:val="0010169A"/>
    <w:rsid w:val="001017A1"/>
    <w:rsid w:val="001017BD"/>
    <w:rsid w:val="00101802"/>
    <w:rsid w:val="001018C6"/>
    <w:rsid w:val="001019EC"/>
    <w:rsid w:val="00101A03"/>
    <w:rsid w:val="00101AD1"/>
    <w:rsid w:val="00101AF9"/>
    <w:rsid w:val="00101B02"/>
    <w:rsid w:val="00101BBF"/>
    <w:rsid w:val="00101BE1"/>
    <w:rsid w:val="00101C6F"/>
    <w:rsid w:val="00101DCF"/>
    <w:rsid w:val="00101E26"/>
    <w:rsid w:val="00101E3F"/>
    <w:rsid w:val="00101E5C"/>
    <w:rsid w:val="00101E7C"/>
    <w:rsid w:val="00101F3B"/>
    <w:rsid w:val="00101FF2"/>
    <w:rsid w:val="00102165"/>
    <w:rsid w:val="001022B7"/>
    <w:rsid w:val="001022CE"/>
    <w:rsid w:val="0010233B"/>
    <w:rsid w:val="0010235E"/>
    <w:rsid w:val="00102386"/>
    <w:rsid w:val="001024D5"/>
    <w:rsid w:val="0010250F"/>
    <w:rsid w:val="00102531"/>
    <w:rsid w:val="0010268C"/>
    <w:rsid w:val="001026B6"/>
    <w:rsid w:val="001026C7"/>
    <w:rsid w:val="00102748"/>
    <w:rsid w:val="00102765"/>
    <w:rsid w:val="001029C9"/>
    <w:rsid w:val="00102A22"/>
    <w:rsid w:val="00102A96"/>
    <w:rsid w:val="00102B1E"/>
    <w:rsid w:val="00102B71"/>
    <w:rsid w:val="00102BAF"/>
    <w:rsid w:val="00102BD9"/>
    <w:rsid w:val="00102BEA"/>
    <w:rsid w:val="00102BF7"/>
    <w:rsid w:val="00102C03"/>
    <w:rsid w:val="00102C7C"/>
    <w:rsid w:val="00102D81"/>
    <w:rsid w:val="00102E09"/>
    <w:rsid w:val="00102E37"/>
    <w:rsid w:val="00102E60"/>
    <w:rsid w:val="00102F29"/>
    <w:rsid w:val="00102F76"/>
    <w:rsid w:val="00103024"/>
    <w:rsid w:val="0010303D"/>
    <w:rsid w:val="00103127"/>
    <w:rsid w:val="00103252"/>
    <w:rsid w:val="00103294"/>
    <w:rsid w:val="001033A6"/>
    <w:rsid w:val="0010341E"/>
    <w:rsid w:val="00103495"/>
    <w:rsid w:val="00103547"/>
    <w:rsid w:val="00103588"/>
    <w:rsid w:val="001035C0"/>
    <w:rsid w:val="0010366F"/>
    <w:rsid w:val="00103685"/>
    <w:rsid w:val="00103804"/>
    <w:rsid w:val="001039EB"/>
    <w:rsid w:val="00103A26"/>
    <w:rsid w:val="00103C1C"/>
    <w:rsid w:val="00103C55"/>
    <w:rsid w:val="00103D7D"/>
    <w:rsid w:val="00103EF6"/>
    <w:rsid w:val="0010410A"/>
    <w:rsid w:val="0010430C"/>
    <w:rsid w:val="001043B4"/>
    <w:rsid w:val="00104427"/>
    <w:rsid w:val="001044AE"/>
    <w:rsid w:val="001044DC"/>
    <w:rsid w:val="001044E1"/>
    <w:rsid w:val="0010466C"/>
    <w:rsid w:val="001046E7"/>
    <w:rsid w:val="001046FC"/>
    <w:rsid w:val="00104741"/>
    <w:rsid w:val="0010478E"/>
    <w:rsid w:val="001048FB"/>
    <w:rsid w:val="0010491A"/>
    <w:rsid w:val="00104951"/>
    <w:rsid w:val="00104957"/>
    <w:rsid w:val="00104983"/>
    <w:rsid w:val="001049EB"/>
    <w:rsid w:val="001049EC"/>
    <w:rsid w:val="00104A39"/>
    <w:rsid w:val="00104A81"/>
    <w:rsid w:val="00104B12"/>
    <w:rsid w:val="00104B79"/>
    <w:rsid w:val="00104C89"/>
    <w:rsid w:val="00104DC1"/>
    <w:rsid w:val="00104E7A"/>
    <w:rsid w:val="00104F24"/>
    <w:rsid w:val="00104FA2"/>
    <w:rsid w:val="00104FB7"/>
    <w:rsid w:val="001050F3"/>
    <w:rsid w:val="00105112"/>
    <w:rsid w:val="00105135"/>
    <w:rsid w:val="00105309"/>
    <w:rsid w:val="001053CC"/>
    <w:rsid w:val="001054FB"/>
    <w:rsid w:val="00105555"/>
    <w:rsid w:val="0010561A"/>
    <w:rsid w:val="0010565D"/>
    <w:rsid w:val="001056C8"/>
    <w:rsid w:val="0010570E"/>
    <w:rsid w:val="001058F2"/>
    <w:rsid w:val="0010594D"/>
    <w:rsid w:val="0010598A"/>
    <w:rsid w:val="00105A12"/>
    <w:rsid w:val="00105A5D"/>
    <w:rsid w:val="00105A65"/>
    <w:rsid w:val="00105B0A"/>
    <w:rsid w:val="00105BE2"/>
    <w:rsid w:val="00105C3B"/>
    <w:rsid w:val="00105CE3"/>
    <w:rsid w:val="00105D28"/>
    <w:rsid w:val="00105DD6"/>
    <w:rsid w:val="00105DEB"/>
    <w:rsid w:val="00105EFC"/>
    <w:rsid w:val="00105F26"/>
    <w:rsid w:val="00105F5A"/>
    <w:rsid w:val="00105FA0"/>
    <w:rsid w:val="00105FF1"/>
    <w:rsid w:val="00105FFF"/>
    <w:rsid w:val="00106019"/>
    <w:rsid w:val="0010601A"/>
    <w:rsid w:val="00106204"/>
    <w:rsid w:val="0010634B"/>
    <w:rsid w:val="0010635E"/>
    <w:rsid w:val="00106361"/>
    <w:rsid w:val="0010645D"/>
    <w:rsid w:val="001064CA"/>
    <w:rsid w:val="0010655E"/>
    <w:rsid w:val="001065D0"/>
    <w:rsid w:val="00106689"/>
    <w:rsid w:val="001066AF"/>
    <w:rsid w:val="001066BE"/>
    <w:rsid w:val="0010680D"/>
    <w:rsid w:val="00106892"/>
    <w:rsid w:val="00106897"/>
    <w:rsid w:val="001068B9"/>
    <w:rsid w:val="001068BE"/>
    <w:rsid w:val="00106953"/>
    <w:rsid w:val="00106A6B"/>
    <w:rsid w:val="00106B61"/>
    <w:rsid w:val="00106BB8"/>
    <w:rsid w:val="00106CA5"/>
    <w:rsid w:val="00106CDB"/>
    <w:rsid w:val="00106CFC"/>
    <w:rsid w:val="00106D51"/>
    <w:rsid w:val="00106F1F"/>
    <w:rsid w:val="00106F8A"/>
    <w:rsid w:val="00107001"/>
    <w:rsid w:val="00107101"/>
    <w:rsid w:val="00107155"/>
    <w:rsid w:val="00107224"/>
    <w:rsid w:val="001073DC"/>
    <w:rsid w:val="0010756D"/>
    <w:rsid w:val="00107757"/>
    <w:rsid w:val="00107858"/>
    <w:rsid w:val="0010785B"/>
    <w:rsid w:val="001078E3"/>
    <w:rsid w:val="001079C8"/>
    <w:rsid w:val="00107A0A"/>
    <w:rsid w:val="00107A7A"/>
    <w:rsid w:val="00107A90"/>
    <w:rsid w:val="00107B0B"/>
    <w:rsid w:val="00107B6E"/>
    <w:rsid w:val="00107D0D"/>
    <w:rsid w:val="00107D0F"/>
    <w:rsid w:val="00107D40"/>
    <w:rsid w:val="00107D6D"/>
    <w:rsid w:val="00107DFD"/>
    <w:rsid w:val="00107E11"/>
    <w:rsid w:val="00107E2F"/>
    <w:rsid w:val="00107EBF"/>
    <w:rsid w:val="00107F31"/>
    <w:rsid w:val="00107F77"/>
    <w:rsid w:val="00110034"/>
    <w:rsid w:val="00110056"/>
    <w:rsid w:val="0011007B"/>
    <w:rsid w:val="00110158"/>
    <w:rsid w:val="0011019A"/>
    <w:rsid w:val="001101AD"/>
    <w:rsid w:val="0011028D"/>
    <w:rsid w:val="001103DB"/>
    <w:rsid w:val="00110408"/>
    <w:rsid w:val="00110416"/>
    <w:rsid w:val="001104F3"/>
    <w:rsid w:val="001104FE"/>
    <w:rsid w:val="00110500"/>
    <w:rsid w:val="00110578"/>
    <w:rsid w:val="00110582"/>
    <w:rsid w:val="0011058E"/>
    <w:rsid w:val="00110623"/>
    <w:rsid w:val="001106A8"/>
    <w:rsid w:val="001107CD"/>
    <w:rsid w:val="0011080C"/>
    <w:rsid w:val="00110844"/>
    <w:rsid w:val="00110870"/>
    <w:rsid w:val="001108F3"/>
    <w:rsid w:val="0011093C"/>
    <w:rsid w:val="00110B70"/>
    <w:rsid w:val="00110B79"/>
    <w:rsid w:val="00110B85"/>
    <w:rsid w:val="00110B98"/>
    <w:rsid w:val="00110BD2"/>
    <w:rsid w:val="00110C1A"/>
    <w:rsid w:val="00110CD6"/>
    <w:rsid w:val="00110D01"/>
    <w:rsid w:val="00110DD8"/>
    <w:rsid w:val="00110DEF"/>
    <w:rsid w:val="00110E10"/>
    <w:rsid w:val="00110E20"/>
    <w:rsid w:val="00110FE5"/>
    <w:rsid w:val="001110F6"/>
    <w:rsid w:val="00111104"/>
    <w:rsid w:val="00111248"/>
    <w:rsid w:val="0011126B"/>
    <w:rsid w:val="0011135B"/>
    <w:rsid w:val="001113C9"/>
    <w:rsid w:val="0011151C"/>
    <w:rsid w:val="001115BA"/>
    <w:rsid w:val="00111607"/>
    <w:rsid w:val="001116E2"/>
    <w:rsid w:val="001116F7"/>
    <w:rsid w:val="0011185A"/>
    <w:rsid w:val="00111884"/>
    <w:rsid w:val="001118FF"/>
    <w:rsid w:val="0011191C"/>
    <w:rsid w:val="00111975"/>
    <w:rsid w:val="001119BD"/>
    <w:rsid w:val="00111A83"/>
    <w:rsid w:val="00111B24"/>
    <w:rsid w:val="00111BB4"/>
    <w:rsid w:val="00111C5D"/>
    <w:rsid w:val="00111CDD"/>
    <w:rsid w:val="00111D4A"/>
    <w:rsid w:val="00111D69"/>
    <w:rsid w:val="00111DC2"/>
    <w:rsid w:val="00111E0C"/>
    <w:rsid w:val="00111EC3"/>
    <w:rsid w:val="00111F2B"/>
    <w:rsid w:val="00111F33"/>
    <w:rsid w:val="00111FAA"/>
    <w:rsid w:val="001120A5"/>
    <w:rsid w:val="001120DE"/>
    <w:rsid w:val="001121D0"/>
    <w:rsid w:val="001122DA"/>
    <w:rsid w:val="00112309"/>
    <w:rsid w:val="0011230A"/>
    <w:rsid w:val="0011235A"/>
    <w:rsid w:val="0011238E"/>
    <w:rsid w:val="001124E1"/>
    <w:rsid w:val="00112537"/>
    <w:rsid w:val="0011253A"/>
    <w:rsid w:val="00112686"/>
    <w:rsid w:val="0011277E"/>
    <w:rsid w:val="00112965"/>
    <w:rsid w:val="001129AB"/>
    <w:rsid w:val="00112A1D"/>
    <w:rsid w:val="00112A28"/>
    <w:rsid w:val="00112AC1"/>
    <w:rsid w:val="00112C20"/>
    <w:rsid w:val="00112CFA"/>
    <w:rsid w:val="00112D1D"/>
    <w:rsid w:val="00112DB5"/>
    <w:rsid w:val="00112E10"/>
    <w:rsid w:val="00112E3D"/>
    <w:rsid w:val="00112FEC"/>
    <w:rsid w:val="0011302D"/>
    <w:rsid w:val="00113031"/>
    <w:rsid w:val="001130D9"/>
    <w:rsid w:val="00113138"/>
    <w:rsid w:val="001131A9"/>
    <w:rsid w:val="001131EF"/>
    <w:rsid w:val="00113211"/>
    <w:rsid w:val="001132E6"/>
    <w:rsid w:val="00113365"/>
    <w:rsid w:val="0011343F"/>
    <w:rsid w:val="00113488"/>
    <w:rsid w:val="0011355C"/>
    <w:rsid w:val="0011366A"/>
    <w:rsid w:val="001136AD"/>
    <w:rsid w:val="00113B1E"/>
    <w:rsid w:val="00113B5B"/>
    <w:rsid w:val="00113B6E"/>
    <w:rsid w:val="00113B97"/>
    <w:rsid w:val="00113BAC"/>
    <w:rsid w:val="00113BEF"/>
    <w:rsid w:val="00113BF9"/>
    <w:rsid w:val="00113C2B"/>
    <w:rsid w:val="00113C9D"/>
    <w:rsid w:val="00113D43"/>
    <w:rsid w:val="00113DB3"/>
    <w:rsid w:val="00113E2F"/>
    <w:rsid w:val="00113EC5"/>
    <w:rsid w:val="00114082"/>
    <w:rsid w:val="001140DF"/>
    <w:rsid w:val="00114130"/>
    <w:rsid w:val="001142A4"/>
    <w:rsid w:val="00114373"/>
    <w:rsid w:val="001143C9"/>
    <w:rsid w:val="00114477"/>
    <w:rsid w:val="00114492"/>
    <w:rsid w:val="00114497"/>
    <w:rsid w:val="001144B5"/>
    <w:rsid w:val="0011458A"/>
    <w:rsid w:val="00114592"/>
    <w:rsid w:val="00114648"/>
    <w:rsid w:val="0011465A"/>
    <w:rsid w:val="00114674"/>
    <w:rsid w:val="00114745"/>
    <w:rsid w:val="0011480F"/>
    <w:rsid w:val="0011481A"/>
    <w:rsid w:val="001148AE"/>
    <w:rsid w:val="001148B5"/>
    <w:rsid w:val="0011490D"/>
    <w:rsid w:val="0011492B"/>
    <w:rsid w:val="00114A02"/>
    <w:rsid w:val="00114AE1"/>
    <w:rsid w:val="00114B0C"/>
    <w:rsid w:val="00114B72"/>
    <w:rsid w:val="00114BC7"/>
    <w:rsid w:val="00114C1E"/>
    <w:rsid w:val="00114C7A"/>
    <w:rsid w:val="00114CB6"/>
    <w:rsid w:val="00114D63"/>
    <w:rsid w:val="00114DA8"/>
    <w:rsid w:val="00114E02"/>
    <w:rsid w:val="00114E45"/>
    <w:rsid w:val="00114F27"/>
    <w:rsid w:val="00114F6F"/>
    <w:rsid w:val="00114F9F"/>
    <w:rsid w:val="00115057"/>
    <w:rsid w:val="001150A0"/>
    <w:rsid w:val="001150BC"/>
    <w:rsid w:val="0011510D"/>
    <w:rsid w:val="0011510F"/>
    <w:rsid w:val="0011513F"/>
    <w:rsid w:val="001151A5"/>
    <w:rsid w:val="001151D6"/>
    <w:rsid w:val="0011529C"/>
    <w:rsid w:val="001152B6"/>
    <w:rsid w:val="001153DD"/>
    <w:rsid w:val="0011543C"/>
    <w:rsid w:val="001154FD"/>
    <w:rsid w:val="00115567"/>
    <w:rsid w:val="001156C3"/>
    <w:rsid w:val="0011570A"/>
    <w:rsid w:val="00115732"/>
    <w:rsid w:val="001157AF"/>
    <w:rsid w:val="001157B6"/>
    <w:rsid w:val="001157C5"/>
    <w:rsid w:val="001158CE"/>
    <w:rsid w:val="0011592F"/>
    <w:rsid w:val="00115B03"/>
    <w:rsid w:val="00115B22"/>
    <w:rsid w:val="00115B27"/>
    <w:rsid w:val="00115D2D"/>
    <w:rsid w:val="00115E4A"/>
    <w:rsid w:val="00115EAF"/>
    <w:rsid w:val="00115ECA"/>
    <w:rsid w:val="00115EDD"/>
    <w:rsid w:val="00115F79"/>
    <w:rsid w:val="00116210"/>
    <w:rsid w:val="0011626E"/>
    <w:rsid w:val="001163FB"/>
    <w:rsid w:val="00116422"/>
    <w:rsid w:val="00116438"/>
    <w:rsid w:val="0011644E"/>
    <w:rsid w:val="001165A0"/>
    <w:rsid w:val="001166C9"/>
    <w:rsid w:val="00116789"/>
    <w:rsid w:val="001167A5"/>
    <w:rsid w:val="001168AD"/>
    <w:rsid w:val="001168E2"/>
    <w:rsid w:val="00116911"/>
    <w:rsid w:val="0011693F"/>
    <w:rsid w:val="0011694A"/>
    <w:rsid w:val="001169A5"/>
    <w:rsid w:val="001169B1"/>
    <w:rsid w:val="00116AA8"/>
    <w:rsid w:val="00116BC6"/>
    <w:rsid w:val="00116C65"/>
    <w:rsid w:val="00116D0B"/>
    <w:rsid w:val="00116E96"/>
    <w:rsid w:val="00116EA4"/>
    <w:rsid w:val="00116EAA"/>
    <w:rsid w:val="00116EF7"/>
    <w:rsid w:val="00116F54"/>
    <w:rsid w:val="00117047"/>
    <w:rsid w:val="001170BC"/>
    <w:rsid w:val="0011716F"/>
    <w:rsid w:val="00117196"/>
    <w:rsid w:val="00117292"/>
    <w:rsid w:val="001172EB"/>
    <w:rsid w:val="00117396"/>
    <w:rsid w:val="0011747E"/>
    <w:rsid w:val="001174D6"/>
    <w:rsid w:val="0011750E"/>
    <w:rsid w:val="00117515"/>
    <w:rsid w:val="0011771B"/>
    <w:rsid w:val="00117755"/>
    <w:rsid w:val="0011776D"/>
    <w:rsid w:val="0011783B"/>
    <w:rsid w:val="001178F5"/>
    <w:rsid w:val="0011795F"/>
    <w:rsid w:val="00117997"/>
    <w:rsid w:val="00117B9B"/>
    <w:rsid w:val="00117BD0"/>
    <w:rsid w:val="00117C90"/>
    <w:rsid w:val="00117CD4"/>
    <w:rsid w:val="00117CD8"/>
    <w:rsid w:val="00117CF1"/>
    <w:rsid w:val="00117D9D"/>
    <w:rsid w:val="00117DCA"/>
    <w:rsid w:val="00117DCE"/>
    <w:rsid w:val="00117DD9"/>
    <w:rsid w:val="00117E97"/>
    <w:rsid w:val="00117E9E"/>
    <w:rsid w:val="00117F9B"/>
    <w:rsid w:val="00120234"/>
    <w:rsid w:val="001204C5"/>
    <w:rsid w:val="00120596"/>
    <w:rsid w:val="001205E1"/>
    <w:rsid w:val="00120606"/>
    <w:rsid w:val="001206C9"/>
    <w:rsid w:val="001206EF"/>
    <w:rsid w:val="001207BB"/>
    <w:rsid w:val="001207D4"/>
    <w:rsid w:val="00120893"/>
    <w:rsid w:val="0012093E"/>
    <w:rsid w:val="00120A11"/>
    <w:rsid w:val="00120ABF"/>
    <w:rsid w:val="00120BA1"/>
    <w:rsid w:val="00120C0E"/>
    <w:rsid w:val="00120CC5"/>
    <w:rsid w:val="00120D1D"/>
    <w:rsid w:val="00120DB5"/>
    <w:rsid w:val="00120E7A"/>
    <w:rsid w:val="00120FBD"/>
    <w:rsid w:val="001210D3"/>
    <w:rsid w:val="00121103"/>
    <w:rsid w:val="0012113E"/>
    <w:rsid w:val="00121146"/>
    <w:rsid w:val="0012120B"/>
    <w:rsid w:val="00121285"/>
    <w:rsid w:val="001212E7"/>
    <w:rsid w:val="0012130B"/>
    <w:rsid w:val="0012139B"/>
    <w:rsid w:val="001213D8"/>
    <w:rsid w:val="00121422"/>
    <w:rsid w:val="001215C1"/>
    <w:rsid w:val="00121688"/>
    <w:rsid w:val="001216D4"/>
    <w:rsid w:val="001216E2"/>
    <w:rsid w:val="00121726"/>
    <w:rsid w:val="0012176B"/>
    <w:rsid w:val="001217AF"/>
    <w:rsid w:val="00121829"/>
    <w:rsid w:val="001218AC"/>
    <w:rsid w:val="00121909"/>
    <w:rsid w:val="0012190E"/>
    <w:rsid w:val="001219C7"/>
    <w:rsid w:val="00121A75"/>
    <w:rsid w:val="00121AA4"/>
    <w:rsid w:val="00121ACA"/>
    <w:rsid w:val="00121AE5"/>
    <w:rsid w:val="00121BD4"/>
    <w:rsid w:val="00121C03"/>
    <w:rsid w:val="00121C45"/>
    <w:rsid w:val="00121C85"/>
    <w:rsid w:val="00121CA8"/>
    <w:rsid w:val="00121DE7"/>
    <w:rsid w:val="00121E2F"/>
    <w:rsid w:val="00121E52"/>
    <w:rsid w:val="00121E5F"/>
    <w:rsid w:val="00121F94"/>
    <w:rsid w:val="001220D9"/>
    <w:rsid w:val="0012215A"/>
    <w:rsid w:val="001221C7"/>
    <w:rsid w:val="00122219"/>
    <w:rsid w:val="00122243"/>
    <w:rsid w:val="00122299"/>
    <w:rsid w:val="00122360"/>
    <w:rsid w:val="00122375"/>
    <w:rsid w:val="00122398"/>
    <w:rsid w:val="001223C2"/>
    <w:rsid w:val="0012261F"/>
    <w:rsid w:val="00122726"/>
    <w:rsid w:val="001227A5"/>
    <w:rsid w:val="001227B6"/>
    <w:rsid w:val="001227D3"/>
    <w:rsid w:val="00122846"/>
    <w:rsid w:val="00122850"/>
    <w:rsid w:val="001228B7"/>
    <w:rsid w:val="001228DB"/>
    <w:rsid w:val="001228FB"/>
    <w:rsid w:val="00122922"/>
    <w:rsid w:val="001229E6"/>
    <w:rsid w:val="00122A2E"/>
    <w:rsid w:val="00122A41"/>
    <w:rsid w:val="00122AA0"/>
    <w:rsid w:val="00122BDB"/>
    <w:rsid w:val="00122D21"/>
    <w:rsid w:val="00122D36"/>
    <w:rsid w:val="00122D57"/>
    <w:rsid w:val="00122D6C"/>
    <w:rsid w:val="00122DA6"/>
    <w:rsid w:val="00122DA7"/>
    <w:rsid w:val="00122DD9"/>
    <w:rsid w:val="00122DE5"/>
    <w:rsid w:val="00122DE7"/>
    <w:rsid w:val="00122E15"/>
    <w:rsid w:val="00122F1E"/>
    <w:rsid w:val="001230B4"/>
    <w:rsid w:val="001230CB"/>
    <w:rsid w:val="001231A9"/>
    <w:rsid w:val="001231C5"/>
    <w:rsid w:val="00123227"/>
    <w:rsid w:val="001232F0"/>
    <w:rsid w:val="00123306"/>
    <w:rsid w:val="001233B7"/>
    <w:rsid w:val="001233D2"/>
    <w:rsid w:val="00123486"/>
    <w:rsid w:val="00123533"/>
    <w:rsid w:val="00123590"/>
    <w:rsid w:val="001235D8"/>
    <w:rsid w:val="001236A8"/>
    <w:rsid w:val="00123758"/>
    <w:rsid w:val="00123789"/>
    <w:rsid w:val="00123797"/>
    <w:rsid w:val="001237B7"/>
    <w:rsid w:val="00123842"/>
    <w:rsid w:val="00123845"/>
    <w:rsid w:val="00123884"/>
    <w:rsid w:val="001238C1"/>
    <w:rsid w:val="001239B3"/>
    <w:rsid w:val="00123A04"/>
    <w:rsid w:val="00123A49"/>
    <w:rsid w:val="00123AB1"/>
    <w:rsid w:val="00123AB3"/>
    <w:rsid w:val="00123ACA"/>
    <w:rsid w:val="00123AF6"/>
    <w:rsid w:val="00123B4F"/>
    <w:rsid w:val="00123BD1"/>
    <w:rsid w:val="00123C2B"/>
    <w:rsid w:val="00123C4A"/>
    <w:rsid w:val="00123D26"/>
    <w:rsid w:val="00123E86"/>
    <w:rsid w:val="00123EB2"/>
    <w:rsid w:val="00123EB7"/>
    <w:rsid w:val="00123EFC"/>
    <w:rsid w:val="00123F7B"/>
    <w:rsid w:val="00123F9D"/>
    <w:rsid w:val="001240E6"/>
    <w:rsid w:val="0012415B"/>
    <w:rsid w:val="00124249"/>
    <w:rsid w:val="0012426E"/>
    <w:rsid w:val="00124338"/>
    <w:rsid w:val="001244F6"/>
    <w:rsid w:val="0012451D"/>
    <w:rsid w:val="00124636"/>
    <w:rsid w:val="0012466E"/>
    <w:rsid w:val="00124689"/>
    <w:rsid w:val="00124711"/>
    <w:rsid w:val="00124878"/>
    <w:rsid w:val="001248C7"/>
    <w:rsid w:val="00124912"/>
    <w:rsid w:val="0012498D"/>
    <w:rsid w:val="00124ADD"/>
    <w:rsid w:val="00124B91"/>
    <w:rsid w:val="00124BCC"/>
    <w:rsid w:val="00124C60"/>
    <w:rsid w:val="00124C67"/>
    <w:rsid w:val="00124CC5"/>
    <w:rsid w:val="00124CE1"/>
    <w:rsid w:val="00124E17"/>
    <w:rsid w:val="00124E96"/>
    <w:rsid w:val="00124F0E"/>
    <w:rsid w:val="00125117"/>
    <w:rsid w:val="00125136"/>
    <w:rsid w:val="0012538C"/>
    <w:rsid w:val="0012539D"/>
    <w:rsid w:val="001253C4"/>
    <w:rsid w:val="001253EC"/>
    <w:rsid w:val="00125637"/>
    <w:rsid w:val="001256B3"/>
    <w:rsid w:val="001256BE"/>
    <w:rsid w:val="00125706"/>
    <w:rsid w:val="00125708"/>
    <w:rsid w:val="00125807"/>
    <w:rsid w:val="0012581A"/>
    <w:rsid w:val="001258DD"/>
    <w:rsid w:val="00125909"/>
    <w:rsid w:val="00125915"/>
    <w:rsid w:val="0012592A"/>
    <w:rsid w:val="001259C2"/>
    <w:rsid w:val="001259D0"/>
    <w:rsid w:val="001259F1"/>
    <w:rsid w:val="00125A34"/>
    <w:rsid w:val="00125ABA"/>
    <w:rsid w:val="00125BD9"/>
    <w:rsid w:val="00125C3C"/>
    <w:rsid w:val="00125C7B"/>
    <w:rsid w:val="00125CE8"/>
    <w:rsid w:val="00125D54"/>
    <w:rsid w:val="00125DF5"/>
    <w:rsid w:val="00125E8A"/>
    <w:rsid w:val="00125E8F"/>
    <w:rsid w:val="00125E9B"/>
    <w:rsid w:val="00125F8B"/>
    <w:rsid w:val="00125F97"/>
    <w:rsid w:val="00125FAB"/>
    <w:rsid w:val="0012612C"/>
    <w:rsid w:val="001261E0"/>
    <w:rsid w:val="001262DC"/>
    <w:rsid w:val="0012636A"/>
    <w:rsid w:val="00126397"/>
    <w:rsid w:val="001263FB"/>
    <w:rsid w:val="00126461"/>
    <w:rsid w:val="001264AA"/>
    <w:rsid w:val="001264BE"/>
    <w:rsid w:val="001264FC"/>
    <w:rsid w:val="00126590"/>
    <w:rsid w:val="001265B2"/>
    <w:rsid w:val="0012661A"/>
    <w:rsid w:val="001266EC"/>
    <w:rsid w:val="001267BA"/>
    <w:rsid w:val="001267C7"/>
    <w:rsid w:val="0012693C"/>
    <w:rsid w:val="00126949"/>
    <w:rsid w:val="001269A7"/>
    <w:rsid w:val="00126A3A"/>
    <w:rsid w:val="00126ADD"/>
    <w:rsid w:val="00126B0B"/>
    <w:rsid w:val="00126B19"/>
    <w:rsid w:val="00126B66"/>
    <w:rsid w:val="00126C62"/>
    <w:rsid w:val="00126C91"/>
    <w:rsid w:val="00126CDE"/>
    <w:rsid w:val="00126D70"/>
    <w:rsid w:val="00126E51"/>
    <w:rsid w:val="00126F0D"/>
    <w:rsid w:val="00126F51"/>
    <w:rsid w:val="00126F97"/>
    <w:rsid w:val="00126FE8"/>
    <w:rsid w:val="001270A0"/>
    <w:rsid w:val="00127105"/>
    <w:rsid w:val="001271B2"/>
    <w:rsid w:val="001271E0"/>
    <w:rsid w:val="00127215"/>
    <w:rsid w:val="0012735C"/>
    <w:rsid w:val="00127491"/>
    <w:rsid w:val="001274D3"/>
    <w:rsid w:val="00127504"/>
    <w:rsid w:val="001275A9"/>
    <w:rsid w:val="00127650"/>
    <w:rsid w:val="0012765A"/>
    <w:rsid w:val="0012768F"/>
    <w:rsid w:val="001276C6"/>
    <w:rsid w:val="00127740"/>
    <w:rsid w:val="001277C1"/>
    <w:rsid w:val="00127803"/>
    <w:rsid w:val="001278F9"/>
    <w:rsid w:val="00127903"/>
    <w:rsid w:val="00127963"/>
    <w:rsid w:val="0012797C"/>
    <w:rsid w:val="0012797D"/>
    <w:rsid w:val="001279B9"/>
    <w:rsid w:val="00127A69"/>
    <w:rsid w:val="00127AD7"/>
    <w:rsid w:val="00127C48"/>
    <w:rsid w:val="00127DA8"/>
    <w:rsid w:val="00127EF3"/>
    <w:rsid w:val="00127EF6"/>
    <w:rsid w:val="00127F85"/>
    <w:rsid w:val="00127F86"/>
    <w:rsid w:val="0013006B"/>
    <w:rsid w:val="001300D4"/>
    <w:rsid w:val="00130158"/>
    <w:rsid w:val="0013028B"/>
    <w:rsid w:val="001303D5"/>
    <w:rsid w:val="00130473"/>
    <w:rsid w:val="001305C4"/>
    <w:rsid w:val="00130653"/>
    <w:rsid w:val="0013065B"/>
    <w:rsid w:val="001307B0"/>
    <w:rsid w:val="001307C0"/>
    <w:rsid w:val="001307F3"/>
    <w:rsid w:val="001308C3"/>
    <w:rsid w:val="001309AE"/>
    <w:rsid w:val="00130A0D"/>
    <w:rsid w:val="00130A22"/>
    <w:rsid w:val="00130A51"/>
    <w:rsid w:val="00130A9A"/>
    <w:rsid w:val="00130AE0"/>
    <w:rsid w:val="00130B3E"/>
    <w:rsid w:val="00130B97"/>
    <w:rsid w:val="00130BD3"/>
    <w:rsid w:val="00130C4B"/>
    <w:rsid w:val="00130C91"/>
    <w:rsid w:val="00130CBA"/>
    <w:rsid w:val="00130CD7"/>
    <w:rsid w:val="00130D09"/>
    <w:rsid w:val="00130DE0"/>
    <w:rsid w:val="00130DEB"/>
    <w:rsid w:val="00130E40"/>
    <w:rsid w:val="00130EC3"/>
    <w:rsid w:val="00131027"/>
    <w:rsid w:val="0013114D"/>
    <w:rsid w:val="00131189"/>
    <w:rsid w:val="0013122A"/>
    <w:rsid w:val="0013124D"/>
    <w:rsid w:val="00131285"/>
    <w:rsid w:val="0013131F"/>
    <w:rsid w:val="001314E6"/>
    <w:rsid w:val="0013169C"/>
    <w:rsid w:val="001316A8"/>
    <w:rsid w:val="001317FB"/>
    <w:rsid w:val="001318E6"/>
    <w:rsid w:val="001319EA"/>
    <w:rsid w:val="00131AE1"/>
    <w:rsid w:val="00131AE6"/>
    <w:rsid w:val="00131BCD"/>
    <w:rsid w:val="00131D0C"/>
    <w:rsid w:val="00131D52"/>
    <w:rsid w:val="00131DEA"/>
    <w:rsid w:val="00131E1C"/>
    <w:rsid w:val="00131E38"/>
    <w:rsid w:val="00131F07"/>
    <w:rsid w:val="00131F08"/>
    <w:rsid w:val="00131F70"/>
    <w:rsid w:val="00131FF7"/>
    <w:rsid w:val="00132050"/>
    <w:rsid w:val="001320D1"/>
    <w:rsid w:val="001320E9"/>
    <w:rsid w:val="0013215B"/>
    <w:rsid w:val="00132206"/>
    <w:rsid w:val="0013229E"/>
    <w:rsid w:val="001322A7"/>
    <w:rsid w:val="0013236C"/>
    <w:rsid w:val="001323AF"/>
    <w:rsid w:val="001324CD"/>
    <w:rsid w:val="0013254D"/>
    <w:rsid w:val="0013255A"/>
    <w:rsid w:val="0013269F"/>
    <w:rsid w:val="001326CC"/>
    <w:rsid w:val="00132806"/>
    <w:rsid w:val="001328A7"/>
    <w:rsid w:val="00132966"/>
    <w:rsid w:val="00132998"/>
    <w:rsid w:val="00132A77"/>
    <w:rsid w:val="00132B3F"/>
    <w:rsid w:val="00132B57"/>
    <w:rsid w:val="00132C14"/>
    <w:rsid w:val="00132CC1"/>
    <w:rsid w:val="00132CDB"/>
    <w:rsid w:val="00132D0C"/>
    <w:rsid w:val="00132D28"/>
    <w:rsid w:val="00132D6F"/>
    <w:rsid w:val="00132E1A"/>
    <w:rsid w:val="00132E37"/>
    <w:rsid w:val="00132E58"/>
    <w:rsid w:val="00132F95"/>
    <w:rsid w:val="00132F9E"/>
    <w:rsid w:val="00132FE2"/>
    <w:rsid w:val="00133014"/>
    <w:rsid w:val="00133050"/>
    <w:rsid w:val="001330C0"/>
    <w:rsid w:val="001330E2"/>
    <w:rsid w:val="00133187"/>
    <w:rsid w:val="001331BE"/>
    <w:rsid w:val="00133209"/>
    <w:rsid w:val="00133230"/>
    <w:rsid w:val="0013333B"/>
    <w:rsid w:val="0013337D"/>
    <w:rsid w:val="00133382"/>
    <w:rsid w:val="001333AC"/>
    <w:rsid w:val="0013341D"/>
    <w:rsid w:val="001334AE"/>
    <w:rsid w:val="0013353D"/>
    <w:rsid w:val="00133594"/>
    <w:rsid w:val="00133672"/>
    <w:rsid w:val="001338D5"/>
    <w:rsid w:val="00133940"/>
    <w:rsid w:val="00133A30"/>
    <w:rsid w:val="00133A3D"/>
    <w:rsid w:val="00133BD1"/>
    <w:rsid w:val="00133BE6"/>
    <w:rsid w:val="00133C6E"/>
    <w:rsid w:val="00133D6B"/>
    <w:rsid w:val="00133D92"/>
    <w:rsid w:val="00133DAF"/>
    <w:rsid w:val="001340FF"/>
    <w:rsid w:val="0013418E"/>
    <w:rsid w:val="0013426A"/>
    <w:rsid w:val="0013431D"/>
    <w:rsid w:val="0013438A"/>
    <w:rsid w:val="001343BB"/>
    <w:rsid w:val="0013446F"/>
    <w:rsid w:val="001344A2"/>
    <w:rsid w:val="001344D0"/>
    <w:rsid w:val="001344E9"/>
    <w:rsid w:val="0013453F"/>
    <w:rsid w:val="001345B3"/>
    <w:rsid w:val="001345BA"/>
    <w:rsid w:val="00134696"/>
    <w:rsid w:val="001346C6"/>
    <w:rsid w:val="0013472C"/>
    <w:rsid w:val="00134749"/>
    <w:rsid w:val="0013479C"/>
    <w:rsid w:val="0013486B"/>
    <w:rsid w:val="00134ADE"/>
    <w:rsid w:val="00134B33"/>
    <w:rsid w:val="00134B6E"/>
    <w:rsid w:val="00134BF6"/>
    <w:rsid w:val="00134C2D"/>
    <w:rsid w:val="00134C5B"/>
    <w:rsid w:val="00134DCE"/>
    <w:rsid w:val="00134DFC"/>
    <w:rsid w:val="00134E81"/>
    <w:rsid w:val="00134EBE"/>
    <w:rsid w:val="00134F06"/>
    <w:rsid w:val="00134F61"/>
    <w:rsid w:val="0013507A"/>
    <w:rsid w:val="001350A9"/>
    <w:rsid w:val="001350D7"/>
    <w:rsid w:val="00135229"/>
    <w:rsid w:val="00135258"/>
    <w:rsid w:val="00135295"/>
    <w:rsid w:val="001352BC"/>
    <w:rsid w:val="00135350"/>
    <w:rsid w:val="00135358"/>
    <w:rsid w:val="0013535A"/>
    <w:rsid w:val="00135624"/>
    <w:rsid w:val="00135738"/>
    <w:rsid w:val="00135840"/>
    <w:rsid w:val="00135877"/>
    <w:rsid w:val="00135939"/>
    <w:rsid w:val="0013595D"/>
    <w:rsid w:val="001359B2"/>
    <w:rsid w:val="00135A05"/>
    <w:rsid w:val="00135A2A"/>
    <w:rsid w:val="00135A8F"/>
    <w:rsid w:val="00135B26"/>
    <w:rsid w:val="00135B5A"/>
    <w:rsid w:val="00135BC5"/>
    <w:rsid w:val="00135C37"/>
    <w:rsid w:val="00135C3A"/>
    <w:rsid w:val="00135C6A"/>
    <w:rsid w:val="00135D4B"/>
    <w:rsid w:val="00135D5B"/>
    <w:rsid w:val="00135D95"/>
    <w:rsid w:val="00135DFA"/>
    <w:rsid w:val="00135E60"/>
    <w:rsid w:val="00135E87"/>
    <w:rsid w:val="00135EE2"/>
    <w:rsid w:val="00135F20"/>
    <w:rsid w:val="00135F56"/>
    <w:rsid w:val="00135F8A"/>
    <w:rsid w:val="00135F95"/>
    <w:rsid w:val="00135FD4"/>
    <w:rsid w:val="00136007"/>
    <w:rsid w:val="001360B8"/>
    <w:rsid w:val="001363A6"/>
    <w:rsid w:val="001365B5"/>
    <w:rsid w:val="00136682"/>
    <w:rsid w:val="00136688"/>
    <w:rsid w:val="0013669D"/>
    <w:rsid w:val="0013671F"/>
    <w:rsid w:val="00136742"/>
    <w:rsid w:val="00136806"/>
    <w:rsid w:val="0013681F"/>
    <w:rsid w:val="00136872"/>
    <w:rsid w:val="00136890"/>
    <w:rsid w:val="00136987"/>
    <w:rsid w:val="001369C2"/>
    <w:rsid w:val="00136AAA"/>
    <w:rsid w:val="00136AC6"/>
    <w:rsid w:val="00136AED"/>
    <w:rsid w:val="00136B6D"/>
    <w:rsid w:val="00136BDA"/>
    <w:rsid w:val="00136BFE"/>
    <w:rsid w:val="00136CB2"/>
    <w:rsid w:val="00136D0D"/>
    <w:rsid w:val="00136E08"/>
    <w:rsid w:val="00136E9C"/>
    <w:rsid w:val="00136F1D"/>
    <w:rsid w:val="00136FB0"/>
    <w:rsid w:val="00136FEE"/>
    <w:rsid w:val="001370A9"/>
    <w:rsid w:val="00137228"/>
    <w:rsid w:val="001372B3"/>
    <w:rsid w:val="00137437"/>
    <w:rsid w:val="00137461"/>
    <w:rsid w:val="001374BB"/>
    <w:rsid w:val="001375B0"/>
    <w:rsid w:val="0013765E"/>
    <w:rsid w:val="001376A3"/>
    <w:rsid w:val="001376AA"/>
    <w:rsid w:val="001376B0"/>
    <w:rsid w:val="00137708"/>
    <w:rsid w:val="001377A9"/>
    <w:rsid w:val="00137832"/>
    <w:rsid w:val="0013787A"/>
    <w:rsid w:val="001378EF"/>
    <w:rsid w:val="0013792D"/>
    <w:rsid w:val="0013793D"/>
    <w:rsid w:val="001379E9"/>
    <w:rsid w:val="001379F4"/>
    <w:rsid w:val="00137B4A"/>
    <w:rsid w:val="00137B7A"/>
    <w:rsid w:val="00137BD0"/>
    <w:rsid w:val="00137C72"/>
    <w:rsid w:val="00137CAA"/>
    <w:rsid w:val="00137D9F"/>
    <w:rsid w:val="00137E09"/>
    <w:rsid w:val="00137E1E"/>
    <w:rsid w:val="00137EC7"/>
    <w:rsid w:val="00137EF3"/>
    <w:rsid w:val="00137F25"/>
    <w:rsid w:val="00137F71"/>
    <w:rsid w:val="0013FBFA"/>
    <w:rsid w:val="001400BF"/>
    <w:rsid w:val="00140256"/>
    <w:rsid w:val="0014027B"/>
    <w:rsid w:val="001402B4"/>
    <w:rsid w:val="001403B2"/>
    <w:rsid w:val="001403BF"/>
    <w:rsid w:val="0014054E"/>
    <w:rsid w:val="001405AB"/>
    <w:rsid w:val="001405E1"/>
    <w:rsid w:val="0014062D"/>
    <w:rsid w:val="00140633"/>
    <w:rsid w:val="00140693"/>
    <w:rsid w:val="00140757"/>
    <w:rsid w:val="00140A43"/>
    <w:rsid w:val="00140A73"/>
    <w:rsid w:val="00140AA0"/>
    <w:rsid w:val="00140AA9"/>
    <w:rsid w:val="00140B0E"/>
    <w:rsid w:val="00140B74"/>
    <w:rsid w:val="00140B8E"/>
    <w:rsid w:val="00140BF6"/>
    <w:rsid w:val="00140C42"/>
    <w:rsid w:val="00140CEB"/>
    <w:rsid w:val="00140D6D"/>
    <w:rsid w:val="00140E18"/>
    <w:rsid w:val="001410FF"/>
    <w:rsid w:val="0014114B"/>
    <w:rsid w:val="00141171"/>
    <w:rsid w:val="0014131E"/>
    <w:rsid w:val="00141353"/>
    <w:rsid w:val="0014136B"/>
    <w:rsid w:val="001413B5"/>
    <w:rsid w:val="001413CD"/>
    <w:rsid w:val="00141444"/>
    <w:rsid w:val="00141698"/>
    <w:rsid w:val="001416BA"/>
    <w:rsid w:val="00141771"/>
    <w:rsid w:val="0014196C"/>
    <w:rsid w:val="00141A3D"/>
    <w:rsid w:val="00141ABD"/>
    <w:rsid w:val="00141AC2"/>
    <w:rsid w:val="00141AD1"/>
    <w:rsid w:val="00141AE6"/>
    <w:rsid w:val="00141B67"/>
    <w:rsid w:val="00141BA4"/>
    <w:rsid w:val="00141BBE"/>
    <w:rsid w:val="00141C7C"/>
    <w:rsid w:val="00141D04"/>
    <w:rsid w:val="00141D3C"/>
    <w:rsid w:val="00141D54"/>
    <w:rsid w:val="00141DA0"/>
    <w:rsid w:val="00141E88"/>
    <w:rsid w:val="00141EB8"/>
    <w:rsid w:val="00141ECD"/>
    <w:rsid w:val="00141F1F"/>
    <w:rsid w:val="00141F95"/>
    <w:rsid w:val="00141FBB"/>
    <w:rsid w:val="00142035"/>
    <w:rsid w:val="0014203D"/>
    <w:rsid w:val="00142062"/>
    <w:rsid w:val="001420CD"/>
    <w:rsid w:val="00142122"/>
    <w:rsid w:val="0014216C"/>
    <w:rsid w:val="001422D0"/>
    <w:rsid w:val="00142481"/>
    <w:rsid w:val="001424D9"/>
    <w:rsid w:val="001425B1"/>
    <w:rsid w:val="001425EE"/>
    <w:rsid w:val="001425F5"/>
    <w:rsid w:val="00142873"/>
    <w:rsid w:val="001428CC"/>
    <w:rsid w:val="00142931"/>
    <w:rsid w:val="00142956"/>
    <w:rsid w:val="001429BB"/>
    <w:rsid w:val="001429F7"/>
    <w:rsid w:val="00142A13"/>
    <w:rsid w:val="00142A90"/>
    <w:rsid w:val="00142B1F"/>
    <w:rsid w:val="00142B26"/>
    <w:rsid w:val="00142BF8"/>
    <w:rsid w:val="00142CA5"/>
    <w:rsid w:val="00142CAE"/>
    <w:rsid w:val="00142CF5"/>
    <w:rsid w:val="00142D76"/>
    <w:rsid w:val="00142D96"/>
    <w:rsid w:val="00142E7C"/>
    <w:rsid w:val="00142ED2"/>
    <w:rsid w:val="00142EE2"/>
    <w:rsid w:val="00142EE6"/>
    <w:rsid w:val="00143020"/>
    <w:rsid w:val="00143090"/>
    <w:rsid w:val="001430B4"/>
    <w:rsid w:val="001431EA"/>
    <w:rsid w:val="0014320D"/>
    <w:rsid w:val="00143261"/>
    <w:rsid w:val="001432D1"/>
    <w:rsid w:val="00143303"/>
    <w:rsid w:val="00143364"/>
    <w:rsid w:val="00143423"/>
    <w:rsid w:val="001434AD"/>
    <w:rsid w:val="00143519"/>
    <w:rsid w:val="001437D5"/>
    <w:rsid w:val="0014382C"/>
    <w:rsid w:val="00143881"/>
    <w:rsid w:val="001438FE"/>
    <w:rsid w:val="00143B8A"/>
    <w:rsid w:val="00143BBD"/>
    <w:rsid w:val="00143C36"/>
    <w:rsid w:val="00143C89"/>
    <w:rsid w:val="00143DD4"/>
    <w:rsid w:val="00143E91"/>
    <w:rsid w:val="00143E93"/>
    <w:rsid w:val="00143EF5"/>
    <w:rsid w:val="00143F42"/>
    <w:rsid w:val="00143F5D"/>
    <w:rsid w:val="00143F9C"/>
    <w:rsid w:val="00143FD8"/>
    <w:rsid w:val="00144012"/>
    <w:rsid w:val="00144043"/>
    <w:rsid w:val="001440C6"/>
    <w:rsid w:val="001440ED"/>
    <w:rsid w:val="00144264"/>
    <w:rsid w:val="0014428C"/>
    <w:rsid w:val="00144394"/>
    <w:rsid w:val="0014444C"/>
    <w:rsid w:val="001444C2"/>
    <w:rsid w:val="001446B6"/>
    <w:rsid w:val="001446EF"/>
    <w:rsid w:val="00144715"/>
    <w:rsid w:val="00144798"/>
    <w:rsid w:val="001447AE"/>
    <w:rsid w:val="001447CA"/>
    <w:rsid w:val="0014496E"/>
    <w:rsid w:val="00144984"/>
    <w:rsid w:val="00144998"/>
    <w:rsid w:val="0014499E"/>
    <w:rsid w:val="001449E0"/>
    <w:rsid w:val="00144A65"/>
    <w:rsid w:val="00144AA8"/>
    <w:rsid w:val="00144ACD"/>
    <w:rsid w:val="00144AE6"/>
    <w:rsid w:val="00144B7C"/>
    <w:rsid w:val="00144BA4"/>
    <w:rsid w:val="00144BC6"/>
    <w:rsid w:val="00144BE5"/>
    <w:rsid w:val="00144C2C"/>
    <w:rsid w:val="00144CA8"/>
    <w:rsid w:val="00144D26"/>
    <w:rsid w:val="00144D96"/>
    <w:rsid w:val="00144E6C"/>
    <w:rsid w:val="00144E82"/>
    <w:rsid w:val="00144E85"/>
    <w:rsid w:val="00144F1B"/>
    <w:rsid w:val="00144F1F"/>
    <w:rsid w:val="00144F79"/>
    <w:rsid w:val="00145062"/>
    <w:rsid w:val="00145068"/>
    <w:rsid w:val="0014517B"/>
    <w:rsid w:val="001451AB"/>
    <w:rsid w:val="001451DA"/>
    <w:rsid w:val="00145224"/>
    <w:rsid w:val="0014523F"/>
    <w:rsid w:val="00145253"/>
    <w:rsid w:val="00145298"/>
    <w:rsid w:val="001452A9"/>
    <w:rsid w:val="001452DC"/>
    <w:rsid w:val="0014538C"/>
    <w:rsid w:val="001453AE"/>
    <w:rsid w:val="00145431"/>
    <w:rsid w:val="001454EB"/>
    <w:rsid w:val="001454EC"/>
    <w:rsid w:val="00145504"/>
    <w:rsid w:val="001455B7"/>
    <w:rsid w:val="001456FA"/>
    <w:rsid w:val="00145704"/>
    <w:rsid w:val="00145730"/>
    <w:rsid w:val="00145761"/>
    <w:rsid w:val="00145790"/>
    <w:rsid w:val="0014583F"/>
    <w:rsid w:val="0014593B"/>
    <w:rsid w:val="00145ADB"/>
    <w:rsid w:val="00145B00"/>
    <w:rsid w:val="00145D0A"/>
    <w:rsid w:val="00145D45"/>
    <w:rsid w:val="00145E6D"/>
    <w:rsid w:val="00145E7D"/>
    <w:rsid w:val="00145FA8"/>
    <w:rsid w:val="00145FAB"/>
    <w:rsid w:val="0014603A"/>
    <w:rsid w:val="001460B2"/>
    <w:rsid w:val="00146300"/>
    <w:rsid w:val="00146318"/>
    <w:rsid w:val="0014637B"/>
    <w:rsid w:val="001463CC"/>
    <w:rsid w:val="00146455"/>
    <w:rsid w:val="0014645D"/>
    <w:rsid w:val="0014646D"/>
    <w:rsid w:val="00146499"/>
    <w:rsid w:val="0014649B"/>
    <w:rsid w:val="0014655F"/>
    <w:rsid w:val="001465CC"/>
    <w:rsid w:val="00146653"/>
    <w:rsid w:val="001466BC"/>
    <w:rsid w:val="00146755"/>
    <w:rsid w:val="00146760"/>
    <w:rsid w:val="001468B0"/>
    <w:rsid w:val="001468FA"/>
    <w:rsid w:val="00146918"/>
    <w:rsid w:val="0014691D"/>
    <w:rsid w:val="001469EE"/>
    <w:rsid w:val="00146A16"/>
    <w:rsid w:val="00146A34"/>
    <w:rsid w:val="00146ABE"/>
    <w:rsid w:val="00146B23"/>
    <w:rsid w:val="00146C0A"/>
    <w:rsid w:val="00146DC0"/>
    <w:rsid w:val="00146DE4"/>
    <w:rsid w:val="00146EAB"/>
    <w:rsid w:val="00146F09"/>
    <w:rsid w:val="00146FDC"/>
    <w:rsid w:val="00147052"/>
    <w:rsid w:val="00147059"/>
    <w:rsid w:val="00147158"/>
    <w:rsid w:val="0014719B"/>
    <w:rsid w:val="00147306"/>
    <w:rsid w:val="0014730F"/>
    <w:rsid w:val="001473DF"/>
    <w:rsid w:val="0014740E"/>
    <w:rsid w:val="001474CC"/>
    <w:rsid w:val="00147553"/>
    <w:rsid w:val="001475BB"/>
    <w:rsid w:val="001475C3"/>
    <w:rsid w:val="00147659"/>
    <w:rsid w:val="0014769F"/>
    <w:rsid w:val="001476C3"/>
    <w:rsid w:val="0014786D"/>
    <w:rsid w:val="00147999"/>
    <w:rsid w:val="001479A0"/>
    <w:rsid w:val="00147AD1"/>
    <w:rsid w:val="00147AEB"/>
    <w:rsid w:val="00147B25"/>
    <w:rsid w:val="00147B7A"/>
    <w:rsid w:val="00147C19"/>
    <w:rsid w:val="00147C4B"/>
    <w:rsid w:val="00147CC6"/>
    <w:rsid w:val="00147DA8"/>
    <w:rsid w:val="00147DC1"/>
    <w:rsid w:val="00147DE9"/>
    <w:rsid w:val="00150064"/>
    <w:rsid w:val="001500DA"/>
    <w:rsid w:val="001501B3"/>
    <w:rsid w:val="00150320"/>
    <w:rsid w:val="00150414"/>
    <w:rsid w:val="0015045D"/>
    <w:rsid w:val="0015046D"/>
    <w:rsid w:val="001504D6"/>
    <w:rsid w:val="001505B7"/>
    <w:rsid w:val="001505BA"/>
    <w:rsid w:val="00150609"/>
    <w:rsid w:val="00150626"/>
    <w:rsid w:val="00150738"/>
    <w:rsid w:val="001508AE"/>
    <w:rsid w:val="00150980"/>
    <w:rsid w:val="001509D3"/>
    <w:rsid w:val="00150A36"/>
    <w:rsid w:val="00150A3D"/>
    <w:rsid w:val="00150A4B"/>
    <w:rsid w:val="00150A5C"/>
    <w:rsid w:val="00150B40"/>
    <w:rsid w:val="00150B59"/>
    <w:rsid w:val="00150BE5"/>
    <w:rsid w:val="00150C55"/>
    <w:rsid w:val="00150D31"/>
    <w:rsid w:val="00150DEC"/>
    <w:rsid w:val="00150E1C"/>
    <w:rsid w:val="00150F93"/>
    <w:rsid w:val="00151076"/>
    <w:rsid w:val="0015112A"/>
    <w:rsid w:val="0015116E"/>
    <w:rsid w:val="001511AA"/>
    <w:rsid w:val="001511DE"/>
    <w:rsid w:val="0015127A"/>
    <w:rsid w:val="00151372"/>
    <w:rsid w:val="001513D9"/>
    <w:rsid w:val="001513F5"/>
    <w:rsid w:val="00151490"/>
    <w:rsid w:val="0015164B"/>
    <w:rsid w:val="00151678"/>
    <w:rsid w:val="00151683"/>
    <w:rsid w:val="001517AC"/>
    <w:rsid w:val="0015180E"/>
    <w:rsid w:val="00151866"/>
    <w:rsid w:val="001518CC"/>
    <w:rsid w:val="00151A6E"/>
    <w:rsid w:val="00151B02"/>
    <w:rsid w:val="00151B55"/>
    <w:rsid w:val="00151BA2"/>
    <w:rsid w:val="00151BA3"/>
    <w:rsid w:val="00151BB5"/>
    <w:rsid w:val="00151BE2"/>
    <w:rsid w:val="00151BFA"/>
    <w:rsid w:val="00151C9D"/>
    <w:rsid w:val="00151D63"/>
    <w:rsid w:val="00151D8A"/>
    <w:rsid w:val="00151E05"/>
    <w:rsid w:val="00151E51"/>
    <w:rsid w:val="00152045"/>
    <w:rsid w:val="00152047"/>
    <w:rsid w:val="001521BD"/>
    <w:rsid w:val="00152209"/>
    <w:rsid w:val="00152242"/>
    <w:rsid w:val="00152321"/>
    <w:rsid w:val="0015244D"/>
    <w:rsid w:val="00152461"/>
    <w:rsid w:val="00152465"/>
    <w:rsid w:val="001524F4"/>
    <w:rsid w:val="0015258C"/>
    <w:rsid w:val="001525F9"/>
    <w:rsid w:val="0015260F"/>
    <w:rsid w:val="00152699"/>
    <w:rsid w:val="0015270E"/>
    <w:rsid w:val="001527AF"/>
    <w:rsid w:val="001527E7"/>
    <w:rsid w:val="001528F1"/>
    <w:rsid w:val="001528FF"/>
    <w:rsid w:val="0015290F"/>
    <w:rsid w:val="001529D0"/>
    <w:rsid w:val="001529D7"/>
    <w:rsid w:val="00152AB5"/>
    <w:rsid w:val="00152AE0"/>
    <w:rsid w:val="00152C37"/>
    <w:rsid w:val="00152C95"/>
    <w:rsid w:val="00152D08"/>
    <w:rsid w:val="00152D0B"/>
    <w:rsid w:val="00152D4B"/>
    <w:rsid w:val="00152D96"/>
    <w:rsid w:val="00152DAC"/>
    <w:rsid w:val="00152E08"/>
    <w:rsid w:val="00152E73"/>
    <w:rsid w:val="00152EB6"/>
    <w:rsid w:val="00152F45"/>
    <w:rsid w:val="00153033"/>
    <w:rsid w:val="0015317F"/>
    <w:rsid w:val="001531D3"/>
    <w:rsid w:val="001531DA"/>
    <w:rsid w:val="00153220"/>
    <w:rsid w:val="00153311"/>
    <w:rsid w:val="001533E7"/>
    <w:rsid w:val="001534A2"/>
    <w:rsid w:val="001534E1"/>
    <w:rsid w:val="00153692"/>
    <w:rsid w:val="001536D4"/>
    <w:rsid w:val="00153751"/>
    <w:rsid w:val="0015376A"/>
    <w:rsid w:val="001537D5"/>
    <w:rsid w:val="001537EA"/>
    <w:rsid w:val="00153837"/>
    <w:rsid w:val="001538DE"/>
    <w:rsid w:val="00153922"/>
    <w:rsid w:val="00153996"/>
    <w:rsid w:val="0015399F"/>
    <w:rsid w:val="001539CB"/>
    <w:rsid w:val="001539DD"/>
    <w:rsid w:val="00153A31"/>
    <w:rsid w:val="00153AB2"/>
    <w:rsid w:val="00153ADE"/>
    <w:rsid w:val="00153B13"/>
    <w:rsid w:val="00153B89"/>
    <w:rsid w:val="00153C32"/>
    <w:rsid w:val="00153C57"/>
    <w:rsid w:val="00153C81"/>
    <w:rsid w:val="00153D03"/>
    <w:rsid w:val="00153DD1"/>
    <w:rsid w:val="00153DD8"/>
    <w:rsid w:val="00153EAC"/>
    <w:rsid w:val="00153EFE"/>
    <w:rsid w:val="00154045"/>
    <w:rsid w:val="00154099"/>
    <w:rsid w:val="001540E1"/>
    <w:rsid w:val="0015434A"/>
    <w:rsid w:val="0015439C"/>
    <w:rsid w:val="001543A1"/>
    <w:rsid w:val="001544C0"/>
    <w:rsid w:val="00154643"/>
    <w:rsid w:val="001546C6"/>
    <w:rsid w:val="0015471C"/>
    <w:rsid w:val="0015476D"/>
    <w:rsid w:val="001547AB"/>
    <w:rsid w:val="00154821"/>
    <w:rsid w:val="00154896"/>
    <w:rsid w:val="00154A10"/>
    <w:rsid w:val="00154ACE"/>
    <w:rsid w:val="00154B30"/>
    <w:rsid w:val="00154B32"/>
    <w:rsid w:val="00154B3D"/>
    <w:rsid w:val="00154B3F"/>
    <w:rsid w:val="00154C0E"/>
    <w:rsid w:val="00154C31"/>
    <w:rsid w:val="00154C37"/>
    <w:rsid w:val="00154C95"/>
    <w:rsid w:val="00154CB8"/>
    <w:rsid w:val="00154D11"/>
    <w:rsid w:val="00154D12"/>
    <w:rsid w:val="00154E08"/>
    <w:rsid w:val="00154E1C"/>
    <w:rsid w:val="00154E6A"/>
    <w:rsid w:val="00154F04"/>
    <w:rsid w:val="00154F68"/>
    <w:rsid w:val="00154F89"/>
    <w:rsid w:val="001550A0"/>
    <w:rsid w:val="001550B0"/>
    <w:rsid w:val="001550D9"/>
    <w:rsid w:val="00155110"/>
    <w:rsid w:val="001551B8"/>
    <w:rsid w:val="0015523D"/>
    <w:rsid w:val="00155286"/>
    <w:rsid w:val="00155299"/>
    <w:rsid w:val="001553C3"/>
    <w:rsid w:val="001554C9"/>
    <w:rsid w:val="0015558B"/>
    <w:rsid w:val="00155598"/>
    <w:rsid w:val="001555BF"/>
    <w:rsid w:val="00155830"/>
    <w:rsid w:val="00155845"/>
    <w:rsid w:val="001558A8"/>
    <w:rsid w:val="001558E8"/>
    <w:rsid w:val="00155978"/>
    <w:rsid w:val="001559A5"/>
    <w:rsid w:val="00155AC7"/>
    <w:rsid w:val="00155B0A"/>
    <w:rsid w:val="00155B89"/>
    <w:rsid w:val="00155B9F"/>
    <w:rsid w:val="00155BAC"/>
    <w:rsid w:val="00155BFF"/>
    <w:rsid w:val="00155C1E"/>
    <w:rsid w:val="00155C8D"/>
    <w:rsid w:val="00155D12"/>
    <w:rsid w:val="00155DC6"/>
    <w:rsid w:val="00155DE9"/>
    <w:rsid w:val="00155E09"/>
    <w:rsid w:val="00155E16"/>
    <w:rsid w:val="00155E80"/>
    <w:rsid w:val="00155E8F"/>
    <w:rsid w:val="00155E95"/>
    <w:rsid w:val="00155EB1"/>
    <w:rsid w:val="0015609F"/>
    <w:rsid w:val="00156157"/>
    <w:rsid w:val="001561C9"/>
    <w:rsid w:val="00156234"/>
    <w:rsid w:val="00156267"/>
    <w:rsid w:val="001562A8"/>
    <w:rsid w:val="0015637F"/>
    <w:rsid w:val="001563C7"/>
    <w:rsid w:val="00156417"/>
    <w:rsid w:val="001564C1"/>
    <w:rsid w:val="0015659B"/>
    <w:rsid w:val="0015665D"/>
    <w:rsid w:val="0015665F"/>
    <w:rsid w:val="00156739"/>
    <w:rsid w:val="0015689A"/>
    <w:rsid w:val="001568CC"/>
    <w:rsid w:val="00156949"/>
    <w:rsid w:val="00156AF3"/>
    <w:rsid w:val="00156BD0"/>
    <w:rsid w:val="00156BFA"/>
    <w:rsid w:val="00156C21"/>
    <w:rsid w:val="00156DCD"/>
    <w:rsid w:val="00156E1F"/>
    <w:rsid w:val="00156F45"/>
    <w:rsid w:val="00156F47"/>
    <w:rsid w:val="00156FE4"/>
    <w:rsid w:val="0015713C"/>
    <w:rsid w:val="00157171"/>
    <w:rsid w:val="00157227"/>
    <w:rsid w:val="00157257"/>
    <w:rsid w:val="001572A3"/>
    <w:rsid w:val="0015739A"/>
    <w:rsid w:val="00157594"/>
    <w:rsid w:val="0015765A"/>
    <w:rsid w:val="0015782E"/>
    <w:rsid w:val="0015788C"/>
    <w:rsid w:val="001578D1"/>
    <w:rsid w:val="001578F0"/>
    <w:rsid w:val="001579E1"/>
    <w:rsid w:val="00157A21"/>
    <w:rsid w:val="00157BAF"/>
    <w:rsid w:val="00157C79"/>
    <w:rsid w:val="00157C9F"/>
    <w:rsid w:val="00157CCB"/>
    <w:rsid w:val="00157CDB"/>
    <w:rsid w:val="00157D32"/>
    <w:rsid w:val="00157D52"/>
    <w:rsid w:val="00157DB9"/>
    <w:rsid w:val="00157EC1"/>
    <w:rsid w:val="00157F0E"/>
    <w:rsid w:val="00157F5A"/>
    <w:rsid w:val="00157F7B"/>
    <w:rsid w:val="00160006"/>
    <w:rsid w:val="0016001B"/>
    <w:rsid w:val="00160047"/>
    <w:rsid w:val="00160081"/>
    <w:rsid w:val="0016018B"/>
    <w:rsid w:val="001601BC"/>
    <w:rsid w:val="001601CC"/>
    <w:rsid w:val="001601DF"/>
    <w:rsid w:val="0016023F"/>
    <w:rsid w:val="0016027D"/>
    <w:rsid w:val="00160341"/>
    <w:rsid w:val="00160391"/>
    <w:rsid w:val="001603E3"/>
    <w:rsid w:val="0016041B"/>
    <w:rsid w:val="00160426"/>
    <w:rsid w:val="00160463"/>
    <w:rsid w:val="00160496"/>
    <w:rsid w:val="001604DA"/>
    <w:rsid w:val="0016060E"/>
    <w:rsid w:val="00160691"/>
    <w:rsid w:val="0016077D"/>
    <w:rsid w:val="001607C7"/>
    <w:rsid w:val="001607FB"/>
    <w:rsid w:val="00160802"/>
    <w:rsid w:val="0016082E"/>
    <w:rsid w:val="00160926"/>
    <w:rsid w:val="001609A1"/>
    <w:rsid w:val="00160A7C"/>
    <w:rsid w:val="00160C1F"/>
    <w:rsid w:val="00160C49"/>
    <w:rsid w:val="00160C90"/>
    <w:rsid w:val="00160CFA"/>
    <w:rsid w:val="00160DF8"/>
    <w:rsid w:val="00160EDC"/>
    <w:rsid w:val="00160EE9"/>
    <w:rsid w:val="00160F21"/>
    <w:rsid w:val="001610AD"/>
    <w:rsid w:val="001610DB"/>
    <w:rsid w:val="001610DF"/>
    <w:rsid w:val="00161134"/>
    <w:rsid w:val="001612A7"/>
    <w:rsid w:val="0016159C"/>
    <w:rsid w:val="001616ED"/>
    <w:rsid w:val="00161744"/>
    <w:rsid w:val="001617DA"/>
    <w:rsid w:val="00161827"/>
    <w:rsid w:val="001618DE"/>
    <w:rsid w:val="00161929"/>
    <w:rsid w:val="00161960"/>
    <w:rsid w:val="001619BC"/>
    <w:rsid w:val="00161A5B"/>
    <w:rsid w:val="00161AF7"/>
    <w:rsid w:val="00161B6F"/>
    <w:rsid w:val="00161BED"/>
    <w:rsid w:val="00161D07"/>
    <w:rsid w:val="00161DDC"/>
    <w:rsid w:val="00161E2F"/>
    <w:rsid w:val="00161E70"/>
    <w:rsid w:val="00161F01"/>
    <w:rsid w:val="00161F5F"/>
    <w:rsid w:val="001620BA"/>
    <w:rsid w:val="00162143"/>
    <w:rsid w:val="00162217"/>
    <w:rsid w:val="0016226B"/>
    <w:rsid w:val="0016229D"/>
    <w:rsid w:val="001622CA"/>
    <w:rsid w:val="0016232A"/>
    <w:rsid w:val="00162437"/>
    <w:rsid w:val="00162677"/>
    <w:rsid w:val="00162714"/>
    <w:rsid w:val="00162758"/>
    <w:rsid w:val="00162875"/>
    <w:rsid w:val="00162A05"/>
    <w:rsid w:val="00162A43"/>
    <w:rsid w:val="00162B6D"/>
    <w:rsid w:val="00162BD4"/>
    <w:rsid w:val="00162CAA"/>
    <w:rsid w:val="00162CD4"/>
    <w:rsid w:val="00162D0D"/>
    <w:rsid w:val="00162D26"/>
    <w:rsid w:val="00162D89"/>
    <w:rsid w:val="00162F32"/>
    <w:rsid w:val="00162FD5"/>
    <w:rsid w:val="0016304E"/>
    <w:rsid w:val="001631DC"/>
    <w:rsid w:val="00163259"/>
    <w:rsid w:val="001632BF"/>
    <w:rsid w:val="001632C2"/>
    <w:rsid w:val="001633C3"/>
    <w:rsid w:val="001633DC"/>
    <w:rsid w:val="001633F6"/>
    <w:rsid w:val="00163448"/>
    <w:rsid w:val="00163624"/>
    <w:rsid w:val="00163692"/>
    <w:rsid w:val="0016383D"/>
    <w:rsid w:val="0016388A"/>
    <w:rsid w:val="0016388C"/>
    <w:rsid w:val="001638AD"/>
    <w:rsid w:val="0016390C"/>
    <w:rsid w:val="00163926"/>
    <w:rsid w:val="00163A31"/>
    <w:rsid w:val="00163AE2"/>
    <w:rsid w:val="00163C7D"/>
    <w:rsid w:val="00163CEC"/>
    <w:rsid w:val="00163EE0"/>
    <w:rsid w:val="00163F01"/>
    <w:rsid w:val="00163F12"/>
    <w:rsid w:val="00163FCE"/>
    <w:rsid w:val="00163FF0"/>
    <w:rsid w:val="001640E5"/>
    <w:rsid w:val="0016418F"/>
    <w:rsid w:val="00164245"/>
    <w:rsid w:val="001642F1"/>
    <w:rsid w:val="00164398"/>
    <w:rsid w:val="001643EF"/>
    <w:rsid w:val="00164431"/>
    <w:rsid w:val="00164679"/>
    <w:rsid w:val="00164775"/>
    <w:rsid w:val="00164809"/>
    <w:rsid w:val="0016482D"/>
    <w:rsid w:val="00164839"/>
    <w:rsid w:val="001648B5"/>
    <w:rsid w:val="001648F3"/>
    <w:rsid w:val="00164991"/>
    <w:rsid w:val="00164B9F"/>
    <w:rsid w:val="00164C6C"/>
    <w:rsid w:val="00164CD0"/>
    <w:rsid w:val="00164D0E"/>
    <w:rsid w:val="00164D12"/>
    <w:rsid w:val="00164E8C"/>
    <w:rsid w:val="00164EAA"/>
    <w:rsid w:val="00165012"/>
    <w:rsid w:val="00165029"/>
    <w:rsid w:val="001650D2"/>
    <w:rsid w:val="00165214"/>
    <w:rsid w:val="00165424"/>
    <w:rsid w:val="0016542D"/>
    <w:rsid w:val="001654D3"/>
    <w:rsid w:val="0016558F"/>
    <w:rsid w:val="00165671"/>
    <w:rsid w:val="0016569B"/>
    <w:rsid w:val="00165731"/>
    <w:rsid w:val="00165819"/>
    <w:rsid w:val="00165852"/>
    <w:rsid w:val="0016592B"/>
    <w:rsid w:val="00165951"/>
    <w:rsid w:val="00165977"/>
    <w:rsid w:val="0016598C"/>
    <w:rsid w:val="00165A74"/>
    <w:rsid w:val="00165BE2"/>
    <w:rsid w:val="00165C36"/>
    <w:rsid w:val="00165CCC"/>
    <w:rsid w:val="00165D38"/>
    <w:rsid w:val="00165D87"/>
    <w:rsid w:val="00165E89"/>
    <w:rsid w:val="00165FCE"/>
    <w:rsid w:val="0016603E"/>
    <w:rsid w:val="00166090"/>
    <w:rsid w:val="001661BD"/>
    <w:rsid w:val="00166255"/>
    <w:rsid w:val="001662C1"/>
    <w:rsid w:val="00166330"/>
    <w:rsid w:val="001663B8"/>
    <w:rsid w:val="001663DD"/>
    <w:rsid w:val="001663F9"/>
    <w:rsid w:val="001664E5"/>
    <w:rsid w:val="00166585"/>
    <w:rsid w:val="00166649"/>
    <w:rsid w:val="00166705"/>
    <w:rsid w:val="00166710"/>
    <w:rsid w:val="001667AC"/>
    <w:rsid w:val="001667BD"/>
    <w:rsid w:val="0016686F"/>
    <w:rsid w:val="00166898"/>
    <w:rsid w:val="0016691A"/>
    <w:rsid w:val="00166946"/>
    <w:rsid w:val="00166992"/>
    <w:rsid w:val="00166A30"/>
    <w:rsid w:val="00166A46"/>
    <w:rsid w:val="00166B85"/>
    <w:rsid w:val="00166B8E"/>
    <w:rsid w:val="00166BEC"/>
    <w:rsid w:val="00166CCA"/>
    <w:rsid w:val="00166CEA"/>
    <w:rsid w:val="00166D08"/>
    <w:rsid w:val="00166D44"/>
    <w:rsid w:val="00166D8B"/>
    <w:rsid w:val="00166E20"/>
    <w:rsid w:val="00166E55"/>
    <w:rsid w:val="00166E58"/>
    <w:rsid w:val="001670D1"/>
    <w:rsid w:val="001670D2"/>
    <w:rsid w:val="00167160"/>
    <w:rsid w:val="0016722E"/>
    <w:rsid w:val="001672CA"/>
    <w:rsid w:val="001672E2"/>
    <w:rsid w:val="0016731F"/>
    <w:rsid w:val="00167428"/>
    <w:rsid w:val="001674B5"/>
    <w:rsid w:val="00167552"/>
    <w:rsid w:val="001675A1"/>
    <w:rsid w:val="001675B5"/>
    <w:rsid w:val="001676CC"/>
    <w:rsid w:val="00167736"/>
    <w:rsid w:val="0016775B"/>
    <w:rsid w:val="001677FD"/>
    <w:rsid w:val="0016785B"/>
    <w:rsid w:val="0016785E"/>
    <w:rsid w:val="00167863"/>
    <w:rsid w:val="00167979"/>
    <w:rsid w:val="00167988"/>
    <w:rsid w:val="0016799F"/>
    <w:rsid w:val="00167AAC"/>
    <w:rsid w:val="00167B0E"/>
    <w:rsid w:val="00167BAB"/>
    <w:rsid w:val="00167BBD"/>
    <w:rsid w:val="00167C9F"/>
    <w:rsid w:val="00167CC9"/>
    <w:rsid w:val="00167D22"/>
    <w:rsid w:val="00167DB2"/>
    <w:rsid w:val="00167DF1"/>
    <w:rsid w:val="00167DFA"/>
    <w:rsid w:val="00167E6F"/>
    <w:rsid w:val="00167EC7"/>
    <w:rsid w:val="00167ECF"/>
    <w:rsid w:val="00167F93"/>
    <w:rsid w:val="00170055"/>
    <w:rsid w:val="00170185"/>
    <w:rsid w:val="00170325"/>
    <w:rsid w:val="00170361"/>
    <w:rsid w:val="00170543"/>
    <w:rsid w:val="00170605"/>
    <w:rsid w:val="0017060C"/>
    <w:rsid w:val="00170634"/>
    <w:rsid w:val="0017064D"/>
    <w:rsid w:val="0017073D"/>
    <w:rsid w:val="00170797"/>
    <w:rsid w:val="001707B3"/>
    <w:rsid w:val="001707DD"/>
    <w:rsid w:val="0017081C"/>
    <w:rsid w:val="001708A4"/>
    <w:rsid w:val="001709FF"/>
    <w:rsid w:val="00170A73"/>
    <w:rsid w:val="00170B17"/>
    <w:rsid w:val="00170B2A"/>
    <w:rsid w:val="00170B81"/>
    <w:rsid w:val="00170C07"/>
    <w:rsid w:val="00170C40"/>
    <w:rsid w:val="00170C55"/>
    <w:rsid w:val="00170C9D"/>
    <w:rsid w:val="00170D4C"/>
    <w:rsid w:val="00170DAD"/>
    <w:rsid w:val="001710C0"/>
    <w:rsid w:val="0017114D"/>
    <w:rsid w:val="0017127F"/>
    <w:rsid w:val="001712CB"/>
    <w:rsid w:val="001713C6"/>
    <w:rsid w:val="0017142A"/>
    <w:rsid w:val="001714DC"/>
    <w:rsid w:val="001714FB"/>
    <w:rsid w:val="0017159E"/>
    <w:rsid w:val="00171625"/>
    <w:rsid w:val="001716C5"/>
    <w:rsid w:val="001716D7"/>
    <w:rsid w:val="001717B2"/>
    <w:rsid w:val="00171824"/>
    <w:rsid w:val="00171A14"/>
    <w:rsid w:val="00171A3B"/>
    <w:rsid w:val="00171A9B"/>
    <w:rsid w:val="00171AAE"/>
    <w:rsid w:val="00171AE8"/>
    <w:rsid w:val="00171B1E"/>
    <w:rsid w:val="00171B40"/>
    <w:rsid w:val="00171C43"/>
    <w:rsid w:val="00171D53"/>
    <w:rsid w:val="00171EDE"/>
    <w:rsid w:val="00171EE0"/>
    <w:rsid w:val="00171F1E"/>
    <w:rsid w:val="00172044"/>
    <w:rsid w:val="001720B5"/>
    <w:rsid w:val="00172158"/>
    <w:rsid w:val="001721DE"/>
    <w:rsid w:val="001721EC"/>
    <w:rsid w:val="00172263"/>
    <w:rsid w:val="00172267"/>
    <w:rsid w:val="001722A7"/>
    <w:rsid w:val="001723CC"/>
    <w:rsid w:val="00172405"/>
    <w:rsid w:val="00172411"/>
    <w:rsid w:val="001724A9"/>
    <w:rsid w:val="0017250D"/>
    <w:rsid w:val="00172591"/>
    <w:rsid w:val="0017263B"/>
    <w:rsid w:val="00172671"/>
    <w:rsid w:val="00172688"/>
    <w:rsid w:val="001726A2"/>
    <w:rsid w:val="00172785"/>
    <w:rsid w:val="0017289C"/>
    <w:rsid w:val="00172921"/>
    <w:rsid w:val="00172924"/>
    <w:rsid w:val="00172A88"/>
    <w:rsid w:val="00172AB9"/>
    <w:rsid w:val="00172AE2"/>
    <w:rsid w:val="00172B63"/>
    <w:rsid w:val="00172CA1"/>
    <w:rsid w:val="00172CCA"/>
    <w:rsid w:val="00172CFD"/>
    <w:rsid w:val="00172D5F"/>
    <w:rsid w:val="00172D7B"/>
    <w:rsid w:val="00172D9B"/>
    <w:rsid w:val="00172DFB"/>
    <w:rsid w:val="00172E41"/>
    <w:rsid w:val="00172E60"/>
    <w:rsid w:val="00172ED1"/>
    <w:rsid w:val="00172F2B"/>
    <w:rsid w:val="00172F5D"/>
    <w:rsid w:val="00172FB6"/>
    <w:rsid w:val="001730EC"/>
    <w:rsid w:val="00173117"/>
    <w:rsid w:val="00173133"/>
    <w:rsid w:val="0017324F"/>
    <w:rsid w:val="001733B6"/>
    <w:rsid w:val="001734C6"/>
    <w:rsid w:val="001734EF"/>
    <w:rsid w:val="0017354D"/>
    <w:rsid w:val="00173634"/>
    <w:rsid w:val="0017364D"/>
    <w:rsid w:val="0017370E"/>
    <w:rsid w:val="00173723"/>
    <w:rsid w:val="00173743"/>
    <w:rsid w:val="001737A4"/>
    <w:rsid w:val="001737A7"/>
    <w:rsid w:val="001737F1"/>
    <w:rsid w:val="0017384E"/>
    <w:rsid w:val="001738CF"/>
    <w:rsid w:val="001738F9"/>
    <w:rsid w:val="001739BC"/>
    <w:rsid w:val="00173A2E"/>
    <w:rsid w:val="00173ABE"/>
    <w:rsid w:val="00173ACC"/>
    <w:rsid w:val="00173B97"/>
    <w:rsid w:val="00173C39"/>
    <w:rsid w:val="00173C6E"/>
    <w:rsid w:val="00173CAB"/>
    <w:rsid w:val="00173DFA"/>
    <w:rsid w:val="00173E4A"/>
    <w:rsid w:val="00173E4E"/>
    <w:rsid w:val="00173E8E"/>
    <w:rsid w:val="00173EA6"/>
    <w:rsid w:val="00173EA9"/>
    <w:rsid w:val="00173ECC"/>
    <w:rsid w:val="00173FAA"/>
    <w:rsid w:val="00173FD8"/>
    <w:rsid w:val="00173FEE"/>
    <w:rsid w:val="00174001"/>
    <w:rsid w:val="00174034"/>
    <w:rsid w:val="0017405F"/>
    <w:rsid w:val="001740E1"/>
    <w:rsid w:val="00174109"/>
    <w:rsid w:val="00174196"/>
    <w:rsid w:val="001741B4"/>
    <w:rsid w:val="0017423C"/>
    <w:rsid w:val="0017432B"/>
    <w:rsid w:val="00174364"/>
    <w:rsid w:val="001743CD"/>
    <w:rsid w:val="001745D5"/>
    <w:rsid w:val="00174603"/>
    <w:rsid w:val="001746BE"/>
    <w:rsid w:val="00174731"/>
    <w:rsid w:val="001747DB"/>
    <w:rsid w:val="00174872"/>
    <w:rsid w:val="00174AFB"/>
    <w:rsid w:val="00174B24"/>
    <w:rsid w:val="00174B92"/>
    <w:rsid w:val="00174B9B"/>
    <w:rsid w:val="00174C19"/>
    <w:rsid w:val="00174C64"/>
    <w:rsid w:val="00174CB5"/>
    <w:rsid w:val="00174CF8"/>
    <w:rsid w:val="00174D6A"/>
    <w:rsid w:val="00174D96"/>
    <w:rsid w:val="00174D9B"/>
    <w:rsid w:val="00174F85"/>
    <w:rsid w:val="00174FBE"/>
    <w:rsid w:val="00174FC1"/>
    <w:rsid w:val="00175093"/>
    <w:rsid w:val="001750A6"/>
    <w:rsid w:val="001750D5"/>
    <w:rsid w:val="00175147"/>
    <w:rsid w:val="00175238"/>
    <w:rsid w:val="00175365"/>
    <w:rsid w:val="001753B2"/>
    <w:rsid w:val="001753C2"/>
    <w:rsid w:val="001754CD"/>
    <w:rsid w:val="00175584"/>
    <w:rsid w:val="0017558E"/>
    <w:rsid w:val="001755A3"/>
    <w:rsid w:val="00175701"/>
    <w:rsid w:val="001757EE"/>
    <w:rsid w:val="00175833"/>
    <w:rsid w:val="001758AC"/>
    <w:rsid w:val="00175A2E"/>
    <w:rsid w:val="00175A83"/>
    <w:rsid w:val="00175A8A"/>
    <w:rsid w:val="00175B98"/>
    <w:rsid w:val="00175BE4"/>
    <w:rsid w:val="00175CDD"/>
    <w:rsid w:val="00175D06"/>
    <w:rsid w:val="00175DB6"/>
    <w:rsid w:val="00175E0D"/>
    <w:rsid w:val="00175F66"/>
    <w:rsid w:val="00175FAF"/>
    <w:rsid w:val="00175FE6"/>
    <w:rsid w:val="0017604A"/>
    <w:rsid w:val="001760D8"/>
    <w:rsid w:val="0017619A"/>
    <w:rsid w:val="001761A2"/>
    <w:rsid w:val="001762A1"/>
    <w:rsid w:val="001762CA"/>
    <w:rsid w:val="001766C4"/>
    <w:rsid w:val="00176700"/>
    <w:rsid w:val="001767D6"/>
    <w:rsid w:val="00176818"/>
    <w:rsid w:val="0017687D"/>
    <w:rsid w:val="0017694E"/>
    <w:rsid w:val="001769D1"/>
    <w:rsid w:val="001769D4"/>
    <w:rsid w:val="001769F8"/>
    <w:rsid w:val="001769FF"/>
    <w:rsid w:val="00176CA9"/>
    <w:rsid w:val="00176CCD"/>
    <w:rsid w:val="00176D72"/>
    <w:rsid w:val="00176DBC"/>
    <w:rsid w:val="00176E0B"/>
    <w:rsid w:val="00176E90"/>
    <w:rsid w:val="00176F27"/>
    <w:rsid w:val="00177172"/>
    <w:rsid w:val="0017719C"/>
    <w:rsid w:val="00177219"/>
    <w:rsid w:val="0017732D"/>
    <w:rsid w:val="00177390"/>
    <w:rsid w:val="001773D2"/>
    <w:rsid w:val="00177462"/>
    <w:rsid w:val="001774BE"/>
    <w:rsid w:val="001775D0"/>
    <w:rsid w:val="001775FB"/>
    <w:rsid w:val="001775FF"/>
    <w:rsid w:val="00177624"/>
    <w:rsid w:val="00177662"/>
    <w:rsid w:val="001776BA"/>
    <w:rsid w:val="0017773D"/>
    <w:rsid w:val="00177824"/>
    <w:rsid w:val="0017786E"/>
    <w:rsid w:val="00177879"/>
    <w:rsid w:val="001778B6"/>
    <w:rsid w:val="001779FB"/>
    <w:rsid w:val="00177A03"/>
    <w:rsid w:val="00177A49"/>
    <w:rsid w:val="00177A79"/>
    <w:rsid w:val="00177AD1"/>
    <w:rsid w:val="00177B56"/>
    <w:rsid w:val="00177CFB"/>
    <w:rsid w:val="00177D2E"/>
    <w:rsid w:val="00177D6C"/>
    <w:rsid w:val="00177DDE"/>
    <w:rsid w:val="00177E3D"/>
    <w:rsid w:val="00177E5C"/>
    <w:rsid w:val="00177F17"/>
    <w:rsid w:val="00177FC3"/>
    <w:rsid w:val="00180034"/>
    <w:rsid w:val="0018005C"/>
    <w:rsid w:val="00180077"/>
    <w:rsid w:val="0018007E"/>
    <w:rsid w:val="0018009B"/>
    <w:rsid w:val="0018012C"/>
    <w:rsid w:val="0018015F"/>
    <w:rsid w:val="00180173"/>
    <w:rsid w:val="001801D4"/>
    <w:rsid w:val="00180208"/>
    <w:rsid w:val="00180235"/>
    <w:rsid w:val="00180294"/>
    <w:rsid w:val="0018039E"/>
    <w:rsid w:val="001803A6"/>
    <w:rsid w:val="0018042A"/>
    <w:rsid w:val="001804F5"/>
    <w:rsid w:val="00180567"/>
    <w:rsid w:val="00180589"/>
    <w:rsid w:val="001805DB"/>
    <w:rsid w:val="00180649"/>
    <w:rsid w:val="00180690"/>
    <w:rsid w:val="001807F7"/>
    <w:rsid w:val="0018080E"/>
    <w:rsid w:val="001808D0"/>
    <w:rsid w:val="00180940"/>
    <w:rsid w:val="0018098B"/>
    <w:rsid w:val="00180991"/>
    <w:rsid w:val="00180B22"/>
    <w:rsid w:val="00180B80"/>
    <w:rsid w:val="00180DBD"/>
    <w:rsid w:val="00180DC9"/>
    <w:rsid w:val="00180E42"/>
    <w:rsid w:val="00180E93"/>
    <w:rsid w:val="00180EC8"/>
    <w:rsid w:val="00180F28"/>
    <w:rsid w:val="0018103C"/>
    <w:rsid w:val="0018114A"/>
    <w:rsid w:val="0018117C"/>
    <w:rsid w:val="001811E1"/>
    <w:rsid w:val="00181230"/>
    <w:rsid w:val="00181232"/>
    <w:rsid w:val="0018124F"/>
    <w:rsid w:val="0018127B"/>
    <w:rsid w:val="001812C4"/>
    <w:rsid w:val="0018132B"/>
    <w:rsid w:val="00181380"/>
    <w:rsid w:val="001813F3"/>
    <w:rsid w:val="0018155E"/>
    <w:rsid w:val="00181574"/>
    <w:rsid w:val="0018157E"/>
    <w:rsid w:val="001815B0"/>
    <w:rsid w:val="00181625"/>
    <w:rsid w:val="001816A3"/>
    <w:rsid w:val="001816F9"/>
    <w:rsid w:val="0018170F"/>
    <w:rsid w:val="00181863"/>
    <w:rsid w:val="00181899"/>
    <w:rsid w:val="0018192D"/>
    <w:rsid w:val="0018193B"/>
    <w:rsid w:val="00181977"/>
    <w:rsid w:val="00181A0E"/>
    <w:rsid w:val="00181A25"/>
    <w:rsid w:val="00181A2A"/>
    <w:rsid w:val="00181AB2"/>
    <w:rsid w:val="00181B63"/>
    <w:rsid w:val="00181BA1"/>
    <w:rsid w:val="00181C87"/>
    <w:rsid w:val="00181D5C"/>
    <w:rsid w:val="00181D7A"/>
    <w:rsid w:val="00181DC1"/>
    <w:rsid w:val="00181DCD"/>
    <w:rsid w:val="00181EAC"/>
    <w:rsid w:val="00181EEF"/>
    <w:rsid w:val="00181F98"/>
    <w:rsid w:val="00182031"/>
    <w:rsid w:val="001820BE"/>
    <w:rsid w:val="001821A4"/>
    <w:rsid w:val="001822F2"/>
    <w:rsid w:val="001823C0"/>
    <w:rsid w:val="00182493"/>
    <w:rsid w:val="0018267B"/>
    <w:rsid w:val="0018268A"/>
    <w:rsid w:val="00182691"/>
    <w:rsid w:val="001826AF"/>
    <w:rsid w:val="001826BD"/>
    <w:rsid w:val="00182711"/>
    <w:rsid w:val="0018273F"/>
    <w:rsid w:val="00182861"/>
    <w:rsid w:val="00182871"/>
    <w:rsid w:val="00182911"/>
    <w:rsid w:val="00182A3D"/>
    <w:rsid w:val="00182A52"/>
    <w:rsid w:val="00182A93"/>
    <w:rsid w:val="00182ABF"/>
    <w:rsid w:val="00182B3B"/>
    <w:rsid w:val="00182BB7"/>
    <w:rsid w:val="00182C70"/>
    <w:rsid w:val="00182D41"/>
    <w:rsid w:val="00182D47"/>
    <w:rsid w:val="00182D65"/>
    <w:rsid w:val="00182DE7"/>
    <w:rsid w:val="00182DF9"/>
    <w:rsid w:val="00182F4B"/>
    <w:rsid w:val="00183101"/>
    <w:rsid w:val="00183254"/>
    <w:rsid w:val="001832B2"/>
    <w:rsid w:val="0018333B"/>
    <w:rsid w:val="0018334B"/>
    <w:rsid w:val="00183365"/>
    <w:rsid w:val="0018336E"/>
    <w:rsid w:val="0018337A"/>
    <w:rsid w:val="0018342A"/>
    <w:rsid w:val="001835AF"/>
    <w:rsid w:val="001835EB"/>
    <w:rsid w:val="0018369C"/>
    <w:rsid w:val="00183714"/>
    <w:rsid w:val="00183799"/>
    <w:rsid w:val="001838A1"/>
    <w:rsid w:val="001838FA"/>
    <w:rsid w:val="0018391F"/>
    <w:rsid w:val="00183A86"/>
    <w:rsid w:val="00183AE2"/>
    <w:rsid w:val="00183BC4"/>
    <w:rsid w:val="00183BEE"/>
    <w:rsid w:val="00183CB7"/>
    <w:rsid w:val="00183D38"/>
    <w:rsid w:val="00183D6B"/>
    <w:rsid w:val="00183D94"/>
    <w:rsid w:val="00183E1C"/>
    <w:rsid w:val="00183E33"/>
    <w:rsid w:val="00183F26"/>
    <w:rsid w:val="001840EC"/>
    <w:rsid w:val="00184200"/>
    <w:rsid w:val="00184250"/>
    <w:rsid w:val="0018429C"/>
    <w:rsid w:val="001842D2"/>
    <w:rsid w:val="00184327"/>
    <w:rsid w:val="00184402"/>
    <w:rsid w:val="001844DC"/>
    <w:rsid w:val="00184500"/>
    <w:rsid w:val="00184522"/>
    <w:rsid w:val="00184567"/>
    <w:rsid w:val="00184604"/>
    <w:rsid w:val="0018465F"/>
    <w:rsid w:val="001846C3"/>
    <w:rsid w:val="00184740"/>
    <w:rsid w:val="00184763"/>
    <w:rsid w:val="00184843"/>
    <w:rsid w:val="00184891"/>
    <w:rsid w:val="001848DF"/>
    <w:rsid w:val="00184980"/>
    <w:rsid w:val="001849DD"/>
    <w:rsid w:val="00184A3A"/>
    <w:rsid w:val="00184ACC"/>
    <w:rsid w:val="00184B3C"/>
    <w:rsid w:val="00184B40"/>
    <w:rsid w:val="00184BBC"/>
    <w:rsid w:val="00184BE7"/>
    <w:rsid w:val="00184C38"/>
    <w:rsid w:val="00184CE6"/>
    <w:rsid w:val="00184D16"/>
    <w:rsid w:val="00184FDC"/>
    <w:rsid w:val="00184FF5"/>
    <w:rsid w:val="00185175"/>
    <w:rsid w:val="001851B1"/>
    <w:rsid w:val="001851DF"/>
    <w:rsid w:val="00185379"/>
    <w:rsid w:val="0018539A"/>
    <w:rsid w:val="001853E0"/>
    <w:rsid w:val="001854E9"/>
    <w:rsid w:val="00185530"/>
    <w:rsid w:val="00185688"/>
    <w:rsid w:val="00185755"/>
    <w:rsid w:val="001857A6"/>
    <w:rsid w:val="0018582B"/>
    <w:rsid w:val="00185850"/>
    <w:rsid w:val="00185876"/>
    <w:rsid w:val="00185909"/>
    <w:rsid w:val="0018595C"/>
    <w:rsid w:val="00185A8B"/>
    <w:rsid w:val="00185AC1"/>
    <w:rsid w:val="00185B57"/>
    <w:rsid w:val="00185C1B"/>
    <w:rsid w:val="00185C79"/>
    <w:rsid w:val="00185C88"/>
    <w:rsid w:val="00185CFB"/>
    <w:rsid w:val="00185D0C"/>
    <w:rsid w:val="00185F11"/>
    <w:rsid w:val="00185F55"/>
    <w:rsid w:val="00185FA1"/>
    <w:rsid w:val="00186040"/>
    <w:rsid w:val="0018605E"/>
    <w:rsid w:val="0018608C"/>
    <w:rsid w:val="001860DB"/>
    <w:rsid w:val="0018613D"/>
    <w:rsid w:val="0018613E"/>
    <w:rsid w:val="00186164"/>
    <w:rsid w:val="00186168"/>
    <w:rsid w:val="00186642"/>
    <w:rsid w:val="001866AD"/>
    <w:rsid w:val="00186733"/>
    <w:rsid w:val="0018673A"/>
    <w:rsid w:val="00186777"/>
    <w:rsid w:val="0018682E"/>
    <w:rsid w:val="0018687B"/>
    <w:rsid w:val="001868B5"/>
    <w:rsid w:val="001868EB"/>
    <w:rsid w:val="0018695B"/>
    <w:rsid w:val="001869D3"/>
    <w:rsid w:val="001869DC"/>
    <w:rsid w:val="001869FB"/>
    <w:rsid w:val="00186C07"/>
    <w:rsid w:val="00186C64"/>
    <w:rsid w:val="00186D4C"/>
    <w:rsid w:val="00186DAA"/>
    <w:rsid w:val="00186EEC"/>
    <w:rsid w:val="00186F46"/>
    <w:rsid w:val="00186F76"/>
    <w:rsid w:val="00186F7A"/>
    <w:rsid w:val="00186FD4"/>
    <w:rsid w:val="001870BA"/>
    <w:rsid w:val="001870E5"/>
    <w:rsid w:val="0018714A"/>
    <w:rsid w:val="001871C8"/>
    <w:rsid w:val="00187231"/>
    <w:rsid w:val="00187285"/>
    <w:rsid w:val="001873AC"/>
    <w:rsid w:val="00187424"/>
    <w:rsid w:val="0018743B"/>
    <w:rsid w:val="0018750D"/>
    <w:rsid w:val="00187569"/>
    <w:rsid w:val="00187582"/>
    <w:rsid w:val="00187699"/>
    <w:rsid w:val="0018769D"/>
    <w:rsid w:val="001877BF"/>
    <w:rsid w:val="0018780B"/>
    <w:rsid w:val="00187914"/>
    <w:rsid w:val="00187920"/>
    <w:rsid w:val="001879C5"/>
    <w:rsid w:val="00187A4B"/>
    <w:rsid w:val="00187A6B"/>
    <w:rsid w:val="00187A88"/>
    <w:rsid w:val="00187AB6"/>
    <w:rsid w:val="00187B0B"/>
    <w:rsid w:val="00187B53"/>
    <w:rsid w:val="00187B54"/>
    <w:rsid w:val="00187C1A"/>
    <w:rsid w:val="00187C89"/>
    <w:rsid w:val="00187D75"/>
    <w:rsid w:val="00187D81"/>
    <w:rsid w:val="00187E97"/>
    <w:rsid w:val="00187EA2"/>
    <w:rsid w:val="00187EF1"/>
    <w:rsid w:val="00187FAF"/>
    <w:rsid w:val="00187FDF"/>
    <w:rsid w:val="00190148"/>
    <w:rsid w:val="001901E0"/>
    <w:rsid w:val="0019032C"/>
    <w:rsid w:val="00190386"/>
    <w:rsid w:val="001903DA"/>
    <w:rsid w:val="0019052D"/>
    <w:rsid w:val="0019055E"/>
    <w:rsid w:val="00190624"/>
    <w:rsid w:val="0019066F"/>
    <w:rsid w:val="001906A8"/>
    <w:rsid w:val="00190706"/>
    <w:rsid w:val="0019070D"/>
    <w:rsid w:val="00190753"/>
    <w:rsid w:val="00190790"/>
    <w:rsid w:val="001908E8"/>
    <w:rsid w:val="001909DE"/>
    <w:rsid w:val="00190A0D"/>
    <w:rsid w:val="00190A87"/>
    <w:rsid w:val="00190AE1"/>
    <w:rsid w:val="00190B5E"/>
    <w:rsid w:val="00190C1F"/>
    <w:rsid w:val="00190C27"/>
    <w:rsid w:val="00190C8B"/>
    <w:rsid w:val="00190CB2"/>
    <w:rsid w:val="00190CBB"/>
    <w:rsid w:val="00190D21"/>
    <w:rsid w:val="00190D2A"/>
    <w:rsid w:val="00190DF6"/>
    <w:rsid w:val="00190E04"/>
    <w:rsid w:val="00190E75"/>
    <w:rsid w:val="00190E9D"/>
    <w:rsid w:val="00190EE5"/>
    <w:rsid w:val="00190EEF"/>
    <w:rsid w:val="00190F90"/>
    <w:rsid w:val="00190FF1"/>
    <w:rsid w:val="0019100F"/>
    <w:rsid w:val="0019104A"/>
    <w:rsid w:val="0019107C"/>
    <w:rsid w:val="001910B6"/>
    <w:rsid w:val="00191186"/>
    <w:rsid w:val="00191235"/>
    <w:rsid w:val="001912FA"/>
    <w:rsid w:val="001913D1"/>
    <w:rsid w:val="001913F1"/>
    <w:rsid w:val="001914C9"/>
    <w:rsid w:val="0019155C"/>
    <w:rsid w:val="00191643"/>
    <w:rsid w:val="001916BD"/>
    <w:rsid w:val="00191703"/>
    <w:rsid w:val="00191722"/>
    <w:rsid w:val="00191760"/>
    <w:rsid w:val="00191883"/>
    <w:rsid w:val="0019188F"/>
    <w:rsid w:val="00191AB9"/>
    <w:rsid w:val="00191BF5"/>
    <w:rsid w:val="00191F26"/>
    <w:rsid w:val="00191F5B"/>
    <w:rsid w:val="00191F77"/>
    <w:rsid w:val="00192095"/>
    <w:rsid w:val="001920C8"/>
    <w:rsid w:val="00192180"/>
    <w:rsid w:val="001921EE"/>
    <w:rsid w:val="00192218"/>
    <w:rsid w:val="0019224B"/>
    <w:rsid w:val="0019229D"/>
    <w:rsid w:val="001923B5"/>
    <w:rsid w:val="001923F2"/>
    <w:rsid w:val="00192548"/>
    <w:rsid w:val="00192677"/>
    <w:rsid w:val="0019276D"/>
    <w:rsid w:val="00192812"/>
    <w:rsid w:val="001928B4"/>
    <w:rsid w:val="00192957"/>
    <w:rsid w:val="001929B6"/>
    <w:rsid w:val="001929E0"/>
    <w:rsid w:val="00192A67"/>
    <w:rsid w:val="00192BBE"/>
    <w:rsid w:val="00192CCB"/>
    <w:rsid w:val="00192D36"/>
    <w:rsid w:val="00192D96"/>
    <w:rsid w:val="00192DF6"/>
    <w:rsid w:val="00192F0D"/>
    <w:rsid w:val="00192F1B"/>
    <w:rsid w:val="00192F9C"/>
    <w:rsid w:val="00192FF4"/>
    <w:rsid w:val="001931AC"/>
    <w:rsid w:val="001931BE"/>
    <w:rsid w:val="00193292"/>
    <w:rsid w:val="00193330"/>
    <w:rsid w:val="001933CD"/>
    <w:rsid w:val="0019342C"/>
    <w:rsid w:val="00193455"/>
    <w:rsid w:val="001935A0"/>
    <w:rsid w:val="001935ED"/>
    <w:rsid w:val="0019384A"/>
    <w:rsid w:val="00193996"/>
    <w:rsid w:val="001939B4"/>
    <w:rsid w:val="001939DA"/>
    <w:rsid w:val="00193A04"/>
    <w:rsid w:val="00193A12"/>
    <w:rsid w:val="00193AEB"/>
    <w:rsid w:val="00193BA9"/>
    <w:rsid w:val="00193BCE"/>
    <w:rsid w:val="00193BE6"/>
    <w:rsid w:val="00193C75"/>
    <w:rsid w:val="00193CAC"/>
    <w:rsid w:val="00193CC9"/>
    <w:rsid w:val="00193D4F"/>
    <w:rsid w:val="00193E30"/>
    <w:rsid w:val="00193EFC"/>
    <w:rsid w:val="00193FFC"/>
    <w:rsid w:val="00194044"/>
    <w:rsid w:val="00194047"/>
    <w:rsid w:val="001940FF"/>
    <w:rsid w:val="0019420E"/>
    <w:rsid w:val="0019440C"/>
    <w:rsid w:val="00194434"/>
    <w:rsid w:val="00194436"/>
    <w:rsid w:val="0019445A"/>
    <w:rsid w:val="00194636"/>
    <w:rsid w:val="0019478E"/>
    <w:rsid w:val="001947BC"/>
    <w:rsid w:val="001947DB"/>
    <w:rsid w:val="001947EF"/>
    <w:rsid w:val="00194817"/>
    <w:rsid w:val="00194888"/>
    <w:rsid w:val="001948D8"/>
    <w:rsid w:val="00194A78"/>
    <w:rsid w:val="00194AAB"/>
    <w:rsid w:val="00194AD7"/>
    <w:rsid w:val="00194CA6"/>
    <w:rsid w:val="00194D01"/>
    <w:rsid w:val="00194D45"/>
    <w:rsid w:val="00194D6D"/>
    <w:rsid w:val="00194D8F"/>
    <w:rsid w:val="00194E11"/>
    <w:rsid w:val="001950A9"/>
    <w:rsid w:val="001951EE"/>
    <w:rsid w:val="00195246"/>
    <w:rsid w:val="00195287"/>
    <w:rsid w:val="001952C3"/>
    <w:rsid w:val="00195317"/>
    <w:rsid w:val="00195347"/>
    <w:rsid w:val="0019538E"/>
    <w:rsid w:val="0019553A"/>
    <w:rsid w:val="001955F8"/>
    <w:rsid w:val="00195669"/>
    <w:rsid w:val="001956A9"/>
    <w:rsid w:val="001956EB"/>
    <w:rsid w:val="00195796"/>
    <w:rsid w:val="00195850"/>
    <w:rsid w:val="001958FC"/>
    <w:rsid w:val="00195946"/>
    <w:rsid w:val="001959DC"/>
    <w:rsid w:val="001959F7"/>
    <w:rsid w:val="00195A30"/>
    <w:rsid w:val="00195A83"/>
    <w:rsid w:val="00195A8A"/>
    <w:rsid w:val="00195B66"/>
    <w:rsid w:val="00195B8F"/>
    <w:rsid w:val="00195D8A"/>
    <w:rsid w:val="00195EB8"/>
    <w:rsid w:val="00195F4E"/>
    <w:rsid w:val="00195F5F"/>
    <w:rsid w:val="00195F6A"/>
    <w:rsid w:val="00195F7A"/>
    <w:rsid w:val="00196143"/>
    <w:rsid w:val="0019618D"/>
    <w:rsid w:val="00196240"/>
    <w:rsid w:val="00196277"/>
    <w:rsid w:val="001962B8"/>
    <w:rsid w:val="001962EB"/>
    <w:rsid w:val="00196334"/>
    <w:rsid w:val="00196393"/>
    <w:rsid w:val="001963F3"/>
    <w:rsid w:val="00196518"/>
    <w:rsid w:val="0019658B"/>
    <w:rsid w:val="001966A4"/>
    <w:rsid w:val="0019681F"/>
    <w:rsid w:val="0019682E"/>
    <w:rsid w:val="001968D2"/>
    <w:rsid w:val="0019698A"/>
    <w:rsid w:val="001969AA"/>
    <w:rsid w:val="001969D8"/>
    <w:rsid w:val="00196A17"/>
    <w:rsid w:val="00196A95"/>
    <w:rsid w:val="00196B01"/>
    <w:rsid w:val="00196B49"/>
    <w:rsid w:val="00196BA5"/>
    <w:rsid w:val="00196C33"/>
    <w:rsid w:val="00196E2E"/>
    <w:rsid w:val="00196F25"/>
    <w:rsid w:val="00196FCB"/>
    <w:rsid w:val="00196FF2"/>
    <w:rsid w:val="00197027"/>
    <w:rsid w:val="001971BD"/>
    <w:rsid w:val="0019720F"/>
    <w:rsid w:val="00197221"/>
    <w:rsid w:val="00197323"/>
    <w:rsid w:val="00197403"/>
    <w:rsid w:val="00197420"/>
    <w:rsid w:val="00197428"/>
    <w:rsid w:val="001974A2"/>
    <w:rsid w:val="0019751E"/>
    <w:rsid w:val="0019756E"/>
    <w:rsid w:val="00197653"/>
    <w:rsid w:val="00197746"/>
    <w:rsid w:val="0019777C"/>
    <w:rsid w:val="00197786"/>
    <w:rsid w:val="00197795"/>
    <w:rsid w:val="00197844"/>
    <w:rsid w:val="0019786D"/>
    <w:rsid w:val="0019797D"/>
    <w:rsid w:val="00197A04"/>
    <w:rsid w:val="00197B01"/>
    <w:rsid w:val="00197B48"/>
    <w:rsid w:val="00197BA6"/>
    <w:rsid w:val="00197CE8"/>
    <w:rsid w:val="00197D79"/>
    <w:rsid w:val="00197DBD"/>
    <w:rsid w:val="00197DD3"/>
    <w:rsid w:val="00197EB4"/>
    <w:rsid w:val="00197EE5"/>
    <w:rsid w:val="00197EF9"/>
    <w:rsid w:val="00197F60"/>
    <w:rsid w:val="00197FEF"/>
    <w:rsid w:val="0019A33A"/>
    <w:rsid w:val="001A0068"/>
    <w:rsid w:val="001A00A6"/>
    <w:rsid w:val="001A0220"/>
    <w:rsid w:val="001A02AD"/>
    <w:rsid w:val="001A0427"/>
    <w:rsid w:val="001A0440"/>
    <w:rsid w:val="001A0455"/>
    <w:rsid w:val="001A05A0"/>
    <w:rsid w:val="001A0722"/>
    <w:rsid w:val="001A0754"/>
    <w:rsid w:val="001A086F"/>
    <w:rsid w:val="001A09DC"/>
    <w:rsid w:val="001A09E8"/>
    <w:rsid w:val="001A0A18"/>
    <w:rsid w:val="001A0A88"/>
    <w:rsid w:val="001A0AF9"/>
    <w:rsid w:val="001A0AFE"/>
    <w:rsid w:val="001A0C0D"/>
    <w:rsid w:val="001A106C"/>
    <w:rsid w:val="001A10A7"/>
    <w:rsid w:val="001A1127"/>
    <w:rsid w:val="001A11FE"/>
    <w:rsid w:val="001A13AF"/>
    <w:rsid w:val="001A14CF"/>
    <w:rsid w:val="001A14EF"/>
    <w:rsid w:val="001A1643"/>
    <w:rsid w:val="001A1647"/>
    <w:rsid w:val="001A1687"/>
    <w:rsid w:val="001A16AA"/>
    <w:rsid w:val="001A16D8"/>
    <w:rsid w:val="001A1721"/>
    <w:rsid w:val="001A17EF"/>
    <w:rsid w:val="001A1944"/>
    <w:rsid w:val="001A1A56"/>
    <w:rsid w:val="001A1C5D"/>
    <w:rsid w:val="001A1CB9"/>
    <w:rsid w:val="001A1CEB"/>
    <w:rsid w:val="001A1D66"/>
    <w:rsid w:val="001A1DB2"/>
    <w:rsid w:val="001A1E42"/>
    <w:rsid w:val="001A1E55"/>
    <w:rsid w:val="001A1E80"/>
    <w:rsid w:val="001A1EA6"/>
    <w:rsid w:val="001A1FD8"/>
    <w:rsid w:val="001A204C"/>
    <w:rsid w:val="001A219E"/>
    <w:rsid w:val="001A21E0"/>
    <w:rsid w:val="001A21E7"/>
    <w:rsid w:val="001A22B6"/>
    <w:rsid w:val="001A22BF"/>
    <w:rsid w:val="001A2321"/>
    <w:rsid w:val="001A23A8"/>
    <w:rsid w:val="001A23E2"/>
    <w:rsid w:val="001A247D"/>
    <w:rsid w:val="001A2658"/>
    <w:rsid w:val="001A2683"/>
    <w:rsid w:val="001A2709"/>
    <w:rsid w:val="001A271F"/>
    <w:rsid w:val="001A2786"/>
    <w:rsid w:val="001A288F"/>
    <w:rsid w:val="001A28D7"/>
    <w:rsid w:val="001A29A5"/>
    <w:rsid w:val="001A2A0F"/>
    <w:rsid w:val="001A2A9A"/>
    <w:rsid w:val="001A2AC8"/>
    <w:rsid w:val="001A2C0A"/>
    <w:rsid w:val="001A2C91"/>
    <w:rsid w:val="001A2C9A"/>
    <w:rsid w:val="001A2D2D"/>
    <w:rsid w:val="001A2E2D"/>
    <w:rsid w:val="001A2E41"/>
    <w:rsid w:val="001A2E82"/>
    <w:rsid w:val="001A2EBD"/>
    <w:rsid w:val="001A3233"/>
    <w:rsid w:val="001A3285"/>
    <w:rsid w:val="001A3306"/>
    <w:rsid w:val="001A3356"/>
    <w:rsid w:val="001A3361"/>
    <w:rsid w:val="001A3451"/>
    <w:rsid w:val="001A3475"/>
    <w:rsid w:val="001A34B7"/>
    <w:rsid w:val="001A34F0"/>
    <w:rsid w:val="001A3506"/>
    <w:rsid w:val="001A3564"/>
    <w:rsid w:val="001A3582"/>
    <w:rsid w:val="001A35C5"/>
    <w:rsid w:val="001A36FF"/>
    <w:rsid w:val="001A37B6"/>
    <w:rsid w:val="001A37D7"/>
    <w:rsid w:val="001A37FE"/>
    <w:rsid w:val="001A3816"/>
    <w:rsid w:val="001A3843"/>
    <w:rsid w:val="001A3861"/>
    <w:rsid w:val="001A390C"/>
    <w:rsid w:val="001A39DC"/>
    <w:rsid w:val="001A39E3"/>
    <w:rsid w:val="001A3A05"/>
    <w:rsid w:val="001A3A10"/>
    <w:rsid w:val="001A3B0B"/>
    <w:rsid w:val="001A3B0F"/>
    <w:rsid w:val="001A3B86"/>
    <w:rsid w:val="001A3C1E"/>
    <w:rsid w:val="001A3CAE"/>
    <w:rsid w:val="001A3CC9"/>
    <w:rsid w:val="001A3D4B"/>
    <w:rsid w:val="001A3D90"/>
    <w:rsid w:val="001A3E3E"/>
    <w:rsid w:val="001A3EDC"/>
    <w:rsid w:val="001A3EED"/>
    <w:rsid w:val="001A3F89"/>
    <w:rsid w:val="001A4007"/>
    <w:rsid w:val="001A40CE"/>
    <w:rsid w:val="001A40D0"/>
    <w:rsid w:val="001A41B4"/>
    <w:rsid w:val="001A429A"/>
    <w:rsid w:val="001A42F3"/>
    <w:rsid w:val="001A4308"/>
    <w:rsid w:val="001A437D"/>
    <w:rsid w:val="001A444B"/>
    <w:rsid w:val="001A44AC"/>
    <w:rsid w:val="001A4550"/>
    <w:rsid w:val="001A45BA"/>
    <w:rsid w:val="001A4638"/>
    <w:rsid w:val="001A464F"/>
    <w:rsid w:val="001A46C7"/>
    <w:rsid w:val="001A46F6"/>
    <w:rsid w:val="001A46FE"/>
    <w:rsid w:val="001A4707"/>
    <w:rsid w:val="001A47B9"/>
    <w:rsid w:val="001A47BE"/>
    <w:rsid w:val="001A483C"/>
    <w:rsid w:val="001A4866"/>
    <w:rsid w:val="001A48F6"/>
    <w:rsid w:val="001A490B"/>
    <w:rsid w:val="001A4947"/>
    <w:rsid w:val="001A4A95"/>
    <w:rsid w:val="001A4B04"/>
    <w:rsid w:val="001A4B76"/>
    <w:rsid w:val="001A4BFB"/>
    <w:rsid w:val="001A4D86"/>
    <w:rsid w:val="001A4E92"/>
    <w:rsid w:val="001A4E9A"/>
    <w:rsid w:val="001A4F7F"/>
    <w:rsid w:val="001A4FA3"/>
    <w:rsid w:val="001A5021"/>
    <w:rsid w:val="001A51AE"/>
    <w:rsid w:val="001A522E"/>
    <w:rsid w:val="001A5289"/>
    <w:rsid w:val="001A529D"/>
    <w:rsid w:val="001A5354"/>
    <w:rsid w:val="001A536A"/>
    <w:rsid w:val="001A53A1"/>
    <w:rsid w:val="001A5448"/>
    <w:rsid w:val="001A54C9"/>
    <w:rsid w:val="001A54E3"/>
    <w:rsid w:val="001A54EE"/>
    <w:rsid w:val="001A5595"/>
    <w:rsid w:val="001A5658"/>
    <w:rsid w:val="001A57C1"/>
    <w:rsid w:val="001A581E"/>
    <w:rsid w:val="001A58D1"/>
    <w:rsid w:val="001A597F"/>
    <w:rsid w:val="001A5B58"/>
    <w:rsid w:val="001A5BB9"/>
    <w:rsid w:val="001A5BC5"/>
    <w:rsid w:val="001A5BD6"/>
    <w:rsid w:val="001A5BEC"/>
    <w:rsid w:val="001A5D14"/>
    <w:rsid w:val="001A5D31"/>
    <w:rsid w:val="001A5DAE"/>
    <w:rsid w:val="001A5DB3"/>
    <w:rsid w:val="001A5E8C"/>
    <w:rsid w:val="001A5EA4"/>
    <w:rsid w:val="001A5F26"/>
    <w:rsid w:val="001A6142"/>
    <w:rsid w:val="001A6150"/>
    <w:rsid w:val="001A6184"/>
    <w:rsid w:val="001A6187"/>
    <w:rsid w:val="001A628C"/>
    <w:rsid w:val="001A6336"/>
    <w:rsid w:val="001A63E9"/>
    <w:rsid w:val="001A63F1"/>
    <w:rsid w:val="001A6412"/>
    <w:rsid w:val="001A6416"/>
    <w:rsid w:val="001A644B"/>
    <w:rsid w:val="001A64F2"/>
    <w:rsid w:val="001A650D"/>
    <w:rsid w:val="001A6620"/>
    <w:rsid w:val="001A663F"/>
    <w:rsid w:val="001A66F2"/>
    <w:rsid w:val="001A675C"/>
    <w:rsid w:val="001A67AD"/>
    <w:rsid w:val="001A67D7"/>
    <w:rsid w:val="001A67FB"/>
    <w:rsid w:val="001A6973"/>
    <w:rsid w:val="001A6985"/>
    <w:rsid w:val="001A6989"/>
    <w:rsid w:val="001A698F"/>
    <w:rsid w:val="001A69C9"/>
    <w:rsid w:val="001A6A4C"/>
    <w:rsid w:val="001A6B05"/>
    <w:rsid w:val="001A6BC5"/>
    <w:rsid w:val="001A6BE2"/>
    <w:rsid w:val="001A6C21"/>
    <w:rsid w:val="001A6CFE"/>
    <w:rsid w:val="001A6D7C"/>
    <w:rsid w:val="001A7098"/>
    <w:rsid w:val="001A709F"/>
    <w:rsid w:val="001A70A7"/>
    <w:rsid w:val="001A71AC"/>
    <w:rsid w:val="001A736B"/>
    <w:rsid w:val="001A737B"/>
    <w:rsid w:val="001A7411"/>
    <w:rsid w:val="001A7437"/>
    <w:rsid w:val="001A74AE"/>
    <w:rsid w:val="001A7509"/>
    <w:rsid w:val="001A750C"/>
    <w:rsid w:val="001A751B"/>
    <w:rsid w:val="001A7592"/>
    <w:rsid w:val="001A7594"/>
    <w:rsid w:val="001A75A6"/>
    <w:rsid w:val="001A76BE"/>
    <w:rsid w:val="001A76D7"/>
    <w:rsid w:val="001A76F6"/>
    <w:rsid w:val="001A7762"/>
    <w:rsid w:val="001A7765"/>
    <w:rsid w:val="001A7796"/>
    <w:rsid w:val="001A7899"/>
    <w:rsid w:val="001A78DF"/>
    <w:rsid w:val="001A7A0C"/>
    <w:rsid w:val="001A7B9F"/>
    <w:rsid w:val="001A7BE9"/>
    <w:rsid w:val="001A7C33"/>
    <w:rsid w:val="001A7C83"/>
    <w:rsid w:val="001A7E7C"/>
    <w:rsid w:val="001A7F64"/>
    <w:rsid w:val="001B0025"/>
    <w:rsid w:val="001B0027"/>
    <w:rsid w:val="001B008D"/>
    <w:rsid w:val="001B0091"/>
    <w:rsid w:val="001B00E1"/>
    <w:rsid w:val="001B0161"/>
    <w:rsid w:val="001B017C"/>
    <w:rsid w:val="001B0194"/>
    <w:rsid w:val="001B02C9"/>
    <w:rsid w:val="001B0379"/>
    <w:rsid w:val="001B03EC"/>
    <w:rsid w:val="001B0457"/>
    <w:rsid w:val="001B04F4"/>
    <w:rsid w:val="001B0539"/>
    <w:rsid w:val="001B054D"/>
    <w:rsid w:val="001B05A4"/>
    <w:rsid w:val="001B05C7"/>
    <w:rsid w:val="001B073F"/>
    <w:rsid w:val="001B07E9"/>
    <w:rsid w:val="001B07EA"/>
    <w:rsid w:val="001B0857"/>
    <w:rsid w:val="001B08A8"/>
    <w:rsid w:val="001B08AE"/>
    <w:rsid w:val="001B092F"/>
    <w:rsid w:val="001B0935"/>
    <w:rsid w:val="001B0971"/>
    <w:rsid w:val="001B09B4"/>
    <w:rsid w:val="001B09F8"/>
    <w:rsid w:val="001B0A13"/>
    <w:rsid w:val="001B0A72"/>
    <w:rsid w:val="001B0ABF"/>
    <w:rsid w:val="001B0B0F"/>
    <w:rsid w:val="001B0B3F"/>
    <w:rsid w:val="001B0B89"/>
    <w:rsid w:val="001B0C39"/>
    <w:rsid w:val="001B0C3D"/>
    <w:rsid w:val="001B0C66"/>
    <w:rsid w:val="001B0D18"/>
    <w:rsid w:val="001B0D9F"/>
    <w:rsid w:val="001B0E2C"/>
    <w:rsid w:val="001B0EC6"/>
    <w:rsid w:val="001B0F38"/>
    <w:rsid w:val="001B102F"/>
    <w:rsid w:val="001B1044"/>
    <w:rsid w:val="001B1069"/>
    <w:rsid w:val="001B1080"/>
    <w:rsid w:val="001B1100"/>
    <w:rsid w:val="001B11CC"/>
    <w:rsid w:val="001B1285"/>
    <w:rsid w:val="001B12B1"/>
    <w:rsid w:val="001B13B4"/>
    <w:rsid w:val="001B141D"/>
    <w:rsid w:val="001B1567"/>
    <w:rsid w:val="001B156F"/>
    <w:rsid w:val="001B1594"/>
    <w:rsid w:val="001B17A9"/>
    <w:rsid w:val="001B17F0"/>
    <w:rsid w:val="001B185C"/>
    <w:rsid w:val="001B186C"/>
    <w:rsid w:val="001B1945"/>
    <w:rsid w:val="001B197D"/>
    <w:rsid w:val="001B198F"/>
    <w:rsid w:val="001B19DA"/>
    <w:rsid w:val="001B1B54"/>
    <w:rsid w:val="001B1B7C"/>
    <w:rsid w:val="001B1BB8"/>
    <w:rsid w:val="001B1D42"/>
    <w:rsid w:val="001B1D7A"/>
    <w:rsid w:val="001B1DA5"/>
    <w:rsid w:val="001B1EC9"/>
    <w:rsid w:val="001B1EE0"/>
    <w:rsid w:val="001B1F1B"/>
    <w:rsid w:val="001B2018"/>
    <w:rsid w:val="001B2081"/>
    <w:rsid w:val="001B20A7"/>
    <w:rsid w:val="001B21EC"/>
    <w:rsid w:val="001B23AA"/>
    <w:rsid w:val="001B2441"/>
    <w:rsid w:val="001B248A"/>
    <w:rsid w:val="001B271F"/>
    <w:rsid w:val="001B2986"/>
    <w:rsid w:val="001B2AB8"/>
    <w:rsid w:val="001B2B8D"/>
    <w:rsid w:val="001B2C2C"/>
    <w:rsid w:val="001B2C65"/>
    <w:rsid w:val="001B2CB0"/>
    <w:rsid w:val="001B2D45"/>
    <w:rsid w:val="001B2D83"/>
    <w:rsid w:val="001B2DAD"/>
    <w:rsid w:val="001B2E0C"/>
    <w:rsid w:val="001B2E34"/>
    <w:rsid w:val="001B2E93"/>
    <w:rsid w:val="001B2FA6"/>
    <w:rsid w:val="001B302A"/>
    <w:rsid w:val="001B31DF"/>
    <w:rsid w:val="001B329D"/>
    <w:rsid w:val="001B329E"/>
    <w:rsid w:val="001B32DD"/>
    <w:rsid w:val="001B3346"/>
    <w:rsid w:val="001B349B"/>
    <w:rsid w:val="001B349D"/>
    <w:rsid w:val="001B3533"/>
    <w:rsid w:val="001B361B"/>
    <w:rsid w:val="001B3808"/>
    <w:rsid w:val="001B38EE"/>
    <w:rsid w:val="001B38FB"/>
    <w:rsid w:val="001B3965"/>
    <w:rsid w:val="001B39D3"/>
    <w:rsid w:val="001B39DA"/>
    <w:rsid w:val="001B39DD"/>
    <w:rsid w:val="001B39E7"/>
    <w:rsid w:val="001B3A90"/>
    <w:rsid w:val="001B3AB7"/>
    <w:rsid w:val="001B3B30"/>
    <w:rsid w:val="001B3D00"/>
    <w:rsid w:val="001B3E09"/>
    <w:rsid w:val="001B3E22"/>
    <w:rsid w:val="001B3E96"/>
    <w:rsid w:val="001B3EDB"/>
    <w:rsid w:val="001B3EF3"/>
    <w:rsid w:val="001B3F51"/>
    <w:rsid w:val="001B4049"/>
    <w:rsid w:val="001B410A"/>
    <w:rsid w:val="001B4139"/>
    <w:rsid w:val="001B4158"/>
    <w:rsid w:val="001B41BB"/>
    <w:rsid w:val="001B41DA"/>
    <w:rsid w:val="001B428F"/>
    <w:rsid w:val="001B42D8"/>
    <w:rsid w:val="001B4326"/>
    <w:rsid w:val="001B4389"/>
    <w:rsid w:val="001B438B"/>
    <w:rsid w:val="001B450B"/>
    <w:rsid w:val="001B45E2"/>
    <w:rsid w:val="001B469B"/>
    <w:rsid w:val="001B46CB"/>
    <w:rsid w:val="001B47A4"/>
    <w:rsid w:val="001B480D"/>
    <w:rsid w:val="001B481B"/>
    <w:rsid w:val="001B48DC"/>
    <w:rsid w:val="001B48FF"/>
    <w:rsid w:val="001B4A45"/>
    <w:rsid w:val="001B4ACA"/>
    <w:rsid w:val="001B4B67"/>
    <w:rsid w:val="001B4B92"/>
    <w:rsid w:val="001B4BEA"/>
    <w:rsid w:val="001B4BFB"/>
    <w:rsid w:val="001B4C2A"/>
    <w:rsid w:val="001B4C47"/>
    <w:rsid w:val="001B4D49"/>
    <w:rsid w:val="001B4D58"/>
    <w:rsid w:val="001B4D72"/>
    <w:rsid w:val="001B4D87"/>
    <w:rsid w:val="001B4D95"/>
    <w:rsid w:val="001B4DB1"/>
    <w:rsid w:val="001B4E93"/>
    <w:rsid w:val="001B4FA3"/>
    <w:rsid w:val="001B4FC6"/>
    <w:rsid w:val="001B500D"/>
    <w:rsid w:val="001B5126"/>
    <w:rsid w:val="001B5273"/>
    <w:rsid w:val="001B5277"/>
    <w:rsid w:val="001B52A6"/>
    <w:rsid w:val="001B52D0"/>
    <w:rsid w:val="001B5554"/>
    <w:rsid w:val="001B55B2"/>
    <w:rsid w:val="001B5697"/>
    <w:rsid w:val="001B56B9"/>
    <w:rsid w:val="001B5749"/>
    <w:rsid w:val="001B578F"/>
    <w:rsid w:val="001B57F1"/>
    <w:rsid w:val="001B5828"/>
    <w:rsid w:val="001B5844"/>
    <w:rsid w:val="001B589C"/>
    <w:rsid w:val="001B5947"/>
    <w:rsid w:val="001B5A9D"/>
    <w:rsid w:val="001B5AEB"/>
    <w:rsid w:val="001B5BB6"/>
    <w:rsid w:val="001B5C2A"/>
    <w:rsid w:val="001B5D03"/>
    <w:rsid w:val="001B5D9D"/>
    <w:rsid w:val="001B5DFD"/>
    <w:rsid w:val="001B60B2"/>
    <w:rsid w:val="001B61FB"/>
    <w:rsid w:val="001B6329"/>
    <w:rsid w:val="001B6367"/>
    <w:rsid w:val="001B639D"/>
    <w:rsid w:val="001B63E9"/>
    <w:rsid w:val="001B640A"/>
    <w:rsid w:val="001B643F"/>
    <w:rsid w:val="001B647F"/>
    <w:rsid w:val="001B64D8"/>
    <w:rsid w:val="001B64EC"/>
    <w:rsid w:val="001B651B"/>
    <w:rsid w:val="001B65E9"/>
    <w:rsid w:val="001B66FF"/>
    <w:rsid w:val="001B6772"/>
    <w:rsid w:val="001B686E"/>
    <w:rsid w:val="001B690A"/>
    <w:rsid w:val="001B690C"/>
    <w:rsid w:val="001B69DC"/>
    <w:rsid w:val="001B6AAF"/>
    <w:rsid w:val="001B6B43"/>
    <w:rsid w:val="001B6BAA"/>
    <w:rsid w:val="001B6BDB"/>
    <w:rsid w:val="001B6C2C"/>
    <w:rsid w:val="001B6D20"/>
    <w:rsid w:val="001B7072"/>
    <w:rsid w:val="001B71EC"/>
    <w:rsid w:val="001B7219"/>
    <w:rsid w:val="001B7373"/>
    <w:rsid w:val="001B739D"/>
    <w:rsid w:val="001B73A4"/>
    <w:rsid w:val="001B7416"/>
    <w:rsid w:val="001B7486"/>
    <w:rsid w:val="001B74C4"/>
    <w:rsid w:val="001B7501"/>
    <w:rsid w:val="001B7515"/>
    <w:rsid w:val="001B7701"/>
    <w:rsid w:val="001B77D5"/>
    <w:rsid w:val="001B7803"/>
    <w:rsid w:val="001B7821"/>
    <w:rsid w:val="001B7887"/>
    <w:rsid w:val="001B78E6"/>
    <w:rsid w:val="001B78FD"/>
    <w:rsid w:val="001B7A43"/>
    <w:rsid w:val="001B7A48"/>
    <w:rsid w:val="001B7AF8"/>
    <w:rsid w:val="001B7B26"/>
    <w:rsid w:val="001B7BA0"/>
    <w:rsid w:val="001B7BC8"/>
    <w:rsid w:val="001B7C1B"/>
    <w:rsid w:val="001B7CC9"/>
    <w:rsid w:val="001B7CFC"/>
    <w:rsid w:val="001B7D57"/>
    <w:rsid w:val="001B7DFA"/>
    <w:rsid w:val="001B7E1F"/>
    <w:rsid w:val="001B7E33"/>
    <w:rsid w:val="001B7E38"/>
    <w:rsid w:val="001B7E4A"/>
    <w:rsid w:val="001B7E61"/>
    <w:rsid w:val="001B7E95"/>
    <w:rsid w:val="001B7FEE"/>
    <w:rsid w:val="001C002E"/>
    <w:rsid w:val="001C0071"/>
    <w:rsid w:val="001C00B0"/>
    <w:rsid w:val="001C014D"/>
    <w:rsid w:val="001C0192"/>
    <w:rsid w:val="001C01AF"/>
    <w:rsid w:val="001C0289"/>
    <w:rsid w:val="001C0333"/>
    <w:rsid w:val="001C0431"/>
    <w:rsid w:val="001C049D"/>
    <w:rsid w:val="001C066F"/>
    <w:rsid w:val="001C06B5"/>
    <w:rsid w:val="001C06DF"/>
    <w:rsid w:val="001C0739"/>
    <w:rsid w:val="001C078C"/>
    <w:rsid w:val="001C0865"/>
    <w:rsid w:val="001C08B8"/>
    <w:rsid w:val="001C0912"/>
    <w:rsid w:val="001C0A9C"/>
    <w:rsid w:val="001C0AB0"/>
    <w:rsid w:val="001C0B03"/>
    <w:rsid w:val="001C0B4B"/>
    <w:rsid w:val="001C0C87"/>
    <w:rsid w:val="001C0D2F"/>
    <w:rsid w:val="001C0DCF"/>
    <w:rsid w:val="001C0E01"/>
    <w:rsid w:val="001C0EB7"/>
    <w:rsid w:val="001C0EC4"/>
    <w:rsid w:val="001C110C"/>
    <w:rsid w:val="001C12C2"/>
    <w:rsid w:val="001C1377"/>
    <w:rsid w:val="001C13AD"/>
    <w:rsid w:val="001C13FF"/>
    <w:rsid w:val="001C144D"/>
    <w:rsid w:val="001C14AF"/>
    <w:rsid w:val="001C1528"/>
    <w:rsid w:val="001C15B9"/>
    <w:rsid w:val="001C15DF"/>
    <w:rsid w:val="001C162C"/>
    <w:rsid w:val="001C1693"/>
    <w:rsid w:val="001C16A7"/>
    <w:rsid w:val="001C1885"/>
    <w:rsid w:val="001C18B5"/>
    <w:rsid w:val="001C1A02"/>
    <w:rsid w:val="001C1A85"/>
    <w:rsid w:val="001C1C1D"/>
    <w:rsid w:val="001C1C74"/>
    <w:rsid w:val="001C1C8C"/>
    <w:rsid w:val="001C1CB9"/>
    <w:rsid w:val="001C1CDB"/>
    <w:rsid w:val="001C1CE3"/>
    <w:rsid w:val="001C1D36"/>
    <w:rsid w:val="001C1DF1"/>
    <w:rsid w:val="001C1E92"/>
    <w:rsid w:val="001C21B2"/>
    <w:rsid w:val="001C221A"/>
    <w:rsid w:val="001C251F"/>
    <w:rsid w:val="001C25A2"/>
    <w:rsid w:val="001C25A7"/>
    <w:rsid w:val="001C26AF"/>
    <w:rsid w:val="001C2741"/>
    <w:rsid w:val="001C2982"/>
    <w:rsid w:val="001C2986"/>
    <w:rsid w:val="001C29A5"/>
    <w:rsid w:val="001C2A4D"/>
    <w:rsid w:val="001C2B65"/>
    <w:rsid w:val="001C2BD2"/>
    <w:rsid w:val="001C2CBD"/>
    <w:rsid w:val="001C2DB9"/>
    <w:rsid w:val="001C2EDF"/>
    <w:rsid w:val="001C30E1"/>
    <w:rsid w:val="001C319A"/>
    <w:rsid w:val="001C31FF"/>
    <w:rsid w:val="001C323D"/>
    <w:rsid w:val="001C326A"/>
    <w:rsid w:val="001C3277"/>
    <w:rsid w:val="001C3305"/>
    <w:rsid w:val="001C3351"/>
    <w:rsid w:val="001C3406"/>
    <w:rsid w:val="001C3447"/>
    <w:rsid w:val="001C353E"/>
    <w:rsid w:val="001C353F"/>
    <w:rsid w:val="001C3622"/>
    <w:rsid w:val="001C372E"/>
    <w:rsid w:val="001C378D"/>
    <w:rsid w:val="001C3791"/>
    <w:rsid w:val="001C37E8"/>
    <w:rsid w:val="001C38C2"/>
    <w:rsid w:val="001C39C8"/>
    <w:rsid w:val="001C3A1A"/>
    <w:rsid w:val="001C3B2D"/>
    <w:rsid w:val="001C3B2F"/>
    <w:rsid w:val="001C3B3F"/>
    <w:rsid w:val="001C3B51"/>
    <w:rsid w:val="001C3D32"/>
    <w:rsid w:val="001C3D88"/>
    <w:rsid w:val="001C3EF4"/>
    <w:rsid w:val="001C3EF6"/>
    <w:rsid w:val="001C3F1F"/>
    <w:rsid w:val="001C405B"/>
    <w:rsid w:val="001C40BA"/>
    <w:rsid w:val="001C4344"/>
    <w:rsid w:val="001C4353"/>
    <w:rsid w:val="001C43FE"/>
    <w:rsid w:val="001C4440"/>
    <w:rsid w:val="001C4443"/>
    <w:rsid w:val="001C4453"/>
    <w:rsid w:val="001C44C6"/>
    <w:rsid w:val="001C44CA"/>
    <w:rsid w:val="001C45CE"/>
    <w:rsid w:val="001C4684"/>
    <w:rsid w:val="001C4722"/>
    <w:rsid w:val="001C4775"/>
    <w:rsid w:val="001C477F"/>
    <w:rsid w:val="001C47A3"/>
    <w:rsid w:val="001C48D4"/>
    <w:rsid w:val="001C4A03"/>
    <w:rsid w:val="001C4AAF"/>
    <w:rsid w:val="001C4AC9"/>
    <w:rsid w:val="001C4BE0"/>
    <w:rsid w:val="001C4C67"/>
    <w:rsid w:val="001C4CFC"/>
    <w:rsid w:val="001C4D38"/>
    <w:rsid w:val="001C4D89"/>
    <w:rsid w:val="001C4E15"/>
    <w:rsid w:val="001C4E60"/>
    <w:rsid w:val="001C4F33"/>
    <w:rsid w:val="001C4F4A"/>
    <w:rsid w:val="001C4F63"/>
    <w:rsid w:val="001C4F80"/>
    <w:rsid w:val="001C4F88"/>
    <w:rsid w:val="001C508F"/>
    <w:rsid w:val="001C51D3"/>
    <w:rsid w:val="001C5209"/>
    <w:rsid w:val="001C520C"/>
    <w:rsid w:val="001C5392"/>
    <w:rsid w:val="001C53C0"/>
    <w:rsid w:val="001C53C2"/>
    <w:rsid w:val="001C54D3"/>
    <w:rsid w:val="001C553A"/>
    <w:rsid w:val="001C554F"/>
    <w:rsid w:val="001C556E"/>
    <w:rsid w:val="001C5590"/>
    <w:rsid w:val="001C5710"/>
    <w:rsid w:val="001C5751"/>
    <w:rsid w:val="001C585B"/>
    <w:rsid w:val="001C58BB"/>
    <w:rsid w:val="001C5915"/>
    <w:rsid w:val="001C597D"/>
    <w:rsid w:val="001C5BFC"/>
    <w:rsid w:val="001C5BFF"/>
    <w:rsid w:val="001C5DDD"/>
    <w:rsid w:val="001C5E7E"/>
    <w:rsid w:val="001C5F31"/>
    <w:rsid w:val="001C5F88"/>
    <w:rsid w:val="001C5FF1"/>
    <w:rsid w:val="001C608F"/>
    <w:rsid w:val="001C6095"/>
    <w:rsid w:val="001C6136"/>
    <w:rsid w:val="001C61F2"/>
    <w:rsid w:val="001C62F1"/>
    <w:rsid w:val="001C62F2"/>
    <w:rsid w:val="001C6304"/>
    <w:rsid w:val="001C634E"/>
    <w:rsid w:val="001C64D4"/>
    <w:rsid w:val="001C653B"/>
    <w:rsid w:val="001C657A"/>
    <w:rsid w:val="001C6609"/>
    <w:rsid w:val="001C6676"/>
    <w:rsid w:val="001C6700"/>
    <w:rsid w:val="001C671F"/>
    <w:rsid w:val="001C67C9"/>
    <w:rsid w:val="001C67D3"/>
    <w:rsid w:val="001C6806"/>
    <w:rsid w:val="001C6817"/>
    <w:rsid w:val="001C6821"/>
    <w:rsid w:val="001C69CC"/>
    <w:rsid w:val="001C6A96"/>
    <w:rsid w:val="001C6A98"/>
    <w:rsid w:val="001C6AB8"/>
    <w:rsid w:val="001C6AFE"/>
    <w:rsid w:val="001C6B37"/>
    <w:rsid w:val="001C6B4A"/>
    <w:rsid w:val="001C6B6D"/>
    <w:rsid w:val="001C6C2B"/>
    <w:rsid w:val="001C6C58"/>
    <w:rsid w:val="001C6CB1"/>
    <w:rsid w:val="001C6CC9"/>
    <w:rsid w:val="001C6D3F"/>
    <w:rsid w:val="001C6D68"/>
    <w:rsid w:val="001C6EC7"/>
    <w:rsid w:val="001C6EEE"/>
    <w:rsid w:val="001C6FF6"/>
    <w:rsid w:val="001C7024"/>
    <w:rsid w:val="001C717C"/>
    <w:rsid w:val="001C719F"/>
    <w:rsid w:val="001C71AD"/>
    <w:rsid w:val="001C71C1"/>
    <w:rsid w:val="001C71CB"/>
    <w:rsid w:val="001C72AE"/>
    <w:rsid w:val="001C72F7"/>
    <w:rsid w:val="001C732B"/>
    <w:rsid w:val="001C7451"/>
    <w:rsid w:val="001C7534"/>
    <w:rsid w:val="001C757B"/>
    <w:rsid w:val="001C776C"/>
    <w:rsid w:val="001C778D"/>
    <w:rsid w:val="001C78C7"/>
    <w:rsid w:val="001C79DB"/>
    <w:rsid w:val="001C7C2F"/>
    <w:rsid w:val="001C7C4A"/>
    <w:rsid w:val="001C7C4C"/>
    <w:rsid w:val="001C7C5D"/>
    <w:rsid w:val="001C7DB8"/>
    <w:rsid w:val="001C7E14"/>
    <w:rsid w:val="001C7E73"/>
    <w:rsid w:val="001C7EBB"/>
    <w:rsid w:val="001C7ED4"/>
    <w:rsid w:val="001C7F89"/>
    <w:rsid w:val="001C7FE5"/>
    <w:rsid w:val="001D002C"/>
    <w:rsid w:val="001D009B"/>
    <w:rsid w:val="001D01D0"/>
    <w:rsid w:val="001D03AE"/>
    <w:rsid w:val="001D03EA"/>
    <w:rsid w:val="001D050A"/>
    <w:rsid w:val="001D05A1"/>
    <w:rsid w:val="001D0612"/>
    <w:rsid w:val="001D062C"/>
    <w:rsid w:val="001D062F"/>
    <w:rsid w:val="001D06E2"/>
    <w:rsid w:val="001D0727"/>
    <w:rsid w:val="001D0795"/>
    <w:rsid w:val="001D0916"/>
    <w:rsid w:val="001D0A24"/>
    <w:rsid w:val="001D0A2D"/>
    <w:rsid w:val="001D0A46"/>
    <w:rsid w:val="001D0ACF"/>
    <w:rsid w:val="001D0ADC"/>
    <w:rsid w:val="001D0AF9"/>
    <w:rsid w:val="001D0B30"/>
    <w:rsid w:val="001D0B43"/>
    <w:rsid w:val="001D0B4D"/>
    <w:rsid w:val="001D0B90"/>
    <w:rsid w:val="001D0BD3"/>
    <w:rsid w:val="001D0C20"/>
    <w:rsid w:val="001D0CE2"/>
    <w:rsid w:val="001D0D67"/>
    <w:rsid w:val="001D0D83"/>
    <w:rsid w:val="001D0DA7"/>
    <w:rsid w:val="001D0DD1"/>
    <w:rsid w:val="001D0DF0"/>
    <w:rsid w:val="001D0E02"/>
    <w:rsid w:val="001D0E35"/>
    <w:rsid w:val="001D0E6E"/>
    <w:rsid w:val="001D0EF1"/>
    <w:rsid w:val="001D10A1"/>
    <w:rsid w:val="001D1152"/>
    <w:rsid w:val="001D117B"/>
    <w:rsid w:val="001D11DA"/>
    <w:rsid w:val="001D1225"/>
    <w:rsid w:val="001D1281"/>
    <w:rsid w:val="001D12E1"/>
    <w:rsid w:val="001D12E7"/>
    <w:rsid w:val="001D13B0"/>
    <w:rsid w:val="001D14BF"/>
    <w:rsid w:val="001D164D"/>
    <w:rsid w:val="001D17AB"/>
    <w:rsid w:val="001D197E"/>
    <w:rsid w:val="001D19CE"/>
    <w:rsid w:val="001D1A71"/>
    <w:rsid w:val="001D1AB5"/>
    <w:rsid w:val="001D1BF1"/>
    <w:rsid w:val="001D1C0C"/>
    <w:rsid w:val="001D1D14"/>
    <w:rsid w:val="001D1D23"/>
    <w:rsid w:val="001D1D3C"/>
    <w:rsid w:val="001D1D51"/>
    <w:rsid w:val="001D1D57"/>
    <w:rsid w:val="001D1E47"/>
    <w:rsid w:val="001D1EF6"/>
    <w:rsid w:val="001D202A"/>
    <w:rsid w:val="001D204C"/>
    <w:rsid w:val="001D2050"/>
    <w:rsid w:val="001D2176"/>
    <w:rsid w:val="001D21C7"/>
    <w:rsid w:val="001D2205"/>
    <w:rsid w:val="001D2300"/>
    <w:rsid w:val="001D2398"/>
    <w:rsid w:val="001D23EF"/>
    <w:rsid w:val="001D2574"/>
    <w:rsid w:val="001D258E"/>
    <w:rsid w:val="001D25AA"/>
    <w:rsid w:val="001D262F"/>
    <w:rsid w:val="001D2644"/>
    <w:rsid w:val="001D2647"/>
    <w:rsid w:val="001D2733"/>
    <w:rsid w:val="001D2779"/>
    <w:rsid w:val="001D2789"/>
    <w:rsid w:val="001D28C1"/>
    <w:rsid w:val="001D2967"/>
    <w:rsid w:val="001D29E5"/>
    <w:rsid w:val="001D2A28"/>
    <w:rsid w:val="001D2B6C"/>
    <w:rsid w:val="001D2D4E"/>
    <w:rsid w:val="001D2D93"/>
    <w:rsid w:val="001D2E08"/>
    <w:rsid w:val="001D2E4C"/>
    <w:rsid w:val="001D2EE5"/>
    <w:rsid w:val="001D2EEA"/>
    <w:rsid w:val="001D2EF1"/>
    <w:rsid w:val="001D3106"/>
    <w:rsid w:val="001D3128"/>
    <w:rsid w:val="001D31EA"/>
    <w:rsid w:val="001D329E"/>
    <w:rsid w:val="001D3436"/>
    <w:rsid w:val="001D34C1"/>
    <w:rsid w:val="001D3530"/>
    <w:rsid w:val="001D3582"/>
    <w:rsid w:val="001D358D"/>
    <w:rsid w:val="001D35B5"/>
    <w:rsid w:val="001D3685"/>
    <w:rsid w:val="001D3817"/>
    <w:rsid w:val="001D381F"/>
    <w:rsid w:val="001D3833"/>
    <w:rsid w:val="001D38B0"/>
    <w:rsid w:val="001D39D9"/>
    <w:rsid w:val="001D3A2B"/>
    <w:rsid w:val="001D3A43"/>
    <w:rsid w:val="001D3A50"/>
    <w:rsid w:val="001D3A8C"/>
    <w:rsid w:val="001D3AE6"/>
    <w:rsid w:val="001D3B48"/>
    <w:rsid w:val="001D3B75"/>
    <w:rsid w:val="001D3BB8"/>
    <w:rsid w:val="001D3BF3"/>
    <w:rsid w:val="001D3C66"/>
    <w:rsid w:val="001D3CA7"/>
    <w:rsid w:val="001D3CBA"/>
    <w:rsid w:val="001D3CEE"/>
    <w:rsid w:val="001D3D53"/>
    <w:rsid w:val="001D3D5E"/>
    <w:rsid w:val="001D3DEB"/>
    <w:rsid w:val="001D3E59"/>
    <w:rsid w:val="001D3E7A"/>
    <w:rsid w:val="001D3F59"/>
    <w:rsid w:val="001D3F8A"/>
    <w:rsid w:val="001D40B4"/>
    <w:rsid w:val="001D4112"/>
    <w:rsid w:val="001D4162"/>
    <w:rsid w:val="001D41B9"/>
    <w:rsid w:val="001D41BD"/>
    <w:rsid w:val="001D41C5"/>
    <w:rsid w:val="001D424A"/>
    <w:rsid w:val="001D42AF"/>
    <w:rsid w:val="001D42CB"/>
    <w:rsid w:val="001D4334"/>
    <w:rsid w:val="001D43C5"/>
    <w:rsid w:val="001D440D"/>
    <w:rsid w:val="001D443C"/>
    <w:rsid w:val="001D4495"/>
    <w:rsid w:val="001D44DA"/>
    <w:rsid w:val="001D458C"/>
    <w:rsid w:val="001D458D"/>
    <w:rsid w:val="001D4641"/>
    <w:rsid w:val="001D4778"/>
    <w:rsid w:val="001D47F3"/>
    <w:rsid w:val="001D4939"/>
    <w:rsid w:val="001D49FE"/>
    <w:rsid w:val="001D4ABF"/>
    <w:rsid w:val="001D4ADA"/>
    <w:rsid w:val="001D4B33"/>
    <w:rsid w:val="001D4BE9"/>
    <w:rsid w:val="001D4BF8"/>
    <w:rsid w:val="001D4C3C"/>
    <w:rsid w:val="001D4CDC"/>
    <w:rsid w:val="001D4D54"/>
    <w:rsid w:val="001D4D70"/>
    <w:rsid w:val="001D4DC0"/>
    <w:rsid w:val="001D4DD8"/>
    <w:rsid w:val="001D4E25"/>
    <w:rsid w:val="001D4E33"/>
    <w:rsid w:val="001D4EDB"/>
    <w:rsid w:val="001D4F22"/>
    <w:rsid w:val="001D5118"/>
    <w:rsid w:val="001D515D"/>
    <w:rsid w:val="001D51BC"/>
    <w:rsid w:val="001D5287"/>
    <w:rsid w:val="001D53E8"/>
    <w:rsid w:val="001D54F5"/>
    <w:rsid w:val="001D557F"/>
    <w:rsid w:val="001D55CB"/>
    <w:rsid w:val="001D5649"/>
    <w:rsid w:val="001D56CD"/>
    <w:rsid w:val="001D59A0"/>
    <w:rsid w:val="001D59A1"/>
    <w:rsid w:val="001D59AD"/>
    <w:rsid w:val="001D5A7A"/>
    <w:rsid w:val="001D5B13"/>
    <w:rsid w:val="001D5C59"/>
    <w:rsid w:val="001D5CD6"/>
    <w:rsid w:val="001D5DFB"/>
    <w:rsid w:val="001D5EB3"/>
    <w:rsid w:val="001D5ECB"/>
    <w:rsid w:val="001D5F70"/>
    <w:rsid w:val="001D5FFF"/>
    <w:rsid w:val="001D603F"/>
    <w:rsid w:val="001D60BD"/>
    <w:rsid w:val="001D60C6"/>
    <w:rsid w:val="001D614C"/>
    <w:rsid w:val="001D61B3"/>
    <w:rsid w:val="001D61FA"/>
    <w:rsid w:val="001D61FD"/>
    <w:rsid w:val="001D62D4"/>
    <w:rsid w:val="001D638E"/>
    <w:rsid w:val="001D63D1"/>
    <w:rsid w:val="001D6441"/>
    <w:rsid w:val="001D6460"/>
    <w:rsid w:val="001D64A4"/>
    <w:rsid w:val="001D6547"/>
    <w:rsid w:val="001D65D5"/>
    <w:rsid w:val="001D65F9"/>
    <w:rsid w:val="001D6653"/>
    <w:rsid w:val="001D667C"/>
    <w:rsid w:val="001D66B9"/>
    <w:rsid w:val="001D673C"/>
    <w:rsid w:val="001D6770"/>
    <w:rsid w:val="001D6779"/>
    <w:rsid w:val="001D67AE"/>
    <w:rsid w:val="001D6830"/>
    <w:rsid w:val="001D68D4"/>
    <w:rsid w:val="001D6A03"/>
    <w:rsid w:val="001D6A9C"/>
    <w:rsid w:val="001D6B3F"/>
    <w:rsid w:val="001D6C49"/>
    <w:rsid w:val="001D6C55"/>
    <w:rsid w:val="001D6CA6"/>
    <w:rsid w:val="001D6CD9"/>
    <w:rsid w:val="001D6CF3"/>
    <w:rsid w:val="001D6D28"/>
    <w:rsid w:val="001D6E5A"/>
    <w:rsid w:val="001D6E7D"/>
    <w:rsid w:val="001D6EEF"/>
    <w:rsid w:val="001D6F2E"/>
    <w:rsid w:val="001D6F80"/>
    <w:rsid w:val="001D6FC2"/>
    <w:rsid w:val="001D708C"/>
    <w:rsid w:val="001D712C"/>
    <w:rsid w:val="001D725C"/>
    <w:rsid w:val="001D725D"/>
    <w:rsid w:val="001D738C"/>
    <w:rsid w:val="001D73B5"/>
    <w:rsid w:val="001D73DE"/>
    <w:rsid w:val="001D741B"/>
    <w:rsid w:val="001D7447"/>
    <w:rsid w:val="001D7560"/>
    <w:rsid w:val="001D75A7"/>
    <w:rsid w:val="001D76AE"/>
    <w:rsid w:val="001D7762"/>
    <w:rsid w:val="001D77CC"/>
    <w:rsid w:val="001D78AD"/>
    <w:rsid w:val="001D78E4"/>
    <w:rsid w:val="001D7903"/>
    <w:rsid w:val="001D79AB"/>
    <w:rsid w:val="001D79EA"/>
    <w:rsid w:val="001D7A9C"/>
    <w:rsid w:val="001D7AB6"/>
    <w:rsid w:val="001D7B37"/>
    <w:rsid w:val="001D7C26"/>
    <w:rsid w:val="001D7C68"/>
    <w:rsid w:val="001D7E5B"/>
    <w:rsid w:val="001D7E84"/>
    <w:rsid w:val="001D7FF8"/>
    <w:rsid w:val="001D873B"/>
    <w:rsid w:val="001D8D3E"/>
    <w:rsid w:val="001E007C"/>
    <w:rsid w:val="001E0114"/>
    <w:rsid w:val="001E026E"/>
    <w:rsid w:val="001E0316"/>
    <w:rsid w:val="001E03A3"/>
    <w:rsid w:val="001E03DA"/>
    <w:rsid w:val="001E03DB"/>
    <w:rsid w:val="001E0416"/>
    <w:rsid w:val="001E05C0"/>
    <w:rsid w:val="001E0681"/>
    <w:rsid w:val="001E06A2"/>
    <w:rsid w:val="001E0742"/>
    <w:rsid w:val="001E07DF"/>
    <w:rsid w:val="001E07E6"/>
    <w:rsid w:val="001E0914"/>
    <w:rsid w:val="001E0923"/>
    <w:rsid w:val="001E0941"/>
    <w:rsid w:val="001E0B56"/>
    <w:rsid w:val="001E0BA3"/>
    <w:rsid w:val="001E0BAE"/>
    <w:rsid w:val="001E0C0A"/>
    <w:rsid w:val="001E0C21"/>
    <w:rsid w:val="001E0C4B"/>
    <w:rsid w:val="001E0E0D"/>
    <w:rsid w:val="001E0F58"/>
    <w:rsid w:val="001E100A"/>
    <w:rsid w:val="001E102A"/>
    <w:rsid w:val="001E1136"/>
    <w:rsid w:val="001E11E5"/>
    <w:rsid w:val="001E11ED"/>
    <w:rsid w:val="001E12BF"/>
    <w:rsid w:val="001E1361"/>
    <w:rsid w:val="001E14B9"/>
    <w:rsid w:val="001E14CC"/>
    <w:rsid w:val="001E14E7"/>
    <w:rsid w:val="001E1500"/>
    <w:rsid w:val="001E156C"/>
    <w:rsid w:val="001E15C1"/>
    <w:rsid w:val="001E1666"/>
    <w:rsid w:val="001E1692"/>
    <w:rsid w:val="001E1701"/>
    <w:rsid w:val="001E17B5"/>
    <w:rsid w:val="001E1868"/>
    <w:rsid w:val="001E1955"/>
    <w:rsid w:val="001E19C4"/>
    <w:rsid w:val="001E19FF"/>
    <w:rsid w:val="001E1A26"/>
    <w:rsid w:val="001E1A49"/>
    <w:rsid w:val="001E1A96"/>
    <w:rsid w:val="001E1AC3"/>
    <w:rsid w:val="001E1B1E"/>
    <w:rsid w:val="001E1BF2"/>
    <w:rsid w:val="001E1BF5"/>
    <w:rsid w:val="001E1C8C"/>
    <w:rsid w:val="001E1CB9"/>
    <w:rsid w:val="001E1D41"/>
    <w:rsid w:val="001E1DFB"/>
    <w:rsid w:val="001E1E36"/>
    <w:rsid w:val="001E1E80"/>
    <w:rsid w:val="001E1EE5"/>
    <w:rsid w:val="001E1F2B"/>
    <w:rsid w:val="001E20C6"/>
    <w:rsid w:val="001E212F"/>
    <w:rsid w:val="001E216C"/>
    <w:rsid w:val="001E2224"/>
    <w:rsid w:val="001E2259"/>
    <w:rsid w:val="001E22D3"/>
    <w:rsid w:val="001E2366"/>
    <w:rsid w:val="001E23F9"/>
    <w:rsid w:val="001E2455"/>
    <w:rsid w:val="001E249F"/>
    <w:rsid w:val="001E250A"/>
    <w:rsid w:val="001E2518"/>
    <w:rsid w:val="001E2535"/>
    <w:rsid w:val="001E2539"/>
    <w:rsid w:val="001E2579"/>
    <w:rsid w:val="001E25C7"/>
    <w:rsid w:val="001E261D"/>
    <w:rsid w:val="001E262E"/>
    <w:rsid w:val="001E2651"/>
    <w:rsid w:val="001E2766"/>
    <w:rsid w:val="001E289C"/>
    <w:rsid w:val="001E28A8"/>
    <w:rsid w:val="001E28CC"/>
    <w:rsid w:val="001E2946"/>
    <w:rsid w:val="001E296F"/>
    <w:rsid w:val="001E2B59"/>
    <w:rsid w:val="001E2B8B"/>
    <w:rsid w:val="001E2C8D"/>
    <w:rsid w:val="001E2E45"/>
    <w:rsid w:val="001E2F2F"/>
    <w:rsid w:val="001E2F64"/>
    <w:rsid w:val="001E3035"/>
    <w:rsid w:val="001E3103"/>
    <w:rsid w:val="001E3167"/>
    <w:rsid w:val="001E3197"/>
    <w:rsid w:val="001E31AC"/>
    <w:rsid w:val="001E32E1"/>
    <w:rsid w:val="001E3326"/>
    <w:rsid w:val="001E3355"/>
    <w:rsid w:val="001E3396"/>
    <w:rsid w:val="001E3454"/>
    <w:rsid w:val="001E34AE"/>
    <w:rsid w:val="001E34D9"/>
    <w:rsid w:val="001E350F"/>
    <w:rsid w:val="001E35DA"/>
    <w:rsid w:val="001E35EB"/>
    <w:rsid w:val="001E3672"/>
    <w:rsid w:val="001E37CB"/>
    <w:rsid w:val="001E3829"/>
    <w:rsid w:val="001E3944"/>
    <w:rsid w:val="001E3C6F"/>
    <w:rsid w:val="001E3CF4"/>
    <w:rsid w:val="001E3DC3"/>
    <w:rsid w:val="001E3E63"/>
    <w:rsid w:val="001E3F63"/>
    <w:rsid w:val="001E3FAA"/>
    <w:rsid w:val="001E3FBC"/>
    <w:rsid w:val="001E400A"/>
    <w:rsid w:val="001E4087"/>
    <w:rsid w:val="001E42AA"/>
    <w:rsid w:val="001E42BD"/>
    <w:rsid w:val="001E433D"/>
    <w:rsid w:val="001E43E2"/>
    <w:rsid w:val="001E4459"/>
    <w:rsid w:val="001E448E"/>
    <w:rsid w:val="001E44A5"/>
    <w:rsid w:val="001E44B0"/>
    <w:rsid w:val="001E44EF"/>
    <w:rsid w:val="001E4509"/>
    <w:rsid w:val="001E452D"/>
    <w:rsid w:val="001E4564"/>
    <w:rsid w:val="001E45B9"/>
    <w:rsid w:val="001E46A3"/>
    <w:rsid w:val="001E4794"/>
    <w:rsid w:val="001E47E6"/>
    <w:rsid w:val="001E481A"/>
    <w:rsid w:val="001E482E"/>
    <w:rsid w:val="001E4896"/>
    <w:rsid w:val="001E494B"/>
    <w:rsid w:val="001E4A20"/>
    <w:rsid w:val="001E4A73"/>
    <w:rsid w:val="001E4AB4"/>
    <w:rsid w:val="001E4AB7"/>
    <w:rsid w:val="001E4AFC"/>
    <w:rsid w:val="001E4B1F"/>
    <w:rsid w:val="001E4B45"/>
    <w:rsid w:val="001E4BCB"/>
    <w:rsid w:val="001E4C38"/>
    <w:rsid w:val="001E4C84"/>
    <w:rsid w:val="001E4D33"/>
    <w:rsid w:val="001E4D51"/>
    <w:rsid w:val="001E4D7A"/>
    <w:rsid w:val="001E4F50"/>
    <w:rsid w:val="001E4FC0"/>
    <w:rsid w:val="001E4FF6"/>
    <w:rsid w:val="001E5015"/>
    <w:rsid w:val="001E502B"/>
    <w:rsid w:val="001E5055"/>
    <w:rsid w:val="001E519C"/>
    <w:rsid w:val="001E520B"/>
    <w:rsid w:val="001E5220"/>
    <w:rsid w:val="001E52FF"/>
    <w:rsid w:val="001E5364"/>
    <w:rsid w:val="001E538C"/>
    <w:rsid w:val="001E54DA"/>
    <w:rsid w:val="001E564B"/>
    <w:rsid w:val="001E56A7"/>
    <w:rsid w:val="001E56B0"/>
    <w:rsid w:val="001E56BA"/>
    <w:rsid w:val="001E57C9"/>
    <w:rsid w:val="001E587F"/>
    <w:rsid w:val="001E5930"/>
    <w:rsid w:val="001E5947"/>
    <w:rsid w:val="001E5969"/>
    <w:rsid w:val="001E5AAE"/>
    <w:rsid w:val="001E5AB5"/>
    <w:rsid w:val="001E5B66"/>
    <w:rsid w:val="001E5BD9"/>
    <w:rsid w:val="001E5C77"/>
    <w:rsid w:val="001E5CB1"/>
    <w:rsid w:val="001E5CE7"/>
    <w:rsid w:val="001E5D8E"/>
    <w:rsid w:val="001E5FA4"/>
    <w:rsid w:val="001E607F"/>
    <w:rsid w:val="001E61D1"/>
    <w:rsid w:val="001E6209"/>
    <w:rsid w:val="001E6234"/>
    <w:rsid w:val="001E625A"/>
    <w:rsid w:val="001E62C4"/>
    <w:rsid w:val="001E638D"/>
    <w:rsid w:val="001E652B"/>
    <w:rsid w:val="001E6550"/>
    <w:rsid w:val="001E661A"/>
    <w:rsid w:val="001E6620"/>
    <w:rsid w:val="001E66D9"/>
    <w:rsid w:val="001E66E5"/>
    <w:rsid w:val="001E6721"/>
    <w:rsid w:val="001E672D"/>
    <w:rsid w:val="001E67D5"/>
    <w:rsid w:val="001E6840"/>
    <w:rsid w:val="001E6A14"/>
    <w:rsid w:val="001E6A6B"/>
    <w:rsid w:val="001E6A74"/>
    <w:rsid w:val="001E6AE5"/>
    <w:rsid w:val="001E6B07"/>
    <w:rsid w:val="001E6B79"/>
    <w:rsid w:val="001E6BB2"/>
    <w:rsid w:val="001E6CAC"/>
    <w:rsid w:val="001E6D70"/>
    <w:rsid w:val="001E6DB3"/>
    <w:rsid w:val="001E6DC0"/>
    <w:rsid w:val="001E6E36"/>
    <w:rsid w:val="001E6F66"/>
    <w:rsid w:val="001E6F67"/>
    <w:rsid w:val="001E6FB0"/>
    <w:rsid w:val="001E6FC1"/>
    <w:rsid w:val="001E705B"/>
    <w:rsid w:val="001E7064"/>
    <w:rsid w:val="001E70BF"/>
    <w:rsid w:val="001E710F"/>
    <w:rsid w:val="001E7132"/>
    <w:rsid w:val="001E716F"/>
    <w:rsid w:val="001E71AA"/>
    <w:rsid w:val="001E71D0"/>
    <w:rsid w:val="001E71FC"/>
    <w:rsid w:val="001E7215"/>
    <w:rsid w:val="001E723E"/>
    <w:rsid w:val="001E7285"/>
    <w:rsid w:val="001E74A7"/>
    <w:rsid w:val="001E74AA"/>
    <w:rsid w:val="001E7508"/>
    <w:rsid w:val="001E7551"/>
    <w:rsid w:val="001E75DB"/>
    <w:rsid w:val="001E766B"/>
    <w:rsid w:val="001E76DA"/>
    <w:rsid w:val="001E77F7"/>
    <w:rsid w:val="001E7936"/>
    <w:rsid w:val="001E7AB2"/>
    <w:rsid w:val="001E7BA4"/>
    <w:rsid w:val="001E7C56"/>
    <w:rsid w:val="001E7D4C"/>
    <w:rsid w:val="001E7EF0"/>
    <w:rsid w:val="001E7F16"/>
    <w:rsid w:val="001F0052"/>
    <w:rsid w:val="001F00D4"/>
    <w:rsid w:val="001F01BE"/>
    <w:rsid w:val="001F01D2"/>
    <w:rsid w:val="001F0336"/>
    <w:rsid w:val="001F0346"/>
    <w:rsid w:val="001F03D0"/>
    <w:rsid w:val="001F040F"/>
    <w:rsid w:val="001F04D7"/>
    <w:rsid w:val="001F0569"/>
    <w:rsid w:val="001F0621"/>
    <w:rsid w:val="001F064A"/>
    <w:rsid w:val="001F066D"/>
    <w:rsid w:val="001F06E2"/>
    <w:rsid w:val="001F0705"/>
    <w:rsid w:val="001F08E1"/>
    <w:rsid w:val="001F0918"/>
    <w:rsid w:val="001F0932"/>
    <w:rsid w:val="001F0968"/>
    <w:rsid w:val="001F09A7"/>
    <w:rsid w:val="001F09D9"/>
    <w:rsid w:val="001F0A2B"/>
    <w:rsid w:val="001F0B13"/>
    <w:rsid w:val="001F0B26"/>
    <w:rsid w:val="001F0B55"/>
    <w:rsid w:val="001F0B6F"/>
    <w:rsid w:val="001F0BDB"/>
    <w:rsid w:val="001F0BEA"/>
    <w:rsid w:val="001F0C55"/>
    <w:rsid w:val="001F0C6F"/>
    <w:rsid w:val="001F0D48"/>
    <w:rsid w:val="001F0DA2"/>
    <w:rsid w:val="001F0DAF"/>
    <w:rsid w:val="001F0DC6"/>
    <w:rsid w:val="001F0F87"/>
    <w:rsid w:val="001F0F95"/>
    <w:rsid w:val="001F0FDB"/>
    <w:rsid w:val="001F0FDE"/>
    <w:rsid w:val="001F1032"/>
    <w:rsid w:val="001F1108"/>
    <w:rsid w:val="001F1162"/>
    <w:rsid w:val="001F1200"/>
    <w:rsid w:val="001F13B4"/>
    <w:rsid w:val="001F1420"/>
    <w:rsid w:val="001F14BA"/>
    <w:rsid w:val="001F14BC"/>
    <w:rsid w:val="001F162E"/>
    <w:rsid w:val="001F167D"/>
    <w:rsid w:val="001F16EF"/>
    <w:rsid w:val="001F17A7"/>
    <w:rsid w:val="001F17DB"/>
    <w:rsid w:val="001F1870"/>
    <w:rsid w:val="001F1992"/>
    <w:rsid w:val="001F19AD"/>
    <w:rsid w:val="001F19C7"/>
    <w:rsid w:val="001F19E2"/>
    <w:rsid w:val="001F1A3C"/>
    <w:rsid w:val="001F1AB6"/>
    <w:rsid w:val="001F1BCC"/>
    <w:rsid w:val="001F1BE1"/>
    <w:rsid w:val="001F1C7E"/>
    <w:rsid w:val="001F1DE0"/>
    <w:rsid w:val="001F1E8A"/>
    <w:rsid w:val="001F202B"/>
    <w:rsid w:val="001F213A"/>
    <w:rsid w:val="001F2180"/>
    <w:rsid w:val="001F21D9"/>
    <w:rsid w:val="001F22B9"/>
    <w:rsid w:val="001F22F8"/>
    <w:rsid w:val="001F237E"/>
    <w:rsid w:val="001F251E"/>
    <w:rsid w:val="001F255F"/>
    <w:rsid w:val="001F25B8"/>
    <w:rsid w:val="001F2642"/>
    <w:rsid w:val="001F26C8"/>
    <w:rsid w:val="001F2723"/>
    <w:rsid w:val="001F27D7"/>
    <w:rsid w:val="001F283B"/>
    <w:rsid w:val="001F28A6"/>
    <w:rsid w:val="001F29D3"/>
    <w:rsid w:val="001F2A56"/>
    <w:rsid w:val="001F2B7B"/>
    <w:rsid w:val="001F2B9D"/>
    <w:rsid w:val="001F2C0E"/>
    <w:rsid w:val="001F2C28"/>
    <w:rsid w:val="001F2C87"/>
    <w:rsid w:val="001F2CE4"/>
    <w:rsid w:val="001F2D13"/>
    <w:rsid w:val="001F2DDD"/>
    <w:rsid w:val="001F2E06"/>
    <w:rsid w:val="001F2E0C"/>
    <w:rsid w:val="001F2E17"/>
    <w:rsid w:val="001F2E41"/>
    <w:rsid w:val="001F2EDA"/>
    <w:rsid w:val="001F2EEE"/>
    <w:rsid w:val="001F3075"/>
    <w:rsid w:val="001F308C"/>
    <w:rsid w:val="001F30BF"/>
    <w:rsid w:val="001F31EE"/>
    <w:rsid w:val="001F32D9"/>
    <w:rsid w:val="001F3352"/>
    <w:rsid w:val="001F338E"/>
    <w:rsid w:val="001F33CE"/>
    <w:rsid w:val="001F33F5"/>
    <w:rsid w:val="001F34A8"/>
    <w:rsid w:val="001F3564"/>
    <w:rsid w:val="001F36F9"/>
    <w:rsid w:val="001F379D"/>
    <w:rsid w:val="001F379F"/>
    <w:rsid w:val="001F37A0"/>
    <w:rsid w:val="001F37F9"/>
    <w:rsid w:val="001F3891"/>
    <w:rsid w:val="001F38E1"/>
    <w:rsid w:val="001F392C"/>
    <w:rsid w:val="001F3941"/>
    <w:rsid w:val="001F3B2D"/>
    <w:rsid w:val="001F3CAF"/>
    <w:rsid w:val="001F3CB4"/>
    <w:rsid w:val="001F3D39"/>
    <w:rsid w:val="001F3DB1"/>
    <w:rsid w:val="001F3DC8"/>
    <w:rsid w:val="001F3E1B"/>
    <w:rsid w:val="001F3EF8"/>
    <w:rsid w:val="001F3EF9"/>
    <w:rsid w:val="001F40AF"/>
    <w:rsid w:val="001F40C4"/>
    <w:rsid w:val="001F40F8"/>
    <w:rsid w:val="001F4122"/>
    <w:rsid w:val="001F41CD"/>
    <w:rsid w:val="001F4211"/>
    <w:rsid w:val="001F423E"/>
    <w:rsid w:val="001F42D8"/>
    <w:rsid w:val="001F42E5"/>
    <w:rsid w:val="001F4357"/>
    <w:rsid w:val="001F4486"/>
    <w:rsid w:val="001F449A"/>
    <w:rsid w:val="001F44A8"/>
    <w:rsid w:val="001F4532"/>
    <w:rsid w:val="001F4572"/>
    <w:rsid w:val="001F4584"/>
    <w:rsid w:val="001F45C5"/>
    <w:rsid w:val="001F45E5"/>
    <w:rsid w:val="001F4621"/>
    <w:rsid w:val="001F462E"/>
    <w:rsid w:val="001F469D"/>
    <w:rsid w:val="001F46DE"/>
    <w:rsid w:val="001F470D"/>
    <w:rsid w:val="001F4753"/>
    <w:rsid w:val="001F4793"/>
    <w:rsid w:val="001F47BD"/>
    <w:rsid w:val="001F4959"/>
    <w:rsid w:val="001F49BD"/>
    <w:rsid w:val="001F4B08"/>
    <w:rsid w:val="001F4BD8"/>
    <w:rsid w:val="001F4C3E"/>
    <w:rsid w:val="001F4CC0"/>
    <w:rsid w:val="001F4CDB"/>
    <w:rsid w:val="001F4E74"/>
    <w:rsid w:val="001F4E9E"/>
    <w:rsid w:val="001F4F96"/>
    <w:rsid w:val="001F502A"/>
    <w:rsid w:val="001F506C"/>
    <w:rsid w:val="001F5123"/>
    <w:rsid w:val="001F51BA"/>
    <w:rsid w:val="001F51C5"/>
    <w:rsid w:val="001F5253"/>
    <w:rsid w:val="001F52A0"/>
    <w:rsid w:val="001F5317"/>
    <w:rsid w:val="001F5325"/>
    <w:rsid w:val="001F5332"/>
    <w:rsid w:val="001F548D"/>
    <w:rsid w:val="001F5542"/>
    <w:rsid w:val="001F5556"/>
    <w:rsid w:val="001F558D"/>
    <w:rsid w:val="001F5594"/>
    <w:rsid w:val="001F5703"/>
    <w:rsid w:val="001F5864"/>
    <w:rsid w:val="001F58F6"/>
    <w:rsid w:val="001F5A20"/>
    <w:rsid w:val="001F5B2C"/>
    <w:rsid w:val="001F5B51"/>
    <w:rsid w:val="001F5BA6"/>
    <w:rsid w:val="001F5C33"/>
    <w:rsid w:val="001F5C44"/>
    <w:rsid w:val="001F5C45"/>
    <w:rsid w:val="001F5D85"/>
    <w:rsid w:val="001F5E10"/>
    <w:rsid w:val="001F5ED4"/>
    <w:rsid w:val="001F5F1F"/>
    <w:rsid w:val="001F5FB4"/>
    <w:rsid w:val="001F5FF7"/>
    <w:rsid w:val="001F616D"/>
    <w:rsid w:val="001F6184"/>
    <w:rsid w:val="001F6242"/>
    <w:rsid w:val="001F629C"/>
    <w:rsid w:val="001F63B4"/>
    <w:rsid w:val="001F63F9"/>
    <w:rsid w:val="001F64D9"/>
    <w:rsid w:val="001F65FF"/>
    <w:rsid w:val="001F66C2"/>
    <w:rsid w:val="001F6858"/>
    <w:rsid w:val="001F6909"/>
    <w:rsid w:val="001F69A5"/>
    <w:rsid w:val="001F6B62"/>
    <w:rsid w:val="001F6B83"/>
    <w:rsid w:val="001F6C9B"/>
    <w:rsid w:val="001F6CFF"/>
    <w:rsid w:val="001F6D97"/>
    <w:rsid w:val="001F6DD7"/>
    <w:rsid w:val="001F6E5B"/>
    <w:rsid w:val="001F6EA5"/>
    <w:rsid w:val="001F6EB2"/>
    <w:rsid w:val="001F6F9A"/>
    <w:rsid w:val="001F6FC7"/>
    <w:rsid w:val="001F6FEA"/>
    <w:rsid w:val="001F701A"/>
    <w:rsid w:val="001F702F"/>
    <w:rsid w:val="001F7039"/>
    <w:rsid w:val="001F71BC"/>
    <w:rsid w:val="001F730C"/>
    <w:rsid w:val="001F733D"/>
    <w:rsid w:val="001F73B1"/>
    <w:rsid w:val="001F73D8"/>
    <w:rsid w:val="001F747D"/>
    <w:rsid w:val="001F7496"/>
    <w:rsid w:val="001F7725"/>
    <w:rsid w:val="001F7795"/>
    <w:rsid w:val="001F77C4"/>
    <w:rsid w:val="001F7812"/>
    <w:rsid w:val="001F781C"/>
    <w:rsid w:val="001F783B"/>
    <w:rsid w:val="001F794D"/>
    <w:rsid w:val="001F795C"/>
    <w:rsid w:val="001F7A1D"/>
    <w:rsid w:val="001F7A99"/>
    <w:rsid w:val="001F7AB5"/>
    <w:rsid w:val="001F7B24"/>
    <w:rsid w:val="001F7B4B"/>
    <w:rsid w:val="001F7BE5"/>
    <w:rsid w:val="001F7C34"/>
    <w:rsid w:val="001F7CA0"/>
    <w:rsid w:val="001F7CA8"/>
    <w:rsid w:val="001F7D57"/>
    <w:rsid w:val="001F7DE1"/>
    <w:rsid w:val="001FCD77"/>
    <w:rsid w:val="001FFA33"/>
    <w:rsid w:val="0020009A"/>
    <w:rsid w:val="002000F7"/>
    <w:rsid w:val="0020015B"/>
    <w:rsid w:val="002001B8"/>
    <w:rsid w:val="002001D1"/>
    <w:rsid w:val="002002C7"/>
    <w:rsid w:val="002002E7"/>
    <w:rsid w:val="0020030B"/>
    <w:rsid w:val="0020030E"/>
    <w:rsid w:val="002003A4"/>
    <w:rsid w:val="0020040F"/>
    <w:rsid w:val="0020048A"/>
    <w:rsid w:val="00200497"/>
    <w:rsid w:val="00200501"/>
    <w:rsid w:val="00200634"/>
    <w:rsid w:val="002006A1"/>
    <w:rsid w:val="00200763"/>
    <w:rsid w:val="002007AC"/>
    <w:rsid w:val="002007F2"/>
    <w:rsid w:val="002008A4"/>
    <w:rsid w:val="00200956"/>
    <w:rsid w:val="00200991"/>
    <w:rsid w:val="002009AB"/>
    <w:rsid w:val="00200A03"/>
    <w:rsid w:val="00200A47"/>
    <w:rsid w:val="00200AE1"/>
    <w:rsid w:val="00200B1C"/>
    <w:rsid w:val="00200BEC"/>
    <w:rsid w:val="00200BEF"/>
    <w:rsid w:val="00200C68"/>
    <w:rsid w:val="00200CF5"/>
    <w:rsid w:val="00200D9D"/>
    <w:rsid w:val="00200E5A"/>
    <w:rsid w:val="00201009"/>
    <w:rsid w:val="002011F1"/>
    <w:rsid w:val="002012AB"/>
    <w:rsid w:val="002012BE"/>
    <w:rsid w:val="002012F2"/>
    <w:rsid w:val="002012F7"/>
    <w:rsid w:val="002013AB"/>
    <w:rsid w:val="002013CB"/>
    <w:rsid w:val="0020142D"/>
    <w:rsid w:val="00201466"/>
    <w:rsid w:val="00201579"/>
    <w:rsid w:val="00201584"/>
    <w:rsid w:val="002015FE"/>
    <w:rsid w:val="00201641"/>
    <w:rsid w:val="00201659"/>
    <w:rsid w:val="0020168E"/>
    <w:rsid w:val="00201694"/>
    <w:rsid w:val="0020169A"/>
    <w:rsid w:val="002016F3"/>
    <w:rsid w:val="002017E9"/>
    <w:rsid w:val="002019CF"/>
    <w:rsid w:val="00201A53"/>
    <w:rsid w:val="00201A5A"/>
    <w:rsid w:val="00201AB6"/>
    <w:rsid w:val="00201C71"/>
    <w:rsid w:val="00201CD7"/>
    <w:rsid w:val="00201CEC"/>
    <w:rsid w:val="00201D67"/>
    <w:rsid w:val="00201E1A"/>
    <w:rsid w:val="00201E3D"/>
    <w:rsid w:val="00201E76"/>
    <w:rsid w:val="00201E9F"/>
    <w:rsid w:val="00201EE2"/>
    <w:rsid w:val="00201FED"/>
    <w:rsid w:val="00202060"/>
    <w:rsid w:val="002021D1"/>
    <w:rsid w:val="002021F6"/>
    <w:rsid w:val="00202211"/>
    <w:rsid w:val="00202328"/>
    <w:rsid w:val="0020239B"/>
    <w:rsid w:val="002023BF"/>
    <w:rsid w:val="00202406"/>
    <w:rsid w:val="0020246F"/>
    <w:rsid w:val="002024C2"/>
    <w:rsid w:val="00202683"/>
    <w:rsid w:val="002027A3"/>
    <w:rsid w:val="002027C0"/>
    <w:rsid w:val="002027D5"/>
    <w:rsid w:val="002027F4"/>
    <w:rsid w:val="0020296F"/>
    <w:rsid w:val="00202A49"/>
    <w:rsid w:val="00202A80"/>
    <w:rsid w:val="00202ABE"/>
    <w:rsid w:val="00202BDD"/>
    <w:rsid w:val="00202C1A"/>
    <w:rsid w:val="00202C1E"/>
    <w:rsid w:val="00202CBB"/>
    <w:rsid w:val="00202D37"/>
    <w:rsid w:val="00202D74"/>
    <w:rsid w:val="00202E16"/>
    <w:rsid w:val="00202EE1"/>
    <w:rsid w:val="00202F6C"/>
    <w:rsid w:val="00202FA8"/>
    <w:rsid w:val="00202FD6"/>
    <w:rsid w:val="00203054"/>
    <w:rsid w:val="0020320A"/>
    <w:rsid w:val="0020320C"/>
    <w:rsid w:val="002033FF"/>
    <w:rsid w:val="0020341D"/>
    <w:rsid w:val="0020348B"/>
    <w:rsid w:val="0020349A"/>
    <w:rsid w:val="002034E4"/>
    <w:rsid w:val="0020354F"/>
    <w:rsid w:val="002035A6"/>
    <w:rsid w:val="002035A8"/>
    <w:rsid w:val="002035B2"/>
    <w:rsid w:val="002035E9"/>
    <w:rsid w:val="00203656"/>
    <w:rsid w:val="00203704"/>
    <w:rsid w:val="0020371C"/>
    <w:rsid w:val="00203748"/>
    <w:rsid w:val="0020383E"/>
    <w:rsid w:val="00203844"/>
    <w:rsid w:val="0020388E"/>
    <w:rsid w:val="00203924"/>
    <w:rsid w:val="0020394B"/>
    <w:rsid w:val="00203999"/>
    <w:rsid w:val="00203AE4"/>
    <w:rsid w:val="00203BC2"/>
    <w:rsid w:val="00203C29"/>
    <w:rsid w:val="00203C82"/>
    <w:rsid w:val="00203EC3"/>
    <w:rsid w:val="00203EE7"/>
    <w:rsid w:val="00203EF2"/>
    <w:rsid w:val="00203EFA"/>
    <w:rsid w:val="00203FA3"/>
    <w:rsid w:val="00204075"/>
    <w:rsid w:val="00204082"/>
    <w:rsid w:val="00204084"/>
    <w:rsid w:val="00204139"/>
    <w:rsid w:val="00204187"/>
    <w:rsid w:val="002044F7"/>
    <w:rsid w:val="0020456E"/>
    <w:rsid w:val="0020461D"/>
    <w:rsid w:val="00204716"/>
    <w:rsid w:val="002047F2"/>
    <w:rsid w:val="00204921"/>
    <w:rsid w:val="00204929"/>
    <w:rsid w:val="00204982"/>
    <w:rsid w:val="00204A43"/>
    <w:rsid w:val="00204A45"/>
    <w:rsid w:val="00204A74"/>
    <w:rsid w:val="00204B74"/>
    <w:rsid w:val="00204BCB"/>
    <w:rsid w:val="00204BE9"/>
    <w:rsid w:val="00204BF2"/>
    <w:rsid w:val="00204C0B"/>
    <w:rsid w:val="00204D8F"/>
    <w:rsid w:val="00204DA4"/>
    <w:rsid w:val="00204DC9"/>
    <w:rsid w:val="00204E93"/>
    <w:rsid w:val="00204FEE"/>
    <w:rsid w:val="00205040"/>
    <w:rsid w:val="0020506D"/>
    <w:rsid w:val="002050E4"/>
    <w:rsid w:val="0020525C"/>
    <w:rsid w:val="0020530E"/>
    <w:rsid w:val="00205366"/>
    <w:rsid w:val="00205412"/>
    <w:rsid w:val="00205474"/>
    <w:rsid w:val="00205568"/>
    <w:rsid w:val="00205586"/>
    <w:rsid w:val="002055B6"/>
    <w:rsid w:val="002055D5"/>
    <w:rsid w:val="002056BC"/>
    <w:rsid w:val="00205783"/>
    <w:rsid w:val="002057F0"/>
    <w:rsid w:val="002057F1"/>
    <w:rsid w:val="0020591A"/>
    <w:rsid w:val="0020598D"/>
    <w:rsid w:val="00205A0B"/>
    <w:rsid w:val="00205A4B"/>
    <w:rsid w:val="00205A91"/>
    <w:rsid w:val="00205B0B"/>
    <w:rsid w:val="00205C11"/>
    <w:rsid w:val="00205D13"/>
    <w:rsid w:val="00205D7D"/>
    <w:rsid w:val="00205DAF"/>
    <w:rsid w:val="00205E6A"/>
    <w:rsid w:val="00205E88"/>
    <w:rsid w:val="00205FD8"/>
    <w:rsid w:val="0020602D"/>
    <w:rsid w:val="0020608B"/>
    <w:rsid w:val="002060FD"/>
    <w:rsid w:val="00206184"/>
    <w:rsid w:val="00206256"/>
    <w:rsid w:val="0020629D"/>
    <w:rsid w:val="0020633A"/>
    <w:rsid w:val="00206383"/>
    <w:rsid w:val="00206394"/>
    <w:rsid w:val="002064A3"/>
    <w:rsid w:val="00206505"/>
    <w:rsid w:val="0020653A"/>
    <w:rsid w:val="00206592"/>
    <w:rsid w:val="002065D0"/>
    <w:rsid w:val="00206610"/>
    <w:rsid w:val="0020663C"/>
    <w:rsid w:val="0020667B"/>
    <w:rsid w:val="002067CF"/>
    <w:rsid w:val="002067FC"/>
    <w:rsid w:val="002068CB"/>
    <w:rsid w:val="002068ED"/>
    <w:rsid w:val="0020691D"/>
    <w:rsid w:val="0020694C"/>
    <w:rsid w:val="002069B2"/>
    <w:rsid w:val="002069CD"/>
    <w:rsid w:val="002069E3"/>
    <w:rsid w:val="00206A14"/>
    <w:rsid w:val="00206A2F"/>
    <w:rsid w:val="00206A3E"/>
    <w:rsid w:val="00206A54"/>
    <w:rsid w:val="00206A67"/>
    <w:rsid w:val="00206AB6"/>
    <w:rsid w:val="00206B17"/>
    <w:rsid w:val="00206BDF"/>
    <w:rsid w:val="00206CD6"/>
    <w:rsid w:val="00206D9B"/>
    <w:rsid w:val="00206DCE"/>
    <w:rsid w:val="00206DF0"/>
    <w:rsid w:val="00206E0A"/>
    <w:rsid w:val="00206E67"/>
    <w:rsid w:val="00207048"/>
    <w:rsid w:val="002070F7"/>
    <w:rsid w:val="002071A9"/>
    <w:rsid w:val="00207207"/>
    <w:rsid w:val="00207270"/>
    <w:rsid w:val="002072A5"/>
    <w:rsid w:val="0020730D"/>
    <w:rsid w:val="00207320"/>
    <w:rsid w:val="0020741E"/>
    <w:rsid w:val="00207591"/>
    <w:rsid w:val="00207603"/>
    <w:rsid w:val="0020773C"/>
    <w:rsid w:val="00207753"/>
    <w:rsid w:val="00207754"/>
    <w:rsid w:val="0020777B"/>
    <w:rsid w:val="00207848"/>
    <w:rsid w:val="002078DC"/>
    <w:rsid w:val="002079CF"/>
    <w:rsid w:val="00207ADC"/>
    <w:rsid w:val="00207B53"/>
    <w:rsid w:val="00207BA6"/>
    <w:rsid w:val="00207BE6"/>
    <w:rsid w:val="00207BF0"/>
    <w:rsid w:val="00207CF1"/>
    <w:rsid w:val="00207D2B"/>
    <w:rsid w:val="00207D8C"/>
    <w:rsid w:val="00207E87"/>
    <w:rsid w:val="00207FB2"/>
    <w:rsid w:val="00207FE4"/>
    <w:rsid w:val="00210056"/>
    <w:rsid w:val="002100A2"/>
    <w:rsid w:val="002100E2"/>
    <w:rsid w:val="0021019A"/>
    <w:rsid w:val="002101B9"/>
    <w:rsid w:val="002101E8"/>
    <w:rsid w:val="002101FC"/>
    <w:rsid w:val="002104A9"/>
    <w:rsid w:val="00210583"/>
    <w:rsid w:val="0021063D"/>
    <w:rsid w:val="00210718"/>
    <w:rsid w:val="0021083F"/>
    <w:rsid w:val="0021088A"/>
    <w:rsid w:val="002108AE"/>
    <w:rsid w:val="002108EF"/>
    <w:rsid w:val="0021090F"/>
    <w:rsid w:val="00210930"/>
    <w:rsid w:val="00210A17"/>
    <w:rsid w:val="00210B21"/>
    <w:rsid w:val="00210B48"/>
    <w:rsid w:val="00210C4D"/>
    <w:rsid w:val="00210CAA"/>
    <w:rsid w:val="00210CBA"/>
    <w:rsid w:val="00210DA8"/>
    <w:rsid w:val="00210E09"/>
    <w:rsid w:val="00210E11"/>
    <w:rsid w:val="0021101F"/>
    <w:rsid w:val="00211238"/>
    <w:rsid w:val="00211240"/>
    <w:rsid w:val="0021124D"/>
    <w:rsid w:val="0021131E"/>
    <w:rsid w:val="002114B8"/>
    <w:rsid w:val="002116A7"/>
    <w:rsid w:val="0021172B"/>
    <w:rsid w:val="002117BF"/>
    <w:rsid w:val="00211832"/>
    <w:rsid w:val="0021196B"/>
    <w:rsid w:val="00211992"/>
    <w:rsid w:val="00211A82"/>
    <w:rsid w:val="00211B20"/>
    <w:rsid w:val="00211C61"/>
    <w:rsid w:val="00211C83"/>
    <w:rsid w:val="00211CC0"/>
    <w:rsid w:val="00211D92"/>
    <w:rsid w:val="00211D9A"/>
    <w:rsid w:val="00211DC4"/>
    <w:rsid w:val="00211E09"/>
    <w:rsid w:val="00211E66"/>
    <w:rsid w:val="00211E6F"/>
    <w:rsid w:val="00211EAC"/>
    <w:rsid w:val="00211F05"/>
    <w:rsid w:val="00211FE2"/>
    <w:rsid w:val="00212049"/>
    <w:rsid w:val="0021211E"/>
    <w:rsid w:val="00212147"/>
    <w:rsid w:val="00212208"/>
    <w:rsid w:val="00212223"/>
    <w:rsid w:val="00212268"/>
    <w:rsid w:val="0021226B"/>
    <w:rsid w:val="00212292"/>
    <w:rsid w:val="0021229A"/>
    <w:rsid w:val="002122CF"/>
    <w:rsid w:val="002122D0"/>
    <w:rsid w:val="00212301"/>
    <w:rsid w:val="00212351"/>
    <w:rsid w:val="00212384"/>
    <w:rsid w:val="0021239D"/>
    <w:rsid w:val="00212403"/>
    <w:rsid w:val="0021250C"/>
    <w:rsid w:val="00212547"/>
    <w:rsid w:val="0021258D"/>
    <w:rsid w:val="00212710"/>
    <w:rsid w:val="00212745"/>
    <w:rsid w:val="00212815"/>
    <w:rsid w:val="0021286D"/>
    <w:rsid w:val="00212A00"/>
    <w:rsid w:val="00212B00"/>
    <w:rsid w:val="00212B24"/>
    <w:rsid w:val="00212BA7"/>
    <w:rsid w:val="00212D9F"/>
    <w:rsid w:val="00212DB7"/>
    <w:rsid w:val="00212DDD"/>
    <w:rsid w:val="00212DFA"/>
    <w:rsid w:val="00212FA6"/>
    <w:rsid w:val="00212FF8"/>
    <w:rsid w:val="00213007"/>
    <w:rsid w:val="00213018"/>
    <w:rsid w:val="00213091"/>
    <w:rsid w:val="00213225"/>
    <w:rsid w:val="0021328E"/>
    <w:rsid w:val="00213294"/>
    <w:rsid w:val="00213295"/>
    <w:rsid w:val="00213310"/>
    <w:rsid w:val="00213389"/>
    <w:rsid w:val="002133FC"/>
    <w:rsid w:val="00213431"/>
    <w:rsid w:val="0021350E"/>
    <w:rsid w:val="002135F6"/>
    <w:rsid w:val="002136CF"/>
    <w:rsid w:val="0021383D"/>
    <w:rsid w:val="00213945"/>
    <w:rsid w:val="00213950"/>
    <w:rsid w:val="002139D7"/>
    <w:rsid w:val="00213A47"/>
    <w:rsid w:val="00213A78"/>
    <w:rsid w:val="00213ACA"/>
    <w:rsid w:val="00213B5F"/>
    <w:rsid w:val="00213C26"/>
    <w:rsid w:val="00213CFC"/>
    <w:rsid w:val="00213DEC"/>
    <w:rsid w:val="00213E1E"/>
    <w:rsid w:val="00213E5D"/>
    <w:rsid w:val="00213EB6"/>
    <w:rsid w:val="00213F00"/>
    <w:rsid w:val="00213F4E"/>
    <w:rsid w:val="00213F68"/>
    <w:rsid w:val="00213FFB"/>
    <w:rsid w:val="00214146"/>
    <w:rsid w:val="002141B0"/>
    <w:rsid w:val="002141BB"/>
    <w:rsid w:val="002143A3"/>
    <w:rsid w:val="0021441B"/>
    <w:rsid w:val="0021444E"/>
    <w:rsid w:val="00214550"/>
    <w:rsid w:val="002145D6"/>
    <w:rsid w:val="00214651"/>
    <w:rsid w:val="0021470A"/>
    <w:rsid w:val="002148C2"/>
    <w:rsid w:val="002148C6"/>
    <w:rsid w:val="00214940"/>
    <w:rsid w:val="00214A42"/>
    <w:rsid w:val="00214A47"/>
    <w:rsid w:val="00214ABC"/>
    <w:rsid w:val="00214AED"/>
    <w:rsid w:val="00214B6E"/>
    <w:rsid w:val="00214BB5"/>
    <w:rsid w:val="00214BBE"/>
    <w:rsid w:val="00214C3F"/>
    <w:rsid w:val="00214C6F"/>
    <w:rsid w:val="00214D20"/>
    <w:rsid w:val="00214E0C"/>
    <w:rsid w:val="00214ECB"/>
    <w:rsid w:val="00214F2D"/>
    <w:rsid w:val="00214FAA"/>
    <w:rsid w:val="00215110"/>
    <w:rsid w:val="0021514C"/>
    <w:rsid w:val="002151FE"/>
    <w:rsid w:val="0021528E"/>
    <w:rsid w:val="002152D3"/>
    <w:rsid w:val="00215360"/>
    <w:rsid w:val="002153B4"/>
    <w:rsid w:val="002153F6"/>
    <w:rsid w:val="00215565"/>
    <w:rsid w:val="00215592"/>
    <w:rsid w:val="0021562C"/>
    <w:rsid w:val="0021563C"/>
    <w:rsid w:val="00215684"/>
    <w:rsid w:val="0021568E"/>
    <w:rsid w:val="00215712"/>
    <w:rsid w:val="00215759"/>
    <w:rsid w:val="002157B0"/>
    <w:rsid w:val="0021580A"/>
    <w:rsid w:val="00215862"/>
    <w:rsid w:val="00215879"/>
    <w:rsid w:val="002158A0"/>
    <w:rsid w:val="002158D3"/>
    <w:rsid w:val="002158F4"/>
    <w:rsid w:val="0021592B"/>
    <w:rsid w:val="00215944"/>
    <w:rsid w:val="00215961"/>
    <w:rsid w:val="002159E3"/>
    <w:rsid w:val="002159E8"/>
    <w:rsid w:val="002159F7"/>
    <w:rsid w:val="00215A71"/>
    <w:rsid w:val="00215AE1"/>
    <w:rsid w:val="00215B09"/>
    <w:rsid w:val="00215B48"/>
    <w:rsid w:val="00215B69"/>
    <w:rsid w:val="00215BB8"/>
    <w:rsid w:val="00215BCF"/>
    <w:rsid w:val="00215C65"/>
    <w:rsid w:val="00215CFE"/>
    <w:rsid w:val="00215D5F"/>
    <w:rsid w:val="00215D81"/>
    <w:rsid w:val="00215DAC"/>
    <w:rsid w:val="00215E58"/>
    <w:rsid w:val="00215FA8"/>
    <w:rsid w:val="00215FEF"/>
    <w:rsid w:val="0021600E"/>
    <w:rsid w:val="00216035"/>
    <w:rsid w:val="0021603F"/>
    <w:rsid w:val="002160C0"/>
    <w:rsid w:val="002160D7"/>
    <w:rsid w:val="00216126"/>
    <w:rsid w:val="0021612B"/>
    <w:rsid w:val="0021617D"/>
    <w:rsid w:val="002161A5"/>
    <w:rsid w:val="002161E4"/>
    <w:rsid w:val="002162AA"/>
    <w:rsid w:val="0021665D"/>
    <w:rsid w:val="002167D8"/>
    <w:rsid w:val="002168F9"/>
    <w:rsid w:val="002168FA"/>
    <w:rsid w:val="00216978"/>
    <w:rsid w:val="002169C1"/>
    <w:rsid w:val="00216B3F"/>
    <w:rsid w:val="00216C71"/>
    <w:rsid w:val="00217017"/>
    <w:rsid w:val="002170A6"/>
    <w:rsid w:val="002170E2"/>
    <w:rsid w:val="0021726F"/>
    <w:rsid w:val="00217308"/>
    <w:rsid w:val="002173BF"/>
    <w:rsid w:val="002173FA"/>
    <w:rsid w:val="00217434"/>
    <w:rsid w:val="00217460"/>
    <w:rsid w:val="00217484"/>
    <w:rsid w:val="0021758F"/>
    <w:rsid w:val="00217699"/>
    <w:rsid w:val="00217712"/>
    <w:rsid w:val="00217925"/>
    <w:rsid w:val="002179B6"/>
    <w:rsid w:val="002179C7"/>
    <w:rsid w:val="002179EF"/>
    <w:rsid w:val="00217A05"/>
    <w:rsid w:val="00217B55"/>
    <w:rsid w:val="00217B58"/>
    <w:rsid w:val="00217B90"/>
    <w:rsid w:val="00217C53"/>
    <w:rsid w:val="00217D88"/>
    <w:rsid w:val="00217D89"/>
    <w:rsid w:val="00217E01"/>
    <w:rsid w:val="00217EB4"/>
    <w:rsid w:val="00217FA2"/>
    <w:rsid w:val="00217FA7"/>
    <w:rsid w:val="00220008"/>
    <w:rsid w:val="00220044"/>
    <w:rsid w:val="00220059"/>
    <w:rsid w:val="00220080"/>
    <w:rsid w:val="002200CB"/>
    <w:rsid w:val="002200D1"/>
    <w:rsid w:val="002200FE"/>
    <w:rsid w:val="00220136"/>
    <w:rsid w:val="002202A9"/>
    <w:rsid w:val="002202AE"/>
    <w:rsid w:val="002202E7"/>
    <w:rsid w:val="00220343"/>
    <w:rsid w:val="0022035F"/>
    <w:rsid w:val="002203BC"/>
    <w:rsid w:val="0022049F"/>
    <w:rsid w:val="0022062B"/>
    <w:rsid w:val="002207D0"/>
    <w:rsid w:val="00220830"/>
    <w:rsid w:val="002208FA"/>
    <w:rsid w:val="00220939"/>
    <w:rsid w:val="00220A99"/>
    <w:rsid w:val="00220B16"/>
    <w:rsid w:val="00220B1C"/>
    <w:rsid w:val="00220B57"/>
    <w:rsid w:val="00220BE7"/>
    <w:rsid w:val="00220BEB"/>
    <w:rsid w:val="00220D15"/>
    <w:rsid w:val="00220E23"/>
    <w:rsid w:val="00220EA6"/>
    <w:rsid w:val="00220F77"/>
    <w:rsid w:val="002210CE"/>
    <w:rsid w:val="0022115E"/>
    <w:rsid w:val="0022119C"/>
    <w:rsid w:val="00221255"/>
    <w:rsid w:val="002212CC"/>
    <w:rsid w:val="002212D3"/>
    <w:rsid w:val="0022139B"/>
    <w:rsid w:val="002213F6"/>
    <w:rsid w:val="002214F5"/>
    <w:rsid w:val="0022169E"/>
    <w:rsid w:val="002216AA"/>
    <w:rsid w:val="00221707"/>
    <w:rsid w:val="00221744"/>
    <w:rsid w:val="00221784"/>
    <w:rsid w:val="002217B9"/>
    <w:rsid w:val="0022194D"/>
    <w:rsid w:val="002219D7"/>
    <w:rsid w:val="00221A34"/>
    <w:rsid w:val="00221A9C"/>
    <w:rsid w:val="00221B59"/>
    <w:rsid w:val="00221C11"/>
    <w:rsid w:val="00221C59"/>
    <w:rsid w:val="00221DCC"/>
    <w:rsid w:val="00221E5C"/>
    <w:rsid w:val="00221E72"/>
    <w:rsid w:val="00221FED"/>
    <w:rsid w:val="002220F6"/>
    <w:rsid w:val="0022214A"/>
    <w:rsid w:val="002222FB"/>
    <w:rsid w:val="002223EC"/>
    <w:rsid w:val="002223EE"/>
    <w:rsid w:val="00222589"/>
    <w:rsid w:val="0022258C"/>
    <w:rsid w:val="0022259C"/>
    <w:rsid w:val="002225E0"/>
    <w:rsid w:val="00222624"/>
    <w:rsid w:val="00222767"/>
    <w:rsid w:val="00222817"/>
    <w:rsid w:val="0022281D"/>
    <w:rsid w:val="0022287E"/>
    <w:rsid w:val="002228C2"/>
    <w:rsid w:val="00222A17"/>
    <w:rsid w:val="00222ADE"/>
    <w:rsid w:val="00222B82"/>
    <w:rsid w:val="00222BBD"/>
    <w:rsid w:val="00222BE7"/>
    <w:rsid w:val="00222CF6"/>
    <w:rsid w:val="00222DB5"/>
    <w:rsid w:val="00222E38"/>
    <w:rsid w:val="00222E9A"/>
    <w:rsid w:val="00222FFF"/>
    <w:rsid w:val="002230AB"/>
    <w:rsid w:val="002230B8"/>
    <w:rsid w:val="00223113"/>
    <w:rsid w:val="00223135"/>
    <w:rsid w:val="002232A9"/>
    <w:rsid w:val="002232B9"/>
    <w:rsid w:val="00223380"/>
    <w:rsid w:val="00223481"/>
    <w:rsid w:val="00223487"/>
    <w:rsid w:val="002234BC"/>
    <w:rsid w:val="00223574"/>
    <w:rsid w:val="00223609"/>
    <w:rsid w:val="00223631"/>
    <w:rsid w:val="00223702"/>
    <w:rsid w:val="00223711"/>
    <w:rsid w:val="00223794"/>
    <w:rsid w:val="002237C5"/>
    <w:rsid w:val="002237CE"/>
    <w:rsid w:val="0022382A"/>
    <w:rsid w:val="002238AD"/>
    <w:rsid w:val="002238C9"/>
    <w:rsid w:val="002238EF"/>
    <w:rsid w:val="0022390D"/>
    <w:rsid w:val="00223A3B"/>
    <w:rsid w:val="00223AA9"/>
    <w:rsid w:val="00223B98"/>
    <w:rsid w:val="00223BF6"/>
    <w:rsid w:val="00223C3A"/>
    <w:rsid w:val="00223D2D"/>
    <w:rsid w:val="00223D32"/>
    <w:rsid w:val="00223D59"/>
    <w:rsid w:val="00223D76"/>
    <w:rsid w:val="00223DC9"/>
    <w:rsid w:val="00223E1E"/>
    <w:rsid w:val="00223EE0"/>
    <w:rsid w:val="00223EE7"/>
    <w:rsid w:val="00223F66"/>
    <w:rsid w:val="00223F75"/>
    <w:rsid w:val="00223F98"/>
    <w:rsid w:val="00223FB7"/>
    <w:rsid w:val="00224093"/>
    <w:rsid w:val="002240E5"/>
    <w:rsid w:val="002240F3"/>
    <w:rsid w:val="00224108"/>
    <w:rsid w:val="002241CF"/>
    <w:rsid w:val="002241D0"/>
    <w:rsid w:val="00224227"/>
    <w:rsid w:val="002242C9"/>
    <w:rsid w:val="002242D5"/>
    <w:rsid w:val="0022437D"/>
    <w:rsid w:val="002243E4"/>
    <w:rsid w:val="00224461"/>
    <w:rsid w:val="0022466C"/>
    <w:rsid w:val="00224676"/>
    <w:rsid w:val="002246FA"/>
    <w:rsid w:val="002247B7"/>
    <w:rsid w:val="002247FD"/>
    <w:rsid w:val="00224A08"/>
    <w:rsid w:val="00224AE2"/>
    <w:rsid w:val="00224B42"/>
    <w:rsid w:val="00224BF2"/>
    <w:rsid w:val="00224C4D"/>
    <w:rsid w:val="00224D0E"/>
    <w:rsid w:val="00224D8A"/>
    <w:rsid w:val="00224DB0"/>
    <w:rsid w:val="00224EEB"/>
    <w:rsid w:val="002250E3"/>
    <w:rsid w:val="0022513C"/>
    <w:rsid w:val="00225170"/>
    <w:rsid w:val="002251AF"/>
    <w:rsid w:val="002251DB"/>
    <w:rsid w:val="00225238"/>
    <w:rsid w:val="0022527D"/>
    <w:rsid w:val="00225292"/>
    <w:rsid w:val="002252CF"/>
    <w:rsid w:val="0022530F"/>
    <w:rsid w:val="00225406"/>
    <w:rsid w:val="002254BD"/>
    <w:rsid w:val="002254CC"/>
    <w:rsid w:val="00225589"/>
    <w:rsid w:val="00225662"/>
    <w:rsid w:val="00225695"/>
    <w:rsid w:val="0022571D"/>
    <w:rsid w:val="002257AF"/>
    <w:rsid w:val="002257B2"/>
    <w:rsid w:val="0022583A"/>
    <w:rsid w:val="00225986"/>
    <w:rsid w:val="00225A30"/>
    <w:rsid w:val="00225A51"/>
    <w:rsid w:val="00225A55"/>
    <w:rsid w:val="00225B7D"/>
    <w:rsid w:val="00225C0D"/>
    <w:rsid w:val="00225C54"/>
    <w:rsid w:val="00225C80"/>
    <w:rsid w:val="00225EDF"/>
    <w:rsid w:val="00225F88"/>
    <w:rsid w:val="00225FAC"/>
    <w:rsid w:val="00225FB7"/>
    <w:rsid w:val="0022601F"/>
    <w:rsid w:val="002260BF"/>
    <w:rsid w:val="002260DE"/>
    <w:rsid w:val="00226260"/>
    <w:rsid w:val="0022626A"/>
    <w:rsid w:val="00226329"/>
    <w:rsid w:val="00226339"/>
    <w:rsid w:val="0022639F"/>
    <w:rsid w:val="0022655C"/>
    <w:rsid w:val="00226584"/>
    <w:rsid w:val="002265F9"/>
    <w:rsid w:val="002266A1"/>
    <w:rsid w:val="0022673C"/>
    <w:rsid w:val="00226793"/>
    <w:rsid w:val="002267BC"/>
    <w:rsid w:val="002267DC"/>
    <w:rsid w:val="00226803"/>
    <w:rsid w:val="0022685B"/>
    <w:rsid w:val="00226A5D"/>
    <w:rsid w:val="00226A65"/>
    <w:rsid w:val="00226B8F"/>
    <w:rsid w:val="00226C07"/>
    <w:rsid w:val="00226CCA"/>
    <w:rsid w:val="00226E2B"/>
    <w:rsid w:val="00226E9A"/>
    <w:rsid w:val="00226E9B"/>
    <w:rsid w:val="00226FB8"/>
    <w:rsid w:val="00226FED"/>
    <w:rsid w:val="0022706E"/>
    <w:rsid w:val="00227084"/>
    <w:rsid w:val="002270D7"/>
    <w:rsid w:val="00227191"/>
    <w:rsid w:val="002271A1"/>
    <w:rsid w:val="0022723B"/>
    <w:rsid w:val="00227281"/>
    <w:rsid w:val="002272B9"/>
    <w:rsid w:val="002272F8"/>
    <w:rsid w:val="00227369"/>
    <w:rsid w:val="00227396"/>
    <w:rsid w:val="002273AF"/>
    <w:rsid w:val="00227403"/>
    <w:rsid w:val="0022747E"/>
    <w:rsid w:val="002274A4"/>
    <w:rsid w:val="002274FE"/>
    <w:rsid w:val="00227585"/>
    <w:rsid w:val="002275F3"/>
    <w:rsid w:val="00227616"/>
    <w:rsid w:val="00227625"/>
    <w:rsid w:val="00227670"/>
    <w:rsid w:val="002276E7"/>
    <w:rsid w:val="0022781A"/>
    <w:rsid w:val="0022784C"/>
    <w:rsid w:val="00227883"/>
    <w:rsid w:val="00227895"/>
    <w:rsid w:val="00227A5F"/>
    <w:rsid w:val="00227AD7"/>
    <w:rsid w:val="00227BA1"/>
    <w:rsid w:val="00227BE4"/>
    <w:rsid w:val="00227C4D"/>
    <w:rsid w:val="00227C73"/>
    <w:rsid w:val="00227C8A"/>
    <w:rsid w:val="00227D10"/>
    <w:rsid w:val="00227E64"/>
    <w:rsid w:val="00227ED9"/>
    <w:rsid w:val="00227EE4"/>
    <w:rsid w:val="0023002C"/>
    <w:rsid w:val="00230119"/>
    <w:rsid w:val="0023019B"/>
    <w:rsid w:val="002301BB"/>
    <w:rsid w:val="002301F7"/>
    <w:rsid w:val="00230274"/>
    <w:rsid w:val="002302A7"/>
    <w:rsid w:val="002302B7"/>
    <w:rsid w:val="002302F7"/>
    <w:rsid w:val="0023039F"/>
    <w:rsid w:val="00230433"/>
    <w:rsid w:val="00230517"/>
    <w:rsid w:val="00230546"/>
    <w:rsid w:val="00230677"/>
    <w:rsid w:val="002306AA"/>
    <w:rsid w:val="0023071E"/>
    <w:rsid w:val="0023072E"/>
    <w:rsid w:val="00230743"/>
    <w:rsid w:val="00230751"/>
    <w:rsid w:val="0023088F"/>
    <w:rsid w:val="002308B2"/>
    <w:rsid w:val="00230970"/>
    <w:rsid w:val="002309C4"/>
    <w:rsid w:val="002309C7"/>
    <w:rsid w:val="002309EA"/>
    <w:rsid w:val="00230A5D"/>
    <w:rsid w:val="00230ABF"/>
    <w:rsid w:val="00230B5F"/>
    <w:rsid w:val="00230BA6"/>
    <w:rsid w:val="00230BD7"/>
    <w:rsid w:val="00230C15"/>
    <w:rsid w:val="00230C88"/>
    <w:rsid w:val="00230CA4"/>
    <w:rsid w:val="00230D24"/>
    <w:rsid w:val="00230D39"/>
    <w:rsid w:val="00230DF0"/>
    <w:rsid w:val="00230E24"/>
    <w:rsid w:val="00230E92"/>
    <w:rsid w:val="00230EDB"/>
    <w:rsid w:val="00230F03"/>
    <w:rsid w:val="00230F2E"/>
    <w:rsid w:val="00230FB9"/>
    <w:rsid w:val="00230FF1"/>
    <w:rsid w:val="0023103F"/>
    <w:rsid w:val="00231108"/>
    <w:rsid w:val="00231158"/>
    <w:rsid w:val="0023133A"/>
    <w:rsid w:val="0023154F"/>
    <w:rsid w:val="00231605"/>
    <w:rsid w:val="0023179C"/>
    <w:rsid w:val="002317CA"/>
    <w:rsid w:val="00231963"/>
    <w:rsid w:val="00231A1A"/>
    <w:rsid w:val="00231B6E"/>
    <w:rsid w:val="00231B9E"/>
    <w:rsid w:val="00231BC1"/>
    <w:rsid w:val="00231CA5"/>
    <w:rsid w:val="00231CC7"/>
    <w:rsid w:val="00231D2C"/>
    <w:rsid w:val="00231DAE"/>
    <w:rsid w:val="00231E0C"/>
    <w:rsid w:val="00232074"/>
    <w:rsid w:val="002320A7"/>
    <w:rsid w:val="0023217E"/>
    <w:rsid w:val="002321BA"/>
    <w:rsid w:val="002322C7"/>
    <w:rsid w:val="00232395"/>
    <w:rsid w:val="002323E8"/>
    <w:rsid w:val="00232431"/>
    <w:rsid w:val="002324F8"/>
    <w:rsid w:val="002324FA"/>
    <w:rsid w:val="002324FD"/>
    <w:rsid w:val="00232564"/>
    <w:rsid w:val="00232578"/>
    <w:rsid w:val="0023259F"/>
    <w:rsid w:val="002325D1"/>
    <w:rsid w:val="00232648"/>
    <w:rsid w:val="002326D3"/>
    <w:rsid w:val="002326F4"/>
    <w:rsid w:val="002327C6"/>
    <w:rsid w:val="0023285B"/>
    <w:rsid w:val="00232873"/>
    <w:rsid w:val="002328A6"/>
    <w:rsid w:val="002328B2"/>
    <w:rsid w:val="002328DB"/>
    <w:rsid w:val="0023293E"/>
    <w:rsid w:val="00232984"/>
    <w:rsid w:val="002329F8"/>
    <w:rsid w:val="002329FF"/>
    <w:rsid w:val="00232A80"/>
    <w:rsid w:val="00232B3A"/>
    <w:rsid w:val="00232B97"/>
    <w:rsid w:val="00232BAB"/>
    <w:rsid w:val="00232BBD"/>
    <w:rsid w:val="00232C3F"/>
    <w:rsid w:val="00232D04"/>
    <w:rsid w:val="00232D85"/>
    <w:rsid w:val="00232DD6"/>
    <w:rsid w:val="00232DDD"/>
    <w:rsid w:val="00232F2D"/>
    <w:rsid w:val="00232FA9"/>
    <w:rsid w:val="00232FEC"/>
    <w:rsid w:val="0023314D"/>
    <w:rsid w:val="0023319D"/>
    <w:rsid w:val="002331E5"/>
    <w:rsid w:val="0023322C"/>
    <w:rsid w:val="00233239"/>
    <w:rsid w:val="002332A3"/>
    <w:rsid w:val="00233388"/>
    <w:rsid w:val="002333B1"/>
    <w:rsid w:val="002333CB"/>
    <w:rsid w:val="002333E1"/>
    <w:rsid w:val="002334B5"/>
    <w:rsid w:val="0023353E"/>
    <w:rsid w:val="002335BF"/>
    <w:rsid w:val="00233690"/>
    <w:rsid w:val="00233698"/>
    <w:rsid w:val="00233719"/>
    <w:rsid w:val="00233732"/>
    <w:rsid w:val="002337E0"/>
    <w:rsid w:val="00233820"/>
    <w:rsid w:val="002338CF"/>
    <w:rsid w:val="00233929"/>
    <w:rsid w:val="00233949"/>
    <w:rsid w:val="002339CE"/>
    <w:rsid w:val="00233A68"/>
    <w:rsid w:val="00233A82"/>
    <w:rsid w:val="00233B1D"/>
    <w:rsid w:val="00233B4A"/>
    <w:rsid w:val="00233B70"/>
    <w:rsid w:val="00233BF6"/>
    <w:rsid w:val="00233CAD"/>
    <w:rsid w:val="00233CEB"/>
    <w:rsid w:val="00233D65"/>
    <w:rsid w:val="00233D6A"/>
    <w:rsid w:val="00233F03"/>
    <w:rsid w:val="00233F62"/>
    <w:rsid w:val="0023404C"/>
    <w:rsid w:val="002340FE"/>
    <w:rsid w:val="00234146"/>
    <w:rsid w:val="002341E4"/>
    <w:rsid w:val="002343D5"/>
    <w:rsid w:val="002343DD"/>
    <w:rsid w:val="00234437"/>
    <w:rsid w:val="0023445A"/>
    <w:rsid w:val="0023448A"/>
    <w:rsid w:val="002344B1"/>
    <w:rsid w:val="0023464F"/>
    <w:rsid w:val="0023476A"/>
    <w:rsid w:val="002347A2"/>
    <w:rsid w:val="0023480C"/>
    <w:rsid w:val="002348BA"/>
    <w:rsid w:val="0023497B"/>
    <w:rsid w:val="00234ADE"/>
    <w:rsid w:val="00234B40"/>
    <w:rsid w:val="00234B97"/>
    <w:rsid w:val="00234C28"/>
    <w:rsid w:val="00234CCB"/>
    <w:rsid w:val="00234CCF"/>
    <w:rsid w:val="00234CDF"/>
    <w:rsid w:val="00234CFA"/>
    <w:rsid w:val="00234E0B"/>
    <w:rsid w:val="00234F67"/>
    <w:rsid w:val="00234FA7"/>
    <w:rsid w:val="00234FBB"/>
    <w:rsid w:val="00234FF9"/>
    <w:rsid w:val="00235013"/>
    <w:rsid w:val="0023515F"/>
    <w:rsid w:val="00235197"/>
    <w:rsid w:val="00235208"/>
    <w:rsid w:val="00235217"/>
    <w:rsid w:val="0023525C"/>
    <w:rsid w:val="0023527F"/>
    <w:rsid w:val="0023531D"/>
    <w:rsid w:val="00235323"/>
    <w:rsid w:val="00235362"/>
    <w:rsid w:val="00235541"/>
    <w:rsid w:val="00235626"/>
    <w:rsid w:val="002356DE"/>
    <w:rsid w:val="00235728"/>
    <w:rsid w:val="00235816"/>
    <w:rsid w:val="00235825"/>
    <w:rsid w:val="00235851"/>
    <w:rsid w:val="00235973"/>
    <w:rsid w:val="002359E0"/>
    <w:rsid w:val="002359E5"/>
    <w:rsid w:val="00235A0A"/>
    <w:rsid w:val="00235AA1"/>
    <w:rsid w:val="00235ACD"/>
    <w:rsid w:val="00235AF5"/>
    <w:rsid w:val="00235AFA"/>
    <w:rsid w:val="00235B12"/>
    <w:rsid w:val="00235B63"/>
    <w:rsid w:val="00235D02"/>
    <w:rsid w:val="00235D53"/>
    <w:rsid w:val="00235DA8"/>
    <w:rsid w:val="00235DB0"/>
    <w:rsid w:val="00235E0D"/>
    <w:rsid w:val="00235E31"/>
    <w:rsid w:val="00235EF3"/>
    <w:rsid w:val="00235F0E"/>
    <w:rsid w:val="00235FB7"/>
    <w:rsid w:val="00236025"/>
    <w:rsid w:val="00236028"/>
    <w:rsid w:val="00236133"/>
    <w:rsid w:val="00236274"/>
    <w:rsid w:val="002362E1"/>
    <w:rsid w:val="00236303"/>
    <w:rsid w:val="0023630F"/>
    <w:rsid w:val="00236642"/>
    <w:rsid w:val="00236643"/>
    <w:rsid w:val="00236644"/>
    <w:rsid w:val="0023666D"/>
    <w:rsid w:val="002366BB"/>
    <w:rsid w:val="00236723"/>
    <w:rsid w:val="002367ED"/>
    <w:rsid w:val="00236945"/>
    <w:rsid w:val="002369CB"/>
    <w:rsid w:val="00236B65"/>
    <w:rsid w:val="00236BA0"/>
    <w:rsid w:val="00236C94"/>
    <w:rsid w:val="00236CC8"/>
    <w:rsid w:val="00236CEE"/>
    <w:rsid w:val="00236D69"/>
    <w:rsid w:val="00236DAC"/>
    <w:rsid w:val="00236E1F"/>
    <w:rsid w:val="00236E21"/>
    <w:rsid w:val="00236E25"/>
    <w:rsid w:val="00236E92"/>
    <w:rsid w:val="00236F8F"/>
    <w:rsid w:val="00237186"/>
    <w:rsid w:val="002372D0"/>
    <w:rsid w:val="00237349"/>
    <w:rsid w:val="0023738C"/>
    <w:rsid w:val="002373A9"/>
    <w:rsid w:val="002373DE"/>
    <w:rsid w:val="0023741F"/>
    <w:rsid w:val="002374BF"/>
    <w:rsid w:val="002374C9"/>
    <w:rsid w:val="0023750B"/>
    <w:rsid w:val="0023754B"/>
    <w:rsid w:val="00237560"/>
    <w:rsid w:val="0023756A"/>
    <w:rsid w:val="002375CF"/>
    <w:rsid w:val="00237675"/>
    <w:rsid w:val="00237765"/>
    <w:rsid w:val="002378DD"/>
    <w:rsid w:val="00237C48"/>
    <w:rsid w:val="00237DAA"/>
    <w:rsid w:val="00237E07"/>
    <w:rsid w:val="00237E4A"/>
    <w:rsid w:val="00237E86"/>
    <w:rsid w:val="00237EC3"/>
    <w:rsid w:val="00237F1A"/>
    <w:rsid w:val="00237F2A"/>
    <w:rsid w:val="00237F84"/>
    <w:rsid w:val="00237F8C"/>
    <w:rsid w:val="00237FAA"/>
    <w:rsid w:val="00237FF3"/>
    <w:rsid w:val="00240140"/>
    <w:rsid w:val="002401E4"/>
    <w:rsid w:val="00240253"/>
    <w:rsid w:val="002402C2"/>
    <w:rsid w:val="00240382"/>
    <w:rsid w:val="00240390"/>
    <w:rsid w:val="002404AD"/>
    <w:rsid w:val="002404D6"/>
    <w:rsid w:val="002404FB"/>
    <w:rsid w:val="00240548"/>
    <w:rsid w:val="00240598"/>
    <w:rsid w:val="00240682"/>
    <w:rsid w:val="0024069F"/>
    <w:rsid w:val="002406B9"/>
    <w:rsid w:val="002406D0"/>
    <w:rsid w:val="00240795"/>
    <w:rsid w:val="002407B8"/>
    <w:rsid w:val="0024084D"/>
    <w:rsid w:val="00240882"/>
    <w:rsid w:val="00240950"/>
    <w:rsid w:val="00240B2D"/>
    <w:rsid w:val="00240BF7"/>
    <w:rsid w:val="00240DFB"/>
    <w:rsid w:val="00240E0B"/>
    <w:rsid w:val="00240E7E"/>
    <w:rsid w:val="00240F06"/>
    <w:rsid w:val="00240F44"/>
    <w:rsid w:val="00240F4F"/>
    <w:rsid w:val="00240F54"/>
    <w:rsid w:val="00241002"/>
    <w:rsid w:val="0024107F"/>
    <w:rsid w:val="0024109D"/>
    <w:rsid w:val="002410B7"/>
    <w:rsid w:val="002410CF"/>
    <w:rsid w:val="002410EB"/>
    <w:rsid w:val="00241269"/>
    <w:rsid w:val="00241433"/>
    <w:rsid w:val="00241450"/>
    <w:rsid w:val="002414A8"/>
    <w:rsid w:val="0024150E"/>
    <w:rsid w:val="00241529"/>
    <w:rsid w:val="00241541"/>
    <w:rsid w:val="002415C7"/>
    <w:rsid w:val="002415F8"/>
    <w:rsid w:val="00241676"/>
    <w:rsid w:val="002417FA"/>
    <w:rsid w:val="00241861"/>
    <w:rsid w:val="00241870"/>
    <w:rsid w:val="0024187E"/>
    <w:rsid w:val="00241896"/>
    <w:rsid w:val="0024190A"/>
    <w:rsid w:val="002419F0"/>
    <w:rsid w:val="00241B56"/>
    <w:rsid w:val="00241B62"/>
    <w:rsid w:val="00241C03"/>
    <w:rsid w:val="00241C04"/>
    <w:rsid w:val="00241C5A"/>
    <w:rsid w:val="00241C82"/>
    <w:rsid w:val="00241D32"/>
    <w:rsid w:val="00241DC0"/>
    <w:rsid w:val="00241F3A"/>
    <w:rsid w:val="00241FC5"/>
    <w:rsid w:val="00241FCF"/>
    <w:rsid w:val="00242117"/>
    <w:rsid w:val="0024232B"/>
    <w:rsid w:val="00242355"/>
    <w:rsid w:val="002423B7"/>
    <w:rsid w:val="0024241F"/>
    <w:rsid w:val="00242497"/>
    <w:rsid w:val="0024249E"/>
    <w:rsid w:val="002426C4"/>
    <w:rsid w:val="002427C4"/>
    <w:rsid w:val="002427CD"/>
    <w:rsid w:val="0024283A"/>
    <w:rsid w:val="00242901"/>
    <w:rsid w:val="00242907"/>
    <w:rsid w:val="00242A3F"/>
    <w:rsid w:val="00242A5D"/>
    <w:rsid w:val="00242AAB"/>
    <w:rsid w:val="00242BA1"/>
    <w:rsid w:val="00242BAB"/>
    <w:rsid w:val="00242C65"/>
    <w:rsid w:val="00242D77"/>
    <w:rsid w:val="00242DC1"/>
    <w:rsid w:val="00242DD3"/>
    <w:rsid w:val="00242E22"/>
    <w:rsid w:val="00242FE0"/>
    <w:rsid w:val="00242FF9"/>
    <w:rsid w:val="0024301F"/>
    <w:rsid w:val="002430FE"/>
    <w:rsid w:val="002431FD"/>
    <w:rsid w:val="00243273"/>
    <w:rsid w:val="00243394"/>
    <w:rsid w:val="00243404"/>
    <w:rsid w:val="0024340B"/>
    <w:rsid w:val="0024341D"/>
    <w:rsid w:val="0024343B"/>
    <w:rsid w:val="00243705"/>
    <w:rsid w:val="0024373D"/>
    <w:rsid w:val="0024384B"/>
    <w:rsid w:val="00243888"/>
    <w:rsid w:val="002439EB"/>
    <w:rsid w:val="00243A83"/>
    <w:rsid w:val="00243BCE"/>
    <w:rsid w:val="00243C3E"/>
    <w:rsid w:val="00243C3F"/>
    <w:rsid w:val="00243C5B"/>
    <w:rsid w:val="00243C94"/>
    <w:rsid w:val="00243D32"/>
    <w:rsid w:val="00243E3B"/>
    <w:rsid w:val="00243F30"/>
    <w:rsid w:val="00243F65"/>
    <w:rsid w:val="00243F93"/>
    <w:rsid w:val="00243F9B"/>
    <w:rsid w:val="00244103"/>
    <w:rsid w:val="0024419D"/>
    <w:rsid w:val="002441A1"/>
    <w:rsid w:val="002441DB"/>
    <w:rsid w:val="002443EE"/>
    <w:rsid w:val="00244467"/>
    <w:rsid w:val="002444A6"/>
    <w:rsid w:val="00244542"/>
    <w:rsid w:val="0024461C"/>
    <w:rsid w:val="00244719"/>
    <w:rsid w:val="002447EE"/>
    <w:rsid w:val="0024495B"/>
    <w:rsid w:val="002449AC"/>
    <w:rsid w:val="00244A8A"/>
    <w:rsid w:val="00244A8C"/>
    <w:rsid w:val="00244AE3"/>
    <w:rsid w:val="00244D32"/>
    <w:rsid w:val="00244DF9"/>
    <w:rsid w:val="00244ED0"/>
    <w:rsid w:val="00244FBE"/>
    <w:rsid w:val="00244FDD"/>
    <w:rsid w:val="0024501A"/>
    <w:rsid w:val="0024502C"/>
    <w:rsid w:val="002450CF"/>
    <w:rsid w:val="002450E6"/>
    <w:rsid w:val="00245146"/>
    <w:rsid w:val="00245192"/>
    <w:rsid w:val="002451A4"/>
    <w:rsid w:val="002452C6"/>
    <w:rsid w:val="00245365"/>
    <w:rsid w:val="00245386"/>
    <w:rsid w:val="002453D6"/>
    <w:rsid w:val="00245459"/>
    <w:rsid w:val="002454E5"/>
    <w:rsid w:val="00245530"/>
    <w:rsid w:val="0024553C"/>
    <w:rsid w:val="002455A1"/>
    <w:rsid w:val="002455CB"/>
    <w:rsid w:val="002456A5"/>
    <w:rsid w:val="002456E6"/>
    <w:rsid w:val="0024579A"/>
    <w:rsid w:val="0024580B"/>
    <w:rsid w:val="00245922"/>
    <w:rsid w:val="00245C2F"/>
    <w:rsid w:val="00245C6D"/>
    <w:rsid w:val="00245C80"/>
    <w:rsid w:val="00245CEF"/>
    <w:rsid w:val="00245E38"/>
    <w:rsid w:val="00245E99"/>
    <w:rsid w:val="00245EEB"/>
    <w:rsid w:val="00245EF6"/>
    <w:rsid w:val="00245F4D"/>
    <w:rsid w:val="00245F89"/>
    <w:rsid w:val="00246043"/>
    <w:rsid w:val="00246091"/>
    <w:rsid w:val="0024609F"/>
    <w:rsid w:val="002460B6"/>
    <w:rsid w:val="0024612E"/>
    <w:rsid w:val="00246221"/>
    <w:rsid w:val="00246256"/>
    <w:rsid w:val="0024626B"/>
    <w:rsid w:val="002462C5"/>
    <w:rsid w:val="00246382"/>
    <w:rsid w:val="00246433"/>
    <w:rsid w:val="002464B8"/>
    <w:rsid w:val="00246550"/>
    <w:rsid w:val="00246573"/>
    <w:rsid w:val="0024663E"/>
    <w:rsid w:val="0024667D"/>
    <w:rsid w:val="0024671C"/>
    <w:rsid w:val="00246797"/>
    <w:rsid w:val="00246921"/>
    <w:rsid w:val="002469BE"/>
    <w:rsid w:val="00246A49"/>
    <w:rsid w:val="00246B0D"/>
    <w:rsid w:val="00246B75"/>
    <w:rsid w:val="00246B7B"/>
    <w:rsid w:val="00246B8D"/>
    <w:rsid w:val="00246C72"/>
    <w:rsid w:val="00246CA6"/>
    <w:rsid w:val="00246CD3"/>
    <w:rsid w:val="00246D28"/>
    <w:rsid w:val="00246EF7"/>
    <w:rsid w:val="00246FBC"/>
    <w:rsid w:val="00247061"/>
    <w:rsid w:val="002470DB"/>
    <w:rsid w:val="00247101"/>
    <w:rsid w:val="00247216"/>
    <w:rsid w:val="00247234"/>
    <w:rsid w:val="0024749C"/>
    <w:rsid w:val="00247543"/>
    <w:rsid w:val="00247687"/>
    <w:rsid w:val="002476DD"/>
    <w:rsid w:val="00247799"/>
    <w:rsid w:val="002477ED"/>
    <w:rsid w:val="00247875"/>
    <w:rsid w:val="00247891"/>
    <w:rsid w:val="002478D6"/>
    <w:rsid w:val="00247903"/>
    <w:rsid w:val="00247996"/>
    <w:rsid w:val="0024799E"/>
    <w:rsid w:val="002479DD"/>
    <w:rsid w:val="002479F5"/>
    <w:rsid w:val="00247A1A"/>
    <w:rsid w:val="00247A94"/>
    <w:rsid w:val="00247B11"/>
    <w:rsid w:val="00247C60"/>
    <w:rsid w:val="00247C9C"/>
    <w:rsid w:val="00247D9A"/>
    <w:rsid w:val="00247DCA"/>
    <w:rsid w:val="00247DE4"/>
    <w:rsid w:val="00247E8A"/>
    <w:rsid w:val="00247EE7"/>
    <w:rsid w:val="00247EFA"/>
    <w:rsid w:val="00247F88"/>
    <w:rsid w:val="00247F91"/>
    <w:rsid w:val="00250024"/>
    <w:rsid w:val="002500A0"/>
    <w:rsid w:val="002500CD"/>
    <w:rsid w:val="00250197"/>
    <w:rsid w:val="00250208"/>
    <w:rsid w:val="0025027E"/>
    <w:rsid w:val="002502A2"/>
    <w:rsid w:val="002502DE"/>
    <w:rsid w:val="002502F4"/>
    <w:rsid w:val="00250335"/>
    <w:rsid w:val="002503E2"/>
    <w:rsid w:val="00250537"/>
    <w:rsid w:val="00250554"/>
    <w:rsid w:val="002505DE"/>
    <w:rsid w:val="002507DB"/>
    <w:rsid w:val="0025082C"/>
    <w:rsid w:val="0025084C"/>
    <w:rsid w:val="002508FB"/>
    <w:rsid w:val="0025097C"/>
    <w:rsid w:val="002509A2"/>
    <w:rsid w:val="00250A59"/>
    <w:rsid w:val="00250AAC"/>
    <w:rsid w:val="00250B15"/>
    <w:rsid w:val="00250B1E"/>
    <w:rsid w:val="00250B80"/>
    <w:rsid w:val="00250BF6"/>
    <w:rsid w:val="00250C22"/>
    <w:rsid w:val="00250C4C"/>
    <w:rsid w:val="00250D13"/>
    <w:rsid w:val="00250E87"/>
    <w:rsid w:val="00250F25"/>
    <w:rsid w:val="00250F91"/>
    <w:rsid w:val="00250FBB"/>
    <w:rsid w:val="0025112C"/>
    <w:rsid w:val="0025122A"/>
    <w:rsid w:val="0025130E"/>
    <w:rsid w:val="00251330"/>
    <w:rsid w:val="002513D0"/>
    <w:rsid w:val="00251494"/>
    <w:rsid w:val="00251534"/>
    <w:rsid w:val="00251543"/>
    <w:rsid w:val="0025159B"/>
    <w:rsid w:val="002515A0"/>
    <w:rsid w:val="002515AD"/>
    <w:rsid w:val="002515FC"/>
    <w:rsid w:val="00251720"/>
    <w:rsid w:val="00251721"/>
    <w:rsid w:val="002517E9"/>
    <w:rsid w:val="002518B9"/>
    <w:rsid w:val="002519DC"/>
    <w:rsid w:val="00251C5B"/>
    <w:rsid w:val="00251CA1"/>
    <w:rsid w:val="00251D32"/>
    <w:rsid w:val="00251E84"/>
    <w:rsid w:val="00251E94"/>
    <w:rsid w:val="00251F25"/>
    <w:rsid w:val="00251F7B"/>
    <w:rsid w:val="00251FC4"/>
    <w:rsid w:val="00251FE7"/>
    <w:rsid w:val="00252013"/>
    <w:rsid w:val="0025208D"/>
    <w:rsid w:val="002520F7"/>
    <w:rsid w:val="00252131"/>
    <w:rsid w:val="002521E2"/>
    <w:rsid w:val="00252241"/>
    <w:rsid w:val="0025232F"/>
    <w:rsid w:val="0025237E"/>
    <w:rsid w:val="002523F2"/>
    <w:rsid w:val="002523FA"/>
    <w:rsid w:val="002524F7"/>
    <w:rsid w:val="0025252A"/>
    <w:rsid w:val="0025255E"/>
    <w:rsid w:val="0025260F"/>
    <w:rsid w:val="002527B9"/>
    <w:rsid w:val="002527EA"/>
    <w:rsid w:val="00252808"/>
    <w:rsid w:val="002528D1"/>
    <w:rsid w:val="0025290E"/>
    <w:rsid w:val="002529A7"/>
    <w:rsid w:val="002529E9"/>
    <w:rsid w:val="00252A0D"/>
    <w:rsid w:val="00252A6D"/>
    <w:rsid w:val="00252AAD"/>
    <w:rsid w:val="00252AB3"/>
    <w:rsid w:val="00252B06"/>
    <w:rsid w:val="00252B6A"/>
    <w:rsid w:val="00252BC3"/>
    <w:rsid w:val="00252BEA"/>
    <w:rsid w:val="00252DFB"/>
    <w:rsid w:val="00252ED7"/>
    <w:rsid w:val="00252FBE"/>
    <w:rsid w:val="00252FE0"/>
    <w:rsid w:val="00252FE1"/>
    <w:rsid w:val="0025301B"/>
    <w:rsid w:val="00253066"/>
    <w:rsid w:val="00253086"/>
    <w:rsid w:val="00253087"/>
    <w:rsid w:val="0025310A"/>
    <w:rsid w:val="00253234"/>
    <w:rsid w:val="00253309"/>
    <w:rsid w:val="0025335D"/>
    <w:rsid w:val="0025338A"/>
    <w:rsid w:val="002533E4"/>
    <w:rsid w:val="002533F7"/>
    <w:rsid w:val="0025340A"/>
    <w:rsid w:val="002534D0"/>
    <w:rsid w:val="0025351A"/>
    <w:rsid w:val="0025351D"/>
    <w:rsid w:val="00253523"/>
    <w:rsid w:val="0025362E"/>
    <w:rsid w:val="002536EB"/>
    <w:rsid w:val="002536F5"/>
    <w:rsid w:val="00253728"/>
    <w:rsid w:val="00253818"/>
    <w:rsid w:val="002538AC"/>
    <w:rsid w:val="002538D3"/>
    <w:rsid w:val="0025394B"/>
    <w:rsid w:val="00253961"/>
    <w:rsid w:val="0025396C"/>
    <w:rsid w:val="00253DC5"/>
    <w:rsid w:val="00253E8B"/>
    <w:rsid w:val="00253E91"/>
    <w:rsid w:val="00253EBC"/>
    <w:rsid w:val="00253FD7"/>
    <w:rsid w:val="00254069"/>
    <w:rsid w:val="002540E9"/>
    <w:rsid w:val="0025418F"/>
    <w:rsid w:val="00254247"/>
    <w:rsid w:val="00254284"/>
    <w:rsid w:val="00254422"/>
    <w:rsid w:val="00254430"/>
    <w:rsid w:val="0025446E"/>
    <w:rsid w:val="002544E4"/>
    <w:rsid w:val="002545C0"/>
    <w:rsid w:val="002545CA"/>
    <w:rsid w:val="0025475E"/>
    <w:rsid w:val="00254812"/>
    <w:rsid w:val="00254947"/>
    <w:rsid w:val="00254AAA"/>
    <w:rsid w:val="00254BDA"/>
    <w:rsid w:val="00254C5A"/>
    <w:rsid w:val="00254C91"/>
    <w:rsid w:val="00254D18"/>
    <w:rsid w:val="00254D50"/>
    <w:rsid w:val="00254DBF"/>
    <w:rsid w:val="00254E05"/>
    <w:rsid w:val="00254E26"/>
    <w:rsid w:val="00254E42"/>
    <w:rsid w:val="00254E7D"/>
    <w:rsid w:val="00254EEB"/>
    <w:rsid w:val="00254EEE"/>
    <w:rsid w:val="00254FE5"/>
    <w:rsid w:val="0025509B"/>
    <w:rsid w:val="00255178"/>
    <w:rsid w:val="002551C0"/>
    <w:rsid w:val="0025525F"/>
    <w:rsid w:val="002552E5"/>
    <w:rsid w:val="002552E9"/>
    <w:rsid w:val="0025539D"/>
    <w:rsid w:val="002553B2"/>
    <w:rsid w:val="00255449"/>
    <w:rsid w:val="0025555B"/>
    <w:rsid w:val="002555AD"/>
    <w:rsid w:val="002555C7"/>
    <w:rsid w:val="0025562B"/>
    <w:rsid w:val="0025577D"/>
    <w:rsid w:val="00255862"/>
    <w:rsid w:val="00255881"/>
    <w:rsid w:val="002558A3"/>
    <w:rsid w:val="002559D1"/>
    <w:rsid w:val="002559F2"/>
    <w:rsid w:val="00255A5D"/>
    <w:rsid w:val="00255AA8"/>
    <w:rsid w:val="00255B4F"/>
    <w:rsid w:val="00255CD5"/>
    <w:rsid w:val="00255CD9"/>
    <w:rsid w:val="00255CFA"/>
    <w:rsid w:val="00255DB1"/>
    <w:rsid w:val="00255DF6"/>
    <w:rsid w:val="00255E31"/>
    <w:rsid w:val="00255E36"/>
    <w:rsid w:val="00255E87"/>
    <w:rsid w:val="00255E8E"/>
    <w:rsid w:val="00255EA0"/>
    <w:rsid w:val="00255FAC"/>
    <w:rsid w:val="002560FF"/>
    <w:rsid w:val="0025634B"/>
    <w:rsid w:val="002563AA"/>
    <w:rsid w:val="002564DE"/>
    <w:rsid w:val="002564F9"/>
    <w:rsid w:val="00256591"/>
    <w:rsid w:val="00256622"/>
    <w:rsid w:val="00256682"/>
    <w:rsid w:val="0025668D"/>
    <w:rsid w:val="00256691"/>
    <w:rsid w:val="002566D3"/>
    <w:rsid w:val="002566F2"/>
    <w:rsid w:val="002566F3"/>
    <w:rsid w:val="002566F6"/>
    <w:rsid w:val="00256706"/>
    <w:rsid w:val="002567F6"/>
    <w:rsid w:val="00256994"/>
    <w:rsid w:val="00256A30"/>
    <w:rsid w:val="00256A5D"/>
    <w:rsid w:val="00256B8B"/>
    <w:rsid w:val="00256B9F"/>
    <w:rsid w:val="00256C8F"/>
    <w:rsid w:val="00256CF0"/>
    <w:rsid w:val="00256E74"/>
    <w:rsid w:val="00256E96"/>
    <w:rsid w:val="00256E9B"/>
    <w:rsid w:val="00256F68"/>
    <w:rsid w:val="002571A8"/>
    <w:rsid w:val="002571D5"/>
    <w:rsid w:val="0025750E"/>
    <w:rsid w:val="0025755C"/>
    <w:rsid w:val="00257573"/>
    <w:rsid w:val="0025768A"/>
    <w:rsid w:val="002576A2"/>
    <w:rsid w:val="0025776C"/>
    <w:rsid w:val="002577AF"/>
    <w:rsid w:val="002577C6"/>
    <w:rsid w:val="0025780D"/>
    <w:rsid w:val="002578A9"/>
    <w:rsid w:val="002578C8"/>
    <w:rsid w:val="002579A6"/>
    <w:rsid w:val="00257A46"/>
    <w:rsid w:val="00257A74"/>
    <w:rsid w:val="00257A99"/>
    <w:rsid w:val="00257AD2"/>
    <w:rsid w:val="00257B00"/>
    <w:rsid w:val="00257BD5"/>
    <w:rsid w:val="00257BF4"/>
    <w:rsid w:val="00257BF9"/>
    <w:rsid w:val="00257C17"/>
    <w:rsid w:val="00257C50"/>
    <w:rsid w:val="00257C6B"/>
    <w:rsid w:val="00257D3E"/>
    <w:rsid w:val="00257DAD"/>
    <w:rsid w:val="00257E22"/>
    <w:rsid w:val="00257EEF"/>
    <w:rsid w:val="00257FF8"/>
    <w:rsid w:val="00257FFB"/>
    <w:rsid w:val="00260078"/>
    <w:rsid w:val="002600B4"/>
    <w:rsid w:val="002600FF"/>
    <w:rsid w:val="00260159"/>
    <w:rsid w:val="00260260"/>
    <w:rsid w:val="002602C1"/>
    <w:rsid w:val="002602C8"/>
    <w:rsid w:val="002602D4"/>
    <w:rsid w:val="002602F6"/>
    <w:rsid w:val="00260382"/>
    <w:rsid w:val="00260430"/>
    <w:rsid w:val="002605BF"/>
    <w:rsid w:val="00260682"/>
    <w:rsid w:val="002607CD"/>
    <w:rsid w:val="002607E2"/>
    <w:rsid w:val="00260891"/>
    <w:rsid w:val="002608A1"/>
    <w:rsid w:val="00260944"/>
    <w:rsid w:val="002609DF"/>
    <w:rsid w:val="00260B00"/>
    <w:rsid w:val="00260B6C"/>
    <w:rsid w:val="00260B6D"/>
    <w:rsid w:val="00260BF6"/>
    <w:rsid w:val="00260CFA"/>
    <w:rsid w:val="00260CFB"/>
    <w:rsid w:val="00260E45"/>
    <w:rsid w:val="00260E46"/>
    <w:rsid w:val="00260EB9"/>
    <w:rsid w:val="00260EE7"/>
    <w:rsid w:val="00261102"/>
    <w:rsid w:val="00261177"/>
    <w:rsid w:val="00261191"/>
    <w:rsid w:val="0026122F"/>
    <w:rsid w:val="002612DA"/>
    <w:rsid w:val="0026136B"/>
    <w:rsid w:val="00261401"/>
    <w:rsid w:val="00261487"/>
    <w:rsid w:val="002614E2"/>
    <w:rsid w:val="00261555"/>
    <w:rsid w:val="002615CB"/>
    <w:rsid w:val="0026161E"/>
    <w:rsid w:val="00261649"/>
    <w:rsid w:val="0026170E"/>
    <w:rsid w:val="00261751"/>
    <w:rsid w:val="00261856"/>
    <w:rsid w:val="002618AE"/>
    <w:rsid w:val="002618D5"/>
    <w:rsid w:val="002618FF"/>
    <w:rsid w:val="00261A15"/>
    <w:rsid w:val="00261C1C"/>
    <w:rsid w:val="00261D0D"/>
    <w:rsid w:val="00261D60"/>
    <w:rsid w:val="00261D6F"/>
    <w:rsid w:val="00261D8D"/>
    <w:rsid w:val="00261E18"/>
    <w:rsid w:val="00261E3D"/>
    <w:rsid w:val="00261EEE"/>
    <w:rsid w:val="00261F7C"/>
    <w:rsid w:val="00261FD5"/>
    <w:rsid w:val="00261FD9"/>
    <w:rsid w:val="002620D9"/>
    <w:rsid w:val="002620FC"/>
    <w:rsid w:val="00262145"/>
    <w:rsid w:val="002621F0"/>
    <w:rsid w:val="0026220C"/>
    <w:rsid w:val="0026228E"/>
    <w:rsid w:val="00262293"/>
    <w:rsid w:val="0026233C"/>
    <w:rsid w:val="0026237E"/>
    <w:rsid w:val="00262424"/>
    <w:rsid w:val="0026242B"/>
    <w:rsid w:val="00262446"/>
    <w:rsid w:val="00262469"/>
    <w:rsid w:val="002624B0"/>
    <w:rsid w:val="0026252B"/>
    <w:rsid w:val="00262578"/>
    <w:rsid w:val="002625D2"/>
    <w:rsid w:val="0026269D"/>
    <w:rsid w:val="002626AE"/>
    <w:rsid w:val="002626C2"/>
    <w:rsid w:val="002626CC"/>
    <w:rsid w:val="00262721"/>
    <w:rsid w:val="0026286C"/>
    <w:rsid w:val="0026291D"/>
    <w:rsid w:val="00262A3C"/>
    <w:rsid w:val="00262A57"/>
    <w:rsid w:val="00262AD0"/>
    <w:rsid w:val="00262B34"/>
    <w:rsid w:val="00262B38"/>
    <w:rsid w:val="00262B45"/>
    <w:rsid w:val="00262C14"/>
    <w:rsid w:val="00262E0B"/>
    <w:rsid w:val="00262E6B"/>
    <w:rsid w:val="00262F5C"/>
    <w:rsid w:val="002630AF"/>
    <w:rsid w:val="002630C9"/>
    <w:rsid w:val="0026312A"/>
    <w:rsid w:val="00263189"/>
    <w:rsid w:val="002631C7"/>
    <w:rsid w:val="00263318"/>
    <w:rsid w:val="0026331C"/>
    <w:rsid w:val="00263473"/>
    <w:rsid w:val="00263596"/>
    <w:rsid w:val="00263599"/>
    <w:rsid w:val="0026360E"/>
    <w:rsid w:val="0026361D"/>
    <w:rsid w:val="0026369C"/>
    <w:rsid w:val="0026376A"/>
    <w:rsid w:val="00263833"/>
    <w:rsid w:val="002638AE"/>
    <w:rsid w:val="00263916"/>
    <w:rsid w:val="00263955"/>
    <w:rsid w:val="002639B2"/>
    <w:rsid w:val="00263A16"/>
    <w:rsid w:val="00263A2B"/>
    <w:rsid w:val="00263A68"/>
    <w:rsid w:val="00263A92"/>
    <w:rsid w:val="00263B39"/>
    <w:rsid w:val="00263BE5"/>
    <w:rsid w:val="00263C21"/>
    <w:rsid w:val="00263CB3"/>
    <w:rsid w:val="00263D16"/>
    <w:rsid w:val="00263D4B"/>
    <w:rsid w:val="00263DA6"/>
    <w:rsid w:val="00263DAE"/>
    <w:rsid w:val="00263EC1"/>
    <w:rsid w:val="00264042"/>
    <w:rsid w:val="00264044"/>
    <w:rsid w:val="0026404B"/>
    <w:rsid w:val="00264175"/>
    <w:rsid w:val="0026419C"/>
    <w:rsid w:val="002641D9"/>
    <w:rsid w:val="002641EB"/>
    <w:rsid w:val="0026437A"/>
    <w:rsid w:val="002643C1"/>
    <w:rsid w:val="0026442C"/>
    <w:rsid w:val="002644AD"/>
    <w:rsid w:val="00264584"/>
    <w:rsid w:val="002645B9"/>
    <w:rsid w:val="002646D7"/>
    <w:rsid w:val="00264790"/>
    <w:rsid w:val="002647E5"/>
    <w:rsid w:val="002648D4"/>
    <w:rsid w:val="00264952"/>
    <w:rsid w:val="0026495C"/>
    <w:rsid w:val="00264ABA"/>
    <w:rsid w:val="00264B40"/>
    <w:rsid w:val="00264B66"/>
    <w:rsid w:val="00264BBC"/>
    <w:rsid w:val="00264C18"/>
    <w:rsid w:val="00264C4B"/>
    <w:rsid w:val="00264C7E"/>
    <w:rsid w:val="00264C8E"/>
    <w:rsid w:val="00264EFB"/>
    <w:rsid w:val="00264F9D"/>
    <w:rsid w:val="00265037"/>
    <w:rsid w:val="0026503B"/>
    <w:rsid w:val="00265237"/>
    <w:rsid w:val="002652A6"/>
    <w:rsid w:val="002652DB"/>
    <w:rsid w:val="002654BB"/>
    <w:rsid w:val="002654BE"/>
    <w:rsid w:val="002654C0"/>
    <w:rsid w:val="0026556E"/>
    <w:rsid w:val="002655BE"/>
    <w:rsid w:val="002655E1"/>
    <w:rsid w:val="00265641"/>
    <w:rsid w:val="0026566B"/>
    <w:rsid w:val="00265673"/>
    <w:rsid w:val="002656EA"/>
    <w:rsid w:val="00265748"/>
    <w:rsid w:val="002657DE"/>
    <w:rsid w:val="00265819"/>
    <w:rsid w:val="00265868"/>
    <w:rsid w:val="0026588A"/>
    <w:rsid w:val="0026593B"/>
    <w:rsid w:val="00265951"/>
    <w:rsid w:val="00265999"/>
    <w:rsid w:val="002659C0"/>
    <w:rsid w:val="00265ACC"/>
    <w:rsid w:val="00265B7A"/>
    <w:rsid w:val="00265C5F"/>
    <w:rsid w:val="00265C8A"/>
    <w:rsid w:val="00265C90"/>
    <w:rsid w:val="00265C9E"/>
    <w:rsid w:val="00265E05"/>
    <w:rsid w:val="00265E26"/>
    <w:rsid w:val="00265F19"/>
    <w:rsid w:val="00265FAE"/>
    <w:rsid w:val="00265FB1"/>
    <w:rsid w:val="00266175"/>
    <w:rsid w:val="00266186"/>
    <w:rsid w:val="00266271"/>
    <w:rsid w:val="0026638B"/>
    <w:rsid w:val="002663C0"/>
    <w:rsid w:val="00266403"/>
    <w:rsid w:val="0026640A"/>
    <w:rsid w:val="00266521"/>
    <w:rsid w:val="00266589"/>
    <w:rsid w:val="002665F9"/>
    <w:rsid w:val="0026661A"/>
    <w:rsid w:val="00266685"/>
    <w:rsid w:val="0026669B"/>
    <w:rsid w:val="0026684C"/>
    <w:rsid w:val="002668AE"/>
    <w:rsid w:val="0026698F"/>
    <w:rsid w:val="00266AC2"/>
    <w:rsid w:val="00266B1F"/>
    <w:rsid w:val="00266B57"/>
    <w:rsid w:val="00266B5B"/>
    <w:rsid w:val="00266CF7"/>
    <w:rsid w:val="00266D21"/>
    <w:rsid w:val="00266D2D"/>
    <w:rsid w:val="00266D57"/>
    <w:rsid w:val="00266DBD"/>
    <w:rsid w:val="00266EA0"/>
    <w:rsid w:val="00266EAF"/>
    <w:rsid w:val="00266EE1"/>
    <w:rsid w:val="00266F45"/>
    <w:rsid w:val="00267094"/>
    <w:rsid w:val="002670B5"/>
    <w:rsid w:val="002670E9"/>
    <w:rsid w:val="00267115"/>
    <w:rsid w:val="002671DB"/>
    <w:rsid w:val="0026723F"/>
    <w:rsid w:val="00267257"/>
    <w:rsid w:val="002672DD"/>
    <w:rsid w:val="0026748F"/>
    <w:rsid w:val="0026752E"/>
    <w:rsid w:val="002675EA"/>
    <w:rsid w:val="002675F7"/>
    <w:rsid w:val="002675FF"/>
    <w:rsid w:val="00267683"/>
    <w:rsid w:val="0026780D"/>
    <w:rsid w:val="002678BB"/>
    <w:rsid w:val="002678D1"/>
    <w:rsid w:val="002678F0"/>
    <w:rsid w:val="00267959"/>
    <w:rsid w:val="0026795C"/>
    <w:rsid w:val="00267A3E"/>
    <w:rsid w:val="00267B7A"/>
    <w:rsid w:val="00267C25"/>
    <w:rsid w:val="00267C88"/>
    <w:rsid w:val="00267D23"/>
    <w:rsid w:val="00267DB3"/>
    <w:rsid w:val="00267DE7"/>
    <w:rsid w:val="00267E19"/>
    <w:rsid w:val="00267EB0"/>
    <w:rsid w:val="00267F51"/>
    <w:rsid w:val="0026975B"/>
    <w:rsid w:val="00270025"/>
    <w:rsid w:val="00270090"/>
    <w:rsid w:val="002700E5"/>
    <w:rsid w:val="002700EA"/>
    <w:rsid w:val="0027010E"/>
    <w:rsid w:val="00270147"/>
    <w:rsid w:val="002701E7"/>
    <w:rsid w:val="00270212"/>
    <w:rsid w:val="0027023D"/>
    <w:rsid w:val="0027024A"/>
    <w:rsid w:val="00270337"/>
    <w:rsid w:val="0027034B"/>
    <w:rsid w:val="002703C2"/>
    <w:rsid w:val="00270466"/>
    <w:rsid w:val="002704DE"/>
    <w:rsid w:val="002704FB"/>
    <w:rsid w:val="0027063B"/>
    <w:rsid w:val="00270746"/>
    <w:rsid w:val="00270779"/>
    <w:rsid w:val="00270862"/>
    <w:rsid w:val="002708A8"/>
    <w:rsid w:val="002708A9"/>
    <w:rsid w:val="002709EF"/>
    <w:rsid w:val="00270A8E"/>
    <w:rsid w:val="00270B1C"/>
    <w:rsid w:val="00270B97"/>
    <w:rsid w:val="00270BAF"/>
    <w:rsid w:val="00270C43"/>
    <w:rsid w:val="00270D7C"/>
    <w:rsid w:val="00270D86"/>
    <w:rsid w:val="00270ED5"/>
    <w:rsid w:val="00270F0C"/>
    <w:rsid w:val="00270F39"/>
    <w:rsid w:val="00270F5C"/>
    <w:rsid w:val="00270F6E"/>
    <w:rsid w:val="00270F88"/>
    <w:rsid w:val="00271007"/>
    <w:rsid w:val="00271059"/>
    <w:rsid w:val="0027119E"/>
    <w:rsid w:val="00271265"/>
    <w:rsid w:val="002712F4"/>
    <w:rsid w:val="00271319"/>
    <w:rsid w:val="00271349"/>
    <w:rsid w:val="002713A0"/>
    <w:rsid w:val="002714BB"/>
    <w:rsid w:val="00271591"/>
    <w:rsid w:val="0027159D"/>
    <w:rsid w:val="0027162F"/>
    <w:rsid w:val="0027167A"/>
    <w:rsid w:val="00271771"/>
    <w:rsid w:val="0027179C"/>
    <w:rsid w:val="00271897"/>
    <w:rsid w:val="002719BD"/>
    <w:rsid w:val="002719F4"/>
    <w:rsid w:val="00271A80"/>
    <w:rsid w:val="00271AE3"/>
    <w:rsid w:val="00271AE4"/>
    <w:rsid w:val="00271B5E"/>
    <w:rsid w:val="00271B80"/>
    <w:rsid w:val="00271C17"/>
    <w:rsid w:val="00271D00"/>
    <w:rsid w:val="00271D93"/>
    <w:rsid w:val="00271DCD"/>
    <w:rsid w:val="00271E43"/>
    <w:rsid w:val="00271E5B"/>
    <w:rsid w:val="00271ECF"/>
    <w:rsid w:val="00271F27"/>
    <w:rsid w:val="00271F39"/>
    <w:rsid w:val="00271F41"/>
    <w:rsid w:val="0027201B"/>
    <w:rsid w:val="00272225"/>
    <w:rsid w:val="0027225E"/>
    <w:rsid w:val="0027226F"/>
    <w:rsid w:val="002723E2"/>
    <w:rsid w:val="0027246E"/>
    <w:rsid w:val="002724F8"/>
    <w:rsid w:val="00272563"/>
    <w:rsid w:val="002725D3"/>
    <w:rsid w:val="0027260E"/>
    <w:rsid w:val="00272791"/>
    <w:rsid w:val="002727B7"/>
    <w:rsid w:val="00272864"/>
    <w:rsid w:val="002728B0"/>
    <w:rsid w:val="00272958"/>
    <w:rsid w:val="0027295F"/>
    <w:rsid w:val="00272970"/>
    <w:rsid w:val="002729FE"/>
    <w:rsid w:val="00272AA2"/>
    <w:rsid w:val="00272B64"/>
    <w:rsid w:val="00272C40"/>
    <w:rsid w:val="00272C7E"/>
    <w:rsid w:val="00272D32"/>
    <w:rsid w:val="00272D76"/>
    <w:rsid w:val="00272D81"/>
    <w:rsid w:val="00272E01"/>
    <w:rsid w:val="00272EA2"/>
    <w:rsid w:val="0027304F"/>
    <w:rsid w:val="0027310B"/>
    <w:rsid w:val="00273255"/>
    <w:rsid w:val="00273302"/>
    <w:rsid w:val="0027336E"/>
    <w:rsid w:val="00273394"/>
    <w:rsid w:val="002734CB"/>
    <w:rsid w:val="002734DD"/>
    <w:rsid w:val="00273628"/>
    <w:rsid w:val="00273661"/>
    <w:rsid w:val="0027379A"/>
    <w:rsid w:val="002737DA"/>
    <w:rsid w:val="00273884"/>
    <w:rsid w:val="00273985"/>
    <w:rsid w:val="00273AF9"/>
    <w:rsid w:val="00273B24"/>
    <w:rsid w:val="00273BE7"/>
    <w:rsid w:val="00273BEB"/>
    <w:rsid w:val="00273BF3"/>
    <w:rsid w:val="00273C96"/>
    <w:rsid w:val="00273D46"/>
    <w:rsid w:val="00273E73"/>
    <w:rsid w:val="00273E99"/>
    <w:rsid w:val="00273EF9"/>
    <w:rsid w:val="00273F5B"/>
    <w:rsid w:val="00273F78"/>
    <w:rsid w:val="00274195"/>
    <w:rsid w:val="00274265"/>
    <w:rsid w:val="002742A5"/>
    <w:rsid w:val="002742F3"/>
    <w:rsid w:val="0027430F"/>
    <w:rsid w:val="00274359"/>
    <w:rsid w:val="0027435E"/>
    <w:rsid w:val="0027439D"/>
    <w:rsid w:val="002743E8"/>
    <w:rsid w:val="00274449"/>
    <w:rsid w:val="0027446D"/>
    <w:rsid w:val="002744BF"/>
    <w:rsid w:val="002745E6"/>
    <w:rsid w:val="0027463A"/>
    <w:rsid w:val="0027467F"/>
    <w:rsid w:val="00274703"/>
    <w:rsid w:val="0027479F"/>
    <w:rsid w:val="0027481B"/>
    <w:rsid w:val="00274876"/>
    <w:rsid w:val="0027487A"/>
    <w:rsid w:val="002748DF"/>
    <w:rsid w:val="00274958"/>
    <w:rsid w:val="00274A45"/>
    <w:rsid w:val="00274A69"/>
    <w:rsid w:val="00274A8D"/>
    <w:rsid w:val="00274AD4"/>
    <w:rsid w:val="00274AFD"/>
    <w:rsid w:val="00274B8B"/>
    <w:rsid w:val="00274B90"/>
    <w:rsid w:val="00274C4B"/>
    <w:rsid w:val="00274C56"/>
    <w:rsid w:val="00274C74"/>
    <w:rsid w:val="00274C9C"/>
    <w:rsid w:val="00274CAC"/>
    <w:rsid w:val="00274CF4"/>
    <w:rsid w:val="00274E41"/>
    <w:rsid w:val="00274EF5"/>
    <w:rsid w:val="00274F0F"/>
    <w:rsid w:val="00275079"/>
    <w:rsid w:val="002750D1"/>
    <w:rsid w:val="002750EA"/>
    <w:rsid w:val="00275133"/>
    <w:rsid w:val="0027516A"/>
    <w:rsid w:val="00275464"/>
    <w:rsid w:val="0027548D"/>
    <w:rsid w:val="002754DA"/>
    <w:rsid w:val="00275569"/>
    <w:rsid w:val="002756D4"/>
    <w:rsid w:val="00275759"/>
    <w:rsid w:val="0027576C"/>
    <w:rsid w:val="00275844"/>
    <w:rsid w:val="00275894"/>
    <w:rsid w:val="0027590A"/>
    <w:rsid w:val="002759EA"/>
    <w:rsid w:val="00275AA0"/>
    <w:rsid w:val="00275AA3"/>
    <w:rsid w:val="00275CB0"/>
    <w:rsid w:val="00275CF1"/>
    <w:rsid w:val="00275CFA"/>
    <w:rsid w:val="00275D99"/>
    <w:rsid w:val="00275E78"/>
    <w:rsid w:val="00275E9C"/>
    <w:rsid w:val="00276012"/>
    <w:rsid w:val="0027604C"/>
    <w:rsid w:val="002760E0"/>
    <w:rsid w:val="0027617C"/>
    <w:rsid w:val="002761D1"/>
    <w:rsid w:val="0027621E"/>
    <w:rsid w:val="00276304"/>
    <w:rsid w:val="00276321"/>
    <w:rsid w:val="00276323"/>
    <w:rsid w:val="0027643E"/>
    <w:rsid w:val="002764C9"/>
    <w:rsid w:val="002764DC"/>
    <w:rsid w:val="002764F9"/>
    <w:rsid w:val="00276568"/>
    <w:rsid w:val="002765F3"/>
    <w:rsid w:val="00276693"/>
    <w:rsid w:val="00276720"/>
    <w:rsid w:val="002767B1"/>
    <w:rsid w:val="00276811"/>
    <w:rsid w:val="0027699D"/>
    <w:rsid w:val="002769CB"/>
    <w:rsid w:val="002769D9"/>
    <w:rsid w:val="002769F3"/>
    <w:rsid w:val="00276A21"/>
    <w:rsid w:val="00276A24"/>
    <w:rsid w:val="00276A87"/>
    <w:rsid w:val="00276B0A"/>
    <w:rsid w:val="00276B1F"/>
    <w:rsid w:val="00276B8B"/>
    <w:rsid w:val="00276BB3"/>
    <w:rsid w:val="00276BD0"/>
    <w:rsid w:val="00276D8C"/>
    <w:rsid w:val="00276DCE"/>
    <w:rsid w:val="00276EC2"/>
    <w:rsid w:val="00276EE7"/>
    <w:rsid w:val="00276F4E"/>
    <w:rsid w:val="00277051"/>
    <w:rsid w:val="00277068"/>
    <w:rsid w:val="0027713B"/>
    <w:rsid w:val="002771C9"/>
    <w:rsid w:val="002771E5"/>
    <w:rsid w:val="002771F1"/>
    <w:rsid w:val="0027729C"/>
    <w:rsid w:val="002772BE"/>
    <w:rsid w:val="00277322"/>
    <w:rsid w:val="0027732E"/>
    <w:rsid w:val="00277430"/>
    <w:rsid w:val="002774DC"/>
    <w:rsid w:val="00277641"/>
    <w:rsid w:val="00277642"/>
    <w:rsid w:val="00277696"/>
    <w:rsid w:val="002776CC"/>
    <w:rsid w:val="002776EF"/>
    <w:rsid w:val="0027771F"/>
    <w:rsid w:val="002777F2"/>
    <w:rsid w:val="00277892"/>
    <w:rsid w:val="002778AD"/>
    <w:rsid w:val="002778D9"/>
    <w:rsid w:val="00277995"/>
    <w:rsid w:val="002779C9"/>
    <w:rsid w:val="00277A4D"/>
    <w:rsid w:val="00277AE7"/>
    <w:rsid w:val="00277B23"/>
    <w:rsid w:val="00277BDF"/>
    <w:rsid w:val="00277C1E"/>
    <w:rsid w:val="00277C5F"/>
    <w:rsid w:val="00277C96"/>
    <w:rsid w:val="00277CC6"/>
    <w:rsid w:val="00277CF8"/>
    <w:rsid w:val="00277D05"/>
    <w:rsid w:val="00277E9E"/>
    <w:rsid w:val="00277F7F"/>
    <w:rsid w:val="00277FE1"/>
    <w:rsid w:val="0027A481"/>
    <w:rsid w:val="002800D0"/>
    <w:rsid w:val="0028018D"/>
    <w:rsid w:val="00280313"/>
    <w:rsid w:val="0028037B"/>
    <w:rsid w:val="002803A0"/>
    <w:rsid w:val="002803AC"/>
    <w:rsid w:val="00280416"/>
    <w:rsid w:val="00280420"/>
    <w:rsid w:val="00280472"/>
    <w:rsid w:val="00280516"/>
    <w:rsid w:val="002805E7"/>
    <w:rsid w:val="00280656"/>
    <w:rsid w:val="00280695"/>
    <w:rsid w:val="00280779"/>
    <w:rsid w:val="002807D2"/>
    <w:rsid w:val="00280802"/>
    <w:rsid w:val="0028083B"/>
    <w:rsid w:val="002808A4"/>
    <w:rsid w:val="00280931"/>
    <w:rsid w:val="00280988"/>
    <w:rsid w:val="00280A03"/>
    <w:rsid w:val="00280A70"/>
    <w:rsid w:val="00280A9E"/>
    <w:rsid w:val="00280AE2"/>
    <w:rsid w:val="00280B18"/>
    <w:rsid w:val="00280B4D"/>
    <w:rsid w:val="00280C89"/>
    <w:rsid w:val="00280CA9"/>
    <w:rsid w:val="00280CCA"/>
    <w:rsid w:val="00280F60"/>
    <w:rsid w:val="00280FEC"/>
    <w:rsid w:val="002810C5"/>
    <w:rsid w:val="00281163"/>
    <w:rsid w:val="002812E2"/>
    <w:rsid w:val="00281341"/>
    <w:rsid w:val="0028136A"/>
    <w:rsid w:val="002813B6"/>
    <w:rsid w:val="002813C5"/>
    <w:rsid w:val="00281473"/>
    <w:rsid w:val="0028149A"/>
    <w:rsid w:val="00281573"/>
    <w:rsid w:val="0028160B"/>
    <w:rsid w:val="00281630"/>
    <w:rsid w:val="002816A5"/>
    <w:rsid w:val="00281742"/>
    <w:rsid w:val="0028184A"/>
    <w:rsid w:val="0028185A"/>
    <w:rsid w:val="00281978"/>
    <w:rsid w:val="002819AA"/>
    <w:rsid w:val="002819D8"/>
    <w:rsid w:val="002819DE"/>
    <w:rsid w:val="00281A08"/>
    <w:rsid w:val="00281A15"/>
    <w:rsid w:val="00281A8F"/>
    <w:rsid w:val="00281AB5"/>
    <w:rsid w:val="00281B43"/>
    <w:rsid w:val="00281B6F"/>
    <w:rsid w:val="00281BE8"/>
    <w:rsid w:val="00281C3A"/>
    <w:rsid w:val="00281CAE"/>
    <w:rsid w:val="00281CE6"/>
    <w:rsid w:val="00281D2D"/>
    <w:rsid w:val="00281D73"/>
    <w:rsid w:val="00281D74"/>
    <w:rsid w:val="00281DA4"/>
    <w:rsid w:val="00281E5C"/>
    <w:rsid w:val="00281EFF"/>
    <w:rsid w:val="00281F18"/>
    <w:rsid w:val="00281F48"/>
    <w:rsid w:val="00282015"/>
    <w:rsid w:val="0028220E"/>
    <w:rsid w:val="0028238D"/>
    <w:rsid w:val="00282411"/>
    <w:rsid w:val="002825DC"/>
    <w:rsid w:val="00282634"/>
    <w:rsid w:val="00282714"/>
    <w:rsid w:val="0028278B"/>
    <w:rsid w:val="002827B0"/>
    <w:rsid w:val="002827C0"/>
    <w:rsid w:val="00282989"/>
    <w:rsid w:val="00282A14"/>
    <w:rsid w:val="00282A30"/>
    <w:rsid w:val="00282A9D"/>
    <w:rsid w:val="00282B1C"/>
    <w:rsid w:val="00282C1C"/>
    <w:rsid w:val="00282C6E"/>
    <w:rsid w:val="00282C78"/>
    <w:rsid w:val="00282D26"/>
    <w:rsid w:val="00282E41"/>
    <w:rsid w:val="00282E68"/>
    <w:rsid w:val="00282ED4"/>
    <w:rsid w:val="00282F2A"/>
    <w:rsid w:val="00282F78"/>
    <w:rsid w:val="00282F80"/>
    <w:rsid w:val="00283013"/>
    <w:rsid w:val="0028304B"/>
    <w:rsid w:val="002830C1"/>
    <w:rsid w:val="002830CF"/>
    <w:rsid w:val="002832DF"/>
    <w:rsid w:val="00283369"/>
    <w:rsid w:val="002833BA"/>
    <w:rsid w:val="002833D4"/>
    <w:rsid w:val="002833DB"/>
    <w:rsid w:val="0028344D"/>
    <w:rsid w:val="00283455"/>
    <w:rsid w:val="00283599"/>
    <w:rsid w:val="0028359B"/>
    <w:rsid w:val="002835F3"/>
    <w:rsid w:val="0028366B"/>
    <w:rsid w:val="00283697"/>
    <w:rsid w:val="00283711"/>
    <w:rsid w:val="00283734"/>
    <w:rsid w:val="002837E0"/>
    <w:rsid w:val="0028389A"/>
    <w:rsid w:val="002838C1"/>
    <w:rsid w:val="002839F3"/>
    <w:rsid w:val="00283A0D"/>
    <w:rsid w:val="00283A11"/>
    <w:rsid w:val="00283A28"/>
    <w:rsid w:val="00283C4B"/>
    <w:rsid w:val="00283D97"/>
    <w:rsid w:val="00283DB7"/>
    <w:rsid w:val="00283EB1"/>
    <w:rsid w:val="00283EBB"/>
    <w:rsid w:val="00283F64"/>
    <w:rsid w:val="00283F82"/>
    <w:rsid w:val="00283FFF"/>
    <w:rsid w:val="00284057"/>
    <w:rsid w:val="0028413A"/>
    <w:rsid w:val="0028413F"/>
    <w:rsid w:val="0028428A"/>
    <w:rsid w:val="00284375"/>
    <w:rsid w:val="002845AA"/>
    <w:rsid w:val="002845C1"/>
    <w:rsid w:val="002845D7"/>
    <w:rsid w:val="0028467F"/>
    <w:rsid w:val="002846C6"/>
    <w:rsid w:val="0028471E"/>
    <w:rsid w:val="00284769"/>
    <w:rsid w:val="00284795"/>
    <w:rsid w:val="0028479A"/>
    <w:rsid w:val="002847D4"/>
    <w:rsid w:val="002848A1"/>
    <w:rsid w:val="002848D9"/>
    <w:rsid w:val="0028497A"/>
    <w:rsid w:val="002849C1"/>
    <w:rsid w:val="00284A0C"/>
    <w:rsid w:val="00284AC9"/>
    <w:rsid w:val="00284BBA"/>
    <w:rsid w:val="00284BD1"/>
    <w:rsid w:val="00284C77"/>
    <w:rsid w:val="00284D24"/>
    <w:rsid w:val="00284D8A"/>
    <w:rsid w:val="00284E34"/>
    <w:rsid w:val="00284E70"/>
    <w:rsid w:val="00284E9A"/>
    <w:rsid w:val="00284F70"/>
    <w:rsid w:val="00284FD1"/>
    <w:rsid w:val="002850A0"/>
    <w:rsid w:val="002850A1"/>
    <w:rsid w:val="00285115"/>
    <w:rsid w:val="00285234"/>
    <w:rsid w:val="00285254"/>
    <w:rsid w:val="0028525A"/>
    <w:rsid w:val="002852D7"/>
    <w:rsid w:val="00285343"/>
    <w:rsid w:val="002855AF"/>
    <w:rsid w:val="00285615"/>
    <w:rsid w:val="00285741"/>
    <w:rsid w:val="00285758"/>
    <w:rsid w:val="00285763"/>
    <w:rsid w:val="002857FA"/>
    <w:rsid w:val="00285801"/>
    <w:rsid w:val="00285808"/>
    <w:rsid w:val="0028580D"/>
    <w:rsid w:val="00285818"/>
    <w:rsid w:val="0028587B"/>
    <w:rsid w:val="002858C0"/>
    <w:rsid w:val="00285905"/>
    <w:rsid w:val="00285918"/>
    <w:rsid w:val="00285969"/>
    <w:rsid w:val="00285971"/>
    <w:rsid w:val="00285A3E"/>
    <w:rsid w:val="00285A81"/>
    <w:rsid w:val="00285ADA"/>
    <w:rsid w:val="00285B68"/>
    <w:rsid w:val="00285DE4"/>
    <w:rsid w:val="00285E5C"/>
    <w:rsid w:val="00285F16"/>
    <w:rsid w:val="00285F18"/>
    <w:rsid w:val="00285F2B"/>
    <w:rsid w:val="00286014"/>
    <w:rsid w:val="00286035"/>
    <w:rsid w:val="0028605D"/>
    <w:rsid w:val="0028615A"/>
    <w:rsid w:val="0028616F"/>
    <w:rsid w:val="002861C5"/>
    <w:rsid w:val="00286258"/>
    <w:rsid w:val="0028629C"/>
    <w:rsid w:val="002862B1"/>
    <w:rsid w:val="002862F4"/>
    <w:rsid w:val="00286411"/>
    <w:rsid w:val="002864E0"/>
    <w:rsid w:val="0028653D"/>
    <w:rsid w:val="0028653E"/>
    <w:rsid w:val="00286544"/>
    <w:rsid w:val="002865D4"/>
    <w:rsid w:val="00286682"/>
    <w:rsid w:val="0028670E"/>
    <w:rsid w:val="00286807"/>
    <w:rsid w:val="0028680D"/>
    <w:rsid w:val="0028691D"/>
    <w:rsid w:val="0028693C"/>
    <w:rsid w:val="002869CF"/>
    <w:rsid w:val="00286A50"/>
    <w:rsid w:val="00286A5A"/>
    <w:rsid w:val="00286AA2"/>
    <w:rsid w:val="00286C31"/>
    <w:rsid w:val="00286C8F"/>
    <w:rsid w:val="00286CBC"/>
    <w:rsid w:val="00286CE9"/>
    <w:rsid w:val="00286D03"/>
    <w:rsid w:val="00286D47"/>
    <w:rsid w:val="00286D84"/>
    <w:rsid w:val="00286D89"/>
    <w:rsid w:val="00286E90"/>
    <w:rsid w:val="00286F17"/>
    <w:rsid w:val="00286F2F"/>
    <w:rsid w:val="00286F53"/>
    <w:rsid w:val="00286F63"/>
    <w:rsid w:val="00287003"/>
    <w:rsid w:val="0028707F"/>
    <w:rsid w:val="0028709C"/>
    <w:rsid w:val="00287166"/>
    <w:rsid w:val="0028717C"/>
    <w:rsid w:val="002871A7"/>
    <w:rsid w:val="002872A8"/>
    <w:rsid w:val="002872B3"/>
    <w:rsid w:val="002872DE"/>
    <w:rsid w:val="00287309"/>
    <w:rsid w:val="00287446"/>
    <w:rsid w:val="0028744D"/>
    <w:rsid w:val="00287457"/>
    <w:rsid w:val="002874CD"/>
    <w:rsid w:val="00287540"/>
    <w:rsid w:val="00287559"/>
    <w:rsid w:val="002875CB"/>
    <w:rsid w:val="002876ED"/>
    <w:rsid w:val="00287ADF"/>
    <w:rsid w:val="00287B20"/>
    <w:rsid w:val="00287BE7"/>
    <w:rsid w:val="00287EB1"/>
    <w:rsid w:val="00287FB8"/>
    <w:rsid w:val="00287FD4"/>
    <w:rsid w:val="00290018"/>
    <w:rsid w:val="002900E5"/>
    <w:rsid w:val="002901FB"/>
    <w:rsid w:val="0029024B"/>
    <w:rsid w:val="002902AC"/>
    <w:rsid w:val="002903BC"/>
    <w:rsid w:val="002903E2"/>
    <w:rsid w:val="00290444"/>
    <w:rsid w:val="00290450"/>
    <w:rsid w:val="00290458"/>
    <w:rsid w:val="0029058E"/>
    <w:rsid w:val="002905BF"/>
    <w:rsid w:val="002905C7"/>
    <w:rsid w:val="002905D8"/>
    <w:rsid w:val="002906B1"/>
    <w:rsid w:val="002906CC"/>
    <w:rsid w:val="002906E6"/>
    <w:rsid w:val="0029074D"/>
    <w:rsid w:val="002907C3"/>
    <w:rsid w:val="002908D8"/>
    <w:rsid w:val="00290947"/>
    <w:rsid w:val="0029099D"/>
    <w:rsid w:val="002909C6"/>
    <w:rsid w:val="00290A54"/>
    <w:rsid w:val="00290A74"/>
    <w:rsid w:val="00290AA1"/>
    <w:rsid w:val="00290BF9"/>
    <w:rsid w:val="00290C7A"/>
    <w:rsid w:val="00290CA5"/>
    <w:rsid w:val="00290CBB"/>
    <w:rsid w:val="00290CCB"/>
    <w:rsid w:val="00290CE0"/>
    <w:rsid w:val="00290D4E"/>
    <w:rsid w:val="00290E6C"/>
    <w:rsid w:val="00290EB9"/>
    <w:rsid w:val="0029103E"/>
    <w:rsid w:val="00291048"/>
    <w:rsid w:val="00291068"/>
    <w:rsid w:val="002910C9"/>
    <w:rsid w:val="00291171"/>
    <w:rsid w:val="00291335"/>
    <w:rsid w:val="0029136F"/>
    <w:rsid w:val="002913A7"/>
    <w:rsid w:val="002913DE"/>
    <w:rsid w:val="002913ED"/>
    <w:rsid w:val="002913FF"/>
    <w:rsid w:val="00291442"/>
    <w:rsid w:val="00291450"/>
    <w:rsid w:val="002914C6"/>
    <w:rsid w:val="002914F9"/>
    <w:rsid w:val="002915E1"/>
    <w:rsid w:val="0029165F"/>
    <w:rsid w:val="00291690"/>
    <w:rsid w:val="0029170B"/>
    <w:rsid w:val="002917B8"/>
    <w:rsid w:val="002917D5"/>
    <w:rsid w:val="0029180D"/>
    <w:rsid w:val="00291810"/>
    <w:rsid w:val="00291839"/>
    <w:rsid w:val="002918BC"/>
    <w:rsid w:val="00291908"/>
    <w:rsid w:val="00291968"/>
    <w:rsid w:val="0029199A"/>
    <w:rsid w:val="002919B0"/>
    <w:rsid w:val="002919E9"/>
    <w:rsid w:val="00291A92"/>
    <w:rsid w:val="00291B32"/>
    <w:rsid w:val="00291B40"/>
    <w:rsid w:val="00291B8B"/>
    <w:rsid w:val="00291B90"/>
    <w:rsid w:val="00291BB9"/>
    <w:rsid w:val="00291C15"/>
    <w:rsid w:val="00291CA5"/>
    <w:rsid w:val="00291CD0"/>
    <w:rsid w:val="00291DB6"/>
    <w:rsid w:val="00291DB8"/>
    <w:rsid w:val="00291DDE"/>
    <w:rsid w:val="00291DF8"/>
    <w:rsid w:val="00291E60"/>
    <w:rsid w:val="00291E7C"/>
    <w:rsid w:val="00291F39"/>
    <w:rsid w:val="002920AC"/>
    <w:rsid w:val="00292116"/>
    <w:rsid w:val="0029212B"/>
    <w:rsid w:val="00292268"/>
    <w:rsid w:val="00292330"/>
    <w:rsid w:val="00292477"/>
    <w:rsid w:val="0029247F"/>
    <w:rsid w:val="002926CF"/>
    <w:rsid w:val="00292760"/>
    <w:rsid w:val="00292763"/>
    <w:rsid w:val="00292780"/>
    <w:rsid w:val="0029278C"/>
    <w:rsid w:val="00292860"/>
    <w:rsid w:val="00292A3F"/>
    <w:rsid w:val="00292B12"/>
    <w:rsid w:val="00292B89"/>
    <w:rsid w:val="00292BD6"/>
    <w:rsid w:val="00292D26"/>
    <w:rsid w:val="00292D57"/>
    <w:rsid w:val="00292D67"/>
    <w:rsid w:val="00292FEB"/>
    <w:rsid w:val="00293007"/>
    <w:rsid w:val="0029301E"/>
    <w:rsid w:val="00293021"/>
    <w:rsid w:val="002930CC"/>
    <w:rsid w:val="002931A3"/>
    <w:rsid w:val="00293278"/>
    <w:rsid w:val="0029327D"/>
    <w:rsid w:val="0029329A"/>
    <w:rsid w:val="0029336B"/>
    <w:rsid w:val="002933E3"/>
    <w:rsid w:val="00293483"/>
    <w:rsid w:val="0029348A"/>
    <w:rsid w:val="00293536"/>
    <w:rsid w:val="0029355E"/>
    <w:rsid w:val="00293594"/>
    <w:rsid w:val="00293617"/>
    <w:rsid w:val="0029366C"/>
    <w:rsid w:val="00293670"/>
    <w:rsid w:val="002936D3"/>
    <w:rsid w:val="0029396D"/>
    <w:rsid w:val="002939CC"/>
    <w:rsid w:val="00293A9B"/>
    <w:rsid w:val="00293AA8"/>
    <w:rsid w:val="00293BC1"/>
    <w:rsid w:val="00293C93"/>
    <w:rsid w:val="00293D1B"/>
    <w:rsid w:val="00293D48"/>
    <w:rsid w:val="00293D6F"/>
    <w:rsid w:val="00293F8F"/>
    <w:rsid w:val="00293FF2"/>
    <w:rsid w:val="00294089"/>
    <w:rsid w:val="002940B1"/>
    <w:rsid w:val="002940C6"/>
    <w:rsid w:val="002943F7"/>
    <w:rsid w:val="002944DC"/>
    <w:rsid w:val="002944FF"/>
    <w:rsid w:val="0029458F"/>
    <w:rsid w:val="00294605"/>
    <w:rsid w:val="00294660"/>
    <w:rsid w:val="00294688"/>
    <w:rsid w:val="002946F1"/>
    <w:rsid w:val="00294749"/>
    <w:rsid w:val="0029476F"/>
    <w:rsid w:val="00294946"/>
    <w:rsid w:val="00294A4E"/>
    <w:rsid w:val="00294A79"/>
    <w:rsid w:val="00294A9C"/>
    <w:rsid w:val="00294B03"/>
    <w:rsid w:val="00294B26"/>
    <w:rsid w:val="00294C92"/>
    <w:rsid w:val="00294C99"/>
    <w:rsid w:val="00294CF2"/>
    <w:rsid w:val="00294CFA"/>
    <w:rsid w:val="00294D3C"/>
    <w:rsid w:val="00294E35"/>
    <w:rsid w:val="00294F0E"/>
    <w:rsid w:val="00294F83"/>
    <w:rsid w:val="00294FA4"/>
    <w:rsid w:val="00294FA5"/>
    <w:rsid w:val="0029501B"/>
    <w:rsid w:val="00295047"/>
    <w:rsid w:val="00295186"/>
    <w:rsid w:val="0029520A"/>
    <w:rsid w:val="00295252"/>
    <w:rsid w:val="00295342"/>
    <w:rsid w:val="00295350"/>
    <w:rsid w:val="0029549C"/>
    <w:rsid w:val="002954A4"/>
    <w:rsid w:val="002955B5"/>
    <w:rsid w:val="002955E2"/>
    <w:rsid w:val="002955FB"/>
    <w:rsid w:val="00295714"/>
    <w:rsid w:val="0029573A"/>
    <w:rsid w:val="0029579C"/>
    <w:rsid w:val="002957AB"/>
    <w:rsid w:val="002957C8"/>
    <w:rsid w:val="00295821"/>
    <w:rsid w:val="0029589F"/>
    <w:rsid w:val="002958AA"/>
    <w:rsid w:val="002958C9"/>
    <w:rsid w:val="002958FC"/>
    <w:rsid w:val="00295934"/>
    <w:rsid w:val="002959A6"/>
    <w:rsid w:val="002959B8"/>
    <w:rsid w:val="00295A4E"/>
    <w:rsid w:val="00295A57"/>
    <w:rsid w:val="00295B70"/>
    <w:rsid w:val="00295BB2"/>
    <w:rsid w:val="00295BF6"/>
    <w:rsid w:val="00295BF8"/>
    <w:rsid w:val="00295C37"/>
    <w:rsid w:val="00295CCA"/>
    <w:rsid w:val="00295CE7"/>
    <w:rsid w:val="00295E3A"/>
    <w:rsid w:val="00295E44"/>
    <w:rsid w:val="00295EA2"/>
    <w:rsid w:val="00295F8E"/>
    <w:rsid w:val="0029606D"/>
    <w:rsid w:val="00296235"/>
    <w:rsid w:val="002962E4"/>
    <w:rsid w:val="00296389"/>
    <w:rsid w:val="002963AB"/>
    <w:rsid w:val="002964A8"/>
    <w:rsid w:val="00296544"/>
    <w:rsid w:val="0029654A"/>
    <w:rsid w:val="0029662C"/>
    <w:rsid w:val="0029664D"/>
    <w:rsid w:val="00296754"/>
    <w:rsid w:val="002967FD"/>
    <w:rsid w:val="00296814"/>
    <w:rsid w:val="002968E1"/>
    <w:rsid w:val="00296914"/>
    <w:rsid w:val="00296A2F"/>
    <w:rsid w:val="00296C31"/>
    <w:rsid w:val="00296D75"/>
    <w:rsid w:val="00296D93"/>
    <w:rsid w:val="00296E5B"/>
    <w:rsid w:val="00296E63"/>
    <w:rsid w:val="00296EA6"/>
    <w:rsid w:val="00296F01"/>
    <w:rsid w:val="00296F87"/>
    <w:rsid w:val="00296FCD"/>
    <w:rsid w:val="0029708A"/>
    <w:rsid w:val="00297090"/>
    <w:rsid w:val="00297142"/>
    <w:rsid w:val="002971BD"/>
    <w:rsid w:val="00297224"/>
    <w:rsid w:val="00297388"/>
    <w:rsid w:val="002973E2"/>
    <w:rsid w:val="002974DE"/>
    <w:rsid w:val="0029756F"/>
    <w:rsid w:val="0029759F"/>
    <w:rsid w:val="002975B8"/>
    <w:rsid w:val="00297645"/>
    <w:rsid w:val="00297855"/>
    <w:rsid w:val="002978EE"/>
    <w:rsid w:val="002979BB"/>
    <w:rsid w:val="002979E7"/>
    <w:rsid w:val="00297A73"/>
    <w:rsid w:val="00297B4D"/>
    <w:rsid w:val="00297B8B"/>
    <w:rsid w:val="00297C0D"/>
    <w:rsid w:val="00297D53"/>
    <w:rsid w:val="00297D88"/>
    <w:rsid w:val="00297D94"/>
    <w:rsid w:val="00297DAB"/>
    <w:rsid w:val="00297DAE"/>
    <w:rsid w:val="00297DD6"/>
    <w:rsid w:val="00297E1F"/>
    <w:rsid w:val="00297E52"/>
    <w:rsid w:val="00297E8A"/>
    <w:rsid w:val="00297E99"/>
    <w:rsid w:val="00297FCC"/>
    <w:rsid w:val="002991B8"/>
    <w:rsid w:val="00299938"/>
    <w:rsid w:val="002A008A"/>
    <w:rsid w:val="002A00CB"/>
    <w:rsid w:val="002A0124"/>
    <w:rsid w:val="002A0170"/>
    <w:rsid w:val="002A027C"/>
    <w:rsid w:val="002A028E"/>
    <w:rsid w:val="002A0315"/>
    <w:rsid w:val="002A03B6"/>
    <w:rsid w:val="002A04BA"/>
    <w:rsid w:val="002A04F0"/>
    <w:rsid w:val="002A0571"/>
    <w:rsid w:val="002A0704"/>
    <w:rsid w:val="002A073A"/>
    <w:rsid w:val="002A074F"/>
    <w:rsid w:val="002A076C"/>
    <w:rsid w:val="002A07DC"/>
    <w:rsid w:val="002A097A"/>
    <w:rsid w:val="002A09FE"/>
    <w:rsid w:val="002A0C20"/>
    <w:rsid w:val="002A0D4D"/>
    <w:rsid w:val="002A0E34"/>
    <w:rsid w:val="002A0F8E"/>
    <w:rsid w:val="002A105E"/>
    <w:rsid w:val="002A1147"/>
    <w:rsid w:val="002A12A8"/>
    <w:rsid w:val="002A12D3"/>
    <w:rsid w:val="002A13BF"/>
    <w:rsid w:val="002A13E2"/>
    <w:rsid w:val="002A146B"/>
    <w:rsid w:val="002A1477"/>
    <w:rsid w:val="002A1478"/>
    <w:rsid w:val="002A1488"/>
    <w:rsid w:val="002A14F7"/>
    <w:rsid w:val="002A1512"/>
    <w:rsid w:val="002A178A"/>
    <w:rsid w:val="002A1A6B"/>
    <w:rsid w:val="002A1B14"/>
    <w:rsid w:val="002A1BB9"/>
    <w:rsid w:val="002A1C0F"/>
    <w:rsid w:val="002A1C10"/>
    <w:rsid w:val="002A1C27"/>
    <w:rsid w:val="002A1C2D"/>
    <w:rsid w:val="002A1D1A"/>
    <w:rsid w:val="002A1DC8"/>
    <w:rsid w:val="002A1E51"/>
    <w:rsid w:val="002A1EC7"/>
    <w:rsid w:val="002A1F1E"/>
    <w:rsid w:val="002A1F3F"/>
    <w:rsid w:val="002A1FD1"/>
    <w:rsid w:val="002A1FEC"/>
    <w:rsid w:val="002A1FF5"/>
    <w:rsid w:val="002A1FFF"/>
    <w:rsid w:val="002A20B8"/>
    <w:rsid w:val="002A20E2"/>
    <w:rsid w:val="002A20E9"/>
    <w:rsid w:val="002A21C0"/>
    <w:rsid w:val="002A21F1"/>
    <w:rsid w:val="002A22B2"/>
    <w:rsid w:val="002A23D6"/>
    <w:rsid w:val="002A23D7"/>
    <w:rsid w:val="002A23EA"/>
    <w:rsid w:val="002A2440"/>
    <w:rsid w:val="002A2441"/>
    <w:rsid w:val="002A249B"/>
    <w:rsid w:val="002A2614"/>
    <w:rsid w:val="002A261A"/>
    <w:rsid w:val="002A28E4"/>
    <w:rsid w:val="002A2943"/>
    <w:rsid w:val="002A2958"/>
    <w:rsid w:val="002A29F5"/>
    <w:rsid w:val="002A2B4B"/>
    <w:rsid w:val="002A2B70"/>
    <w:rsid w:val="002A2BA6"/>
    <w:rsid w:val="002A2C1A"/>
    <w:rsid w:val="002A2CDE"/>
    <w:rsid w:val="002A2D2F"/>
    <w:rsid w:val="002A2DA7"/>
    <w:rsid w:val="002A2DB9"/>
    <w:rsid w:val="002A2E30"/>
    <w:rsid w:val="002A2E45"/>
    <w:rsid w:val="002A2E77"/>
    <w:rsid w:val="002A2E9E"/>
    <w:rsid w:val="002A2EFC"/>
    <w:rsid w:val="002A2F8C"/>
    <w:rsid w:val="002A2FDB"/>
    <w:rsid w:val="002A3023"/>
    <w:rsid w:val="002A31AF"/>
    <w:rsid w:val="002A324F"/>
    <w:rsid w:val="002A32AC"/>
    <w:rsid w:val="002A3319"/>
    <w:rsid w:val="002A3427"/>
    <w:rsid w:val="002A3480"/>
    <w:rsid w:val="002A3525"/>
    <w:rsid w:val="002A361D"/>
    <w:rsid w:val="002A3705"/>
    <w:rsid w:val="002A3736"/>
    <w:rsid w:val="002A3755"/>
    <w:rsid w:val="002A37B4"/>
    <w:rsid w:val="002A38D2"/>
    <w:rsid w:val="002A3A57"/>
    <w:rsid w:val="002A3A93"/>
    <w:rsid w:val="002A3C5E"/>
    <w:rsid w:val="002A3E4E"/>
    <w:rsid w:val="002A3E87"/>
    <w:rsid w:val="002A3ECF"/>
    <w:rsid w:val="002A3F86"/>
    <w:rsid w:val="002A3FA2"/>
    <w:rsid w:val="002A3FA9"/>
    <w:rsid w:val="002A4014"/>
    <w:rsid w:val="002A4085"/>
    <w:rsid w:val="002A4143"/>
    <w:rsid w:val="002A420C"/>
    <w:rsid w:val="002A42AE"/>
    <w:rsid w:val="002A4313"/>
    <w:rsid w:val="002A433A"/>
    <w:rsid w:val="002A4425"/>
    <w:rsid w:val="002A44BE"/>
    <w:rsid w:val="002A44EE"/>
    <w:rsid w:val="002A4510"/>
    <w:rsid w:val="002A4624"/>
    <w:rsid w:val="002A4689"/>
    <w:rsid w:val="002A47C9"/>
    <w:rsid w:val="002A47FA"/>
    <w:rsid w:val="002A48A3"/>
    <w:rsid w:val="002A48D7"/>
    <w:rsid w:val="002A493B"/>
    <w:rsid w:val="002A4A7D"/>
    <w:rsid w:val="002A4AE3"/>
    <w:rsid w:val="002A4AF6"/>
    <w:rsid w:val="002A4B17"/>
    <w:rsid w:val="002A4B8D"/>
    <w:rsid w:val="002A4B95"/>
    <w:rsid w:val="002A4E56"/>
    <w:rsid w:val="002A4ED9"/>
    <w:rsid w:val="002A4FC5"/>
    <w:rsid w:val="002A5012"/>
    <w:rsid w:val="002A50BA"/>
    <w:rsid w:val="002A5149"/>
    <w:rsid w:val="002A51C0"/>
    <w:rsid w:val="002A51C1"/>
    <w:rsid w:val="002A5203"/>
    <w:rsid w:val="002A523C"/>
    <w:rsid w:val="002A5279"/>
    <w:rsid w:val="002A52EA"/>
    <w:rsid w:val="002A5381"/>
    <w:rsid w:val="002A5406"/>
    <w:rsid w:val="002A5421"/>
    <w:rsid w:val="002A5429"/>
    <w:rsid w:val="002A543D"/>
    <w:rsid w:val="002A5444"/>
    <w:rsid w:val="002A54DB"/>
    <w:rsid w:val="002A5634"/>
    <w:rsid w:val="002A5858"/>
    <w:rsid w:val="002A58B0"/>
    <w:rsid w:val="002A58F0"/>
    <w:rsid w:val="002A596F"/>
    <w:rsid w:val="002A59F0"/>
    <w:rsid w:val="002A5A1C"/>
    <w:rsid w:val="002A5A3A"/>
    <w:rsid w:val="002A5A68"/>
    <w:rsid w:val="002A5C9B"/>
    <w:rsid w:val="002A5CC1"/>
    <w:rsid w:val="002A5CDC"/>
    <w:rsid w:val="002A5CF7"/>
    <w:rsid w:val="002A5D4A"/>
    <w:rsid w:val="002A5DE0"/>
    <w:rsid w:val="002A5DEC"/>
    <w:rsid w:val="002A5E41"/>
    <w:rsid w:val="002A5EEA"/>
    <w:rsid w:val="002A5F2D"/>
    <w:rsid w:val="002A600E"/>
    <w:rsid w:val="002A6035"/>
    <w:rsid w:val="002A611E"/>
    <w:rsid w:val="002A613B"/>
    <w:rsid w:val="002A6141"/>
    <w:rsid w:val="002A6190"/>
    <w:rsid w:val="002A622B"/>
    <w:rsid w:val="002A62BC"/>
    <w:rsid w:val="002A631E"/>
    <w:rsid w:val="002A6357"/>
    <w:rsid w:val="002A636E"/>
    <w:rsid w:val="002A6385"/>
    <w:rsid w:val="002A63A9"/>
    <w:rsid w:val="002A63C2"/>
    <w:rsid w:val="002A642D"/>
    <w:rsid w:val="002A653A"/>
    <w:rsid w:val="002A65FA"/>
    <w:rsid w:val="002A6628"/>
    <w:rsid w:val="002A6719"/>
    <w:rsid w:val="002A67A1"/>
    <w:rsid w:val="002A6888"/>
    <w:rsid w:val="002A6903"/>
    <w:rsid w:val="002A6928"/>
    <w:rsid w:val="002A6A54"/>
    <w:rsid w:val="002A6AA3"/>
    <w:rsid w:val="002A6B96"/>
    <w:rsid w:val="002A6C36"/>
    <w:rsid w:val="002A6CCE"/>
    <w:rsid w:val="002A6E6E"/>
    <w:rsid w:val="002A6E7B"/>
    <w:rsid w:val="002A6E7E"/>
    <w:rsid w:val="002A6E9B"/>
    <w:rsid w:val="002A6FA2"/>
    <w:rsid w:val="002A709E"/>
    <w:rsid w:val="002A70AC"/>
    <w:rsid w:val="002A7104"/>
    <w:rsid w:val="002A711A"/>
    <w:rsid w:val="002A7142"/>
    <w:rsid w:val="002A7159"/>
    <w:rsid w:val="002A72B3"/>
    <w:rsid w:val="002A72FB"/>
    <w:rsid w:val="002A738B"/>
    <w:rsid w:val="002A73A3"/>
    <w:rsid w:val="002A73AC"/>
    <w:rsid w:val="002A73C0"/>
    <w:rsid w:val="002A7431"/>
    <w:rsid w:val="002A755E"/>
    <w:rsid w:val="002A7629"/>
    <w:rsid w:val="002A7630"/>
    <w:rsid w:val="002A7662"/>
    <w:rsid w:val="002A7701"/>
    <w:rsid w:val="002A7705"/>
    <w:rsid w:val="002A7718"/>
    <w:rsid w:val="002A7785"/>
    <w:rsid w:val="002A77B0"/>
    <w:rsid w:val="002A7834"/>
    <w:rsid w:val="002A7926"/>
    <w:rsid w:val="002A7A9C"/>
    <w:rsid w:val="002A7B8A"/>
    <w:rsid w:val="002A7BD4"/>
    <w:rsid w:val="002A7CE8"/>
    <w:rsid w:val="002A7D17"/>
    <w:rsid w:val="002A7D56"/>
    <w:rsid w:val="002A7E05"/>
    <w:rsid w:val="002A7F5A"/>
    <w:rsid w:val="002A7FCF"/>
    <w:rsid w:val="002A7FD4"/>
    <w:rsid w:val="002B0000"/>
    <w:rsid w:val="002B0015"/>
    <w:rsid w:val="002B006C"/>
    <w:rsid w:val="002B008E"/>
    <w:rsid w:val="002B00C2"/>
    <w:rsid w:val="002B00F6"/>
    <w:rsid w:val="002B01DB"/>
    <w:rsid w:val="002B0289"/>
    <w:rsid w:val="002B0394"/>
    <w:rsid w:val="002B042D"/>
    <w:rsid w:val="002B045F"/>
    <w:rsid w:val="002B04E5"/>
    <w:rsid w:val="002B0578"/>
    <w:rsid w:val="002B05BA"/>
    <w:rsid w:val="002B065E"/>
    <w:rsid w:val="002B066A"/>
    <w:rsid w:val="002B0689"/>
    <w:rsid w:val="002B077B"/>
    <w:rsid w:val="002B07B8"/>
    <w:rsid w:val="002B07D4"/>
    <w:rsid w:val="002B0835"/>
    <w:rsid w:val="002B08ED"/>
    <w:rsid w:val="002B0915"/>
    <w:rsid w:val="002B099C"/>
    <w:rsid w:val="002B09FE"/>
    <w:rsid w:val="002B0AFF"/>
    <w:rsid w:val="002B0B08"/>
    <w:rsid w:val="002B0B47"/>
    <w:rsid w:val="002B0B49"/>
    <w:rsid w:val="002B0CA7"/>
    <w:rsid w:val="002B0D1B"/>
    <w:rsid w:val="002B0E37"/>
    <w:rsid w:val="002B0E7F"/>
    <w:rsid w:val="002B0EAA"/>
    <w:rsid w:val="002B0F22"/>
    <w:rsid w:val="002B0FE0"/>
    <w:rsid w:val="002B0FE4"/>
    <w:rsid w:val="002B0FEE"/>
    <w:rsid w:val="002B1084"/>
    <w:rsid w:val="002B110C"/>
    <w:rsid w:val="002B1113"/>
    <w:rsid w:val="002B12AA"/>
    <w:rsid w:val="002B14C4"/>
    <w:rsid w:val="002B1531"/>
    <w:rsid w:val="002B1571"/>
    <w:rsid w:val="002B158F"/>
    <w:rsid w:val="002B1590"/>
    <w:rsid w:val="002B15B8"/>
    <w:rsid w:val="002B167A"/>
    <w:rsid w:val="002B16DE"/>
    <w:rsid w:val="002B171E"/>
    <w:rsid w:val="002B17AF"/>
    <w:rsid w:val="002B17B3"/>
    <w:rsid w:val="002B17D2"/>
    <w:rsid w:val="002B189C"/>
    <w:rsid w:val="002B1904"/>
    <w:rsid w:val="002B1971"/>
    <w:rsid w:val="002B1A82"/>
    <w:rsid w:val="002B1B1D"/>
    <w:rsid w:val="002B1BA7"/>
    <w:rsid w:val="002B1C34"/>
    <w:rsid w:val="002B1C4E"/>
    <w:rsid w:val="002B1C6C"/>
    <w:rsid w:val="002B1D69"/>
    <w:rsid w:val="002B1DB6"/>
    <w:rsid w:val="002B1EE1"/>
    <w:rsid w:val="002B1F51"/>
    <w:rsid w:val="002B1FAF"/>
    <w:rsid w:val="002B2031"/>
    <w:rsid w:val="002B20B8"/>
    <w:rsid w:val="002B2119"/>
    <w:rsid w:val="002B219A"/>
    <w:rsid w:val="002B2214"/>
    <w:rsid w:val="002B22B8"/>
    <w:rsid w:val="002B23D9"/>
    <w:rsid w:val="002B23DB"/>
    <w:rsid w:val="002B244A"/>
    <w:rsid w:val="002B2467"/>
    <w:rsid w:val="002B2511"/>
    <w:rsid w:val="002B2530"/>
    <w:rsid w:val="002B25C0"/>
    <w:rsid w:val="002B25F7"/>
    <w:rsid w:val="002B262D"/>
    <w:rsid w:val="002B2643"/>
    <w:rsid w:val="002B277E"/>
    <w:rsid w:val="002B28BE"/>
    <w:rsid w:val="002B2985"/>
    <w:rsid w:val="002B2A94"/>
    <w:rsid w:val="002B2AFF"/>
    <w:rsid w:val="002B2BEB"/>
    <w:rsid w:val="002B2E11"/>
    <w:rsid w:val="002B2E2A"/>
    <w:rsid w:val="002B2E9D"/>
    <w:rsid w:val="002B2EB0"/>
    <w:rsid w:val="002B2ED6"/>
    <w:rsid w:val="002B2F49"/>
    <w:rsid w:val="002B31B5"/>
    <w:rsid w:val="002B31E0"/>
    <w:rsid w:val="002B33BC"/>
    <w:rsid w:val="002B349C"/>
    <w:rsid w:val="002B36D2"/>
    <w:rsid w:val="002B38FA"/>
    <w:rsid w:val="002B3A0E"/>
    <w:rsid w:val="002B3AB1"/>
    <w:rsid w:val="002B3AF7"/>
    <w:rsid w:val="002B3B0B"/>
    <w:rsid w:val="002B3C16"/>
    <w:rsid w:val="002B3C1F"/>
    <w:rsid w:val="002B3C24"/>
    <w:rsid w:val="002B3C97"/>
    <w:rsid w:val="002B3DA8"/>
    <w:rsid w:val="002B3DBE"/>
    <w:rsid w:val="002B3F80"/>
    <w:rsid w:val="002B4025"/>
    <w:rsid w:val="002B4049"/>
    <w:rsid w:val="002B4084"/>
    <w:rsid w:val="002B40BF"/>
    <w:rsid w:val="002B4196"/>
    <w:rsid w:val="002B41A4"/>
    <w:rsid w:val="002B41D3"/>
    <w:rsid w:val="002B4420"/>
    <w:rsid w:val="002B4435"/>
    <w:rsid w:val="002B44F7"/>
    <w:rsid w:val="002B4564"/>
    <w:rsid w:val="002B45AD"/>
    <w:rsid w:val="002B462A"/>
    <w:rsid w:val="002B4640"/>
    <w:rsid w:val="002B4671"/>
    <w:rsid w:val="002B46B8"/>
    <w:rsid w:val="002B46FB"/>
    <w:rsid w:val="002B4777"/>
    <w:rsid w:val="002B4805"/>
    <w:rsid w:val="002B485D"/>
    <w:rsid w:val="002B485F"/>
    <w:rsid w:val="002B48BF"/>
    <w:rsid w:val="002B48CD"/>
    <w:rsid w:val="002B499A"/>
    <w:rsid w:val="002B4A14"/>
    <w:rsid w:val="002B4A57"/>
    <w:rsid w:val="002B4B3E"/>
    <w:rsid w:val="002B4C1E"/>
    <w:rsid w:val="002B4C2C"/>
    <w:rsid w:val="002B4C88"/>
    <w:rsid w:val="002B4CBF"/>
    <w:rsid w:val="002B4E00"/>
    <w:rsid w:val="002B4E6B"/>
    <w:rsid w:val="002B4EBD"/>
    <w:rsid w:val="002B4EFA"/>
    <w:rsid w:val="002B4EFE"/>
    <w:rsid w:val="002B4F08"/>
    <w:rsid w:val="002B4F98"/>
    <w:rsid w:val="002B5014"/>
    <w:rsid w:val="002B5113"/>
    <w:rsid w:val="002B5140"/>
    <w:rsid w:val="002B5197"/>
    <w:rsid w:val="002B51C3"/>
    <w:rsid w:val="002B524C"/>
    <w:rsid w:val="002B52A4"/>
    <w:rsid w:val="002B52E5"/>
    <w:rsid w:val="002B5341"/>
    <w:rsid w:val="002B5396"/>
    <w:rsid w:val="002B53B7"/>
    <w:rsid w:val="002B54A0"/>
    <w:rsid w:val="002B54CA"/>
    <w:rsid w:val="002B54DE"/>
    <w:rsid w:val="002B567D"/>
    <w:rsid w:val="002B568F"/>
    <w:rsid w:val="002B574D"/>
    <w:rsid w:val="002B57C1"/>
    <w:rsid w:val="002B587F"/>
    <w:rsid w:val="002B59B2"/>
    <w:rsid w:val="002B5B48"/>
    <w:rsid w:val="002B5BB8"/>
    <w:rsid w:val="002B5BD7"/>
    <w:rsid w:val="002B5C2D"/>
    <w:rsid w:val="002B5CC7"/>
    <w:rsid w:val="002B5CE2"/>
    <w:rsid w:val="002B5CEC"/>
    <w:rsid w:val="002B5CF2"/>
    <w:rsid w:val="002B5D30"/>
    <w:rsid w:val="002B5D4B"/>
    <w:rsid w:val="002B5D79"/>
    <w:rsid w:val="002B5DD2"/>
    <w:rsid w:val="002B5E1E"/>
    <w:rsid w:val="002B5E45"/>
    <w:rsid w:val="002B6012"/>
    <w:rsid w:val="002B60B9"/>
    <w:rsid w:val="002B60F7"/>
    <w:rsid w:val="002B610F"/>
    <w:rsid w:val="002B6141"/>
    <w:rsid w:val="002B616A"/>
    <w:rsid w:val="002B6279"/>
    <w:rsid w:val="002B62AE"/>
    <w:rsid w:val="002B631E"/>
    <w:rsid w:val="002B6367"/>
    <w:rsid w:val="002B641F"/>
    <w:rsid w:val="002B6458"/>
    <w:rsid w:val="002B64B9"/>
    <w:rsid w:val="002B64F7"/>
    <w:rsid w:val="002B6543"/>
    <w:rsid w:val="002B6623"/>
    <w:rsid w:val="002B6758"/>
    <w:rsid w:val="002B67A1"/>
    <w:rsid w:val="002B67B9"/>
    <w:rsid w:val="002B68C1"/>
    <w:rsid w:val="002B6908"/>
    <w:rsid w:val="002B6988"/>
    <w:rsid w:val="002B6A3C"/>
    <w:rsid w:val="002B6AC3"/>
    <w:rsid w:val="002B6AC8"/>
    <w:rsid w:val="002B6B77"/>
    <w:rsid w:val="002B6BD0"/>
    <w:rsid w:val="002B6C6B"/>
    <w:rsid w:val="002B6CA3"/>
    <w:rsid w:val="002B6CF0"/>
    <w:rsid w:val="002B6E25"/>
    <w:rsid w:val="002B6E44"/>
    <w:rsid w:val="002B6E58"/>
    <w:rsid w:val="002B6E9C"/>
    <w:rsid w:val="002B6F0E"/>
    <w:rsid w:val="002B6F38"/>
    <w:rsid w:val="002B7102"/>
    <w:rsid w:val="002B7114"/>
    <w:rsid w:val="002B7144"/>
    <w:rsid w:val="002B7217"/>
    <w:rsid w:val="002B7276"/>
    <w:rsid w:val="002B7280"/>
    <w:rsid w:val="002B7288"/>
    <w:rsid w:val="002B728B"/>
    <w:rsid w:val="002B72A6"/>
    <w:rsid w:val="002B72CD"/>
    <w:rsid w:val="002B746B"/>
    <w:rsid w:val="002B7510"/>
    <w:rsid w:val="002B7580"/>
    <w:rsid w:val="002B75B0"/>
    <w:rsid w:val="002B7620"/>
    <w:rsid w:val="002B769C"/>
    <w:rsid w:val="002B7867"/>
    <w:rsid w:val="002B78DB"/>
    <w:rsid w:val="002B7914"/>
    <w:rsid w:val="002B7925"/>
    <w:rsid w:val="002B7A26"/>
    <w:rsid w:val="002B7A71"/>
    <w:rsid w:val="002B7AD7"/>
    <w:rsid w:val="002B7B01"/>
    <w:rsid w:val="002B7BB7"/>
    <w:rsid w:val="002B7BF5"/>
    <w:rsid w:val="002B7C9E"/>
    <w:rsid w:val="002B7D10"/>
    <w:rsid w:val="002B7D17"/>
    <w:rsid w:val="002B7D1A"/>
    <w:rsid w:val="002B7E26"/>
    <w:rsid w:val="002B7F3D"/>
    <w:rsid w:val="002B7FBA"/>
    <w:rsid w:val="002B7FD0"/>
    <w:rsid w:val="002C0010"/>
    <w:rsid w:val="002C0058"/>
    <w:rsid w:val="002C0238"/>
    <w:rsid w:val="002C0317"/>
    <w:rsid w:val="002C0334"/>
    <w:rsid w:val="002C0376"/>
    <w:rsid w:val="002C0388"/>
    <w:rsid w:val="002C039B"/>
    <w:rsid w:val="002C0406"/>
    <w:rsid w:val="002C04F9"/>
    <w:rsid w:val="002C0511"/>
    <w:rsid w:val="002C0560"/>
    <w:rsid w:val="002C0561"/>
    <w:rsid w:val="002C05BD"/>
    <w:rsid w:val="002C06E2"/>
    <w:rsid w:val="002C074D"/>
    <w:rsid w:val="002C07B9"/>
    <w:rsid w:val="002C08BB"/>
    <w:rsid w:val="002C08D9"/>
    <w:rsid w:val="002C0955"/>
    <w:rsid w:val="002C0A51"/>
    <w:rsid w:val="002C0A84"/>
    <w:rsid w:val="002C0A85"/>
    <w:rsid w:val="002C0CE9"/>
    <w:rsid w:val="002C0DAF"/>
    <w:rsid w:val="002C0F12"/>
    <w:rsid w:val="002C0F80"/>
    <w:rsid w:val="002C108B"/>
    <w:rsid w:val="002C125D"/>
    <w:rsid w:val="002C127F"/>
    <w:rsid w:val="002C12D6"/>
    <w:rsid w:val="002C145F"/>
    <w:rsid w:val="002C14AF"/>
    <w:rsid w:val="002C14F3"/>
    <w:rsid w:val="002C1697"/>
    <w:rsid w:val="002C1698"/>
    <w:rsid w:val="002C1804"/>
    <w:rsid w:val="002C18CF"/>
    <w:rsid w:val="002C1A58"/>
    <w:rsid w:val="002C1A8B"/>
    <w:rsid w:val="002C1ABF"/>
    <w:rsid w:val="002C1AE8"/>
    <w:rsid w:val="002C1AF3"/>
    <w:rsid w:val="002C1B86"/>
    <w:rsid w:val="002C1C2F"/>
    <w:rsid w:val="002C1C9B"/>
    <w:rsid w:val="002C1D94"/>
    <w:rsid w:val="002C1EBA"/>
    <w:rsid w:val="002C1FD7"/>
    <w:rsid w:val="002C2095"/>
    <w:rsid w:val="002C2156"/>
    <w:rsid w:val="002C2260"/>
    <w:rsid w:val="002C2292"/>
    <w:rsid w:val="002C2365"/>
    <w:rsid w:val="002C23A6"/>
    <w:rsid w:val="002C23B6"/>
    <w:rsid w:val="002C2400"/>
    <w:rsid w:val="002C2465"/>
    <w:rsid w:val="002C252B"/>
    <w:rsid w:val="002C2623"/>
    <w:rsid w:val="002C269B"/>
    <w:rsid w:val="002C27A2"/>
    <w:rsid w:val="002C27C4"/>
    <w:rsid w:val="002C27DC"/>
    <w:rsid w:val="002C2925"/>
    <w:rsid w:val="002C2A4C"/>
    <w:rsid w:val="002C2A74"/>
    <w:rsid w:val="002C2B22"/>
    <w:rsid w:val="002C2B84"/>
    <w:rsid w:val="002C2BDF"/>
    <w:rsid w:val="002C2BF6"/>
    <w:rsid w:val="002C2C17"/>
    <w:rsid w:val="002C2C2D"/>
    <w:rsid w:val="002C2C52"/>
    <w:rsid w:val="002C2C78"/>
    <w:rsid w:val="002C2D2F"/>
    <w:rsid w:val="002C2D3A"/>
    <w:rsid w:val="002C2DAD"/>
    <w:rsid w:val="002C2DF8"/>
    <w:rsid w:val="002C2F55"/>
    <w:rsid w:val="002C2F91"/>
    <w:rsid w:val="002C303C"/>
    <w:rsid w:val="002C309B"/>
    <w:rsid w:val="002C30CC"/>
    <w:rsid w:val="002C3149"/>
    <w:rsid w:val="002C3268"/>
    <w:rsid w:val="002C32E1"/>
    <w:rsid w:val="002C33B4"/>
    <w:rsid w:val="002C33EF"/>
    <w:rsid w:val="002C35A8"/>
    <w:rsid w:val="002C3690"/>
    <w:rsid w:val="002C3723"/>
    <w:rsid w:val="002C37B0"/>
    <w:rsid w:val="002C3807"/>
    <w:rsid w:val="002C3856"/>
    <w:rsid w:val="002C3913"/>
    <w:rsid w:val="002C392A"/>
    <w:rsid w:val="002C39C9"/>
    <w:rsid w:val="002C3A41"/>
    <w:rsid w:val="002C3A80"/>
    <w:rsid w:val="002C3CF2"/>
    <w:rsid w:val="002C3CF9"/>
    <w:rsid w:val="002C3DC5"/>
    <w:rsid w:val="002C3EEC"/>
    <w:rsid w:val="002C3F37"/>
    <w:rsid w:val="002C3FC1"/>
    <w:rsid w:val="002C4088"/>
    <w:rsid w:val="002C4164"/>
    <w:rsid w:val="002C41DF"/>
    <w:rsid w:val="002C4278"/>
    <w:rsid w:val="002C42E8"/>
    <w:rsid w:val="002C4311"/>
    <w:rsid w:val="002C4344"/>
    <w:rsid w:val="002C44BA"/>
    <w:rsid w:val="002C44BF"/>
    <w:rsid w:val="002C44C9"/>
    <w:rsid w:val="002C4519"/>
    <w:rsid w:val="002C4555"/>
    <w:rsid w:val="002C460B"/>
    <w:rsid w:val="002C4700"/>
    <w:rsid w:val="002C4794"/>
    <w:rsid w:val="002C4826"/>
    <w:rsid w:val="002C4873"/>
    <w:rsid w:val="002C48A8"/>
    <w:rsid w:val="002C4903"/>
    <w:rsid w:val="002C4971"/>
    <w:rsid w:val="002C4A02"/>
    <w:rsid w:val="002C4A96"/>
    <w:rsid w:val="002C4AAA"/>
    <w:rsid w:val="002C4ACB"/>
    <w:rsid w:val="002C4ACC"/>
    <w:rsid w:val="002C4AD7"/>
    <w:rsid w:val="002C4B3E"/>
    <w:rsid w:val="002C4BAC"/>
    <w:rsid w:val="002C4C70"/>
    <w:rsid w:val="002C4CEF"/>
    <w:rsid w:val="002C4F34"/>
    <w:rsid w:val="002C4FC8"/>
    <w:rsid w:val="002C5125"/>
    <w:rsid w:val="002C51EC"/>
    <w:rsid w:val="002C520D"/>
    <w:rsid w:val="002C5296"/>
    <w:rsid w:val="002C533E"/>
    <w:rsid w:val="002C5361"/>
    <w:rsid w:val="002C5367"/>
    <w:rsid w:val="002C53B7"/>
    <w:rsid w:val="002C53D8"/>
    <w:rsid w:val="002C54DC"/>
    <w:rsid w:val="002C54E4"/>
    <w:rsid w:val="002C5585"/>
    <w:rsid w:val="002C55E3"/>
    <w:rsid w:val="002C57B7"/>
    <w:rsid w:val="002C5829"/>
    <w:rsid w:val="002C5874"/>
    <w:rsid w:val="002C58CE"/>
    <w:rsid w:val="002C58E4"/>
    <w:rsid w:val="002C5957"/>
    <w:rsid w:val="002C59B6"/>
    <w:rsid w:val="002C5A09"/>
    <w:rsid w:val="002C5A18"/>
    <w:rsid w:val="002C5A4B"/>
    <w:rsid w:val="002C5A55"/>
    <w:rsid w:val="002C5AC7"/>
    <w:rsid w:val="002C5DD0"/>
    <w:rsid w:val="002C5DD3"/>
    <w:rsid w:val="002C5E75"/>
    <w:rsid w:val="002C5ECC"/>
    <w:rsid w:val="002C607F"/>
    <w:rsid w:val="002C610D"/>
    <w:rsid w:val="002C6133"/>
    <w:rsid w:val="002C6149"/>
    <w:rsid w:val="002C61BF"/>
    <w:rsid w:val="002C6259"/>
    <w:rsid w:val="002C6341"/>
    <w:rsid w:val="002C637F"/>
    <w:rsid w:val="002C6384"/>
    <w:rsid w:val="002C64FC"/>
    <w:rsid w:val="002C64FF"/>
    <w:rsid w:val="002C6529"/>
    <w:rsid w:val="002C656A"/>
    <w:rsid w:val="002C658E"/>
    <w:rsid w:val="002C65AA"/>
    <w:rsid w:val="002C65B3"/>
    <w:rsid w:val="002C6691"/>
    <w:rsid w:val="002C66B2"/>
    <w:rsid w:val="002C6795"/>
    <w:rsid w:val="002C68D5"/>
    <w:rsid w:val="002C699A"/>
    <w:rsid w:val="002C6AD3"/>
    <w:rsid w:val="002C6B2E"/>
    <w:rsid w:val="002C6B57"/>
    <w:rsid w:val="002C6BFC"/>
    <w:rsid w:val="002C6C49"/>
    <w:rsid w:val="002C6C51"/>
    <w:rsid w:val="002C6CA7"/>
    <w:rsid w:val="002C6DB0"/>
    <w:rsid w:val="002C6DE1"/>
    <w:rsid w:val="002C6EC0"/>
    <w:rsid w:val="002C6F2D"/>
    <w:rsid w:val="002C6F6D"/>
    <w:rsid w:val="002C6FDE"/>
    <w:rsid w:val="002C6FF6"/>
    <w:rsid w:val="002C70A7"/>
    <w:rsid w:val="002C70B4"/>
    <w:rsid w:val="002C7209"/>
    <w:rsid w:val="002C72D2"/>
    <w:rsid w:val="002C72F9"/>
    <w:rsid w:val="002C73CD"/>
    <w:rsid w:val="002C74DD"/>
    <w:rsid w:val="002C754D"/>
    <w:rsid w:val="002C75EB"/>
    <w:rsid w:val="002C7636"/>
    <w:rsid w:val="002C7647"/>
    <w:rsid w:val="002C76EB"/>
    <w:rsid w:val="002C7802"/>
    <w:rsid w:val="002C7847"/>
    <w:rsid w:val="002C7860"/>
    <w:rsid w:val="002C78C0"/>
    <w:rsid w:val="002C7971"/>
    <w:rsid w:val="002C79EB"/>
    <w:rsid w:val="002C7A0F"/>
    <w:rsid w:val="002C7B03"/>
    <w:rsid w:val="002C7B60"/>
    <w:rsid w:val="002C7B7D"/>
    <w:rsid w:val="002C7BDC"/>
    <w:rsid w:val="002C7BE6"/>
    <w:rsid w:val="002C7BF4"/>
    <w:rsid w:val="002C7C6D"/>
    <w:rsid w:val="002C7C78"/>
    <w:rsid w:val="002C7CC5"/>
    <w:rsid w:val="002C7D90"/>
    <w:rsid w:val="002C7D9F"/>
    <w:rsid w:val="002C7DAA"/>
    <w:rsid w:val="002C7EB8"/>
    <w:rsid w:val="002C7F5B"/>
    <w:rsid w:val="002D008C"/>
    <w:rsid w:val="002D0090"/>
    <w:rsid w:val="002D00A0"/>
    <w:rsid w:val="002D0177"/>
    <w:rsid w:val="002D0315"/>
    <w:rsid w:val="002D034A"/>
    <w:rsid w:val="002D0413"/>
    <w:rsid w:val="002D04E7"/>
    <w:rsid w:val="002D0628"/>
    <w:rsid w:val="002D0664"/>
    <w:rsid w:val="002D06CA"/>
    <w:rsid w:val="002D0727"/>
    <w:rsid w:val="002D088D"/>
    <w:rsid w:val="002D08B1"/>
    <w:rsid w:val="002D0918"/>
    <w:rsid w:val="002D09D4"/>
    <w:rsid w:val="002D0A4B"/>
    <w:rsid w:val="002D0A5E"/>
    <w:rsid w:val="002D0B4B"/>
    <w:rsid w:val="002D0CA9"/>
    <w:rsid w:val="002D0CBD"/>
    <w:rsid w:val="002D0E8F"/>
    <w:rsid w:val="002D1016"/>
    <w:rsid w:val="002D112F"/>
    <w:rsid w:val="002D11D1"/>
    <w:rsid w:val="002D11E1"/>
    <w:rsid w:val="002D11F9"/>
    <w:rsid w:val="002D1215"/>
    <w:rsid w:val="002D1278"/>
    <w:rsid w:val="002D132B"/>
    <w:rsid w:val="002D136D"/>
    <w:rsid w:val="002D1433"/>
    <w:rsid w:val="002D1480"/>
    <w:rsid w:val="002D148B"/>
    <w:rsid w:val="002D1573"/>
    <w:rsid w:val="002D1613"/>
    <w:rsid w:val="002D1714"/>
    <w:rsid w:val="002D1766"/>
    <w:rsid w:val="002D1906"/>
    <w:rsid w:val="002D1A9C"/>
    <w:rsid w:val="002D1A9F"/>
    <w:rsid w:val="002D1ABF"/>
    <w:rsid w:val="002D1AE6"/>
    <w:rsid w:val="002D1B8D"/>
    <w:rsid w:val="002D1BC8"/>
    <w:rsid w:val="002D1C57"/>
    <w:rsid w:val="002D1C5C"/>
    <w:rsid w:val="002D1C66"/>
    <w:rsid w:val="002D1C90"/>
    <w:rsid w:val="002D1D28"/>
    <w:rsid w:val="002D1E24"/>
    <w:rsid w:val="002D1E69"/>
    <w:rsid w:val="002D1F17"/>
    <w:rsid w:val="002D1F7A"/>
    <w:rsid w:val="002D1F8C"/>
    <w:rsid w:val="002D20F2"/>
    <w:rsid w:val="002D2215"/>
    <w:rsid w:val="002D222A"/>
    <w:rsid w:val="002D225C"/>
    <w:rsid w:val="002D2399"/>
    <w:rsid w:val="002D23A4"/>
    <w:rsid w:val="002D23F9"/>
    <w:rsid w:val="002D249B"/>
    <w:rsid w:val="002D258D"/>
    <w:rsid w:val="002D267B"/>
    <w:rsid w:val="002D26F4"/>
    <w:rsid w:val="002D27A9"/>
    <w:rsid w:val="002D293F"/>
    <w:rsid w:val="002D295B"/>
    <w:rsid w:val="002D2A39"/>
    <w:rsid w:val="002D2B84"/>
    <w:rsid w:val="002D2CC2"/>
    <w:rsid w:val="002D2CDB"/>
    <w:rsid w:val="002D2D50"/>
    <w:rsid w:val="002D2DA7"/>
    <w:rsid w:val="002D2DF9"/>
    <w:rsid w:val="002D2E96"/>
    <w:rsid w:val="002D2F6B"/>
    <w:rsid w:val="002D306F"/>
    <w:rsid w:val="002D3238"/>
    <w:rsid w:val="002D3276"/>
    <w:rsid w:val="002D3374"/>
    <w:rsid w:val="002D3418"/>
    <w:rsid w:val="002D3456"/>
    <w:rsid w:val="002D351C"/>
    <w:rsid w:val="002D357D"/>
    <w:rsid w:val="002D3619"/>
    <w:rsid w:val="002D363A"/>
    <w:rsid w:val="002D367B"/>
    <w:rsid w:val="002D36AC"/>
    <w:rsid w:val="002D3902"/>
    <w:rsid w:val="002D3933"/>
    <w:rsid w:val="002D3973"/>
    <w:rsid w:val="002D399A"/>
    <w:rsid w:val="002D3B1E"/>
    <w:rsid w:val="002D3BC0"/>
    <w:rsid w:val="002D3BE4"/>
    <w:rsid w:val="002D3C30"/>
    <w:rsid w:val="002D3C3E"/>
    <w:rsid w:val="002D3CF5"/>
    <w:rsid w:val="002D3D34"/>
    <w:rsid w:val="002D3D94"/>
    <w:rsid w:val="002D3F5B"/>
    <w:rsid w:val="002D3F8B"/>
    <w:rsid w:val="002D4019"/>
    <w:rsid w:val="002D4075"/>
    <w:rsid w:val="002D40E7"/>
    <w:rsid w:val="002D4105"/>
    <w:rsid w:val="002D4123"/>
    <w:rsid w:val="002D41D9"/>
    <w:rsid w:val="002D422B"/>
    <w:rsid w:val="002D423F"/>
    <w:rsid w:val="002D4302"/>
    <w:rsid w:val="002D4355"/>
    <w:rsid w:val="002D4462"/>
    <w:rsid w:val="002D44A0"/>
    <w:rsid w:val="002D44D9"/>
    <w:rsid w:val="002D456A"/>
    <w:rsid w:val="002D458C"/>
    <w:rsid w:val="002D459E"/>
    <w:rsid w:val="002D45C0"/>
    <w:rsid w:val="002D47AC"/>
    <w:rsid w:val="002D47C8"/>
    <w:rsid w:val="002D47E0"/>
    <w:rsid w:val="002D47F8"/>
    <w:rsid w:val="002D4880"/>
    <w:rsid w:val="002D4934"/>
    <w:rsid w:val="002D4984"/>
    <w:rsid w:val="002D49DB"/>
    <w:rsid w:val="002D49FE"/>
    <w:rsid w:val="002D4AB3"/>
    <w:rsid w:val="002D4ABE"/>
    <w:rsid w:val="002D4AE7"/>
    <w:rsid w:val="002D4B30"/>
    <w:rsid w:val="002D4B93"/>
    <w:rsid w:val="002D4C44"/>
    <w:rsid w:val="002D4C58"/>
    <w:rsid w:val="002D4D62"/>
    <w:rsid w:val="002D4DF9"/>
    <w:rsid w:val="002D4EDF"/>
    <w:rsid w:val="002D4F05"/>
    <w:rsid w:val="002D4F67"/>
    <w:rsid w:val="002D5065"/>
    <w:rsid w:val="002D50AC"/>
    <w:rsid w:val="002D50E0"/>
    <w:rsid w:val="002D517B"/>
    <w:rsid w:val="002D526B"/>
    <w:rsid w:val="002D5293"/>
    <w:rsid w:val="002D531C"/>
    <w:rsid w:val="002D53C8"/>
    <w:rsid w:val="002D541F"/>
    <w:rsid w:val="002D5495"/>
    <w:rsid w:val="002D556E"/>
    <w:rsid w:val="002D55B7"/>
    <w:rsid w:val="002D5614"/>
    <w:rsid w:val="002D57AC"/>
    <w:rsid w:val="002D57C8"/>
    <w:rsid w:val="002D580D"/>
    <w:rsid w:val="002D5826"/>
    <w:rsid w:val="002D591F"/>
    <w:rsid w:val="002D5AA4"/>
    <w:rsid w:val="002D5B83"/>
    <w:rsid w:val="002D5BF0"/>
    <w:rsid w:val="002D5C19"/>
    <w:rsid w:val="002D5C39"/>
    <w:rsid w:val="002D5D7D"/>
    <w:rsid w:val="002D5E14"/>
    <w:rsid w:val="002D5E8D"/>
    <w:rsid w:val="002D5EEE"/>
    <w:rsid w:val="002D5F25"/>
    <w:rsid w:val="002D5F4F"/>
    <w:rsid w:val="002D5FDB"/>
    <w:rsid w:val="002D625F"/>
    <w:rsid w:val="002D6349"/>
    <w:rsid w:val="002D634F"/>
    <w:rsid w:val="002D6396"/>
    <w:rsid w:val="002D63B3"/>
    <w:rsid w:val="002D642F"/>
    <w:rsid w:val="002D64ED"/>
    <w:rsid w:val="002D6595"/>
    <w:rsid w:val="002D6602"/>
    <w:rsid w:val="002D6667"/>
    <w:rsid w:val="002D6758"/>
    <w:rsid w:val="002D67AF"/>
    <w:rsid w:val="002D67FE"/>
    <w:rsid w:val="002D685C"/>
    <w:rsid w:val="002D6871"/>
    <w:rsid w:val="002D691D"/>
    <w:rsid w:val="002D694A"/>
    <w:rsid w:val="002D696A"/>
    <w:rsid w:val="002D6996"/>
    <w:rsid w:val="002D6A2C"/>
    <w:rsid w:val="002D6A44"/>
    <w:rsid w:val="002D6A72"/>
    <w:rsid w:val="002D6B34"/>
    <w:rsid w:val="002D6B80"/>
    <w:rsid w:val="002D6B86"/>
    <w:rsid w:val="002D6BA8"/>
    <w:rsid w:val="002D6BD0"/>
    <w:rsid w:val="002D6D24"/>
    <w:rsid w:val="002D6E1E"/>
    <w:rsid w:val="002D6FF5"/>
    <w:rsid w:val="002D7006"/>
    <w:rsid w:val="002D70E4"/>
    <w:rsid w:val="002D71B0"/>
    <w:rsid w:val="002D72A4"/>
    <w:rsid w:val="002D733F"/>
    <w:rsid w:val="002D7375"/>
    <w:rsid w:val="002D73BC"/>
    <w:rsid w:val="002D73E2"/>
    <w:rsid w:val="002D747A"/>
    <w:rsid w:val="002D74A2"/>
    <w:rsid w:val="002D760C"/>
    <w:rsid w:val="002D7753"/>
    <w:rsid w:val="002D77B7"/>
    <w:rsid w:val="002D7901"/>
    <w:rsid w:val="002D7915"/>
    <w:rsid w:val="002D79AB"/>
    <w:rsid w:val="002D79B8"/>
    <w:rsid w:val="002D7A3D"/>
    <w:rsid w:val="002D7AC6"/>
    <w:rsid w:val="002D7AEB"/>
    <w:rsid w:val="002D7B19"/>
    <w:rsid w:val="002D7B9D"/>
    <w:rsid w:val="002D7BD4"/>
    <w:rsid w:val="002D7C2A"/>
    <w:rsid w:val="002D7C3A"/>
    <w:rsid w:val="002D7C77"/>
    <w:rsid w:val="002D7C92"/>
    <w:rsid w:val="002D7CA6"/>
    <w:rsid w:val="002D7D56"/>
    <w:rsid w:val="002D7D79"/>
    <w:rsid w:val="002D7D95"/>
    <w:rsid w:val="002D7DC9"/>
    <w:rsid w:val="002D7DD4"/>
    <w:rsid w:val="002D7E9F"/>
    <w:rsid w:val="002D7EA5"/>
    <w:rsid w:val="002E002F"/>
    <w:rsid w:val="002E01AB"/>
    <w:rsid w:val="002E01B2"/>
    <w:rsid w:val="002E0237"/>
    <w:rsid w:val="002E0277"/>
    <w:rsid w:val="002E02B1"/>
    <w:rsid w:val="002E0321"/>
    <w:rsid w:val="002E0330"/>
    <w:rsid w:val="002E03D1"/>
    <w:rsid w:val="002E04CE"/>
    <w:rsid w:val="002E054B"/>
    <w:rsid w:val="002E05A7"/>
    <w:rsid w:val="002E0758"/>
    <w:rsid w:val="002E07C6"/>
    <w:rsid w:val="002E0842"/>
    <w:rsid w:val="002E08A7"/>
    <w:rsid w:val="002E0958"/>
    <w:rsid w:val="002E09B9"/>
    <w:rsid w:val="002E0C5C"/>
    <w:rsid w:val="002E0CFB"/>
    <w:rsid w:val="002E0D2E"/>
    <w:rsid w:val="002E0D7F"/>
    <w:rsid w:val="002E0E06"/>
    <w:rsid w:val="002E0F25"/>
    <w:rsid w:val="002E0F72"/>
    <w:rsid w:val="002E0FF5"/>
    <w:rsid w:val="002E1085"/>
    <w:rsid w:val="002E10E7"/>
    <w:rsid w:val="002E1140"/>
    <w:rsid w:val="002E11AE"/>
    <w:rsid w:val="002E11C3"/>
    <w:rsid w:val="002E11C5"/>
    <w:rsid w:val="002E11E2"/>
    <w:rsid w:val="002E123C"/>
    <w:rsid w:val="002E136B"/>
    <w:rsid w:val="002E13EE"/>
    <w:rsid w:val="002E1495"/>
    <w:rsid w:val="002E14D2"/>
    <w:rsid w:val="002E14E7"/>
    <w:rsid w:val="002E15ED"/>
    <w:rsid w:val="002E1601"/>
    <w:rsid w:val="002E1640"/>
    <w:rsid w:val="002E1666"/>
    <w:rsid w:val="002E1728"/>
    <w:rsid w:val="002E1731"/>
    <w:rsid w:val="002E1794"/>
    <w:rsid w:val="002E1806"/>
    <w:rsid w:val="002E18AD"/>
    <w:rsid w:val="002E1A44"/>
    <w:rsid w:val="002E1AA5"/>
    <w:rsid w:val="002E1B6D"/>
    <w:rsid w:val="002E1BB1"/>
    <w:rsid w:val="002E1C00"/>
    <w:rsid w:val="002E1EB6"/>
    <w:rsid w:val="002E1ECE"/>
    <w:rsid w:val="002E1EEC"/>
    <w:rsid w:val="002E1F6D"/>
    <w:rsid w:val="002E205E"/>
    <w:rsid w:val="002E2112"/>
    <w:rsid w:val="002E21E5"/>
    <w:rsid w:val="002E22E1"/>
    <w:rsid w:val="002E2373"/>
    <w:rsid w:val="002E2384"/>
    <w:rsid w:val="002E244A"/>
    <w:rsid w:val="002E24BE"/>
    <w:rsid w:val="002E2598"/>
    <w:rsid w:val="002E265F"/>
    <w:rsid w:val="002E27AF"/>
    <w:rsid w:val="002E27BF"/>
    <w:rsid w:val="002E28C6"/>
    <w:rsid w:val="002E2952"/>
    <w:rsid w:val="002E2B1A"/>
    <w:rsid w:val="002E2B2F"/>
    <w:rsid w:val="002E2C89"/>
    <w:rsid w:val="002E2CCE"/>
    <w:rsid w:val="002E2D0A"/>
    <w:rsid w:val="002E2D5B"/>
    <w:rsid w:val="002E2DFE"/>
    <w:rsid w:val="002E2FB0"/>
    <w:rsid w:val="002E2FDE"/>
    <w:rsid w:val="002E3090"/>
    <w:rsid w:val="002E3158"/>
    <w:rsid w:val="002E31B3"/>
    <w:rsid w:val="002E31E1"/>
    <w:rsid w:val="002E3254"/>
    <w:rsid w:val="002E325E"/>
    <w:rsid w:val="002E327A"/>
    <w:rsid w:val="002E32E4"/>
    <w:rsid w:val="002E3320"/>
    <w:rsid w:val="002E3355"/>
    <w:rsid w:val="002E335C"/>
    <w:rsid w:val="002E3362"/>
    <w:rsid w:val="002E33F5"/>
    <w:rsid w:val="002E344A"/>
    <w:rsid w:val="002E3469"/>
    <w:rsid w:val="002E34B9"/>
    <w:rsid w:val="002E34F0"/>
    <w:rsid w:val="002E35B1"/>
    <w:rsid w:val="002E396D"/>
    <w:rsid w:val="002E3990"/>
    <w:rsid w:val="002E39BB"/>
    <w:rsid w:val="002E3A70"/>
    <w:rsid w:val="002E3AC2"/>
    <w:rsid w:val="002E3B2D"/>
    <w:rsid w:val="002E3B4E"/>
    <w:rsid w:val="002E3BC5"/>
    <w:rsid w:val="002E3C8F"/>
    <w:rsid w:val="002E3CF6"/>
    <w:rsid w:val="002E3EBC"/>
    <w:rsid w:val="002E3ECB"/>
    <w:rsid w:val="002E3F79"/>
    <w:rsid w:val="002E403E"/>
    <w:rsid w:val="002E405F"/>
    <w:rsid w:val="002E4068"/>
    <w:rsid w:val="002E4158"/>
    <w:rsid w:val="002E4510"/>
    <w:rsid w:val="002E45C6"/>
    <w:rsid w:val="002E45FA"/>
    <w:rsid w:val="002E470F"/>
    <w:rsid w:val="002E4750"/>
    <w:rsid w:val="002E4770"/>
    <w:rsid w:val="002E4783"/>
    <w:rsid w:val="002E47D7"/>
    <w:rsid w:val="002E480E"/>
    <w:rsid w:val="002E4823"/>
    <w:rsid w:val="002E484E"/>
    <w:rsid w:val="002E48AB"/>
    <w:rsid w:val="002E4948"/>
    <w:rsid w:val="002E49B3"/>
    <w:rsid w:val="002E49DE"/>
    <w:rsid w:val="002E49FB"/>
    <w:rsid w:val="002E49FC"/>
    <w:rsid w:val="002E4A83"/>
    <w:rsid w:val="002E4B69"/>
    <w:rsid w:val="002E4BAE"/>
    <w:rsid w:val="002E4D4C"/>
    <w:rsid w:val="002E4D9A"/>
    <w:rsid w:val="002E4E2A"/>
    <w:rsid w:val="002E4E85"/>
    <w:rsid w:val="002E4EDC"/>
    <w:rsid w:val="002E50C7"/>
    <w:rsid w:val="002E5141"/>
    <w:rsid w:val="002E518B"/>
    <w:rsid w:val="002E523F"/>
    <w:rsid w:val="002E530E"/>
    <w:rsid w:val="002E533B"/>
    <w:rsid w:val="002E538E"/>
    <w:rsid w:val="002E5406"/>
    <w:rsid w:val="002E5440"/>
    <w:rsid w:val="002E54BB"/>
    <w:rsid w:val="002E55E8"/>
    <w:rsid w:val="002E56CE"/>
    <w:rsid w:val="002E5707"/>
    <w:rsid w:val="002E5709"/>
    <w:rsid w:val="002E57D0"/>
    <w:rsid w:val="002E580F"/>
    <w:rsid w:val="002E5860"/>
    <w:rsid w:val="002E5871"/>
    <w:rsid w:val="002E5920"/>
    <w:rsid w:val="002E5A77"/>
    <w:rsid w:val="002E5A93"/>
    <w:rsid w:val="002E5A96"/>
    <w:rsid w:val="002E5AA3"/>
    <w:rsid w:val="002E5B9D"/>
    <w:rsid w:val="002E5C2B"/>
    <w:rsid w:val="002E5C4F"/>
    <w:rsid w:val="002E5CA3"/>
    <w:rsid w:val="002E5CD2"/>
    <w:rsid w:val="002E5D93"/>
    <w:rsid w:val="002E5DF5"/>
    <w:rsid w:val="002E5E51"/>
    <w:rsid w:val="002E5FBC"/>
    <w:rsid w:val="002E5FC0"/>
    <w:rsid w:val="002E5FE0"/>
    <w:rsid w:val="002E601E"/>
    <w:rsid w:val="002E6032"/>
    <w:rsid w:val="002E6139"/>
    <w:rsid w:val="002E61E3"/>
    <w:rsid w:val="002E62B9"/>
    <w:rsid w:val="002E62BD"/>
    <w:rsid w:val="002E6300"/>
    <w:rsid w:val="002E635D"/>
    <w:rsid w:val="002E6365"/>
    <w:rsid w:val="002E63B8"/>
    <w:rsid w:val="002E63C4"/>
    <w:rsid w:val="002E63D4"/>
    <w:rsid w:val="002E64BF"/>
    <w:rsid w:val="002E650B"/>
    <w:rsid w:val="002E6649"/>
    <w:rsid w:val="002E6688"/>
    <w:rsid w:val="002E66F8"/>
    <w:rsid w:val="002E6797"/>
    <w:rsid w:val="002E67E1"/>
    <w:rsid w:val="002E68B9"/>
    <w:rsid w:val="002E6989"/>
    <w:rsid w:val="002E6AE2"/>
    <w:rsid w:val="002E6AFE"/>
    <w:rsid w:val="002E6B92"/>
    <w:rsid w:val="002E6BD0"/>
    <w:rsid w:val="002E6C00"/>
    <w:rsid w:val="002E6D5B"/>
    <w:rsid w:val="002E6DA3"/>
    <w:rsid w:val="002E6E1C"/>
    <w:rsid w:val="002E6F3B"/>
    <w:rsid w:val="002E6F6E"/>
    <w:rsid w:val="002E6F7D"/>
    <w:rsid w:val="002E6FB6"/>
    <w:rsid w:val="002E6FC9"/>
    <w:rsid w:val="002E7026"/>
    <w:rsid w:val="002E7103"/>
    <w:rsid w:val="002E7167"/>
    <w:rsid w:val="002E71D6"/>
    <w:rsid w:val="002E7259"/>
    <w:rsid w:val="002E728C"/>
    <w:rsid w:val="002E7380"/>
    <w:rsid w:val="002E739E"/>
    <w:rsid w:val="002E74DC"/>
    <w:rsid w:val="002E74F0"/>
    <w:rsid w:val="002E7546"/>
    <w:rsid w:val="002E7582"/>
    <w:rsid w:val="002E761A"/>
    <w:rsid w:val="002E76C0"/>
    <w:rsid w:val="002E7827"/>
    <w:rsid w:val="002E7899"/>
    <w:rsid w:val="002E78F0"/>
    <w:rsid w:val="002E79E8"/>
    <w:rsid w:val="002E7A28"/>
    <w:rsid w:val="002E7AB1"/>
    <w:rsid w:val="002E7AE3"/>
    <w:rsid w:val="002E7B24"/>
    <w:rsid w:val="002E7BE3"/>
    <w:rsid w:val="002E7BFA"/>
    <w:rsid w:val="002E7D25"/>
    <w:rsid w:val="002E7D64"/>
    <w:rsid w:val="002E7DA4"/>
    <w:rsid w:val="002E7DBC"/>
    <w:rsid w:val="002E7DEA"/>
    <w:rsid w:val="002E7E75"/>
    <w:rsid w:val="002E7F91"/>
    <w:rsid w:val="002F004D"/>
    <w:rsid w:val="002F0158"/>
    <w:rsid w:val="002F01AE"/>
    <w:rsid w:val="002F01DE"/>
    <w:rsid w:val="002F0378"/>
    <w:rsid w:val="002F040F"/>
    <w:rsid w:val="002F042C"/>
    <w:rsid w:val="002F049A"/>
    <w:rsid w:val="002F053F"/>
    <w:rsid w:val="002F0576"/>
    <w:rsid w:val="002F05CB"/>
    <w:rsid w:val="002F0613"/>
    <w:rsid w:val="002F062F"/>
    <w:rsid w:val="002F06AA"/>
    <w:rsid w:val="002F0827"/>
    <w:rsid w:val="002F087B"/>
    <w:rsid w:val="002F09CC"/>
    <w:rsid w:val="002F0A90"/>
    <w:rsid w:val="002F0B0E"/>
    <w:rsid w:val="002F0BBA"/>
    <w:rsid w:val="002F0BFE"/>
    <w:rsid w:val="002F0CAA"/>
    <w:rsid w:val="002F0CB3"/>
    <w:rsid w:val="002F0CC0"/>
    <w:rsid w:val="002F0D11"/>
    <w:rsid w:val="002F0D2D"/>
    <w:rsid w:val="002F0D3D"/>
    <w:rsid w:val="002F0DCB"/>
    <w:rsid w:val="002F0DD7"/>
    <w:rsid w:val="002F0E7B"/>
    <w:rsid w:val="002F0F24"/>
    <w:rsid w:val="002F103F"/>
    <w:rsid w:val="002F1073"/>
    <w:rsid w:val="002F10B2"/>
    <w:rsid w:val="002F10BF"/>
    <w:rsid w:val="002F10CB"/>
    <w:rsid w:val="002F1140"/>
    <w:rsid w:val="002F118D"/>
    <w:rsid w:val="002F11C5"/>
    <w:rsid w:val="002F1269"/>
    <w:rsid w:val="002F127C"/>
    <w:rsid w:val="002F1313"/>
    <w:rsid w:val="002F13BC"/>
    <w:rsid w:val="002F147D"/>
    <w:rsid w:val="002F148E"/>
    <w:rsid w:val="002F1586"/>
    <w:rsid w:val="002F15C2"/>
    <w:rsid w:val="002F16D7"/>
    <w:rsid w:val="002F1788"/>
    <w:rsid w:val="002F184B"/>
    <w:rsid w:val="002F1863"/>
    <w:rsid w:val="002F1867"/>
    <w:rsid w:val="002F1871"/>
    <w:rsid w:val="002F18AD"/>
    <w:rsid w:val="002F192C"/>
    <w:rsid w:val="002F1AA1"/>
    <w:rsid w:val="002F1BA2"/>
    <w:rsid w:val="002F1D1C"/>
    <w:rsid w:val="002F1D85"/>
    <w:rsid w:val="002F1D88"/>
    <w:rsid w:val="002F1F16"/>
    <w:rsid w:val="002F1FA9"/>
    <w:rsid w:val="002F2057"/>
    <w:rsid w:val="002F20D3"/>
    <w:rsid w:val="002F2136"/>
    <w:rsid w:val="002F2149"/>
    <w:rsid w:val="002F218D"/>
    <w:rsid w:val="002F21AB"/>
    <w:rsid w:val="002F21F7"/>
    <w:rsid w:val="002F2391"/>
    <w:rsid w:val="002F2487"/>
    <w:rsid w:val="002F24C8"/>
    <w:rsid w:val="002F24F4"/>
    <w:rsid w:val="002F27EC"/>
    <w:rsid w:val="002F2823"/>
    <w:rsid w:val="002F2833"/>
    <w:rsid w:val="002F2959"/>
    <w:rsid w:val="002F2987"/>
    <w:rsid w:val="002F29BD"/>
    <w:rsid w:val="002F2A48"/>
    <w:rsid w:val="002F2B4F"/>
    <w:rsid w:val="002F2BA1"/>
    <w:rsid w:val="002F2CAB"/>
    <w:rsid w:val="002F2D03"/>
    <w:rsid w:val="002F2DE1"/>
    <w:rsid w:val="002F2E3C"/>
    <w:rsid w:val="002F2EF0"/>
    <w:rsid w:val="002F2F09"/>
    <w:rsid w:val="002F2FC1"/>
    <w:rsid w:val="002F3086"/>
    <w:rsid w:val="002F30F7"/>
    <w:rsid w:val="002F3154"/>
    <w:rsid w:val="002F31FF"/>
    <w:rsid w:val="002F3223"/>
    <w:rsid w:val="002F3234"/>
    <w:rsid w:val="002F3369"/>
    <w:rsid w:val="002F33B4"/>
    <w:rsid w:val="002F3439"/>
    <w:rsid w:val="002F34A6"/>
    <w:rsid w:val="002F3513"/>
    <w:rsid w:val="002F3722"/>
    <w:rsid w:val="002F3945"/>
    <w:rsid w:val="002F39B0"/>
    <w:rsid w:val="002F3B29"/>
    <w:rsid w:val="002F3BB1"/>
    <w:rsid w:val="002F3C77"/>
    <w:rsid w:val="002F3FCB"/>
    <w:rsid w:val="002F3FD6"/>
    <w:rsid w:val="002F4166"/>
    <w:rsid w:val="002F4293"/>
    <w:rsid w:val="002F42BE"/>
    <w:rsid w:val="002F42F4"/>
    <w:rsid w:val="002F4302"/>
    <w:rsid w:val="002F4360"/>
    <w:rsid w:val="002F43AC"/>
    <w:rsid w:val="002F440A"/>
    <w:rsid w:val="002F4542"/>
    <w:rsid w:val="002F4562"/>
    <w:rsid w:val="002F4672"/>
    <w:rsid w:val="002F4755"/>
    <w:rsid w:val="002F47B0"/>
    <w:rsid w:val="002F47CC"/>
    <w:rsid w:val="002F483E"/>
    <w:rsid w:val="002F4862"/>
    <w:rsid w:val="002F48AB"/>
    <w:rsid w:val="002F4938"/>
    <w:rsid w:val="002F4A03"/>
    <w:rsid w:val="002F4A9B"/>
    <w:rsid w:val="002F4A9C"/>
    <w:rsid w:val="002F4B2B"/>
    <w:rsid w:val="002F4B56"/>
    <w:rsid w:val="002F4BD5"/>
    <w:rsid w:val="002F4BDA"/>
    <w:rsid w:val="002F4C06"/>
    <w:rsid w:val="002F4C4A"/>
    <w:rsid w:val="002F4C53"/>
    <w:rsid w:val="002F4D0F"/>
    <w:rsid w:val="002F4E22"/>
    <w:rsid w:val="002F4E3A"/>
    <w:rsid w:val="002F4E81"/>
    <w:rsid w:val="002F4F27"/>
    <w:rsid w:val="002F4F4B"/>
    <w:rsid w:val="002F4FF9"/>
    <w:rsid w:val="002F5047"/>
    <w:rsid w:val="002F50E7"/>
    <w:rsid w:val="002F51A4"/>
    <w:rsid w:val="002F52DF"/>
    <w:rsid w:val="002F5326"/>
    <w:rsid w:val="002F53FA"/>
    <w:rsid w:val="002F545F"/>
    <w:rsid w:val="002F5484"/>
    <w:rsid w:val="002F54A8"/>
    <w:rsid w:val="002F54AB"/>
    <w:rsid w:val="002F55DE"/>
    <w:rsid w:val="002F561B"/>
    <w:rsid w:val="002F56D1"/>
    <w:rsid w:val="002F5781"/>
    <w:rsid w:val="002F5818"/>
    <w:rsid w:val="002F5926"/>
    <w:rsid w:val="002F5A4C"/>
    <w:rsid w:val="002F5ABF"/>
    <w:rsid w:val="002F5B2D"/>
    <w:rsid w:val="002F5B51"/>
    <w:rsid w:val="002F5C5F"/>
    <w:rsid w:val="002F5D65"/>
    <w:rsid w:val="002F5D8D"/>
    <w:rsid w:val="002F5DCA"/>
    <w:rsid w:val="002F5DCE"/>
    <w:rsid w:val="002F5DE2"/>
    <w:rsid w:val="002F5DEE"/>
    <w:rsid w:val="002F5E06"/>
    <w:rsid w:val="002F5E5B"/>
    <w:rsid w:val="002F5EA0"/>
    <w:rsid w:val="002F5EB5"/>
    <w:rsid w:val="002F5EEE"/>
    <w:rsid w:val="002F5F1B"/>
    <w:rsid w:val="002F5F72"/>
    <w:rsid w:val="002F6095"/>
    <w:rsid w:val="002F6120"/>
    <w:rsid w:val="002F62D0"/>
    <w:rsid w:val="002F62D8"/>
    <w:rsid w:val="002F635A"/>
    <w:rsid w:val="002F63BB"/>
    <w:rsid w:val="002F6610"/>
    <w:rsid w:val="002F6651"/>
    <w:rsid w:val="002F66C9"/>
    <w:rsid w:val="002F673A"/>
    <w:rsid w:val="002F6774"/>
    <w:rsid w:val="002F6943"/>
    <w:rsid w:val="002F69CD"/>
    <w:rsid w:val="002F6A7D"/>
    <w:rsid w:val="002F6AD1"/>
    <w:rsid w:val="002F6AE0"/>
    <w:rsid w:val="002F6D74"/>
    <w:rsid w:val="002F6DD3"/>
    <w:rsid w:val="002F6DD4"/>
    <w:rsid w:val="002F6E33"/>
    <w:rsid w:val="002F6E9C"/>
    <w:rsid w:val="002F6EA7"/>
    <w:rsid w:val="002F6EB0"/>
    <w:rsid w:val="002F6EE1"/>
    <w:rsid w:val="002F6F83"/>
    <w:rsid w:val="002F7043"/>
    <w:rsid w:val="002F7076"/>
    <w:rsid w:val="002F70E2"/>
    <w:rsid w:val="002F714B"/>
    <w:rsid w:val="002F72F2"/>
    <w:rsid w:val="002F72FD"/>
    <w:rsid w:val="002F739A"/>
    <w:rsid w:val="002F7409"/>
    <w:rsid w:val="002F7413"/>
    <w:rsid w:val="002F74E8"/>
    <w:rsid w:val="002F74F6"/>
    <w:rsid w:val="002F7501"/>
    <w:rsid w:val="002F7537"/>
    <w:rsid w:val="002F756A"/>
    <w:rsid w:val="002F7583"/>
    <w:rsid w:val="002F768B"/>
    <w:rsid w:val="002F769D"/>
    <w:rsid w:val="002F76F6"/>
    <w:rsid w:val="002F77C3"/>
    <w:rsid w:val="002F77FF"/>
    <w:rsid w:val="002F7829"/>
    <w:rsid w:val="002F7859"/>
    <w:rsid w:val="002F78D9"/>
    <w:rsid w:val="002F7905"/>
    <w:rsid w:val="002F792A"/>
    <w:rsid w:val="002F7936"/>
    <w:rsid w:val="002F7984"/>
    <w:rsid w:val="002F7B0A"/>
    <w:rsid w:val="002F7B20"/>
    <w:rsid w:val="002F7B91"/>
    <w:rsid w:val="002F7C19"/>
    <w:rsid w:val="002F7C39"/>
    <w:rsid w:val="002F7C64"/>
    <w:rsid w:val="002F7C68"/>
    <w:rsid w:val="002F7C89"/>
    <w:rsid w:val="002F7CB7"/>
    <w:rsid w:val="002F7CBF"/>
    <w:rsid w:val="002F7F23"/>
    <w:rsid w:val="002F7F49"/>
    <w:rsid w:val="003000A3"/>
    <w:rsid w:val="003001A5"/>
    <w:rsid w:val="00300269"/>
    <w:rsid w:val="003003D3"/>
    <w:rsid w:val="003003EC"/>
    <w:rsid w:val="003004D1"/>
    <w:rsid w:val="0030057F"/>
    <w:rsid w:val="003005D9"/>
    <w:rsid w:val="003006A6"/>
    <w:rsid w:val="003006DF"/>
    <w:rsid w:val="003006E5"/>
    <w:rsid w:val="00300733"/>
    <w:rsid w:val="003008CC"/>
    <w:rsid w:val="003009D3"/>
    <w:rsid w:val="003009D7"/>
    <w:rsid w:val="00300B75"/>
    <w:rsid w:val="00300C96"/>
    <w:rsid w:val="00300D0A"/>
    <w:rsid w:val="00300E4A"/>
    <w:rsid w:val="00300EB6"/>
    <w:rsid w:val="00300F41"/>
    <w:rsid w:val="00300FCD"/>
    <w:rsid w:val="00301047"/>
    <w:rsid w:val="003010DD"/>
    <w:rsid w:val="00301160"/>
    <w:rsid w:val="0030137B"/>
    <w:rsid w:val="0030137D"/>
    <w:rsid w:val="00301407"/>
    <w:rsid w:val="003014D9"/>
    <w:rsid w:val="00301501"/>
    <w:rsid w:val="00301609"/>
    <w:rsid w:val="00301631"/>
    <w:rsid w:val="00301682"/>
    <w:rsid w:val="00301805"/>
    <w:rsid w:val="0030181E"/>
    <w:rsid w:val="00301873"/>
    <w:rsid w:val="0030198F"/>
    <w:rsid w:val="003019A6"/>
    <w:rsid w:val="00301B34"/>
    <w:rsid w:val="00301C01"/>
    <w:rsid w:val="00301C33"/>
    <w:rsid w:val="00301C73"/>
    <w:rsid w:val="00301CE4"/>
    <w:rsid w:val="00301CEC"/>
    <w:rsid w:val="00301DF2"/>
    <w:rsid w:val="00301E12"/>
    <w:rsid w:val="00301E80"/>
    <w:rsid w:val="00301EAD"/>
    <w:rsid w:val="00301F4E"/>
    <w:rsid w:val="00301FDE"/>
    <w:rsid w:val="003020E0"/>
    <w:rsid w:val="0030215F"/>
    <w:rsid w:val="003021D7"/>
    <w:rsid w:val="00302277"/>
    <w:rsid w:val="003022C2"/>
    <w:rsid w:val="003022CE"/>
    <w:rsid w:val="00302321"/>
    <w:rsid w:val="00302383"/>
    <w:rsid w:val="003024E2"/>
    <w:rsid w:val="00302564"/>
    <w:rsid w:val="003025AA"/>
    <w:rsid w:val="003025FF"/>
    <w:rsid w:val="0030267A"/>
    <w:rsid w:val="0030287D"/>
    <w:rsid w:val="0030295F"/>
    <w:rsid w:val="00302A1B"/>
    <w:rsid w:val="00302AE7"/>
    <w:rsid w:val="00302B97"/>
    <w:rsid w:val="00302BAE"/>
    <w:rsid w:val="00302C3B"/>
    <w:rsid w:val="00302D4E"/>
    <w:rsid w:val="00302D9D"/>
    <w:rsid w:val="00302DD1"/>
    <w:rsid w:val="00302DF4"/>
    <w:rsid w:val="00302F00"/>
    <w:rsid w:val="003031E7"/>
    <w:rsid w:val="00303279"/>
    <w:rsid w:val="00303487"/>
    <w:rsid w:val="003034B0"/>
    <w:rsid w:val="003034D3"/>
    <w:rsid w:val="00303518"/>
    <w:rsid w:val="00303534"/>
    <w:rsid w:val="00303637"/>
    <w:rsid w:val="003036CC"/>
    <w:rsid w:val="003036FD"/>
    <w:rsid w:val="003039CB"/>
    <w:rsid w:val="00303AC9"/>
    <w:rsid w:val="00303AFB"/>
    <w:rsid w:val="00303B4C"/>
    <w:rsid w:val="00303B8A"/>
    <w:rsid w:val="00303B8B"/>
    <w:rsid w:val="00303C1A"/>
    <w:rsid w:val="00303D6E"/>
    <w:rsid w:val="00303DA5"/>
    <w:rsid w:val="00303E2A"/>
    <w:rsid w:val="00303E38"/>
    <w:rsid w:val="00303E3C"/>
    <w:rsid w:val="00303E3F"/>
    <w:rsid w:val="00303EAF"/>
    <w:rsid w:val="00303ED6"/>
    <w:rsid w:val="00303FB3"/>
    <w:rsid w:val="0030405B"/>
    <w:rsid w:val="00304148"/>
    <w:rsid w:val="0030416E"/>
    <w:rsid w:val="00304306"/>
    <w:rsid w:val="003043EE"/>
    <w:rsid w:val="00304406"/>
    <w:rsid w:val="0030441D"/>
    <w:rsid w:val="00304421"/>
    <w:rsid w:val="0030444B"/>
    <w:rsid w:val="003046AD"/>
    <w:rsid w:val="00304767"/>
    <w:rsid w:val="00304852"/>
    <w:rsid w:val="003048AA"/>
    <w:rsid w:val="00304A06"/>
    <w:rsid w:val="00304A1A"/>
    <w:rsid w:val="00304A59"/>
    <w:rsid w:val="00304CCD"/>
    <w:rsid w:val="00304D18"/>
    <w:rsid w:val="00304D76"/>
    <w:rsid w:val="00304E47"/>
    <w:rsid w:val="00304EE5"/>
    <w:rsid w:val="0030501C"/>
    <w:rsid w:val="00305083"/>
    <w:rsid w:val="00305084"/>
    <w:rsid w:val="003051CC"/>
    <w:rsid w:val="00305207"/>
    <w:rsid w:val="003052B0"/>
    <w:rsid w:val="0030543E"/>
    <w:rsid w:val="003054F0"/>
    <w:rsid w:val="0030552C"/>
    <w:rsid w:val="00305561"/>
    <w:rsid w:val="003055FE"/>
    <w:rsid w:val="00305685"/>
    <w:rsid w:val="0030574F"/>
    <w:rsid w:val="00305783"/>
    <w:rsid w:val="00305786"/>
    <w:rsid w:val="00305795"/>
    <w:rsid w:val="0030591D"/>
    <w:rsid w:val="00305A28"/>
    <w:rsid w:val="00305A45"/>
    <w:rsid w:val="00305BD9"/>
    <w:rsid w:val="00305D52"/>
    <w:rsid w:val="00305E55"/>
    <w:rsid w:val="00305E96"/>
    <w:rsid w:val="00305EED"/>
    <w:rsid w:val="00305F0B"/>
    <w:rsid w:val="003060C1"/>
    <w:rsid w:val="003060D6"/>
    <w:rsid w:val="003063A5"/>
    <w:rsid w:val="0030644E"/>
    <w:rsid w:val="0030648E"/>
    <w:rsid w:val="0030648F"/>
    <w:rsid w:val="003065CE"/>
    <w:rsid w:val="00306623"/>
    <w:rsid w:val="0030666D"/>
    <w:rsid w:val="00306701"/>
    <w:rsid w:val="00306730"/>
    <w:rsid w:val="0030675D"/>
    <w:rsid w:val="00306818"/>
    <w:rsid w:val="003068A3"/>
    <w:rsid w:val="00306916"/>
    <w:rsid w:val="00306976"/>
    <w:rsid w:val="00306984"/>
    <w:rsid w:val="003069F4"/>
    <w:rsid w:val="00306B0B"/>
    <w:rsid w:val="00306B2A"/>
    <w:rsid w:val="00306B5C"/>
    <w:rsid w:val="00306B85"/>
    <w:rsid w:val="00306C60"/>
    <w:rsid w:val="00306C65"/>
    <w:rsid w:val="00306CC1"/>
    <w:rsid w:val="00306E24"/>
    <w:rsid w:val="00306E36"/>
    <w:rsid w:val="00306FA9"/>
    <w:rsid w:val="00306FAC"/>
    <w:rsid w:val="0030701A"/>
    <w:rsid w:val="00307044"/>
    <w:rsid w:val="0030705A"/>
    <w:rsid w:val="00307083"/>
    <w:rsid w:val="003070FD"/>
    <w:rsid w:val="003071E3"/>
    <w:rsid w:val="00307240"/>
    <w:rsid w:val="003072B9"/>
    <w:rsid w:val="003072EC"/>
    <w:rsid w:val="003073CE"/>
    <w:rsid w:val="003073EF"/>
    <w:rsid w:val="003075C0"/>
    <w:rsid w:val="003077DE"/>
    <w:rsid w:val="003078B7"/>
    <w:rsid w:val="00307B31"/>
    <w:rsid w:val="00307CE3"/>
    <w:rsid w:val="00307D37"/>
    <w:rsid w:val="00307DBC"/>
    <w:rsid w:val="00307DC1"/>
    <w:rsid w:val="00307EC7"/>
    <w:rsid w:val="00307F8A"/>
    <w:rsid w:val="0030A1C5"/>
    <w:rsid w:val="00310020"/>
    <w:rsid w:val="0031006B"/>
    <w:rsid w:val="003100DD"/>
    <w:rsid w:val="0031026D"/>
    <w:rsid w:val="003103A0"/>
    <w:rsid w:val="0031040D"/>
    <w:rsid w:val="0031043A"/>
    <w:rsid w:val="003104EA"/>
    <w:rsid w:val="00310577"/>
    <w:rsid w:val="00310694"/>
    <w:rsid w:val="00310894"/>
    <w:rsid w:val="003108DB"/>
    <w:rsid w:val="003109CD"/>
    <w:rsid w:val="003109E6"/>
    <w:rsid w:val="00310AC1"/>
    <w:rsid w:val="00310B1E"/>
    <w:rsid w:val="00310B5C"/>
    <w:rsid w:val="00310B86"/>
    <w:rsid w:val="00310BAD"/>
    <w:rsid w:val="00310BF1"/>
    <w:rsid w:val="00310C5E"/>
    <w:rsid w:val="00310C79"/>
    <w:rsid w:val="00310CA9"/>
    <w:rsid w:val="00310CB1"/>
    <w:rsid w:val="00310D16"/>
    <w:rsid w:val="00310DE1"/>
    <w:rsid w:val="00310E24"/>
    <w:rsid w:val="00310E38"/>
    <w:rsid w:val="00310E5F"/>
    <w:rsid w:val="00310EC7"/>
    <w:rsid w:val="00310F4C"/>
    <w:rsid w:val="00310F5B"/>
    <w:rsid w:val="00310F92"/>
    <w:rsid w:val="0031100A"/>
    <w:rsid w:val="0031100E"/>
    <w:rsid w:val="00311067"/>
    <w:rsid w:val="00311197"/>
    <w:rsid w:val="003111B1"/>
    <w:rsid w:val="0031120F"/>
    <w:rsid w:val="003112FD"/>
    <w:rsid w:val="00311313"/>
    <w:rsid w:val="00311417"/>
    <w:rsid w:val="00311441"/>
    <w:rsid w:val="00311477"/>
    <w:rsid w:val="003114B4"/>
    <w:rsid w:val="003114FB"/>
    <w:rsid w:val="0031157B"/>
    <w:rsid w:val="003115BA"/>
    <w:rsid w:val="00311645"/>
    <w:rsid w:val="00311699"/>
    <w:rsid w:val="0031170A"/>
    <w:rsid w:val="0031174D"/>
    <w:rsid w:val="00311862"/>
    <w:rsid w:val="0031186A"/>
    <w:rsid w:val="003118C4"/>
    <w:rsid w:val="003118EB"/>
    <w:rsid w:val="003119C3"/>
    <w:rsid w:val="00311A09"/>
    <w:rsid w:val="00311AF7"/>
    <w:rsid w:val="00311B20"/>
    <w:rsid w:val="00311B80"/>
    <w:rsid w:val="00311BC1"/>
    <w:rsid w:val="00311BD8"/>
    <w:rsid w:val="00311C17"/>
    <w:rsid w:val="00311C7B"/>
    <w:rsid w:val="00311E19"/>
    <w:rsid w:val="00311E69"/>
    <w:rsid w:val="00311E99"/>
    <w:rsid w:val="00311E9B"/>
    <w:rsid w:val="00311F48"/>
    <w:rsid w:val="00311F8A"/>
    <w:rsid w:val="00311FDE"/>
    <w:rsid w:val="00312039"/>
    <w:rsid w:val="00312106"/>
    <w:rsid w:val="00312285"/>
    <w:rsid w:val="003122B5"/>
    <w:rsid w:val="003122D8"/>
    <w:rsid w:val="003122F2"/>
    <w:rsid w:val="00312317"/>
    <w:rsid w:val="00312376"/>
    <w:rsid w:val="0031237D"/>
    <w:rsid w:val="003123C2"/>
    <w:rsid w:val="003124E4"/>
    <w:rsid w:val="00312565"/>
    <w:rsid w:val="00312580"/>
    <w:rsid w:val="003125C8"/>
    <w:rsid w:val="003125E3"/>
    <w:rsid w:val="00312601"/>
    <w:rsid w:val="00312645"/>
    <w:rsid w:val="00312682"/>
    <w:rsid w:val="00312688"/>
    <w:rsid w:val="003126CA"/>
    <w:rsid w:val="00312760"/>
    <w:rsid w:val="00312835"/>
    <w:rsid w:val="00312883"/>
    <w:rsid w:val="0031294B"/>
    <w:rsid w:val="00312995"/>
    <w:rsid w:val="00312A23"/>
    <w:rsid w:val="00312AB3"/>
    <w:rsid w:val="00312B8C"/>
    <w:rsid w:val="00312CFB"/>
    <w:rsid w:val="00312DBE"/>
    <w:rsid w:val="00312E16"/>
    <w:rsid w:val="00312E67"/>
    <w:rsid w:val="00312F66"/>
    <w:rsid w:val="00313012"/>
    <w:rsid w:val="0031308A"/>
    <w:rsid w:val="00313093"/>
    <w:rsid w:val="0031312D"/>
    <w:rsid w:val="0031321A"/>
    <w:rsid w:val="00313381"/>
    <w:rsid w:val="0031339F"/>
    <w:rsid w:val="003133D4"/>
    <w:rsid w:val="0031353E"/>
    <w:rsid w:val="003135E9"/>
    <w:rsid w:val="003136A2"/>
    <w:rsid w:val="00313805"/>
    <w:rsid w:val="003138ED"/>
    <w:rsid w:val="00313994"/>
    <w:rsid w:val="003139C9"/>
    <w:rsid w:val="003139EA"/>
    <w:rsid w:val="00313A06"/>
    <w:rsid w:val="00313B96"/>
    <w:rsid w:val="00313C2C"/>
    <w:rsid w:val="00313CC8"/>
    <w:rsid w:val="00313D5D"/>
    <w:rsid w:val="00313D9E"/>
    <w:rsid w:val="00313DAE"/>
    <w:rsid w:val="00313E15"/>
    <w:rsid w:val="00313E1F"/>
    <w:rsid w:val="00313FFD"/>
    <w:rsid w:val="00314066"/>
    <w:rsid w:val="0031409D"/>
    <w:rsid w:val="0031412E"/>
    <w:rsid w:val="0031417E"/>
    <w:rsid w:val="003141A0"/>
    <w:rsid w:val="003141B0"/>
    <w:rsid w:val="00314245"/>
    <w:rsid w:val="00314251"/>
    <w:rsid w:val="00314284"/>
    <w:rsid w:val="003142D1"/>
    <w:rsid w:val="003143EA"/>
    <w:rsid w:val="00314416"/>
    <w:rsid w:val="00314439"/>
    <w:rsid w:val="00314496"/>
    <w:rsid w:val="0031460A"/>
    <w:rsid w:val="00314625"/>
    <w:rsid w:val="003146EB"/>
    <w:rsid w:val="0031475F"/>
    <w:rsid w:val="00314769"/>
    <w:rsid w:val="00314779"/>
    <w:rsid w:val="00314837"/>
    <w:rsid w:val="00314936"/>
    <w:rsid w:val="00314944"/>
    <w:rsid w:val="00314A02"/>
    <w:rsid w:val="00314A23"/>
    <w:rsid w:val="00314ABE"/>
    <w:rsid w:val="00314B7C"/>
    <w:rsid w:val="00314B9A"/>
    <w:rsid w:val="00314BA3"/>
    <w:rsid w:val="00314BBA"/>
    <w:rsid w:val="00314BC4"/>
    <w:rsid w:val="00314BDC"/>
    <w:rsid w:val="00314C33"/>
    <w:rsid w:val="00314CB6"/>
    <w:rsid w:val="00314D04"/>
    <w:rsid w:val="00314D8B"/>
    <w:rsid w:val="00314F76"/>
    <w:rsid w:val="00314FE9"/>
    <w:rsid w:val="0031501F"/>
    <w:rsid w:val="003150BD"/>
    <w:rsid w:val="0031511C"/>
    <w:rsid w:val="0031514E"/>
    <w:rsid w:val="00315151"/>
    <w:rsid w:val="003152EB"/>
    <w:rsid w:val="003153B5"/>
    <w:rsid w:val="003154FC"/>
    <w:rsid w:val="00315607"/>
    <w:rsid w:val="00315634"/>
    <w:rsid w:val="00315687"/>
    <w:rsid w:val="0031569D"/>
    <w:rsid w:val="0031574A"/>
    <w:rsid w:val="00315A57"/>
    <w:rsid w:val="00315A88"/>
    <w:rsid w:val="00315B43"/>
    <w:rsid w:val="00315CB8"/>
    <w:rsid w:val="00315D4E"/>
    <w:rsid w:val="00315E89"/>
    <w:rsid w:val="00315F45"/>
    <w:rsid w:val="00315F8E"/>
    <w:rsid w:val="00315FD0"/>
    <w:rsid w:val="003160DD"/>
    <w:rsid w:val="00316170"/>
    <w:rsid w:val="00316305"/>
    <w:rsid w:val="0031634C"/>
    <w:rsid w:val="00316378"/>
    <w:rsid w:val="003163A2"/>
    <w:rsid w:val="003163F8"/>
    <w:rsid w:val="00316441"/>
    <w:rsid w:val="003164D2"/>
    <w:rsid w:val="00316504"/>
    <w:rsid w:val="003165C4"/>
    <w:rsid w:val="00316604"/>
    <w:rsid w:val="00316614"/>
    <w:rsid w:val="003166B6"/>
    <w:rsid w:val="0031675F"/>
    <w:rsid w:val="00316767"/>
    <w:rsid w:val="00316771"/>
    <w:rsid w:val="00316772"/>
    <w:rsid w:val="003167A7"/>
    <w:rsid w:val="003168D0"/>
    <w:rsid w:val="00316982"/>
    <w:rsid w:val="0031699C"/>
    <w:rsid w:val="003169EB"/>
    <w:rsid w:val="003169EF"/>
    <w:rsid w:val="00316A06"/>
    <w:rsid w:val="00316A63"/>
    <w:rsid w:val="00316A8B"/>
    <w:rsid w:val="00316B89"/>
    <w:rsid w:val="00316BED"/>
    <w:rsid w:val="00316BF5"/>
    <w:rsid w:val="00316C5A"/>
    <w:rsid w:val="00316DA4"/>
    <w:rsid w:val="00316E29"/>
    <w:rsid w:val="00316F0F"/>
    <w:rsid w:val="00316F58"/>
    <w:rsid w:val="00316F8F"/>
    <w:rsid w:val="00316FB7"/>
    <w:rsid w:val="00316FCF"/>
    <w:rsid w:val="00317088"/>
    <w:rsid w:val="0031711C"/>
    <w:rsid w:val="00317167"/>
    <w:rsid w:val="003172C7"/>
    <w:rsid w:val="003173DA"/>
    <w:rsid w:val="00317421"/>
    <w:rsid w:val="0031744A"/>
    <w:rsid w:val="0031746F"/>
    <w:rsid w:val="003174AD"/>
    <w:rsid w:val="003174FF"/>
    <w:rsid w:val="0031761C"/>
    <w:rsid w:val="00317658"/>
    <w:rsid w:val="003176AE"/>
    <w:rsid w:val="0031784B"/>
    <w:rsid w:val="00317884"/>
    <w:rsid w:val="003178DC"/>
    <w:rsid w:val="00317936"/>
    <w:rsid w:val="00317950"/>
    <w:rsid w:val="00317970"/>
    <w:rsid w:val="00317B1A"/>
    <w:rsid w:val="00317B37"/>
    <w:rsid w:val="00317B69"/>
    <w:rsid w:val="00317BFD"/>
    <w:rsid w:val="00317C07"/>
    <w:rsid w:val="00317CB5"/>
    <w:rsid w:val="00317CE6"/>
    <w:rsid w:val="00317D63"/>
    <w:rsid w:val="00317D92"/>
    <w:rsid w:val="00317E7F"/>
    <w:rsid w:val="00317EDB"/>
    <w:rsid w:val="00317EE1"/>
    <w:rsid w:val="00317F61"/>
    <w:rsid w:val="00317F66"/>
    <w:rsid w:val="00317F7B"/>
    <w:rsid w:val="00320215"/>
    <w:rsid w:val="0032021A"/>
    <w:rsid w:val="0032022B"/>
    <w:rsid w:val="003202E4"/>
    <w:rsid w:val="0032034A"/>
    <w:rsid w:val="0032037A"/>
    <w:rsid w:val="00320390"/>
    <w:rsid w:val="003203FD"/>
    <w:rsid w:val="0032040C"/>
    <w:rsid w:val="0032050A"/>
    <w:rsid w:val="00320519"/>
    <w:rsid w:val="00320602"/>
    <w:rsid w:val="0032060F"/>
    <w:rsid w:val="00320696"/>
    <w:rsid w:val="00320730"/>
    <w:rsid w:val="00320884"/>
    <w:rsid w:val="00320957"/>
    <w:rsid w:val="00320A37"/>
    <w:rsid w:val="00320B0F"/>
    <w:rsid w:val="00320B12"/>
    <w:rsid w:val="00320B85"/>
    <w:rsid w:val="00320B8D"/>
    <w:rsid w:val="00320BDF"/>
    <w:rsid w:val="00320C25"/>
    <w:rsid w:val="00320CBE"/>
    <w:rsid w:val="00320CD8"/>
    <w:rsid w:val="00320D23"/>
    <w:rsid w:val="00320D6E"/>
    <w:rsid w:val="00320E29"/>
    <w:rsid w:val="00320E89"/>
    <w:rsid w:val="00320E94"/>
    <w:rsid w:val="00320EF7"/>
    <w:rsid w:val="00320F5C"/>
    <w:rsid w:val="00320FED"/>
    <w:rsid w:val="00321031"/>
    <w:rsid w:val="003210C9"/>
    <w:rsid w:val="0032111E"/>
    <w:rsid w:val="00321124"/>
    <w:rsid w:val="003211DC"/>
    <w:rsid w:val="00321237"/>
    <w:rsid w:val="00321286"/>
    <w:rsid w:val="00321294"/>
    <w:rsid w:val="003212E7"/>
    <w:rsid w:val="003213E4"/>
    <w:rsid w:val="0032141B"/>
    <w:rsid w:val="0032148C"/>
    <w:rsid w:val="0032150C"/>
    <w:rsid w:val="003215AB"/>
    <w:rsid w:val="0032174D"/>
    <w:rsid w:val="0032176A"/>
    <w:rsid w:val="00321854"/>
    <w:rsid w:val="0032192F"/>
    <w:rsid w:val="00321B22"/>
    <w:rsid w:val="00321B35"/>
    <w:rsid w:val="00321B49"/>
    <w:rsid w:val="00321BF9"/>
    <w:rsid w:val="00321C65"/>
    <w:rsid w:val="00321C7C"/>
    <w:rsid w:val="00321C94"/>
    <w:rsid w:val="00321CAC"/>
    <w:rsid w:val="00321D10"/>
    <w:rsid w:val="00321D1B"/>
    <w:rsid w:val="00321DC4"/>
    <w:rsid w:val="00321DEA"/>
    <w:rsid w:val="00321EA6"/>
    <w:rsid w:val="00321F1D"/>
    <w:rsid w:val="00321F64"/>
    <w:rsid w:val="00322085"/>
    <w:rsid w:val="003220F2"/>
    <w:rsid w:val="00322170"/>
    <w:rsid w:val="00322190"/>
    <w:rsid w:val="00322226"/>
    <w:rsid w:val="0032225F"/>
    <w:rsid w:val="00322269"/>
    <w:rsid w:val="0032234C"/>
    <w:rsid w:val="00322374"/>
    <w:rsid w:val="003223E6"/>
    <w:rsid w:val="00322439"/>
    <w:rsid w:val="0032243B"/>
    <w:rsid w:val="00322471"/>
    <w:rsid w:val="00322482"/>
    <w:rsid w:val="00322575"/>
    <w:rsid w:val="003225C7"/>
    <w:rsid w:val="00322728"/>
    <w:rsid w:val="00322763"/>
    <w:rsid w:val="00322785"/>
    <w:rsid w:val="0032279A"/>
    <w:rsid w:val="0032285F"/>
    <w:rsid w:val="003228A0"/>
    <w:rsid w:val="00322923"/>
    <w:rsid w:val="00322995"/>
    <w:rsid w:val="00322AE7"/>
    <w:rsid w:val="00322AF4"/>
    <w:rsid w:val="00322B8D"/>
    <w:rsid w:val="00322B9F"/>
    <w:rsid w:val="00322C76"/>
    <w:rsid w:val="00322CA6"/>
    <w:rsid w:val="00322D88"/>
    <w:rsid w:val="003230CF"/>
    <w:rsid w:val="00323138"/>
    <w:rsid w:val="003231A4"/>
    <w:rsid w:val="00323208"/>
    <w:rsid w:val="003232EB"/>
    <w:rsid w:val="00323349"/>
    <w:rsid w:val="00323359"/>
    <w:rsid w:val="003233E1"/>
    <w:rsid w:val="003234A2"/>
    <w:rsid w:val="0032351E"/>
    <w:rsid w:val="00323527"/>
    <w:rsid w:val="0032363F"/>
    <w:rsid w:val="003236B7"/>
    <w:rsid w:val="0032379B"/>
    <w:rsid w:val="00323856"/>
    <w:rsid w:val="00323AE6"/>
    <w:rsid w:val="00323B29"/>
    <w:rsid w:val="00323B52"/>
    <w:rsid w:val="00323BEE"/>
    <w:rsid w:val="00323DD6"/>
    <w:rsid w:val="00323E67"/>
    <w:rsid w:val="00323EB6"/>
    <w:rsid w:val="00323F96"/>
    <w:rsid w:val="0032405F"/>
    <w:rsid w:val="0032407D"/>
    <w:rsid w:val="003240AF"/>
    <w:rsid w:val="003240F4"/>
    <w:rsid w:val="003241A9"/>
    <w:rsid w:val="003241B6"/>
    <w:rsid w:val="00324203"/>
    <w:rsid w:val="00324283"/>
    <w:rsid w:val="00324391"/>
    <w:rsid w:val="003243E2"/>
    <w:rsid w:val="0032441E"/>
    <w:rsid w:val="003244E1"/>
    <w:rsid w:val="00324513"/>
    <w:rsid w:val="00324608"/>
    <w:rsid w:val="003246A7"/>
    <w:rsid w:val="003247FF"/>
    <w:rsid w:val="0032481C"/>
    <w:rsid w:val="00324849"/>
    <w:rsid w:val="00324A72"/>
    <w:rsid w:val="00324C2C"/>
    <w:rsid w:val="00324E7B"/>
    <w:rsid w:val="00324F15"/>
    <w:rsid w:val="00324F95"/>
    <w:rsid w:val="00324FAE"/>
    <w:rsid w:val="00325019"/>
    <w:rsid w:val="00325050"/>
    <w:rsid w:val="00325170"/>
    <w:rsid w:val="0032527C"/>
    <w:rsid w:val="003252CA"/>
    <w:rsid w:val="003252FF"/>
    <w:rsid w:val="003253D7"/>
    <w:rsid w:val="00325465"/>
    <w:rsid w:val="00325580"/>
    <w:rsid w:val="003255A2"/>
    <w:rsid w:val="003255C5"/>
    <w:rsid w:val="00325622"/>
    <w:rsid w:val="00325677"/>
    <w:rsid w:val="003257BE"/>
    <w:rsid w:val="0032598D"/>
    <w:rsid w:val="003259C2"/>
    <w:rsid w:val="00325BA8"/>
    <w:rsid w:val="00325C38"/>
    <w:rsid w:val="00325C59"/>
    <w:rsid w:val="00325D2C"/>
    <w:rsid w:val="00325ED3"/>
    <w:rsid w:val="00325EE5"/>
    <w:rsid w:val="00325F25"/>
    <w:rsid w:val="00325F2A"/>
    <w:rsid w:val="00325F40"/>
    <w:rsid w:val="00325FF7"/>
    <w:rsid w:val="00325FFF"/>
    <w:rsid w:val="0032603B"/>
    <w:rsid w:val="003260C2"/>
    <w:rsid w:val="003260F2"/>
    <w:rsid w:val="00326110"/>
    <w:rsid w:val="0032615A"/>
    <w:rsid w:val="0032620A"/>
    <w:rsid w:val="00326546"/>
    <w:rsid w:val="003265C3"/>
    <w:rsid w:val="003265E3"/>
    <w:rsid w:val="0032662F"/>
    <w:rsid w:val="003266C6"/>
    <w:rsid w:val="0032670D"/>
    <w:rsid w:val="00326753"/>
    <w:rsid w:val="003267BD"/>
    <w:rsid w:val="0032691F"/>
    <w:rsid w:val="0032699B"/>
    <w:rsid w:val="0032699D"/>
    <w:rsid w:val="00326A2C"/>
    <w:rsid w:val="00326B34"/>
    <w:rsid w:val="00326BF7"/>
    <w:rsid w:val="00326D09"/>
    <w:rsid w:val="00326D40"/>
    <w:rsid w:val="00326D5E"/>
    <w:rsid w:val="00326DD0"/>
    <w:rsid w:val="00326ED4"/>
    <w:rsid w:val="00326F65"/>
    <w:rsid w:val="00326F95"/>
    <w:rsid w:val="00326F96"/>
    <w:rsid w:val="00326FC8"/>
    <w:rsid w:val="00327054"/>
    <w:rsid w:val="003270A8"/>
    <w:rsid w:val="003270BB"/>
    <w:rsid w:val="003271A7"/>
    <w:rsid w:val="003271D2"/>
    <w:rsid w:val="003271E2"/>
    <w:rsid w:val="00327258"/>
    <w:rsid w:val="00327278"/>
    <w:rsid w:val="00327311"/>
    <w:rsid w:val="00327396"/>
    <w:rsid w:val="003274F1"/>
    <w:rsid w:val="003276C1"/>
    <w:rsid w:val="003276EC"/>
    <w:rsid w:val="00327724"/>
    <w:rsid w:val="00327772"/>
    <w:rsid w:val="003277B6"/>
    <w:rsid w:val="003277D5"/>
    <w:rsid w:val="003277DB"/>
    <w:rsid w:val="0032784F"/>
    <w:rsid w:val="003278E2"/>
    <w:rsid w:val="00327956"/>
    <w:rsid w:val="00327962"/>
    <w:rsid w:val="003279DF"/>
    <w:rsid w:val="00327A14"/>
    <w:rsid w:val="00327A2E"/>
    <w:rsid w:val="00327ABD"/>
    <w:rsid w:val="00327BAD"/>
    <w:rsid w:val="00327BF4"/>
    <w:rsid w:val="00327C3F"/>
    <w:rsid w:val="00327D0A"/>
    <w:rsid w:val="00327DCB"/>
    <w:rsid w:val="00327E47"/>
    <w:rsid w:val="00327E70"/>
    <w:rsid w:val="0033009D"/>
    <w:rsid w:val="003300F4"/>
    <w:rsid w:val="0033012B"/>
    <w:rsid w:val="00330141"/>
    <w:rsid w:val="00330203"/>
    <w:rsid w:val="003302B1"/>
    <w:rsid w:val="0033030C"/>
    <w:rsid w:val="00330432"/>
    <w:rsid w:val="003304AE"/>
    <w:rsid w:val="003304C6"/>
    <w:rsid w:val="00330625"/>
    <w:rsid w:val="00330638"/>
    <w:rsid w:val="00330673"/>
    <w:rsid w:val="0033067B"/>
    <w:rsid w:val="003306A3"/>
    <w:rsid w:val="00330724"/>
    <w:rsid w:val="00330762"/>
    <w:rsid w:val="00330813"/>
    <w:rsid w:val="0033082E"/>
    <w:rsid w:val="00330879"/>
    <w:rsid w:val="003308BB"/>
    <w:rsid w:val="003308EE"/>
    <w:rsid w:val="00330945"/>
    <w:rsid w:val="00330953"/>
    <w:rsid w:val="003309E0"/>
    <w:rsid w:val="00330A00"/>
    <w:rsid w:val="00330A4B"/>
    <w:rsid w:val="00330A90"/>
    <w:rsid w:val="00330AF3"/>
    <w:rsid w:val="00330B38"/>
    <w:rsid w:val="00330B8D"/>
    <w:rsid w:val="00330C57"/>
    <w:rsid w:val="00330CE7"/>
    <w:rsid w:val="00330D3B"/>
    <w:rsid w:val="00330EE6"/>
    <w:rsid w:val="00330F1B"/>
    <w:rsid w:val="00330F57"/>
    <w:rsid w:val="00331042"/>
    <w:rsid w:val="00331050"/>
    <w:rsid w:val="00331074"/>
    <w:rsid w:val="003310C7"/>
    <w:rsid w:val="00331147"/>
    <w:rsid w:val="00331169"/>
    <w:rsid w:val="00331199"/>
    <w:rsid w:val="00331262"/>
    <w:rsid w:val="00331266"/>
    <w:rsid w:val="00331414"/>
    <w:rsid w:val="0033146E"/>
    <w:rsid w:val="0033147A"/>
    <w:rsid w:val="003314BC"/>
    <w:rsid w:val="0033151D"/>
    <w:rsid w:val="00331530"/>
    <w:rsid w:val="0033153B"/>
    <w:rsid w:val="0033174E"/>
    <w:rsid w:val="003319E1"/>
    <w:rsid w:val="00331A91"/>
    <w:rsid w:val="00331B28"/>
    <w:rsid w:val="00331B58"/>
    <w:rsid w:val="00331C41"/>
    <w:rsid w:val="00331C4E"/>
    <w:rsid w:val="00331CA7"/>
    <w:rsid w:val="00331CDB"/>
    <w:rsid w:val="00331D1C"/>
    <w:rsid w:val="00331E44"/>
    <w:rsid w:val="00331E7B"/>
    <w:rsid w:val="00331EFA"/>
    <w:rsid w:val="00331F70"/>
    <w:rsid w:val="00331FC9"/>
    <w:rsid w:val="0033210C"/>
    <w:rsid w:val="003321FD"/>
    <w:rsid w:val="00332261"/>
    <w:rsid w:val="003322FA"/>
    <w:rsid w:val="0033230C"/>
    <w:rsid w:val="0033235E"/>
    <w:rsid w:val="0033245B"/>
    <w:rsid w:val="00332464"/>
    <w:rsid w:val="00332493"/>
    <w:rsid w:val="003324AC"/>
    <w:rsid w:val="0033262F"/>
    <w:rsid w:val="0033265F"/>
    <w:rsid w:val="00332724"/>
    <w:rsid w:val="00332742"/>
    <w:rsid w:val="003327A4"/>
    <w:rsid w:val="003327BF"/>
    <w:rsid w:val="00332A21"/>
    <w:rsid w:val="00332A36"/>
    <w:rsid w:val="00332A4D"/>
    <w:rsid w:val="00332A69"/>
    <w:rsid w:val="00332A7F"/>
    <w:rsid w:val="00332AA1"/>
    <w:rsid w:val="00332B3C"/>
    <w:rsid w:val="00332C1A"/>
    <w:rsid w:val="00332C33"/>
    <w:rsid w:val="00332DC9"/>
    <w:rsid w:val="00332DEF"/>
    <w:rsid w:val="00332F39"/>
    <w:rsid w:val="00332FA0"/>
    <w:rsid w:val="00333003"/>
    <w:rsid w:val="00333109"/>
    <w:rsid w:val="003331CC"/>
    <w:rsid w:val="003331FE"/>
    <w:rsid w:val="00333215"/>
    <w:rsid w:val="00333258"/>
    <w:rsid w:val="003332AD"/>
    <w:rsid w:val="003332F3"/>
    <w:rsid w:val="00333332"/>
    <w:rsid w:val="00333394"/>
    <w:rsid w:val="003333D5"/>
    <w:rsid w:val="003333F6"/>
    <w:rsid w:val="00333469"/>
    <w:rsid w:val="003334C3"/>
    <w:rsid w:val="003334DA"/>
    <w:rsid w:val="0033358E"/>
    <w:rsid w:val="00333836"/>
    <w:rsid w:val="0033386A"/>
    <w:rsid w:val="00333914"/>
    <w:rsid w:val="003339E6"/>
    <w:rsid w:val="00333B7F"/>
    <w:rsid w:val="00333C05"/>
    <w:rsid w:val="00333C06"/>
    <w:rsid w:val="00333C42"/>
    <w:rsid w:val="00333D49"/>
    <w:rsid w:val="00333E04"/>
    <w:rsid w:val="00333E60"/>
    <w:rsid w:val="00333F4E"/>
    <w:rsid w:val="00333FA0"/>
    <w:rsid w:val="00333FB0"/>
    <w:rsid w:val="00334053"/>
    <w:rsid w:val="00334247"/>
    <w:rsid w:val="00334250"/>
    <w:rsid w:val="003342E4"/>
    <w:rsid w:val="00334344"/>
    <w:rsid w:val="0033437F"/>
    <w:rsid w:val="003344B2"/>
    <w:rsid w:val="003345B4"/>
    <w:rsid w:val="00334674"/>
    <w:rsid w:val="003346CE"/>
    <w:rsid w:val="003347EB"/>
    <w:rsid w:val="00334923"/>
    <w:rsid w:val="003349AF"/>
    <w:rsid w:val="003349B8"/>
    <w:rsid w:val="003349D2"/>
    <w:rsid w:val="003349F5"/>
    <w:rsid w:val="00334AB8"/>
    <w:rsid w:val="00334B02"/>
    <w:rsid w:val="00334B26"/>
    <w:rsid w:val="00334BB4"/>
    <w:rsid w:val="00334BE4"/>
    <w:rsid w:val="00334D50"/>
    <w:rsid w:val="00334D9F"/>
    <w:rsid w:val="00334DC4"/>
    <w:rsid w:val="00334E1E"/>
    <w:rsid w:val="00334EC4"/>
    <w:rsid w:val="00334EE0"/>
    <w:rsid w:val="00335075"/>
    <w:rsid w:val="0033509B"/>
    <w:rsid w:val="00335138"/>
    <w:rsid w:val="003351FD"/>
    <w:rsid w:val="003352F5"/>
    <w:rsid w:val="0033555D"/>
    <w:rsid w:val="00335630"/>
    <w:rsid w:val="00335684"/>
    <w:rsid w:val="00335694"/>
    <w:rsid w:val="003356CF"/>
    <w:rsid w:val="00335714"/>
    <w:rsid w:val="003357F7"/>
    <w:rsid w:val="00335966"/>
    <w:rsid w:val="0033596B"/>
    <w:rsid w:val="003359BC"/>
    <w:rsid w:val="00335AC3"/>
    <w:rsid w:val="00335B65"/>
    <w:rsid w:val="00335D5E"/>
    <w:rsid w:val="00335D7C"/>
    <w:rsid w:val="00335DAD"/>
    <w:rsid w:val="00335E68"/>
    <w:rsid w:val="00335F48"/>
    <w:rsid w:val="00335F87"/>
    <w:rsid w:val="00335FA5"/>
    <w:rsid w:val="003361ED"/>
    <w:rsid w:val="00336257"/>
    <w:rsid w:val="00336285"/>
    <w:rsid w:val="0033628E"/>
    <w:rsid w:val="003362ED"/>
    <w:rsid w:val="00336300"/>
    <w:rsid w:val="00336438"/>
    <w:rsid w:val="00336442"/>
    <w:rsid w:val="003364AA"/>
    <w:rsid w:val="0033660E"/>
    <w:rsid w:val="0033664A"/>
    <w:rsid w:val="00336669"/>
    <w:rsid w:val="003366C9"/>
    <w:rsid w:val="00336724"/>
    <w:rsid w:val="003368C4"/>
    <w:rsid w:val="00336914"/>
    <w:rsid w:val="0033698E"/>
    <w:rsid w:val="003369BC"/>
    <w:rsid w:val="003369BF"/>
    <w:rsid w:val="003369D2"/>
    <w:rsid w:val="00336A7A"/>
    <w:rsid w:val="00336A92"/>
    <w:rsid w:val="00336B17"/>
    <w:rsid w:val="00336B3E"/>
    <w:rsid w:val="00336B4E"/>
    <w:rsid w:val="00336BC8"/>
    <w:rsid w:val="00336C05"/>
    <w:rsid w:val="00336C4B"/>
    <w:rsid w:val="00336C59"/>
    <w:rsid w:val="00336CC0"/>
    <w:rsid w:val="00337191"/>
    <w:rsid w:val="003373B5"/>
    <w:rsid w:val="00337414"/>
    <w:rsid w:val="0033741C"/>
    <w:rsid w:val="003374FE"/>
    <w:rsid w:val="00337620"/>
    <w:rsid w:val="003377CA"/>
    <w:rsid w:val="003377E7"/>
    <w:rsid w:val="00337956"/>
    <w:rsid w:val="003379D0"/>
    <w:rsid w:val="003379DC"/>
    <w:rsid w:val="00337A5F"/>
    <w:rsid w:val="00337A7B"/>
    <w:rsid w:val="00337AD6"/>
    <w:rsid w:val="00337B56"/>
    <w:rsid w:val="00337CC1"/>
    <w:rsid w:val="00337EE0"/>
    <w:rsid w:val="00337F07"/>
    <w:rsid w:val="00340080"/>
    <w:rsid w:val="00340156"/>
    <w:rsid w:val="003401C5"/>
    <w:rsid w:val="003401D6"/>
    <w:rsid w:val="003403D3"/>
    <w:rsid w:val="003403E7"/>
    <w:rsid w:val="00340402"/>
    <w:rsid w:val="00340410"/>
    <w:rsid w:val="00340435"/>
    <w:rsid w:val="00340484"/>
    <w:rsid w:val="0034054E"/>
    <w:rsid w:val="00340599"/>
    <w:rsid w:val="003405E1"/>
    <w:rsid w:val="00340881"/>
    <w:rsid w:val="00340991"/>
    <w:rsid w:val="00340992"/>
    <w:rsid w:val="003409E0"/>
    <w:rsid w:val="00340A6F"/>
    <w:rsid w:val="00340A7B"/>
    <w:rsid w:val="00340ABA"/>
    <w:rsid w:val="00340B65"/>
    <w:rsid w:val="00340BAF"/>
    <w:rsid w:val="00340D52"/>
    <w:rsid w:val="00340DB9"/>
    <w:rsid w:val="00340DCD"/>
    <w:rsid w:val="00340E24"/>
    <w:rsid w:val="00340E90"/>
    <w:rsid w:val="00340EAB"/>
    <w:rsid w:val="00340F88"/>
    <w:rsid w:val="003410B3"/>
    <w:rsid w:val="00341112"/>
    <w:rsid w:val="00341131"/>
    <w:rsid w:val="00341184"/>
    <w:rsid w:val="0034127F"/>
    <w:rsid w:val="00341333"/>
    <w:rsid w:val="00341365"/>
    <w:rsid w:val="003414C8"/>
    <w:rsid w:val="00341505"/>
    <w:rsid w:val="00341532"/>
    <w:rsid w:val="003416DE"/>
    <w:rsid w:val="0034170C"/>
    <w:rsid w:val="003417C2"/>
    <w:rsid w:val="0034180D"/>
    <w:rsid w:val="0034181E"/>
    <w:rsid w:val="00341880"/>
    <w:rsid w:val="003418A5"/>
    <w:rsid w:val="003418B1"/>
    <w:rsid w:val="003418C4"/>
    <w:rsid w:val="003418F2"/>
    <w:rsid w:val="00341A2B"/>
    <w:rsid w:val="00341A73"/>
    <w:rsid w:val="00341A84"/>
    <w:rsid w:val="00341AA9"/>
    <w:rsid w:val="00341AC9"/>
    <w:rsid w:val="00341B56"/>
    <w:rsid w:val="00341B9E"/>
    <w:rsid w:val="00341C38"/>
    <w:rsid w:val="00341E6A"/>
    <w:rsid w:val="00341E72"/>
    <w:rsid w:val="0034217E"/>
    <w:rsid w:val="0034217F"/>
    <w:rsid w:val="003421E6"/>
    <w:rsid w:val="00342300"/>
    <w:rsid w:val="00342347"/>
    <w:rsid w:val="003423EB"/>
    <w:rsid w:val="003423EF"/>
    <w:rsid w:val="00342405"/>
    <w:rsid w:val="003426D4"/>
    <w:rsid w:val="003426DD"/>
    <w:rsid w:val="003427FF"/>
    <w:rsid w:val="00342811"/>
    <w:rsid w:val="00342826"/>
    <w:rsid w:val="00342830"/>
    <w:rsid w:val="0034291F"/>
    <w:rsid w:val="00342955"/>
    <w:rsid w:val="00342975"/>
    <w:rsid w:val="00342C4B"/>
    <w:rsid w:val="00342C78"/>
    <w:rsid w:val="00342C83"/>
    <w:rsid w:val="00342CAE"/>
    <w:rsid w:val="00342D4B"/>
    <w:rsid w:val="00342DC3"/>
    <w:rsid w:val="00342DD2"/>
    <w:rsid w:val="00342E5D"/>
    <w:rsid w:val="00342EB7"/>
    <w:rsid w:val="00342F7A"/>
    <w:rsid w:val="00342FB1"/>
    <w:rsid w:val="00342FFC"/>
    <w:rsid w:val="00343026"/>
    <w:rsid w:val="00343058"/>
    <w:rsid w:val="003430AE"/>
    <w:rsid w:val="00343118"/>
    <w:rsid w:val="00343175"/>
    <w:rsid w:val="0034320A"/>
    <w:rsid w:val="00343280"/>
    <w:rsid w:val="003432A5"/>
    <w:rsid w:val="0034335F"/>
    <w:rsid w:val="003433DD"/>
    <w:rsid w:val="00343592"/>
    <w:rsid w:val="003435C7"/>
    <w:rsid w:val="00343625"/>
    <w:rsid w:val="003436BE"/>
    <w:rsid w:val="0034376A"/>
    <w:rsid w:val="003437AF"/>
    <w:rsid w:val="003437EC"/>
    <w:rsid w:val="00343894"/>
    <w:rsid w:val="00343A0D"/>
    <w:rsid w:val="00343A3E"/>
    <w:rsid w:val="00343A8D"/>
    <w:rsid w:val="00343AE5"/>
    <w:rsid w:val="00343B0A"/>
    <w:rsid w:val="00343C05"/>
    <w:rsid w:val="00343C06"/>
    <w:rsid w:val="00343C93"/>
    <w:rsid w:val="00343D01"/>
    <w:rsid w:val="00343DBF"/>
    <w:rsid w:val="00343E63"/>
    <w:rsid w:val="00343E77"/>
    <w:rsid w:val="00343EAF"/>
    <w:rsid w:val="00343ED3"/>
    <w:rsid w:val="00343F5F"/>
    <w:rsid w:val="00343FAF"/>
    <w:rsid w:val="00343FDD"/>
    <w:rsid w:val="00344062"/>
    <w:rsid w:val="003442BA"/>
    <w:rsid w:val="0034461E"/>
    <w:rsid w:val="00344685"/>
    <w:rsid w:val="003447A8"/>
    <w:rsid w:val="00344959"/>
    <w:rsid w:val="00344965"/>
    <w:rsid w:val="00344A6C"/>
    <w:rsid w:val="00344C09"/>
    <w:rsid w:val="00344C1D"/>
    <w:rsid w:val="00344C49"/>
    <w:rsid w:val="00344C6C"/>
    <w:rsid w:val="00344C98"/>
    <w:rsid w:val="00344DDF"/>
    <w:rsid w:val="00344DE9"/>
    <w:rsid w:val="00344DFD"/>
    <w:rsid w:val="00344F21"/>
    <w:rsid w:val="00344F4D"/>
    <w:rsid w:val="00344F53"/>
    <w:rsid w:val="00344F92"/>
    <w:rsid w:val="00344FDF"/>
    <w:rsid w:val="0034515A"/>
    <w:rsid w:val="00345288"/>
    <w:rsid w:val="003452E7"/>
    <w:rsid w:val="0034538B"/>
    <w:rsid w:val="00345586"/>
    <w:rsid w:val="003455E3"/>
    <w:rsid w:val="0034564F"/>
    <w:rsid w:val="003456E9"/>
    <w:rsid w:val="003457BD"/>
    <w:rsid w:val="0034582D"/>
    <w:rsid w:val="003458D6"/>
    <w:rsid w:val="003458E4"/>
    <w:rsid w:val="00345986"/>
    <w:rsid w:val="003459F6"/>
    <w:rsid w:val="00345A07"/>
    <w:rsid w:val="00345AE8"/>
    <w:rsid w:val="00345AF8"/>
    <w:rsid w:val="00345B78"/>
    <w:rsid w:val="00345B86"/>
    <w:rsid w:val="00345C70"/>
    <w:rsid w:val="00345D60"/>
    <w:rsid w:val="00345D98"/>
    <w:rsid w:val="00345E1A"/>
    <w:rsid w:val="00345FCA"/>
    <w:rsid w:val="00346053"/>
    <w:rsid w:val="00346362"/>
    <w:rsid w:val="00346365"/>
    <w:rsid w:val="003463A6"/>
    <w:rsid w:val="003464CE"/>
    <w:rsid w:val="003464D2"/>
    <w:rsid w:val="0034657E"/>
    <w:rsid w:val="003465E9"/>
    <w:rsid w:val="003466A6"/>
    <w:rsid w:val="003467E2"/>
    <w:rsid w:val="0034688C"/>
    <w:rsid w:val="003468CD"/>
    <w:rsid w:val="00346905"/>
    <w:rsid w:val="00346909"/>
    <w:rsid w:val="0034690C"/>
    <w:rsid w:val="003469D6"/>
    <w:rsid w:val="00346A3B"/>
    <w:rsid w:val="00346B15"/>
    <w:rsid w:val="00346C4D"/>
    <w:rsid w:val="00346D28"/>
    <w:rsid w:val="00346DB4"/>
    <w:rsid w:val="00346DDD"/>
    <w:rsid w:val="00346F6C"/>
    <w:rsid w:val="003470AE"/>
    <w:rsid w:val="00347136"/>
    <w:rsid w:val="003471C7"/>
    <w:rsid w:val="00347226"/>
    <w:rsid w:val="00347392"/>
    <w:rsid w:val="003474FE"/>
    <w:rsid w:val="00347574"/>
    <w:rsid w:val="00347720"/>
    <w:rsid w:val="00347745"/>
    <w:rsid w:val="003477C8"/>
    <w:rsid w:val="003477E9"/>
    <w:rsid w:val="00347847"/>
    <w:rsid w:val="003478F1"/>
    <w:rsid w:val="003478F4"/>
    <w:rsid w:val="00347AB5"/>
    <w:rsid w:val="00347BCD"/>
    <w:rsid w:val="00347C71"/>
    <w:rsid w:val="00347C9E"/>
    <w:rsid w:val="00347CB9"/>
    <w:rsid w:val="00347D01"/>
    <w:rsid w:val="00347D03"/>
    <w:rsid w:val="00347D41"/>
    <w:rsid w:val="00347E24"/>
    <w:rsid w:val="00347E91"/>
    <w:rsid w:val="00347F92"/>
    <w:rsid w:val="00350039"/>
    <w:rsid w:val="003500A8"/>
    <w:rsid w:val="003500DF"/>
    <w:rsid w:val="003501D4"/>
    <w:rsid w:val="003501D6"/>
    <w:rsid w:val="003502B7"/>
    <w:rsid w:val="003502C0"/>
    <w:rsid w:val="00350315"/>
    <w:rsid w:val="00350320"/>
    <w:rsid w:val="00350337"/>
    <w:rsid w:val="00350351"/>
    <w:rsid w:val="0035039B"/>
    <w:rsid w:val="00350402"/>
    <w:rsid w:val="00350448"/>
    <w:rsid w:val="00350451"/>
    <w:rsid w:val="00350458"/>
    <w:rsid w:val="0035047D"/>
    <w:rsid w:val="0035047E"/>
    <w:rsid w:val="003504A1"/>
    <w:rsid w:val="00350658"/>
    <w:rsid w:val="00350670"/>
    <w:rsid w:val="003506A0"/>
    <w:rsid w:val="003506B0"/>
    <w:rsid w:val="003506D1"/>
    <w:rsid w:val="0035071D"/>
    <w:rsid w:val="0035071E"/>
    <w:rsid w:val="0035073C"/>
    <w:rsid w:val="00350777"/>
    <w:rsid w:val="00350786"/>
    <w:rsid w:val="003507F5"/>
    <w:rsid w:val="00350880"/>
    <w:rsid w:val="003508B1"/>
    <w:rsid w:val="00350961"/>
    <w:rsid w:val="00350965"/>
    <w:rsid w:val="003509DC"/>
    <w:rsid w:val="00350A7C"/>
    <w:rsid w:val="00350B87"/>
    <w:rsid w:val="00350C07"/>
    <w:rsid w:val="00350C58"/>
    <w:rsid w:val="00350CFC"/>
    <w:rsid w:val="00350D83"/>
    <w:rsid w:val="00350E18"/>
    <w:rsid w:val="00350E1B"/>
    <w:rsid w:val="00350E2B"/>
    <w:rsid w:val="00350E4B"/>
    <w:rsid w:val="00350E6C"/>
    <w:rsid w:val="00350ED0"/>
    <w:rsid w:val="00350F70"/>
    <w:rsid w:val="00350FD1"/>
    <w:rsid w:val="003510E0"/>
    <w:rsid w:val="00351133"/>
    <w:rsid w:val="003511FE"/>
    <w:rsid w:val="003512BC"/>
    <w:rsid w:val="0035134D"/>
    <w:rsid w:val="003513BD"/>
    <w:rsid w:val="003513D4"/>
    <w:rsid w:val="003513DD"/>
    <w:rsid w:val="0035160D"/>
    <w:rsid w:val="003516C9"/>
    <w:rsid w:val="00351710"/>
    <w:rsid w:val="00351723"/>
    <w:rsid w:val="00351796"/>
    <w:rsid w:val="003517C6"/>
    <w:rsid w:val="0035188A"/>
    <w:rsid w:val="003518B3"/>
    <w:rsid w:val="00351AD6"/>
    <w:rsid w:val="00351D8C"/>
    <w:rsid w:val="00351E6D"/>
    <w:rsid w:val="00351E6F"/>
    <w:rsid w:val="00351EB9"/>
    <w:rsid w:val="00351F30"/>
    <w:rsid w:val="00351FE8"/>
    <w:rsid w:val="0035204D"/>
    <w:rsid w:val="00352179"/>
    <w:rsid w:val="00352207"/>
    <w:rsid w:val="00352442"/>
    <w:rsid w:val="00352565"/>
    <w:rsid w:val="00352590"/>
    <w:rsid w:val="003525A8"/>
    <w:rsid w:val="003526C0"/>
    <w:rsid w:val="003526D6"/>
    <w:rsid w:val="003526DC"/>
    <w:rsid w:val="0035273E"/>
    <w:rsid w:val="003527ED"/>
    <w:rsid w:val="0035280C"/>
    <w:rsid w:val="00352859"/>
    <w:rsid w:val="003528A3"/>
    <w:rsid w:val="003529D5"/>
    <w:rsid w:val="003529F1"/>
    <w:rsid w:val="00352A16"/>
    <w:rsid w:val="00352BE0"/>
    <w:rsid w:val="00352BE3"/>
    <w:rsid w:val="00352BEF"/>
    <w:rsid w:val="00352C02"/>
    <w:rsid w:val="00352C68"/>
    <w:rsid w:val="00352C8A"/>
    <w:rsid w:val="00352D55"/>
    <w:rsid w:val="00352DB7"/>
    <w:rsid w:val="00352DED"/>
    <w:rsid w:val="00352E0F"/>
    <w:rsid w:val="00352F05"/>
    <w:rsid w:val="00352F7E"/>
    <w:rsid w:val="003530AD"/>
    <w:rsid w:val="003530D1"/>
    <w:rsid w:val="00353166"/>
    <w:rsid w:val="003531DB"/>
    <w:rsid w:val="00353257"/>
    <w:rsid w:val="003532AC"/>
    <w:rsid w:val="00353346"/>
    <w:rsid w:val="00353361"/>
    <w:rsid w:val="003533FA"/>
    <w:rsid w:val="00353440"/>
    <w:rsid w:val="00353447"/>
    <w:rsid w:val="00353466"/>
    <w:rsid w:val="00353486"/>
    <w:rsid w:val="0035360D"/>
    <w:rsid w:val="003536E2"/>
    <w:rsid w:val="003537CC"/>
    <w:rsid w:val="00353805"/>
    <w:rsid w:val="0035380E"/>
    <w:rsid w:val="0035381D"/>
    <w:rsid w:val="003539A8"/>
    <w:rsid w:val="00353A08"/>
    <w:rsid w:val="00353AC3"/>
    <w:rsid w:val="00353B7A"/>
    <w:rsid w:val="00353B9C"/>
    <w:rsid w:val="00353DBA"/>
    <w:rsid w:val="00353F63"/>
    <w:rsid w:val="0035408E"/>
    <w:rsid w:val="0035412B"/>
    <w:rsid w:val="0035417D"/>
    <w:rsid w:val="003541DC"/>
    <w:rsid w:val="0035426D"/>
    <w:rsid w:val="003543F4"/>
    <w:rsid w:val="0035443B"/>
    <w:rsid w:val="0035444D"/>
    <w:rsid w:val="00354473"/>
    <w:rsid w:val="003544E1"/>
    <w:rsid w:val="0035455D"/>
    <w:rsid w:val="0035458C"/>
    <w:rsid w:val="00354619"/>
    <w:rsid w:val="0035461B"/>
    <w:rsid w:val="003546AD"/>
    <w:rsid w:val="00354713"/>
    <w:rsid w:val="00354832"/>
    <w:rsid w:val="00354875"/>
    <w:rsid w:val="003548A5"/>
    <w:rsid w:val="00354A30"/>
    <w:rsid w:val="00354AB6"/>
    <w:rsid w:val="00354B80"/>
    <w:rsid w:val="00354C5A"/>
    <w:rsid w:val="00354C82"/>
    <w:rsid w:val="00354D39"/>
    <w:rsid w:val="00354DB5"/>
    <w:rsid w:val="00354E88"/>
    <w:rsid w:val="00354E8D"/>
    <w:rsid w:val="00355057"/>
    <w:rsid w:val="003550D5"/>
    <w:rsid w:val="003550FA"/>
    <w:rsid w:val="00355100"/>
    <w:rsid w:val="00355101"/>
    <w:rsid w:val="0035516B"/>
    <w:rsid w:val="0035538A"/>
    <w:rsid w:val="0035541F"/>
    <w:rsid w:val="00355479"/>
    <w:rsid w:val="00355510"/>
    <w:rsid w:val="0035558B"/>
    <w:rsid w:val="003555A2"/>
    <w:rsid w:val="003555FE"/>
    <w:rsid w:val="0035567E"/>
    <w:rsid w:val="00355738"/>
    <w:rsid w:val="00355741"/>
    <w:rsid w:val="00355752"/>
    <w:rsid w:val="0035581E"/>
    <w:rsid w:val="0035594B"/>
    <w:rsid w:val="0035594E"/>
    <w:rsid w:val="00355973"/>
    <w:rsid w:val="0035598E"/>
    <w:rsid w:val="00355ADC"/>
    <w:rsid w:val="00355B98"/>
    <w:rsid w:val="00355BCF"/>
    <w:rsid w:val="00355BF1"/>
    <w:rsid w:val="00355E24"/>
    <w:rsid w:val="00355EAA"/>
    <w:rsid w:val="00355F0A"/>
    <w:rsid w:val="00355F0C"/>
    <w:rsid w:val="0035601B"/>
    <w:rsid w:val="0035607A"/>
    <w:rsid w:val="003560FC"/>
    <w:rsid w:val="0035616D"/>
    <w:rsid w:val="0035622D"/>
    <w:rsid w:val="00356242"/>
    <w:rsid w:val="003562C6"/>
    <w:rsid w:val="003562CF"/>
    <w:rsid w:val="003562F1"/>
    <w:rsid w:val="00356390"/>
    <w:rsid w:val="00356451"/>
    <w:rsid w:val="003564ED"/>
    <w:rsid w:val="0035651E"/>
    <w:rsid w:val="003565F9"/>
    <w:rsid w:val="00356663"/>
    <w:rsid w:val="0035676E"/>
    <w:rsid w:val="003567D5"/>
    <w:rsid w:val="00356852"/>
    <w:rsid w:val="00356950"/>
    <w:rsid w:val="003569CD"/>
    <w:rsid w:val="00356A93"/>
    <w:rsid w:val="00356C47"/>
    <w:rsid w:val="00356C55"/>
    <w:rsid w:val="00356C8D"/>
    <w:rsid w:val="00356CFA"/>
    <w:rsid w:val="00356D39"/>
    <w:rsid w:val="00356D6B"/>
    <w:rsid w:val="00356DF2"/>
    <w:rsid w:val="00356EE4"/>
    <w:rsid w:val="00356EE9"/>
    <w:rsid w:val="00356F60"/>
    <w:rsid w:val="00356F72"/>
    <w:rsid w:val="00356FC0"/>
    <w:rsid w:val="00357170"/>
    <w:rsid w:val="003571F5"/>
    <w:rsid w:val="003572F2"/>
    <w:rsid w:val="0035731F"/>
    <w:rsid w:val="00357320"/>
    <w:rsid w:val="003573B2"/>
    <w:rsid w:val="0035747F"/>
    <w:rsid w:val="003574FD"/>
    <w:rsid w:val="0035750F"/>
    <w:rsid w:val="00357566"/>
    <w:rsid w:val="003575A0"/>
    <w:rsid w:val="003575CE"/>
    <w:rsid w:val="003576C0"/>
    <w:rsid w:val="003576FF"/>
    <w:rsid w:val="00357705"/>
    <w:rsid w:val="00357747"/>
    <w:rsid w:val="0035795C"/>
    <w:rsid w:val="00357A58"/>
    <w:rsid w:val="00357AB8"/>
    <w:rsid w:val="00357ACD"/>
    <w:rsid w:val="00357AF0"/>
    <w:rsid w:val="00357C34"/>
    <w:rsid w:val="00357D06"/>
    <w:rsid w:val="00357DA0"/>
    <w:rsid w:val="00357E14"/>
    <w:rsid w:val="00357F14"/>
    <w:rsid w:val="00360075"/>
    <w:rsid w:val="003600BA"/>
    <w:rsid w:val="003601EB"/>
    <w:rsid w:val="00360232"/>
    <w:rsid w:val="00360261"/>
    <w:rsid w:val="00360281"/>
    <w:rsid w:val="0036029A"/>
    <w:rsid w:val="003603D5"/>
    <w:rsid w:val="00360427"/>
    <w:rsid w:val="003604D0"/>
    <w:rsid w:val="003604F9"/>
    <w:rsid w:val="00360569"/>
    <w:rsid w:val="00360671"/>
    <w:rsid w:val="0036074B"/>
    <w:rsid w:val="003607A3"/>
    <w:rsid w:val="00360838"/>
    <w:rsid w:val="003608EB"/>
    <w:rsid w:val="00360903"/>
    <w:rsid w:val="003609B0"/>
    <w:rsid w:val="00360A5D"/>
    <w:rsid w:val="00360A8D"/>
    <w:rsid w:val="00360AB4"/>
    <w:rsid w:val="00360B3A"/>
    <w:rsid w:val="00360DDC"/>
    <w:rsid w:val="00360FAA"/>
    <w:rsid w:val="00360FB3"/>
    <w:rsid w:val="00361067"/>
    <w:rsid w:val="0036106A"/>
    <w:rsid w:val="00361110"/>
    <w:rsid w:val="003611A1"/>
    <w:rsid w:val="003611BE"/>
    <w:rsid w:val="00361228"/>
    <w:rsid w:val="00361281"/>
    <w:rsid w:val="003612A9"/>
    <w:rsid w:val="003612DA"/>
    <w:rsid w:val="0036132A"/>
    <w:rsid w:val="0036133F"/>
    <w:rsid w:val="00361394"/>
    <w:rsid w:val="003613B2"/>
    <w:rsid w:val="003613D5"/>
    <w:rsid w:val="00361440"/>
    <w:rsid w:val="00361492"/>
    <w:rsid w:val="00361511"/>
    <w:rsid w:val="003615E0"/>
    <w:rsid w:val="0036160A"/>
    <w:rsid w:val="003616E9"/>
    <w:rsid w:val="003617E3"/>
    <w:rsid w:val="00361846"/>
    <w:rsid w:val="0036189D"/>
    <w:rsid w:val="00361937"/>
    <w:rsid w:val="00361A96"/>
    <w:rsid w:val="00361AD2"/>
    <w:rsid w:val="00361B7C"/>
    <w:rsid w:val="00361C2C"/>
    <w:rsid w:val="00361CAD"/>
    <w:rsid w:val="00361CB8"/>
    <w:rsid w:val="00361D0D"/>
    <w:rsid w:val="00361DCC"/>
    <w:rsid w:val="00361DF5"/>
    <w:rsid w:val="00361E03"/>
    <w:rsid w:val="00361E37"/>
    <w:rsid w:val="00361E79"/>
    <w:rsid w:val="00361E97"/>
    <w:rsid w:val="00361EEA"/>
    <w:rsid w:val="00361F0E"/>
    <w:rsid w:val="00361F43"/>
    <w:rsid w:val="00361F9C"/>
    <w:rsid w:val="00361FD6"/>
    <w:rsid w:val="00362204"/>
    <w:rsid w:val="00362205"/>
    <w:rsid w:val="00362242"/>
    <w:rsid w:val="00362364"/>
    <w:rsid w:val="0036246E"/>
    <w:rsid w:val="0036249D"/>
    <w:rsid w:val="003624B7"/>
    <w:rsid w:val="00362614"/>
    <w:rsid w:val="00362668"/>
    <w:rsid w:val="0036267B"/>
    <w:rsid w:val="003626BC"/>
    <w:rsid w:val="003626FB"/>
    <w:rsid w:val="00362745"/>
    <w:rsid w:val="003627C2"/>
    <w:rsid w:val="00362897"/>
    <w:rsid w:val="00362921"/>
    <w:rsid w:val="003629B8"/>
    <w:rsid w:val="003629C9"/>
    <w:rsid w:val="003629F4"/>
    <w:rsid w:val="00362A4D"/>
    <w:rsid w:val="00362A82"/>
    <w:rsid w:val="00362ADC"/>
    <w:rsid w:val="00362B1E"/>
    <w:rsid w:val="00362BFE"/>
    <w:rsid w:val="00362C34"/>
    <w:rsid w:val="00362C43"/>
    <w:rsid w:val="00362CA1"/>
    <w:rsid w:val="00362CFD"/>
    <w:rsid w:val="00362D0B"/>
    <w:rsid w:val="00362D15"/>
    <w:rsid w:val="00362D68"/>
    <w:rsid w:val="00362D81"/>
    <w:rsid w:val="00362E8B"/>
    <w:rsid w:val="00362F36"/>
    <w:rsid w:val="00363034"/>
    <w:rsid w:val="00363083"/>
    <w:rsid w:val="00363192"/>
    <w:rsid w:val="003631A5"/>
    <w:rsid w:val="003631B2"/>
    <w:rsid w:val="0036326F"/>
    <w:rsid w:val="00363297"/>
    <w:rsid w:val="003632B0"/>
    <w:rsid w:val="003632C2"/>
    <w:rsid w:val="0036331D"/>
    <w:rsid w:val="00363360"/>
    <w:rsid w:val="0036339A"/>
    <w:rsid w:val="00363412"/>
    <w:rsid w:val="0036346D"/>
    <w:rsid w:val="0036351A"/>
    <w:rsid w:val="00363566"/>
    <w:rsid w:val="0036357E"/>
    <w:rsid w:val="0036370B"/>
    <w:rsid w:val="00363714"/>
    <w:rsid w:val="00363751"/>
    <w:rsid w:val="0036378D"/>
    <w:rsid w:val="003637FA"/>
    <w:rsid w:val="0036391A"/>
    <w:rsid w:val="0036397E"/>
    <w:rsid w:val="00363A4D"/>
    <w:rsid w:val="00363B73"/>
    <w:rsid w:val="00363C26"/>
    <w:rsid w:val="00363CD9"/>
    <w:rsid w:val="00363D2A"/>
    <w:rsid w:val="00363D44"/>
    <w:rsid w:val="00363D93"/>
    <w:rsid w:val="00363E03"/>
    <w:rsid w:val="00363E7E"/>
    <w:rsid w:val="00363EDA"/>
    <w:rsid w:val="00363F39"/>
    <w:rsid w:val="00363F8E"/>
    <w:rsid w:val="00364053"/>
    <w:rsid w:val="003640EA"/>
    <w:rsid w:val="00364149"/>
    <w:rsid w:val="00364257"/>
    <w:rsid w:val="0036430A"/>
    <w:rsid w:val="0036430D"/>
    <w:rsid w:val="0036435E"/>
    <w:rsid w:val="003643BC"/>
    <w:rsid w:val="00364482"/>
    <w:rsid w:val="003644DC"/>
    <w:rsid w:val="0036450E"/>
    <w:rsid w:val="00364588"/>
    <w:rsid w:val="003645F0"/>
    <w:rsid w:val="00364609"/>
    <w:rsid w:val="003647E5"/>
    <w:rsid w:val="00364856"/>
    <w:rsid w:val="00364863"/>
    <w:rsid w:val="00364898"/>
    <w:rsid w:val="00364957"/>
    <w:rsid w:val="0036496E"/>
    <w:rsid w:val="00364B25"/>
    <w:rsid w:val="00364B73"/>
    <w:rsid w:val="00364B81"/>
    <w:rsid w:val="00364C11"/>
    <w:rsid w:val="00364C20"/>
    <w:rsid w:val="00364C27"/>
    <w:rsid w:val="00364C38"/>
    <w:rsid w:val="00364C39"/>
    <w:rsid w:val="00364C68"/>
    <w:rsid w:val="00364DA0"/>
    <w:rsid w:val="00364E30"/>
    <w:rsid w:val="00364E7B"/>
    <w:rsid w:val="00364FA6"/>
    <w:rsid w:val="00364FF2"/>
    <w:rsid w:val="003650D2"/>
    <w:rsid w:val="00365165"/>
    <w:rsid w:val="0036519A"/>
    <w:rsid w:val="00365309"/>
    <w:rsid w:val="00365372"/>
    <w:rsid w:val="00365373"/>
    <w:rsid w:val="00365420"/>
    <w:rsid w:val="003654E2"/>
    <w:rsid w:val="0036555C"/>
    <w:rsid w:val="0036556D"/>
    <w:rsid w:val="00365570"/>
    <w:rsid w:val="003655AC"/>
    <w:rsid w:val="0036564D"/>
    <w:rsid w:val="003656B5"/>
    <w:rsid w:val="003657EC"/>
    <w:rsid w:val="003658F6"/>
    <w:rsid w:val="00365924"/>
    <w:rsid w:val="00365934"/>
    <w:rsid w:val="0036594B"/>
    <w:rsid w:val="003659D2"/>
    <w:rsid w:val="003659E4"/>
    <w:rsid w:val="00365A8C"/>
    <w:rsid w:val="00365B03"/>
    <w:rsid w:val="00365B5F"/>
    <w:rsid w:val="00365BCA"/>
    <w:rsid w:val="00365C77"/>
    <w:rsid w:val="00365CAA"/>
    <w:rsid w:val="00365D88"/>
    <w:rsid w:val="00365E08"/>
    <w:rsid w:val="00365E9C"/>
    <w:rsid w:val="00365F58"/>
    <w:rsid w:val="00365FD2"/>
    <w:rsid w:val="003660AA"/>
    <w:rsid w:val="0036614B"/>
    <w:rsid w:val="00366375"/>
    <w:rsid w:val="00366394"/>
    <w:rsid w:val="003663E5"/>
    <w:rsid w:val="00366429"/>
    <w:rsid w:val="00366446"/>
    <w:rsid w:val="003664D7"/>
    <w:rsid w:val="0036650E"/>
    <w:rsid w:val="0036660A"/>
    <w:rsid w:val="003666C2"/>
    <w:rsid w:val="00366736"/>
    <w:rsid w:val="0036675D"/>
    <w:rsid w:val="00366777"/>
    <w:rsid w:val="003667A4"/>
    <w:rsid w:val="003667D1"/>
    <w:rsid w:val="00366846"/>
    <w:rsid w:val="00366A4C"/>
    <w:rsid w:val="00366A59"/>
    <w:rsid w:val="00366C08"/>
    <w:rsid w:val="00366CD4"/>
    <w:rsid w:val="00366CF9"/>
    <w:rsid w:val="00366D35"/>
    <w:rsid w:val="00366DB6"/>
    <w:rsid w:val="00366E4F"/>
    <w:rsid w:val="00366EDA"/>
    <w:rsid w:val="00367138"/>
    <w:rsid w:val="00367154"/>
    <w:rsid w:val="003672C7"/>
    <w:rsid w:val="003673C9"/>
    <w:rsid w:val="003673CA"/>
    <w:rsid w:val="00367636"/>
    <w:rsid w:val="0036768E"/>
    <w:rsid w:val="003676E2"/>
    <w:rsid w:val="003676ED"/>
    <w:rsid w:val="00367732"/>
    <w:rsid w:val="00367760"/>
    <w:rsid w:val="0036783E"/>
    <w:rsid w:val="00367959"/>
    <w:rsid w:val="0036799F"/>
    <w:rsid w:val="00367A3A"/>
    <w:rsid w:val="00367A7C"/>
    <w:rsid w:val="00367AAC"/>
    <w:rsid w:val="00367CB3"/>
    <w:rsid w:val="00367CCC"/>
    <w:rsid w:val="00367DE6"/>
    <w:rsid w:val="00370003"/>
    <w:rsid w:val="00370037"/>
    <w:rsid w:val="00370052"/>
    <w:rsid w:val="003700CA"/>
    <w:rsid w:val="0037011D"/>
    <w:rsid w:val="0037011E"/>
    <w:rsid w:val="00370133"/>
    <w:rsid w:val="0037016C"/>
    <w:rsid w:val="003701B3"/>
    <w:rsid w:val="00370240"/>
    <w:rsid w:val="003702E9"/>
    <w:rsid w:val="003703B2"/>
    <w:rsid w:val="00370628"/>
    <w:rsid w:val="00370681"/>
    <w:rsid w:val="0037078A"/>
    <w:rsid w:val="003707AE"/>
    <w:rsid w:val="003707FB"/>
    <w:rsid w:val="00370890"/>
    <w:rsid w:val="003708EB"/>
    <w:rsid w:val="00370913"/>
    <w:rsid w:val="0037091D"/>
    <w:rsid w:val="00370934"/>
    <w:rsid w:val="00370A34"/>
    <w:rsid w:val="00370A7D"/>
    <w:rsid w:val="00370BC1"/>
    <w:rsid w:val="00370BE8"/>
    <w:rsid w:val="00370C33"/>
    <w:rsid w:val="00370DB9"/>
    <w:rsid w:val="00370E15"/>
    <w:rsid w:val="00370E41"/>
    <w:rsid w:val="00370E67"/>
    <w:rsid w:val="00370E71"/>
    <w:rsid w:val="003710AE"/>
    <w:rsid w:val="00371166"/>
    <w:rsid w:val="0037124D"/>
    <w:rsid w:val="00371560"/>
    <w:rsid w:val="003715A3"/>
    <w:rsid w:val="003715B0"/>
    <w:rsid w:val="0037176E"/>
    <w:rsid w:val="003717B5"/>
    <w:rsid w:val="003717F5"/>
    <w:rsid w:val="00371869"/>
    <w:rsid w:val="0037191B"/>
    <w:rsid w:val="00371984"/>
    <w:rsid w:val="003719B6"/>
    <w:rsid w:val="003719BA"/>
    <w:rsid w:val="003719BF"/>
    <w:rsid w:val="00371A04"/>
    <w:rsid w:val="00371AE5"/>
    <w:rsid w:val="00371AF3"/>
    <w:rsid w:val="00371BBC"/>
    <w:rsid w:val="00371C13"/>
    <w:rsid w:val="00371C6B"/>
    <w:rsid w:val="00371D7E"/>
    <w:rsid w:val="00371DF0"/>
    <w:rsid w:val="00371E02"/>
    <w:rsid w:val="00371E90"/>
    <w:rsid w:val="00371EC9"/>
    <w:rsid w:val="00371ECE"/>
    <w:rsid w:val="00371EE3"/>
    <w:rsid w:val="00371F15"/>
    <w:rsid w:val="00371F9F"/>
    <w:rsid w:val="00372036"/>
    <w:rsid w:val="003720E9"/>
    <w:rsid w:val="003720F8"/>
    <w:rsid w:val="0037211A"/>
    <w:rsid w:val="00372169"/>
    <w:rsid w:val="00372232"/>
    <w:rsid w:val="00372305"/>
    <w:rsid w:val="0037232D"/>
    <w:rsid w:val="003723B4"/>
    <w:rsid w:val="003723E5"/>
    <w:rsid w:val="00372410"/>
    <w:rsid w:val="003724BE"/>
    <w:rsid w:val="003724E8"/>
    <w:rsid w:val="00372566"/>
    <w:rsid w:val="00372603"/>
    <w:rsid w:val="00372733"/>
    <w:rsid w:val="0037278E"/>
    <w:rsid w:val="003728A6"/>
    <w:rsid w:val="00372961"/>
    <w:rsid w:val="00372A0E"/>
    <w:rsid w:val="00372AB9"/>
    <w:rsid w:val="00372B0D"/>
    <w:rsid w:val="00372B4A"/>
    <w:rsid w:val="00372BFC"/>
    <w:rsid w:val="00372D6C"/>
    <w:rsid w:val="00372DE5"/>
    <w:rsid w:val="00372E83"/>
    <w:rsid w:val="00372F62"/>
    <w:rsid w:val="00373122"/>
    <w:rsid w:val="003731AC"/>
    <w:rsid w:val="00373276"/>
    <w:rsid w:val="0037345F"/>
    <w:rsid w:val="00373464"/>
    <w:rsid w:val="003734C4"/>
    <w:rsid w:val="0037358B"/>
    <w:rsid w:val="0037359B"/>
    <w:rsid w:val="003735AB"/>
    <w:rsid w:val="003736A2"/>
    <w:rsid w:val="0037371E"/>
    <w:rsid w:val="00373779"/>
    <w:rsid w:val="003737F2"/>
    <w:rsid w:val="0037380C"/>
    <w:rsid w:val="0037383C"/>
    <w:rsid w:val="0037383F"/>
    <w:rsid w:val="00373856"/>
    <w:rsid w:val="003738EF"/>
    <w:rsid w:val="00373979"/>
    <w:rsid w:val="003739D1"/>
    <w:rsid w:val="003739D3"/>
    <w:rsid w:val="003739EC"/>
    <w:rsid w:val="00373AFF"/>
    <w:rsid w:val="00373B18"/>
    <w:rsid w:val="00373C67"/>
    <w:rsid w:val="00373C9F"/>
    <w:rsid w:val="00373D3F"/>
    <w:rsid w:val="00373D53"/>
    <w:rsid w:val="00373E85"/>
    <w:rsid w:val="00373F3D"/>
    <w:rsid w:val="00373F41"/>
    <w:rsid w:val="00374117"/>
    <w:rsid w:val="0037412E"/>
    <w:rsid w:val="00374137"/>
    <w:rsid w:val="003741F2"/>
    <w:rsid w:val="0037422F"/>
    <w:rsid w:val="003742AE"/>
    <w:rsid w:val="003742D1"/>
    <w:rsid w:val="003743A6"/>
    <w:rsid w:val="003743D1"/>
    <w:rsid w:val="003743FF"/>
    <w:rsid w:val="00374415"/>
    <w:rsid w:val="00374474"/>
    <w:rsid w:val="003744C1"/>
    <w:rsid w:val="00374509"/>
    <w:rsid w:val="00374545"/>
    <w:rsid w:val="0037461B"/>
    <w:rsid w:val="0037463B"/>
    <w:rsid w:val="0037464E"/>
    <w:rsid w:val="00374681"/>
    <w:rsid w:val="0037474E"/>
    <w:rsid w:val="0037475E"/>
    <w:rsid w:val="0037477F"/>
    <w:rsid w:val="00374795"/>
    <w:rsid w:val="00374828"/>
    <w:rsid w:val="00374831"/>
    <w:rsid w:val="003748C5"/>
    <w:rsid w:val="003748D1"/>
    <w:rsid w:val="00374A01"/>
    <w:rsid w:val="00374A3D"/>
    <w:rsid w:val="00374CEB"/>
    <w:rsid w:val="00374CF3"/>
    <w:rsid w:val="00374D5E"/>
    <w:rsid w:val="00374DC5"/>
    <w:rsid w:val="00374DD9"/>
    <w:rsid w:val="00374F9B"/>
    <w:rsid w:val="00375094"/>
    <w:rsid w:val="0037514E"/>
    <w:rsid w:val="003751A4"/>
    <w:rsid w:val="00375215"/>
    <w:rsid w:val="00375249"/>
    <w:rsid w:val="0037526A"/>
    <w:rsid w:val="00375376"/>
    <w:rsid w:val="00375453"/>
    <w:rsid w:val="00375456"/>
    <w:rsid w:val="00375464"/>
    <w:rsid w:val="0037546D"/>
    <w:rsid w:val="00375570"/>
    <w:rsid w:val="0037562C"/>
    <w:rsid w:val="00375696"/>
    <w:rsid w:val="003756EB"/>
    <w:rsid w:val="00375756"/>
    <w:rsid w:val="003757AF"/>
    <w:rsid w:val="0037584F"/>
    <w:rsid w:val="003758A6"/>
    <w:rsid w:val="00375999"/>
    <w:rsid w:val="00375B9B"/>
    <w:rsid w:val="00375C50"/>
    <w:rsid w:val="00375C70"/>
    <w:rsid w:val="00375C77"/>
    <w:rsid w:val="00375CF2"/>
    <w:rsid w:val="00375D80"/>
    <w:rsid w:val="00375E2E"/>
    <w:rsid w:val="00375E68"/>
    <w:rsid w:val="00375ECD"/>
    <w:rsid w:val="00375EEF"/>
    <w:rsid w:val="003760BA"/>
    <w:rsid w:val="0037615D"/>
    <w:rsid w:val="00376172"/>
    <w:rsid w:val="00376190"/>
    <w:rsid w:val="0037619D"/>
    <w:rsid w:val="0037623C"/>
    <w:rsid w:val="0037627E"/>
    <w:rsid w:val="003762AD"/>
    <w:rsid w:val="0037630B"/>
    <w:rsid w:val="00376333"/>
    <w:rsid w:val="003763A3"/>
    <w:rsid w:val="003763A9"/>
    <w:rsid w:val="0037646A"/>
    <w:rsid w:val="003764F2"/>
    <w:rsid w:val="00376524"/>
    <w:rsid w:val="003765B3"/>
    <w:rsid w:val="003765E2"/>
    <w:rsid w:val="00376771"/>
    <w:rsid w:val="003767A8"/>
    <w:rsid w:val="003767CA"/>
    <w:rsid w:val="003767E9"/>
    <w:rsid w:val="003767F5"/>
    <w:rsid w:val="003768D8"/>
    <w:rsid w:val="00376962"/>
    <w:rsid w:val="00376969"/>
    <w:rsid w:val="00376A37"/>
    <w:rsid w:val="00376AEC"/>
    <w:rsid w:val="00376AF1"/>
    <w:rsid w:val="00376B03"/>
    <w:rsid w:val="00376B71"/>
    <w:rsid w:val="00376B8F"/>
    <w:rsid w:val="00376BC0"/>
    <w:rsid w:val="00376DC7"/>
    <w:rsid w:val="00376DF3"/>
    <w:rsid w:val="00376DF9"/>
    <w:rsid w:val="00376EA9"/>
    <w:rsid w:val="00376EF8"/>
    <w:rsid w:val="00376F6B"/>
    <w:rsid w:val="00377055"/>
    <w:rsid w:val="00377069"/>
    <w:rsid w:val="00377076"/>
    <w:rsid w:val="00377099"/>
    <w:rsid w:val="003770CE"/>
    <w:rsid w:val="003770F2"/>
    <w:rsid w:val="0037710C"/>
    <w:rsid w:val="0037715C"/>
    <w:rsid w:val="00377177"/>
    <w:rsid w:val="003773CF"/>
    <w:rsid w:val="003773EC"/>
    <w:rsid w:val="00377526"/>
    <w:rsid w:val="00377590"/>
    <w:rsid w:val="00377644"/>
    <w:rsid w:val="00377654"/>
    <w:rsid w:val="003776C6"/>
    <w:rsid w:val="0037770C"/>
    <w:rsid w:val="0037774F"/>
    <w:rsid w:val="00377780"/>
    <w:rsid w:val="0037798E"/>
    <w:rsid w:val="003779E7"/>
    <w:rsid w:val="00377A4F"/>
    <w:rsid w:val="00377B81"/>
    <w:rsid w:val="00377BE7"/>
    <w:rsid w:val="00377CC5"/>
    <w:rsid w:val="00377DFB"/>
    <w:rsid w:val="00377E5C"/>
    <w:rsid w:val="00377E7D"/>
    <w:rsid w:val="00377FD3"/>
    <w:rsid w:val="00380034"/>
    <w:rsid w:val="0038005E"/>
    <w:rsid w:val="003800A4"/>
    <w:rsid w:val="003800AA"/>
    <w:rsid w:val="003800CF"/>
    <w:rsid w:val="00380193"/>
    <w:rsid w:val="003801B5"/>
    <w:rsid w:val="003801F2"/>
    <w:rsid w:val="00380230"/>
    <w:rsid w:val="00380301"/>
    <w:rsid w:val="0038031A"/>
    <w:rsid w:val="00380398"/>
    <w:rsid w:val="003803EF"/>
    <w:rsid w:val="0038046B"/>
    <w:rsid w:val="003804AD"/>
    <w:rsid w:val="003804BD"/>
    <w:rsid w:val="00380510"/>
    <w:rsid w:val="00380516"/>
    <w:rsid w:val="003805BF"/>
    <w:rsid w:val="003805CB"/>
    <w:rsid w:val="0038065A"/>
    <w:rsid w:val="00380685"/>
    <w:rsid w:val="003806DB"/>
    <w:rsid w:val="00380843"/>
    <w:rsid w:val="0038086D"/>
    <w:rsid w:val="00380877"/>
    <w:rsid w:val="00380909"/>
    <w:rsid w:val="0038092B"/>
    <w:rsid w:val="00380965"/>
    <w:rsid w:val="00380978"/>
    <w:rsid w:val="003809CD"/>
    <w:rsid w:val="003809D6"/>
    <w:rsid w:val="00380A52"/>
    <w:rsid w:val="00380AFB"/>
    <w:rsid w:val="00380BD3"/>
    <w:rsid w:val="00380BF2"/>
    <w:rsid w:val="00380C6E"/>
    <w:rsid w:val="00380DF2"/>
    <w:rsid w:val="00380E1E"/>
    <w:rsid w:val="00380E68"/>
    <w:rsid w:val="00380EB7"/>
    <w:rsid w:val="00380F01"/>
    <w:rsid w:val="00380FED"/>
    <w:rsid w:val="00380FFB"/>
    <w:rsid w:val="00381115"/>
    <w:rsid w:val="0038118F"/>
    <w:rsid w:val="003811A3"/>
    <w:rsid w:val="003811F4"/>
    <w:rsid w:val="00381206"/>
    <w:rsid w:val="00381243"/>
    <w:rsid w:val="00381249"/>
    <w:rsid w:val="0038125F"/>
    <w:rsid w:val="003812A3"/>
    <w:rsid w:val="00381357"/>
    <w:rsid w:val="00381401"/>
    <w:rsid w:val="0038143F"/>
    <w:rsid w:val="003815B1"/>
    <w:rsid w:val="00381608"/>
    <w:rsid w:val="00381650"/>
    <w:rsid w:val="003817A4"/>
    <w:rsid w:val="003818DD"/>
    <w:rsid w:val="003818E5"/>
    <w:rsid w:val="00381958"/>
    <w:rsid w:val="003819DF"/>
    <w:rsid w:val="00381A86"/>
    <w:rsid w:val="00381BF4"/>
    <w:rsid w:val="00381C53"/>
    <w:rsid w:val="00381C76"/>
    <w:rsid w:val="00381D21"/>
    <w:rsid w:val="00381D6D"/>
    <w:rsid w:val="00381E27"/>
    <w:rsid w:val="00381EAB"/>
    <w:rsid w:val="00381F4F"/>
    <w:rsid w:val="00381F62"/>
    <w:rsid w:val="00381F7C"/>
    <w:rsid w:val="00382076"/>
    <w:rsid w:val="00382092"/>
    <w:rsid w:val="00382179"/>
    <w:rsid w:val="00382195"/>
    <w:rsid w:val="003821A6"/>
    <w:rsid w:val="003822A3"/>
    <w:rsid w:val="00382366"/>
    <w:rsid w:val="003823FE"/>
    <w:rsid w:val="0038249D"/>
    <w:rsid w:val="003825C8"/>
    <w:rsid w:val="00382608"/>
    <w:rsid w:val="00382666"/>
    <w:rsid w:val="00382696"/>
    <w:rsid w:val="003826B4"/>
    <w:rsid w:val="003826CD"/>
    <w:rsid w:val="003826EC"/>
    <w:rsid w:val="0038287C"/>
    <w:rsid w:val="003829AF"/>
    <w:rsid w:val="003829D3"/>
    <w:rsid w:val="00382C04"/>
    <w:rsid w:val="00382C12"/>
    <w:rsid w:val="00382D98"/>
    <w:rsid w:val="00382DE5"/>
    <w:rsid w:val="00382DF9"/>
    <w:rsid w:val="00382E13"/>
    <w:rsid w:val="00382EB9"/>
    <w:rsid w:val="00382EBA"/>
    <w:rsid w:val="00382EFB"/>
    <w:rsid w:val="0038306D"/>
    <w:rsid w:val="003830AB"/>
    <w:rsid w:val="003830D3"/>
    <w:rsid w:val="003830D6"/>
    <w:rsid w:val="003830DD"/>
    <w:rsid w:val="003833A6"/>
    <w:rsid w:val="0038358A"/>
    <w:rsid w:val="0038359B"/>
    <w:rsid w:val="003835A9"/>
    <w:rsid w:val="003835B6"/>
    <w:rsid w:val="003836DD"/>
    <w:rsid w:val="0038370C"/>
    <w:rsid w:val="003837AC"/>
    <w:rsid w:val="003837AD"/>
    <w:rsid w:val="003837B6"/>
    <w:rsid w:val="003837F4"/>
    <w:rsid w:val="0038384D"/>
    <w:rsid w:val="003838B7"/>
    <w:rsid w:val="003838FF"/>
    <w:rsid w:val="0038396B"/>
    <w:rsid w:val="003839CF"/>
    <w:rsid w:val="00383A9D"/>
    <w:rsid w:val="00383B04"/>
    <w:rsid w:val="00383BC6"/>
    <w:rsid w:val="00383BD4"/>
    <w:rsid w:val="00383C36"/>
    <w:rsid w:val="00383CAC"/>
    <w:rsid w:val="00383CF2"/>
    <w:rsid w:val="00383D48"/>
    <w:rsid w:val="00383DE5"/>
    <w:rsid w:val="00383F88"/>
    <w:rsid w:val="00384141"/>
    <w:rsid w:val="0038414F"/>
    <w:rsid w:val="003841BD"/>
    <w:rsid w:val="0038436F"/>
    <w:rsid w:val="00384383"/>
    <w:rsid w:val="003843C6"/>
    <w:rsid w:val="00384433"/>
    <w:rsid w:val="0038446F"/>
    <w:rsid w:val="003844F9"/>
    <w:rsid w:val="0038459F"/>
    <w:rsid w:val="003845DB"/>
    <w:rsid w:val="00384611"/>
    <w:rsid w:val="0038461B"/>
    <w:rsid w:val="00384658"/>
    <w:rsid w:val="00384708"/>
    <w:rsid w:val="00384736"/>
    <w:rsid w:val="003847DD"/>
    <w:rsid w:val="0038484C"/>
    <w:rsid w:val="003848C7"/>
    <w:rsid w:val="0038496B"/>
    <w:rsid w:val="003849FA"/>
    <w:rsid w:val="00384BA2"/>
    <w:rsid w:val="00384D14"/>
    <w:rsid w:val="00384E73"/>
    <w:rsid w:val="00384E9E"/>
    <w:rsid w:val="00384ECE"/>
    <w:rsid w:val="00384EEC"/>
    <w:rsid w:val="00384F00"/>
    <w:rsid w:val="00385055"/>
    <w:rsid w:val="0038508E"/>
    <w:rsid w:val="003850B3"/>
    <w:rsid w:val="003850DA"/>
    <w:rsid w:val="003851F3"/>
    <w:rsid w:val="00385261"/>
    <w:rsid w:val="003852C7"/>
    <w:rsid w:val="003852F4"/>
    <w:rsid w:val="003853A2"/>
    <w:rsid w:val="00385476"/>
    <w:rsid w:val="0038552F"/>
    <w:rsid w:val="0038558D"/>
    <w:rsid w:val="003855AD"/>
    <w:rsid w:val="003855E5"/>
    <w:rsid w:val="0038582C"/>
    <w:rsid w:val="003858A4"/>
    <w:rsid w:val="003858A9"/>
    <w:rsid w:val="003858AE"/>
    <w:rsid w:val="003858D6"/>
    <w:rsid w:val="003859D8"/>
    <w:rsid w:val="003859E8"/>
    <w:rsid w:val="00385BC6"/>
    <w:rsid w:val="00385C49"/>
    <w:rsid w:val="00385C8A"/>
    <w:rsid w:val="00385CDA"/>
    <w:rsid w:val="00385CDE"/>
    <w:rsid w:val="00385E38"/>
    <w:rsid w:val="00386004"/>
    <w:rsid w:val="0038605A"/>
    <w:rsid w:val="0038608D"/>
    <w:rsid w:val="00386229"/>
    <w:rsid w:val="0038627B"/>
    <w:rsid w:val="003862ED"/>
    <w:rsid w:val="003862F3"/>
    <w:rsid w:val="003863A9"/>
    <w:rsid w:val="003864AE"/>
    <w:rsid w:val="003864C1"/>
    <w:rsid w:val="003864E1"/>
    <w:rsid w:val="0038665D"/>
    <w:rsid w:val="003866CB"/>
    <w:rsid w:val="00386753"/>
    <w:rsid w:val="003867DE"/>
    <w:rsid w:val="0038687E"/>
    <w:rsid w:val="003868E8"/>
    <w:rsid w:val="00386984"/>
    <w:rsid w:val="003869A2"/>
    <w:rsid w:val="00386A3D"/>
    <w:rsid w:val="00386B36"/>
    <w:rsid w:val="00386C18"/>
    <w:rsid w:val="00386C34"/>
    <w:rsid w:val="00386CBF"/>
    <w:rsid w:val="00386CED"/>
    <w:rsid w:val="00386D71"/>
    <w:rsid w:val="00386EA9"/>
    <w:rsid w:val="00386F6E"/>
    <w:rsid w:val="00386FCB"/>
    <w:rsid w:val="00386FFD"/>
    <w:rsid w:val="00387039"/>
    <w:rsid w:val="003870FB"/>
    <w:rsid w:val="003870FF"/>
    <w:rsid w:val="0038717A"/>
    <w:rsid w:val="0038719E"/>
    <w:rsid w:val="003871AA"/>
    <w:rsid w:val="003872BB"/>
    <w:rsid w:val="0038736F"/>
    <w:rsid w:val="00387412"/>
    <w:rsid w:val="003874B8"/>
    <w:rsid w:val="003875C4"/>
    <w:rsid w:val="003875DE"/>
    <w:rsid w:val="003875ED"/>
    <w:rsid w:val="00387659"/>
    <w:rsid w:val="0038765F"/>
    <w:rsid w:val="003876BD"/>
    <w:rsid w:val="003876F2"/>
    <w:rsid w:val="003876F4"/>
    <w:rsid w:val="00387719"/>
    <w:rsid w:val="00387727"/>
    <w:rsid w:val="0038772F"/>
    <w:rsid w:val="003877D4"/>
    <w:rsid w:val="0038786F"/>
    <w:rsid w:val="00387873"/>
    <w:rsid w:val="00387874"/>
    <w:rsid w:val="003878DA"/>
    <w:rsid w:val="003878E0"/>
    <w:rsid w:val="003878E5"/>
    <w:rsid w:val="00387983"/>
    <w:rsid w:val="003879D7"/>
    <w:rsid w:val="003879F7"/>
    <w:rsid w:val="00387A5D"/>
    <w:rsid w:val="00387AC7"/>
    <w:rsid w:val="00387ACE"/>
    <w:rsid w:val="00387AD5"/>
    <w:rsid w:val="00387B74"/>
    <w:rsid w:val="00387BAB"/>
    <w:rsid w:val="00387CFE"/>
    <w:rsid w:val="00387D32"/>
    <w:rsid w:val="00387F83"/>
    <w:rsid w:val="00387FB2"/>
    <w:rsid w:val="00387FBC"/>
    <w:rsid w:val="00390041"/>
    <w:rsid w:val="00390071"/>
    <w:rsid w:val="00390088"/>
    <w:rsid w:val="00390168"/>
    <w:rsid w:val="003901AE"/>
    <w:rsid w:val="003901DE"/>
    <w:rsid w:val="003901F8"/>
    <w:rsid w:val="00390202"/>
    <w:rsid w:val="00390216"/>
    <w:rsid w:val="00390225"/>
    <w:rsid w:val="00390241"/>
    <w:rsid w:val="003902AF"/>
    <w:rsid w:val="003902FB"/>
    <w:rsid w:val="0039031B"/>
    <w:rsid w:val="00390341"/>
    <w:rsid w:val="003903A8"/>
    <w:rsid w:val="0039046C"/>
    <w:rsid w:val="0039048B"/>
    <w:rsid w:val="00390550"/>
    <w:rsid w:val="003905A5"/>
    <w:rsid w:val="003905F8"/>
    <w:rsid w:val="003906CE"/>
    <w:rsid w:val="00390766"/>
    <w:rsid w:val="00390834"/>
    <w:rsid w:val="003908DA"/>
    <w:rsid w:val="00390A7E"/>
    <w:rsid w:val="00390AC9"/>
    <w:rsid w:val="00390BBA"/>
    <w:rsid w:val="00390BBD"/>
    <w:rsid w:val="00390BCE"/>
    <w:rsid w:val="00390C99"/>
    <w:rsid w:val="00390CFC"/>
    <w:rsid w:val="00390D23"/>
    <w:rsid w:val="00390D64"/>
    <w:rsid w:val="00390D6B"/>
    <w:rsid w:val="00390DCD"/>
    <w:rsid w:val="00390ECD"/>
    <w:rsid w:val="00391027"/>
    <w:rsid w:val="0039103D"/>
    <w:rsid w:val="003911A5"/>
    <w:rsid w:val="00391276"/>
    <w:rsid w:val="003912AC"/>
    <w:rsid w:val="003912EC"/>
    <w:rsid w:val="00391434"/>
    <w:rsid w:val="003914CF"/>
    <w:rsid w:val="00391550"/>
    <w:rsid w:val="003915CB"/>
    <w:rsid w:val="00391691"/>
    <w:rsid w:val="003917B3"/>
    <w:rsid w:val="003918F9"/>
    <w:rsid w:val="00391964"/>
    <w:rsid w:val="003919CD"/>
    <w:rsid w:val="00391A09"/>
    <w:rsid w:val="00391A5E"/>
    <w:rsid w:val="00391BFF"/>
    <w:rsid w:val="00391C2C"/>
    <w:rsid w:val="00391CB8"/>
    <w:rsid w:val="00391CFE"/>
    <w:rsid w:val="00391DC5"/>
    <w:rsid w:val="00391E4C"/>
    <w:rsid w:val="00391E58"/>
    <w:rsid w:val="00391E8F"/>
    <w:rsid w:val="00391EA7"/>
    <w:rsid w:val="00392279"/>
    <w:rsid w:val="00392302"/>
    <w:rsid w:val="00392326"/>
    <w:rsid w:val="00392398"/>
    <w:rsid w:val="003923A3"/>
    <w:rsid w:val="003923BA"/>
    <w:rsid w:val="00392431"/>
    <w:rsid w:val="003924F3"/>
    <w:rsid w:val="0039250F"/>
    <w:rsid w:val="00392565"/>
    <w:rsid w:val="0039261A"/>
    <w:rsid w:val="00392644"/>
    <w:rsid w:val="00392650"/>
    <w:rsid w:val="00392686"/>
    <w:rsid w:val="00392725"/>
    <w:rsid w:val="0039275E"/>
    <w:rsid w:val="0039276A"/>
    <w:rsid w:val="003927DD"/>
    <w:rsid w:val="0039285A"/>
    <w:rsid w:val="0039298A"/>
    <w:rsid w:val="00392990"/>
    <w:rsid w:val="003929A8"/>
    <w:rsid w:val="00392AED"/>
    <w:rsid w:val="00392B36"/>
    <w:rsid w:val="00392B6F"/>
    <w:rsid w:val="00392BF4"/>
    <w:rsid w:val="00392C3D"/>
    <w:rsid w:val="00392CEB"/>
    <w:rsid w:val="00392D27"/>
    <w:rsid w:val="00392D2A"/>
    <w:rsid w:val="00392D35"/>
    <w:rsid w:val="00392D55"/>
    <w:rsid w:val="00392DFC"/>
    <w:rsid w:val="00392E0C"/>
    <w:rsid w:val="00392E3D"/>
    <w:rsid w:val="00392F01"/>
    <w:rsid w:val="00392F05"/>
    <w:rsid w:val="00392F08"/>
    <w:rsid w:val="00392FAD"/>
    <w:rsid w:val="00393017"/>
    <w:rsid w:val="00393077"/>
    <w:rsid w:val="00393256"/>
    <w:rsid w:val="0039325F"/>
    <w:rsid w:val="00393321"/>
    <w:rsid w:val="00393394"/>
    <w:rsid w:val="00393487"/>
    <w:rsid w:val="00393501"/>
    <w:rsid w:val="00393562"/>
    <w:rsid w:val="00393634"/>
    <w:rsid w:val="00393689"/>
    <w:rsid w:val="00393702"/>
    <w:rsid w:val="00393719"/>
    <w:rsid w:val="0039379D"/>
    <w:rsid w:val="003937A0"/>
    <w:rsid w:val="00393870"/>
    <w:rsid w:val="00393898"/>
    <w:rsid w:val="003938A3"/>
    <w:rsid w:val="003938AE"/>
    <w:rsid w:val="003938B8"/>
    <w:rsid w:val="00393A6D"/>
    <w:rsid w:val="00393A99"/>
    <w:rsid w:val="00393ACB"/>
    <w:rsid w:val="00393C0C"/>
    <w:rsid w:val="00393C47"/>
    <w:rsid w:val="00393CC4"/>
    <w:rsid w:val="00393D26"/>
    <w:rsid w:val="00393DCA"/>
    <w:rsid w:val="00393DDE"/>
    <w:rsid w:val="00393E52"/>
    <w:rsid w:val="00393E8B"/>
    <w:rsid w:val="00393EC3"/>
    <w:rsid w:val="00393F8E"/>
    <w:rsid w:val="00393FC6"/>
    <w:rsid w:val="00393FD0"/>
    <w:rsid w:val="00393FDA"/>
    <w:rsid w:val="00394035"/>
    <w:rsid w:val="00394097"/>
    <w:rsid w:val="00394106"/>
    <w:rsid w:val="00394168"/>
    <w:rsid w:val="0039417E"/>
    <w:rsid w:val="00394205"/>
    <w:rsid w:val="00394209"/>
    <w:rsid w:val="00394266"/>
    <w:rsid w:val="0039429A"/>
    <w:rsid w:val="003942A2"/>
    <w:rsid w:val="003943DB"/>
    <w:rsid w:val="003943F3"/>
    <w:rsid w:val="003944DD"/>
    <w:rsid w:val="00394505"/>
    <w:rsid w:val="00394546"/>
    <w:rsid w:val="00394604"/>
    <w:rsid w:val="00394616"/>
    <w:rsid w:val="003946E1"/>
    <w:rsid w:val="00394750"/>
    <w:rsid w:val="00394788"/>
    <w:rsid w:val="003948A9"/>
    <w:rsid w:val="003948CC"/>
    <w:rsid w:val="0039498D"/>
    <w:rsid w:val="00394AB9"/>
    <w:rsid w:val="00394ABD"/>
    <w:rsid w:val="00394B2E"/>
    <w:rsid w:val="00394C5C"/>
    <w:rsid w:val="00394DEB"/>
    <w:rsid w:val="00394EF7"/>
    <w:rsid w:val="00394F3F"/>
    <w:rsid w:val="00395266"/>
    <w:rsid w:val="0039531A"/>
    <w:rsid w:val="00395325"/>
    <w:rsid w:val="00395353"/>
    <w:rsid w:val="00395425"/>
    <w:rsid w:val="0039544E"/>
    <w:rsid w:val="003954A1"/>
    <w:rsid w:val="0039555C"/>
    <w:rsid w:val="003956D3"/>
    <w:rsid w:val="00395825"/>
    <w:rsid w:val="00395894"/>
    <w:rsid w:val="003959DC"/>
    <w:rsid w:val="00395A5F"/>
    <w:rsid w:val="00395B15"/>
    <w:rsid w:val="00395B1A"/>
    <w:rsid w:val="00395B61"/>
    <w:rsid w:val="00395BD7"/>
    <w:rsid w:val="00395C29"/>
    <w:rsid w:val="00395C8D"/>
    <w:rsid w:val="00395C98"/>
    <w:rsid w:val="00395CE6"/>
    <w:rsid w:val="00395DA9"/>
    <w:rsid w:val="00395DF2"/>
    <w:rsid w:val="00395EC6"/>
    <w:rsid w:val="00395F83"/>
    <w:rsid w:val="0039605C"/>
    <w:rsid w:val="00396187"/>
    <w:rsid w:val="003961ED"/>
    <w:rsid w:val="00396211"/>
    <w:rsid w:val="0039623D"/>
    <w:rsid w:val="0039626C"/>
    <w:rsid w:val="00396314"/>
    <w:rsid w:val="003963D1"/>
    <w:rsid w:val="00396414"/>
    <w:rsid w:val="0039659C"/>
    <w:rsid w:val="003965AB"/>
    <w:rsid w:val="00396616"/>
    <w:rsid w:val="003967A0"/>
    <w:rsid w:val="003967E2"/>
    <w:rsid w:val="00396874"/>
    <w:rsid w:val="003968C5"/>
    <w:rsid w:val="003968CD"/>
    <w:rsid w:val="003968F7"/>
    <w:rsid w:val="00396ABF"/>
    <w:rsid w:val="00396B26"/>
    <w:rsid w:val="00396B37"/>
    <w:rsid w:val="00396B49"/>
    <w:rsid w:val="00396BC8"/>
    <w:rsid w:val="00396C20"/>
    <w:rsid w:val="00396C5E"/>
    <w:rsid w:val="00396C85"/>
    <w:rsid w:val="00396D7A"/>
    <w:rsid w:val="00396E04"/>
    <w:rsid w:val="00396F4A"/>
    <w:rsid w:val="00396FCC"/>
    <w:rsid w:val="003970AB"/>
    <w:rsid w:val="00397105"/>
    <w:rsid w:val="00397153"/>
    <w:rsid w:val="0039717E"/>
    <w:rsid w:val="00397201"/>
    <w:rsid w:val="00397226"/>
    <w:rsid w:val="003972CF"/>
    <w:rsid w:val="00397316"/>
    <w:rsid w:val="0039739F"/>
    <w:rsid w:val="003973EE"/>
    <w:rsid w:val="003974F6"/>
    <w:rsid w:val="00397599"/>
    <w:rsid w:val="003975D7"/>
    <w:rsid w:val="00397654"/>
    <w:rsid w:val="003976A5"/>
    <w:rsid w:val="00397755"/>
    <w:rsid w:val="00397920"/>
    <w:rsid w:val="003979DA"/>
    <w:rsid w:val="00397A69"/>
    <w:rsid w:val="00397AB5"/>
    <w:rsid w:val="00397AF5"/>
    <w:rsid w:val="00397B78"/>
    <w:rsid w:val="00397B80"/>
    <w:rsid w:val="00397C01"/>
    <w:rsid w:val="00397C30"/>
    <w:rsid w:val="00397C70"/>
    <w:rsid w:val="00397D10"/>
    <w:rsid w:val="00397D17"/>
    <w:rsid w:val="00397DA6"/>
    <w:rsid w:val="00397DCC"/>
    <w:rsid w:val="00397E18"/>
    <w:rsid w:val="00397E1B"/>
    <w:rsid w:val="00397EA2"/>
    <w:rsid w:val="00397EE9"/>
    <w:rsid w:val="00397EEC"/>
    <w:rsid w:val="00397F96"/>
    <w:rsid w:val="00397FFA"/>
    <w:rsid w:val="003A0044"/>
    <w:rsid w:val="003A0050"/>
    <w:rsid w:val="003A009D"/>
    <w:rsid w:val="003A00F4"/>
    <w:rsid w:val="003A02B5"/>
    <w:rsid w:val="003A040F"/>
    <w:rsid w:val="003A0445"/>
    <w:rsid w:val="003A0485"/>
    <w:rsid w:val="003A04A1"/>
    <w:rsid w:val="003A061B"/>
    <w:rsid w:val="003A068F"/>
    <w:rsid w:val="003A0693"/>
    <w:rsid w:val="003A0697"/>
    <w:rsid w:val="003A071C"/>
    <w:rsid w:val="003A0832"/>
    <w:rsid w:val="003A0869"/>
    <w:rsid w:val="003A08A8"/>
    <w:rsid w:val="003A08AA"/>
    <w:rsid w:val="003A0B4D"/>
    <w:rsid w:val="003A0C3F"/>
    <w:rsid w:val="003A0C64"/>
    <w:rsid w:val="003A0C9A"/>
    <w:rsid w:val="003A0DEF"/>
    <w:rsid w:val="003A0E47"/>
    <w:rsid w:val="003A0E4E"/>
    <w:rsid w:val="003A107E"/>
    <w:rsid w:val="003A10CB"/>
    <w:rsid w:val="003A1148"/>
    <w:rsid w:val="003A11F4"/>
    <w:rsid w:val="003A14F0"/>
    <w:rsid w:val="003A15F4"/>
    <w:rsid w:val="003A1709"/>
    <w:rsid w:val="003A177E"/>
    <w:rsid w:val="003A17FD"/>
    <w:rsid w:val="003A184A"/>
    <w:rsid w:val="003A187D"/>
    <w:rsid w:val="003A18B7"/>
    <w:rsid w:val="003A18B8"/>
    <w:rsid w:val="003A19C0"/>
    <w:rsid w:val="003A19DF"/>
    <w:rsid w:val="003A1A54"/>
    <w:rsid w:val="003A1AE1"/>
    <w:rsid w:val="003A1BC4"/>
    <w:rsid w:val="003A1BF7"/>
    <w:rsid w:val="003A1C4A"/>
    <w:rsid w:val="003A1CBF"/>
    <w:rsid w:val="003A1D3F"/>
    <w:rsid w:val="003A1DB6"/>
    <w:rsid w:val="003A1E0C"/>
    <w:rsid w:val="003A1E44"/>
    <w:rsid w:val="003A1EB0"/>
    <w:rsid w:val="003A1FE4"/>
    <w:rsid w:val="003A2005"/>
    <w:rsid w:val="003A20B7"/>
    <w:rsid w:val="003A2112"/>
    <w:rsid w:val="003A217A"/>
    <w:rsid w:val="003A21C7"/>
    <w:rsid w:val="003A2241"/>
    <w:rsid w:val="003A22E2"/>
    <w:rsid w:val="003A24F5"/>
    <w:rsid w:val="003A2702"/>
    <w:rsid w:val="003A279D"/>
    <w:rsid w:val="003A2822"/>
    <w:rsid w:val="003A2823"/>
    <w:rsid w:val="003A2A1C"/>
    <w:rsid w:val="003A2AD3"/>
    <w:rsid w:val="003A2AD8"/>
    <w:rsid w:val="003A2B2A"/>
    <w:rsid w:val="003A2B56"/>
    <w:rsid w:val="003A2B75"/>
    <w:rsid w:val="003A2B9B"/>
    <w:rsid w:val="003A2DD8"/>
    <w:rsid w:val="003A2E2D"/>
    <w:rsid w:val="003A2EA0"/>
    <w:rsid w:val="003A2ED7"/>
    <w:rsid w:val="003A2EE1"/>
    <w:rsid w:val="003A2EEC"/>
    <w:rsid w:val="003A3004"/>
    <w:rsid w:val="003A30A1"/>
    <w:rsid w:val="003A3141"/>
    <w:rsid w:val="003A3198"/>
    <w:rsid w:val="003A3348"/>
    <w:rsid w:val="003A3369"/>
    <w:rsid w:val="003A338B"/>
    <w:rsid w:val="003A34F5"/>
    <w:rsid w:val="003A35A8"/>
    <w:rsid w:val="003A36AF"/>
    <w:rsid w:val="003A3765"/>
    <w:rsid w:val="003A37C0"/>
    <w:rsid w:val="003A37CD"/>
    <w:rsid w:val="003A37D1"/>
    <w:rsid w:val="003A381F"/>
    <w:rsid w:val="003A38BB"/>
    <w:rsid w:val="003A3901"/>
    <w:rsid w:val="003A3902"/>
    <w:rsid w:val="003A3B36"/>
    <w:rsid w:val="003A3B5A"/>
    <w:rsid w:val="003A3E15"/>
    <w:rsid w:val="003A3F21"/>
    <w:rsid w:val="003A3F86"/>
    <w:rsid w:val="003A3FC9"/>
    <w:rsid w:val="003A407A"/>
    <w:rsid w:val="003A407E"/>
    <w:rsid w:val="003A40CA"/>
    <w:rsid w:val="003A418E"/>
    <w:rsid w:val="003A41A6"/>
    <w:rsid w:val="003A41A7"/>
    <w:rsid w:val="003A41FA"/>
    <w:rsid w:val="003A422E"/>
    <w:rsid w:val="003A4283"/>
    <w:rsid w:val="003A42F9"/>
    <w:rsid w:val="003A4342"/>
    <w:rsid w:val="003A4344"/>
    <w:rsid w:val="003A4452"/>
    <w:rsid w:val="003A447A"/>
    <w:rsid w:val="003A44A5"/>
    <w:rsid w:val="003A44D1"/>
    <w:rsid w:val="003A44FB"/>
    <w:rsid w:val="003A4521"/>
    <w:rsid w:val="003A4559"/>
    <w:rsid w:val="003A46D6"/>
    <w:rsid w:val="003A476B"/>
    <w:rsid w:val="003A487F"/>
    <w:rsid w:val="003A4894"/>
    <w:rsid w:val="003A48F5"/>
    <w:rsid w:val="003A4918"/>
    <w:rsid w:val="003A494D"/>
    <w:rsid w:val="003A4976"/>
    <w:rsid w:val="003A4977"/>
    <w:rsid w:val="003A498C"/>
    <w:rsid w:val="003A4A41"/>
    <w:rsid w:val="003A4AFA"/>
    <w:rsid w:val="003A4C9E"/>
    <w:rsid w:val="003A4DBE"/>
    <w:rsid w:val="003A4DCE"/>
    <w:rsid w:val="003A4E7A"/>
    <w:rsid w:val="003A4EE2"/>
    <w:rsid w:val="003A4F2A"/>
    <w:rsid w:val="003A4F8C"/>
    <w:rsid w:val="003A4F8F"/>
    <w:rsid w:val="003A4FC9"/>
    <w:rsid w:val="003A5089"/>
    <w:rsid w:val="003A52E3"/>
    <w:rsid w:val="003A531E"/>
    <w:rsid w:val="003A5332"/>
    <w:rsid w:val="003A534E"/>
    <w:rsid w:val="003A5529"/>
    <w:rsid w:val="003A55D8"/>
    <w:rsid w:val="003A5791"/>
    <w:rsid w:val="003A5842"/>
    <w:rsid w:val="003A5845"/>
    <w:rsid w:val="003A5861"/>
    <w:rsid w:val="003A59EC"/>
    <w:rsid w:val="003A5A15"/>
    <w:rsid w:val="003A5A6F"/>
    <w:rsid w:val="003A5A7A"/>
    <w:rsid w:val="003A5B59"/>
    <w:rsid w:val="003A5CCC"/>
    <w:rsid w:val="003A5D19"/>
    <w:rsid w:val="003A5D57"/>
    <w:rsid w:val="003A5D5D"/>
    <w:rsid w:val="003A5D7D"/>
    <w:rsid w:val="003A5ECE"/>
    <w:rsid w:val="003A5FBE"/>
    <w:rsid w:val="003A6063"/>
    <w:rsid w:val="003A607D"/>
    <w:rsid w:val="003A60C7"/>
    <w:rsid w:val="003A613B"/>
    <w:rsid w:val="003A6149"/>
    <w:rsid w:val="003A618D"/>
    <w:rsid w:val="003A61E1"/>
    <w:rsid w:val="003A6202"/>
    <w:rsid w:val="003A6307"/>
    <w:rsid w:val="003A635E"/>
    <w:rsid w:val="003A63E1"/>
    <w:rsid w:val="003A6443"/>
    <w:rsid w:val="003A6531"/>
    <w:rsid w:val="003A655E"/>
    <w:rsid w:val="003A656C"/>
    <w:rsid w:val="003A6775"/>
    <w:rsid w:val="003A677C"/>
    <w:rsid w:val="003A67C0"/>
    <w:rsid w:val="003A67F6"/>
    <w:rsid w:val="003A68F2"/>
    <w:rsid w:val="003A694F"/>
    <w:rsid w:val="003A69A5"/>
    <w:rsid w:val="003A69FD"/>
    <w:rsid w:val="003A6A6A"/>
    <w:rsid w:val="003A6A9C"/>
    <w:rsid w:val="003A6AB7"/>
    <w:rsid w:val="003A6AC8"/>
    <w:rsid w:val="003A6AEF"/>
    <w:rsid w:val="003A6B08"/>
    <w:rsid w:val="003A6BAB"/>
    <w:rsid w:val="003A6BFD"/>
    <w:rsid w:val="003A6C3D"/>
    <w:rsid w:val="003A6D44"/>
    <w:rsid w:val="003A6D5E"/>
    <w:rsid w:val="003A6F02"/>
    <w:rsid w:val="003A708A"/>
    <w:rsid w:val="003A717A"/>
    <w:rsid w:val="003A7194"/>
    <w:rsid w:val="003A7206"/>
    <w:rsid w:val="003A7311"/>
    <w:rsid w:val="003A759D"/>
    <w:rsid w:val="003A7620"/>
    <w:rsid w:val="003A7648"/>
    <w:rsid w:val="003A7689"/>
    <w:rsid w:val="003A774B"/>
    <w:rsid w:val="003A7821"/>
    <w:rsid w:val="003A786C"/>
    <w:rsid w:val="003A7890"/>
    <w:rsid w:val="003A7910"/>
    <w:rsid w:val="003A7ADF"/>
    <w:rsid w:val="003A7BE6"/>
    <w:rsid w:val="003A7CCF"/>
    <w:rsid w:val="003A7D2D"/>
    <w:rsid w:val="003A7D8F"/>
    <w:rsid w:val="003A7DE8"/>
    <w:rsid w:val="003A7DF2"/>
    <w:rsid w:val="003A7E12"/>
    <w:rsid w:val="003A7F36"/>
    <w:rsid w:val="003A7F9C"/>
    <w:rsid w:val="003A7FF1"/>
    <w:rsid w:val="003B009B"/>
    <w:rsid w:val="003B00F6"/>
    <w:rsid w:val="003B01AB"/>
    <w:rsid w:val="003B01E0"/>
    <w:rsid w:val="003B025F"/>
    <w:rsid w:val="003B0298"/>
    <w:rsid w:val="003B02F7"/>
    <w:rsid w:val="003B033A"/>
    <w:rsid w:val="003B03B1"/>
    <w:rsid w:val="003B03F5"/>
    <w:rsid w:val="003B056E"/>
    <w:rsid w:val="003B0600"/>
    <w:rsid w:val="003B067F"/>
    <w:rsid w:val="003B06A2"/>
    <w:rsid w:val="003B06C7"/>
    <w:rsid w:val="003B0705"/>
    <w:rsid w:val="003B0775"/>
    <w:rsid w:val="003B085D"/>
    <w:rsid w:val="003B0889"/>
    <w:rsid w:val="003B0899"/>
    <w:rsid w:val="003B0C6B"/>
    <w:rsid w:val="003B0CCB"/>
    <w:rsid w:val="003B0CD6"/>
    <w:rsid w:val="003B0CDC"/>
    <w:rsid w:val="003B0CFB"/>
    <w:rsid w:val="003B0D98"/>
    <w:rsid w:val="003B0F3A"/>
    <w:rsid w:val="003B10E0"/>
    <w:rsid w:val="003B112C"/>
    <w:rsid w:val="003B115B"/>
    <w:rsid w:val="003B11A9"/>
    <w:rsid w:val="003B127F"/>
    <w:rsid w:val="003B13DC"/>
    <w:rsid w:val="003B13E6"/>
    <w:rsid w:val="003B1415"/>
    <w:rsid w:val="003B1433"/>
    <w:rsid w:val="003B1461"/>
    <w:rsid w:val="003B14BB"/>
    <w:rsid w:val="003B14C4"/>
    <w:rsid w:val="003B14E0"/>
    <w:rsid w:val="003B15AF"/>
    <w:rsid w:val="003B17DD"/>
    <w:rsid w:val="003B180C"/>
    <w:rsid w:val="003B1818"/>
    <w:rsid w:val="003B182C"/>
    <w:rsid w:val="003B1881"/>
    <w:rsid w:val="003B18FA"/>
    <w:rsid w:val="003B18FB"/>
    <w:rsid w:val="003B1939"/>
    <w:rsid w:val="003B1964"/>
    <w:rsid w:val="003B19A1"/>
    <w:rsid w:val="003B1B51"/>
    <w:rsid w:val="003B1BC5"/>
    <w:rsid w:val="003B1BD3"/>
    <w:rsid w:val="003B1BF0"/>
    <w:rsid w:val="003B1C35"/>
    <w:rsid w:val="003B1C81"/>
    <w:rsid w:val="003B1CE1"/>
    <w:rsid w:val="003B1D70"/>
    <w:rsid w:val="003B1D78"/>
    <w:rsid w:val="003B1DA3"/>
    <w:rsid w:val="003B1F37"/>
    <w:rsid w:val="003B1FC2"/>
    <w:rsid w:val="003B2086"/>
    <w:rsid w:val="003B20A1"/>
    <w:rsid w:val="003B2168"/>
    <w:rsid w:val="003B2190"/>
    <w:rsid w:val="003B21BA"/>
    <w:rsid w:val="003B2232"/>
    <w:rsid w:val="003B2253"/>
    <w:rsid w:val="003B22C8"/>
    <w:rsid w:val="003B23B2"/>
    <w:rsid w:val="003B2436"/>
    <w:rsid w:val="003B2444"/>
    <w:rsid w:val="003B254F"/>
    <w:rsid w:val="003B25BB"/>
    <w:rsid w:val="003B2608"/>
    <w:rsid w:val="003B2741"/>
    <w:rsid w:val="003B2773"/>
    <w:rsid w:val="003B2788"/>
    <w:rsid w:val="003B27AD"/>
    <w:rsid w:val="003B28C1"/>
    <w:rsid w:val="003B28DC"/>
    <w:rsid w:val="003B28FE"/>
    <w:rsid w:val="003B2967"/>
    <w:rsid w:val="003B29D2"/>
    <w:rsid w:val="003B29D7"/>
    <w:rsid w:val="003B29EC"/>
    <w:rsid w:val="003B2AB2"/>
    <w:rsid w:val="003B2ABD"/>
    <w:rsid w:val="003B2B14"/>
    <w:rsid w:val="003B2B45"/>
    <w:rsid w:val="003B2DE4"/>
    <w:rsid w:val="003B2E0B"/>
    <w:rsid w:val="003B2F23"/>
    <w:rsid w:val="003B3144"/>
    <w:rsid w:val="003B3149"/>
    <w:rsid w:val="003B31A0"/>
    <w:rsid w:val="003B329E"/>
    <w:rsid w:val="003B32B3"/>
    <w:rsid w:val="003B331D"/>
    <w:rsid w:val="003B3432"/>
    <w:rsid w:val="003B3714"/>
    <w:rsid w:val="003B3716"/>
    <w:rsid w:val="003B376B"/>
    <w:rsid w:val="003B37A2"/>
    <w:rsid w:val="003B37B0"/>
    <w:rsid w:val="003B382A"/>
    <w:rsid w:val="003B3955"/>
    <w:rsid w:val="003B3956"/>
    <w:rsid w:val="003B3AD0"/>
    <w:rsid w:val="003B3B00"/>
    <w:rsid w:val="003B3CBE"/>
    <w:rsid w:val="003B3D2A"/>
    <w:rsid w:val="003B3E60"/>
    <w:rsid w:val="003B3ED1"/>
    <w:rsid w:val="003B3FA4"/>
    <w:rsid w:val="003B3FC1"/>
    <w:rsid w:val="003B42D6"/>
    <w:rsid w:val="003B4361"/>
    <w:rsid w:val="003B443C"/>
    <w:rsid w:val="003B4563"/>
    <w:rsid w:val="003B46EE"/>
    <w:rsid w:val="003B476D"/>
    <w:rsid w:val="003B47DE"/>
    <w:rsid w:val="003B47E5"/>
    <w:rsid w:val="003B4876"/>
    <w:rsid w:val="003B488C"/>
    <w:rsid w:val="003B495C"/>
    <w:rsid w:val="003B4964"/>
    <w:rsid w:val="003B49E9"/>
    <w:rsid w:val="003B4A14"/>
    <w:rsid w:val="003B4AB0"/>
    <w:rsid w:val="003B4AF4"/>
    <w:rsid w:val="003B4B53"/>
    <w:rsid w:val="003B4B8D"/>
    <w:rsid w:val="003B4B9D"/>
    <w:rsid w:val="003B4BD0"/>
    <w:rsid w:val="003B4C9E"/>
    <w:rsid w:val="003B4CCA"/>
    <w:rsid w:val="003B4CFB"/>
    <w:rsid w:val="003B4D3F"/>
    <w:rsid w:val="003B4D71"/>
    <w:rsid w:val="003B4DFA"/>
    <w:rsid w:val="003B4F1D"/>
    <w:rsid w:val="003B4FBE"/>
    <w:rsid w:val="003B4FD2"/>
    <w:rsid w:val="003B50EB"/>
    <w:rsid w:val="003B51DF"/>
    <w:rsid w:val="003B520E"/>
    <w:rsid w:val="003B5239"/>
    <w:rsid w:val="003B5268"/>
    <w:rsid w:val="003B52DA"/>
    <w:rsid w:val="003B530E"/>
    <w:rsid w:val="003B53B6"/>
    <w:rsid w:val="003B542A"/>
    <w:rsid w:val="003B5574"/>
    <w:rsid w:val="003B55E3"/>
    <w:rsid w:val="003B5669"/>
    <w:rsid w:val="003B56EE"/>
    <w:rsid w:val="003B5736"/>
    <w:rsid w:val="003B576E"/>
    <w:rsid w:val="003B577E"/>
    <w:rsid w:val="003B57C4"/>
    <w:rsid w:val="003B583C"/>
    <w:rsid w:val="003B5880"/>
    <w:rsid w:val="003B58F4"/>
    <w:rsid w:val="003B5903"/>
    <w:rsid w:val="003B5905"/>
    <w:rsid w:val="003B5932"/>
    <w:rsid w:val="003B5968"/>
    <w:rsid w:val="003B5998"/>
    <w:rsid w:val="003B59E4"/>
    <w:rsid w:val="003B5A0F"/>
    <w:rsid w:val="003B5B37"/>
    <w:rsid w:val="003B5B41"/>
    <w:rsid w:val="003B5C57"/>
    <w:rsid w:val="003B5D21"/>
    <w:rsid w:val="003B5E74"/>
    <w:rsid w:val="003B5F1C"/>
    <w:rsid w:val="003B5FBF"/>
    <w:rsid w:val="003B606D"/>
    <w:rsid w:val="003B60A7"/>
    <w:rsid w:val="003B6179"/>
    <w:rsid w:val="003B62D0"/>
    <w:rsid w:val="003B62D3"/>
    <w:rsid w:val="003B634B"/>
    <w:rsid w:val="003B63E5"/>
    <w:rsid w:val="003B63E6"/>
    <w:rsid w:val="003B640A"/>
    <w:rsid w:val="003B6437"/>
    <w:rsid w:val="003B6476"/>
    <w:rsid w:val="003B657A"/>
    <w:rsid w:val="003B65B7"/>
    <w:rsid w:val="003B65BC"/>
    <w:rsid w:val="003B6621"/>
    <w:rsid w:val="003B6627"/>
    <w:rsid w:val="003B6772"/>
    <w:rsid w:val="003B67AD"/>
    <w:rsid w:val="003B67D0"/>
    <w:rsid w:val="003B684A"/>
    <w:rsid w:val="003B6869"/>
    <w:rsid w:val="003B6970"/>
    <w:rsid w:val="003B6AF9"/>
    <w:rsid w:val="003B6B75"/>
    <w:rsid w:val="003B6CA2"/>
    <w:rsid w:val="003B6D4D"/>
    <w:rsid w:val="003B6D64"/>
    <w:rsid w:val="003B6D6A"/>
    <w:rsid w:val="003B6DC9"/>
    <w:rsid w:val="003B6F2B"/>
    <w:rsid w:val="003B6F69"/>
    <w:rsid w:val="003B6F8A"/>
    <w:rsid w:val="003B70E3"/>
    <w:rsid w:val="003B7130"/>
    <w:rsid w:val="003B721A"/>
    <w:rsid w:val="003B729C"/>
    <w:rsid w:val="003B735B"/>
    <w:rsid w:val="003B73CD"/>
    <w:rsid w:val="003B73E8"/>
    <w:rsid w:val="003B7404"/>
    <w:rsid w:val="003B741C"/>
    <w:rsid w:val="003B743C"/>
    <w:rsid w:val="003B7469"/>
    <w:rsid w:val="003B74DB"/>
    <w:rsid w:val="003B7503"/>
    <w:rsid w:val="003B7508"/>
    <w:rsid w:val="003B750F"/>
    <w:rsid w:val="003B7539"/>
    <w:rsid w:val="003B7551"/>
    <w:rsid w:val="003B75C3"/>
    <w:rsid w:val="003B7615"/>
    <w:rsid w:val="003B761C"/>
    <w:rsid w:val="003B762D"/>
    <w:rsid w:val="003B76A5"/>
    <w:rsid w:val="003B7720"/>
    <w:rsid w:val="003B7814"/>
    <w:rsid w:val="003B7859"/>
    <w:rsid w:val="003B78B9"/>
    <w:rsid w:val="003B78BF"/>
    <w:rsid w:val="003B78E5"/>
    <w:rsid w:val="003B7947"/>
    <w:rsid w:val="003B797B"/>
    <w:rsid w:val="003B7A00"/>
    <w:rsid w:val="003B7A37"/>
    <w:rsid w:val="003B7A93"/>
    <w:rsid w:val="003B7AD8"/>
    <w:rsid w:val="003B7B50"/>
    <w:rsid w:val="003B7BBA"/>
    <w:rsid w:val="003B7CA0"/>
    <w:rsid w:val="003B7D88"/>
    <w:rsid w:val="003B7E47"/>
    <w:rsid w:val="003B7F26"/>
    <w:rsid w:val="003B7F2A"/>
    <w:rsid w:val="003B7F64"/>
    <w:rsid w:val="003B7FAD"/>
    <w:rsid w:val="003C0085"/>
    <w:rsid w:val="003C00C8"/>
    <w:rsid w:val="003C00D7"/>
    <w:rsid w:val="003C0281"/>
    <w:rsid w:val="003C0290"/>
    <w:rsid w:val="003C02AB"/>
    <w:rsid w:val="003C03EF"/>
    <w:rsid w:val="003C0549"/>
    <w:rsid w:val="003C059A"/>
    <w:rsid w:val="003C0624"/>
    <w:rsid w:val="003C06FB"/>
    <w:rsid w:val="003C0792"/>
    <w:rsid w:val="003C079A"/>
    <w:rsid w:val="003C07D9"/>
    <w:rsid w:val="003C0827"/>
    <w:rsid w:val="003C0835"/>
    <w:rsid w:val="003C084C"/>
    <w:rsid w:val="003C08C2"/>
    <w:rsid w:val="003C0911"/>
    <w:rsid w:val="003C0A19"/>
    <w:rsid w:val="003C0ABD"/>
    <w:rsid w:val="003C0AFE"/>
    <w:rsid w:val="003C0D73"/>
    <w:rsid w:val="003C0DEE"/>
    <w:rsid w:val="003C0E6C"/>
    <w:rsid w:val="003C0E81"/>
    <w:rsid w:val="003C0F59"/>
    <w:rsid w:val="003C0FA2"/>
    <w:rsid w:val="003C1019"/>
    <w:rsid w:val="003C1032"/>
    <w:rsid w:val="003C1066"/>
    <w:rsid w:val="003C107A"/>
    <w:rsid w:val="003C10CC"/>
    <w:rsid w:val="003C1115"/>
    <w:rsid w:val="003C116F"/>
    <w:rsid w:val="003C120E"/>
    <w:rsid w:val="003C12DC"/>
    <w:rsid w:val="003C13EE"/>
    <w:rsid w:val="003C145A"/>
    <w:rsid w:val="003C14EA"/>
    <w:rsid w:val="003C1592"/>
    <w:rsid w:val="003C16B0"/>
    <w:rsid w:val="003C16C1"/>
    <w:rsid w:val="003C16E3"/>
    <w:rsid w:val="003C1726"/>
    <w:rsid w:val="003C17AB"/>
    <w:rsid w:val="003C17CA"/>
    <w:rsid w:val="003C1889"/>
    <w:rsid w:val="003C1932"/>
    <w:rsid w:val="003C1A2F"/>
    <w:rsid w:val="003C1A92"/>
    <w:rsid w:val="003C1BDD"/>
    <w:rsid w:val="003C1C3B"/>
    <w:rsid w:val="003C1C60"/>
    <w:rsid w:val="003C1C9A"/>
    <w:rsid w:val="003C1EBD"/>
    <w:rsid w:val="003C1EC1"/>
    <w:rsid w:val="003C1F38"/>
    <w:rsid w:val="003C1F44"/>
    <w:rsid w:val="003C1F50"/>
    <w:rsid w:val="003C1F58"/>
    <w:rsid w:val="003C2054"/>
    <w:rsid w:val="003C2096"/>
    <w:rsid w:val="003C2099"/>
    <w:rsid w:val="003C20B8"/>
    <w:rsid w:val="003C20BE"/>
    <w:rsid w:val="003C2108"/>
    <w:rsid w:val="003C213E"/>
    <w:rsid w:val="003C2207"/>
    <w:rsid w:val="003C2243"/>
    <w:rsid w:val="003C23CA"/>
    <w:rsid w:val="003C23F4"/>
    <w:rsid w:val="003C2465"/>
    <w:rsid w:val="003C252E"/>
    <w:rsid w:val="003C255D"/>
    <w:rsid w:val="003C2581"/>
    <w:rsid w:val="003C25AB"/>
    <w:rsid w:val="003C26A1"/>
    <w:rsid w:val="003C276C"/>
    <w:rsid w:val="003C27DA"/>
    <w:rsid w:val="003C27EC"/>
    <w:rsid w:val="003C27F3"/>
    <w:rsid w:val="003C2886"/>
    <w:rsid w:val="003C292F"/>
    <w:rsid w:val="003C2AC7"/>
    <w:rsid w:val="003C2B26"/>
    <w:rsid w:val="003C2BFB"/>
    <w:rsid w:val="003C2DB7"/>
    <w:rsid w:val="003C2DE1"/>
    <w:rsid w:val="003C2E08"/>
    <w:rsid w:val="003C2E2B"/>
    <w:rsid w:val="003C2F63"/>
    <w:rsid w:val="003C2F6A"/>
    <w:rsid w:val="003C2F70"/>
    <w:rsid w:val="003C3068"/>
    <w:rsid w:val="003C313B"/>
    <w:rsid w:val="003C3255"/>
    <w:rsid w:val="003C3267"/>
    <w:rsid w:val="003C32AB"/>
    <w:rsid w:val="003C32BE"/>
    <w:rsid w:val="003C34BA"/>
    <w:rsid w:val="003C34CF"/>
    <w:rsid w:val="003C3545"/>
    <w:rsid w:val="003C356B"/>
    <w:rsid w:val="003C35E1"/>
    <w:rsid w:val="003C363D"/>
    <w:rsid w:val="003C376E"/>
    <w:rsid w:val="003C37E5"/>
    <w:rsid w:val="003C3819"/>
    <w:rsid w:val="003C3885"/>
    <w:rsid w:val="003C38DF"/>
    <w:rsid w:val="003C3970"/>
    <w:rsid w:val="003C3980"/>
    <w:rsid w:val="003C3AAC"/>
    <w:rsid w:val="003C3AC1"/>
    <w:rsid w:val="003C3B53"/>
    <w:rsid w:val="003C3BD2"/>
    <w:rsid w:val="003C3D14"/>
    <w:rsid w:val="003C3DA3"/>
    <w:rsid w:val="003C3DC0"/>
    <w:rsid w:val="003C3ECF"/>
    <w:rsid w:val="003C4063"/>
    <w:rsid w:val="003C407B"/>
    <w:rsid w:val="003C408B"/>
    <w:rsid w:val="003C40AE"/>
    <w:rsid w:val="003C40BD"/>
    <w:rsid w:val="003C410D"/>
    <w:rsid w:val="003C4117"/>
    <w:rsid w:val="003C4153"/>
    <w:rsid w:val="003C447B"/>
    <w:rsid w:val="003C44A4"/>
    <w:rsid w:val="003C44D2"/>
    <w:rsid w:val="003C460B"/>
    <w:rsid w:val="003C4618"/>
    <w:rsid w:val="003C4675"/>
    <w:rsid w:val="003C469F"/>
    <w:rsid w:val="003C46AE"/>
    <w:rsid w:val="003C480E"/>
    <w:rsid w:val="003C4848"/>
    <w:rsid w:val="003C484C"/>
    <w:rsid w:val="003C489E"/>
    <w:rsid w:val="003C48BD"/>
    <w:rsid w:val="003C494D"/>
    <w:rsid w:val="003C4971"/>
    <w:rsid w:val="003C4984"/>
    <w:rsid w:val="003C49CF"/>
    <w:rsid w:val="003C4AE1"/>
    <w:rsid w:val="003C4BE2"/>
    <w:rsid w:val="003C4D67"/>
    <w:rsid w:val="003C4DE3"/>
    <w:rsid w:val="003C4DEE"/>
    <w:rsid w:val="003C50B6"/>
    <w:rsid w:val="003C5143"/>
    <w:rsid w:val="003C51B6"/>
    <w:rsid w:val="003C51D1"/>
    <w:rsid w:val="003C51DB"/>
    <w:rsid w:val="003C51F8"/>
    <w:rsid w:val="003C5292"/>
    <w:rsid w:val="003C5312"/>
    <w:rsid w:val="003C535B"/>
    <w:rsid w:val="003C53B9"/>
    <w:rsid w:val="003C5463"/>
    <w:rsid w:val="003C549A"/>
    <w:rsid w:val="003C5519"/>
    <w:rsid w:val="003C5566"/>
    <w:rsid w:val="003C5572"/>
    <w:rsid w:val="003C5620"/>
    <w:rsid w:val="003C57D7"/>
    <w:rsid w:val="003C585B"/>
    <w:rsid w:val="003C58C5"/>
    <w:rsid w:val="003C59D7"/>
    <w:rsid w:val="003C5B17"/>
    <w:rsid w:val="003C5BD1"/>
    <w:rsid w:val="003C5D62"/>
    <w:rsid w:val="003C5E16"/>
    <w:rsid w:val="003C5EE6"/>
    <w:rsid w:val="003C5F46"/>
    <w:rsid w:val="003C5FF4"/>
    <w:rsid w:val="003C609E"/>
    <w:rsid w:val="003C619D"/>
    <w:rsid w:val="003C6212"/>
    <w:rsid w:val="003C621C"/>
    <w:rsid w:val="003C626B"/>
    <w:rsid w:val="003C62F6"/>
    <w:rsid w:val="003C6337"/>
    <w:rsid w:val="003C6418"/>
    <w:rsid w:val="003C642D"/>
    <w:rsid w:val="003C64F8"/>
    <w:rsid w:val="003C6537"/>
    <w:rsid w:val="003C655A"/>
    <w:rsid w:val="003C6714"/>
    <w:rsid w:val="003C6751"/>
    <w:rsid w:val="003C6757"/>
    <w:rsid w:val="003C6794"/>
    <w:rsid w:val="003C67D7"/>
    <w:rsid w:val="003C6805"/>
    <w:rsid w:val="003C680B"/>
    <w:rsid w:val="003C6935"/>
    <w:rsid w:val="003C6A02"/>
    <w:rsid w:val="003C6A6B"/>
    <w:rsid w:val="003C6AB9"/>
    <w:rsid w:val="003C6AE2"/>
    <w:rsid w:val="003C6CC5"/>
    <w:rsid w:val="003C6CD0"/>
    <w:rsid w:val="003C6D1F"/>
    <w:rsid w:val="003C6D53"/>
    <w:rsid w:val="003C6DD2"/>
    <w:rsid w:val="003C6E03"/>
    <w:rsid w:val="003C6F47"/>
    <w:rsid w:val="003C6F63"/>
    <w:rsid w:val="003C70ED"/>
    <w:rsid w:val="003C7196"/>
    <w:rsid w:val="003C7201"/>
    <w:rsid w:val="003C720E"/>
    <w:rsid w:val="003C7277"/>
    <w:rsid w:val="003C7387"/>
    <w:rsid w:val="003C7473"/>
    <w:rsid w:val="003C7533"/>
    <w:rsid w:val="003C77A4"/>
    <w:rsid w:val="003C782B"/>
    <w:rsid w:val="003C7882"/>
    <w:rsid w:val="003C788E"/>
    <w:rsid w:val="003C7916"/>
    <w:rsid w:val="003C7A86"/>
    <w:rsid w:val="003C7B71"/>
    <w:rsid w:val="003C7C8E"/>
    <w:rsid w:val="003C7D1A"/>
    <w:rsid w:val="003C7D51"/>
    <w:rsid w:val="003C7FBE"/>
    <w:rsid w:val="003D009C"/>
    <w:rsid w:val="003D00B3"/>
    <w:rsid w:val="003D01C0"/>
    <w:rsid w:val="003D01F1"/>
    <w:rsid w:val="003D025C"/>
    <w:rsid w:val="003D031A"/>
    <w:rsid w:val="003D038F"/>
    <w:rsid w:val="003D03D2"/>
    <w:rsid w:val="003D0420"/>
    <w:rsid w:val="003D058C"/>
    <w:rsid w:val="003D06F1"/>
    <w:rsid w:val="003D070C"/>
    <w:rsid w:val="003D0718"/>
    <w:rsid w:val="003D07A2"/>
    <w:rsid w:val="003D08E9"/>
    <w:rsid w:val="003D0910"/>
    <w:rsid w:val="003D0951"/>
    <w:rsid w:val="003D09D1"/>
    <w:rsid w:val="003D0B4B"/>
    <w:rsid w:val="003D0B52"/>
    <w:rsid w:val="003D0BC4"/>
    <w:rsid w:val="003D0D2D"/>
    <w:rsid w:val="003D0D8D"/>
    <w:rsid w:val="003D0E02"/>
    <w:rsid w:val="003D0EEA"/>
    <w:rsid w:val="003D0F0D"/>
    <w:rsid w:val="003D0F21"/>
    <w:rsid w:val="003D0F2B"/>
    <w:rsid w:val="003D0FB1"/>
    <w:rsid w:val="003D0FC3"/>
    <w:rsid w:val="003D0FCD"/>
    <w:rsid w:val="003D10CD"/>
    <w:rsid w:val="003D1131"/>
    <w:rsid w:val="003D12C4"/>
    <w:rsid w:val="003D1303"/>
    <w:rsid w:val="003D13C8"/>
    <w:rsid w:val="003D13DF"/>
    <w:rsid w:val="003D145B"/>
    <w:rsid w:val="003D1464"/>
    <w:rsid w:val="003D151C"/>
    <w:rsid w:val="003D1529"/>
    <w:rsid w:val="003D16C5"/>
    <w:rsid w:val="003D176E"/>
    <w:rsid w:val="003D1852"/>
    <w:rsid w:val="003D189F"/>
    <w:rsid w:val="003D18BA"/>
    <w:rsid w:val="003D18BF"/>
    <w:rsid w:val="003D18E8"/>
    <w:rsid w:val="003D1961"/>
    <w:rsid w:val="003D19DA"/>
    <w:rsid w:val="003D1BA4"/>
    <w:rsid w:val="003D1CD7"/>
    <w:rsid w:val="003D1E85"/>
    <w:rsid w:val="003D1F40"/>
    <w:rsid w:val="003D1FB4"/>
    <w:rsid w:val="003D1FD5"/>
    <w:rsid w:val="003D2014"/>
    <w:rsid w:val="003D2017"/>
    <w:rsid w:val="003D2270"/>
    <w:rsid w:val="003D22F8"/>
    <w:rsid w:val="003D2471"/>
    <w:rsid w:val="003D24A5"/>
    <w:rsid w:val="003D24EB"/>
    <w:rsid w:val="003D2536"/>
    <w:rsid w:val="003D2552"/>
    <w:rsid w:val="003D259D"/>
    <w:rsid w:val="003D28A7"/>
    <w:rsid w:val="003D28C3"/>
    <w:rsid w:val="003D28F8"/>
    <w:rsid w:val="003D28FB"/>
    <w:rsid w:val="003D294A"/>
    <w:rsid w:val="003D2992"/>
    <w:rsid w:val="003D2A5D"/>
    <w:rsid w:val="003D2A92"/>
    <w:rsid w:val="003D2C45"/>
    <w:rsid w:val="003D2D32"/>
    <w:rsid w:val="003D2D7C"/>
    <w:rsid w:val="003D2EA1"/>
    <w:rsid w:val="003D2F48"/>
    <w:rsid w:val="003D2FE0"/>
    <w:rsid w:val="003D30CF"/>
    <w:rsid w:val="003D3228"/>
    <w:rsid w:val="003D32AE"/>
    <w:rsid w:val="003D334C"/>
    <w:rsid w:val="003D3350"/>
    <w:rsid w:val="003D339A"/>
    <w:rsid w:val="003D33FD"/>
    <w:rsid w:val="003D3400"/>
    <w:rsid w:val="003D34C2"/>
    <w:rsid w:val="003D352F"/>
    <w:rsid w:val="003D3576"/>
    <w:rsid w:val="003D35B2"/>
    <w:rsid w:val="003D35D7"/>
    <w:rsid w:val="003D3633"/>
    <w:rsid w:val="003D36A2"/>
    <w:rsid w:val="003D36E7"/>
    <w:rsid w:val="003D380B"/>
    <w:rsid w:val="003D3822"/>
    <w:rsid w:val="003D387A"/>
    <w:rsid w:val="003D393F"/>
    <w:rsid w:val="003D3941"/>
    <w:rsid w:val="003D39CE"/>
    <w:rsid w:val="003D39D3"/>
    <w:rsid w:val="003D3A96"/>
    <w:rsid w:val="003D3B0B"/>
    <w:rsid w:val="003D3B4E"/>
    <w:rsid w:val="003D3C24"/>
    <w:rsid w:val="003D3C4F"/>
    <w:rsid w:val="003D3CB5"/>
    <w:rsid w:val="003D3CF4"/>
    <w:rsid w:val="003D3D0D"/>
    <w:rsid w:val="003D3D4C"/>
    <w:rsid w:val="003D3D7B"/>
    <w:rsid w:val="003D3D96"/>
    <w:rsid w:val="003D3E11"/>
    <w:rsid w:val="003D3E2B"/>
    <w:rsid w:val="003D3EA5"/>
    <w:rsid w:val="003D3EDC"/>
    <w:rsid w:val="003D3FD1"/>
    <w:rsid w:val="003D403A"/>
    <w:rsid w:val="003D4108"/>
    <w:rsid w:val="003D4142"/>
    <w:rsid w:val="003D4247"/>
    <w:rsid w:val="003D45D5"/>
    <w:rsid w:val="003D45F7"/>
    <w:rsid w:val="003D4630"/>
    <w:rsid w:val="003D4649"/>
    <w:rsid w:val="003D476D"/>
    <w:rsid w:val="003D47F9"/>
    <w:rsid w:val="003D4802"/>
    <w:rsid w:val="003D4831"/>
    <w:rsid w:val="003D498A"/>
    <w:rsid w:val="003D49A2"/>
    <w:rsid w:val="003D4A47"/>
    <w:rsid w:val="003D4A50"/>
    <w:rsid w:val="003D4A70"/>
    <w:rsid w:val="003D4AD4"/>
    <w:rsid w:val="003D4B22"/>
    <w:rsid w:val="003D4B42"/>
    <w:rsid w:val="003D4B6C"/>
    <w:rsid w:val="003D4C81"/>
    <w:rsid w:val="003D4EFD"/>
    <w:rsid w:val="003D4F2F"/>
    <w:rsid w:val="003D4FA0"/>
    <w:rsid w:val="003D4FCC"/>
    <w:rsid w:val="003D4FF3"/>
    <w:rsid w:val="003D5004"/>
    <w:rsid w:val="003D507C"/>
    <w:rsid w:val="003D507E"/>
    <w:rsid w:val="003D5140"/>
    <w:rsid w:val="003D51D4"/>
    <w:rsid w:val="003D51E8"/>
    <w:rsid w:val="003D5218"/>
    <w:rsid w:val="003D5265"/>
    <w:rsid w:val="003D5290"/>
    <w:rsid w:val="003D52D8"/>
    <w:rsid w:val="003D52DD"/>
    <w:rsid w:val="003D52EA"/>
    <w:rsid w:val="003D533A"/>
    <w:rsid w:val="003D5350"/>
    <w:rsid w:val="003D5403"/>
    <w:rsid w:val="003D5545"/>
    <w:rsid w:val="003D55B3"/>
    <w:rsid w:val="003D56D4"/>
    <w:rsid w:val="003D5825"/>
    <w:rsid w:val="003D5907"/>
    <w:rsid w:val="003D5911"/>
    <w:rsid w:val="003D5938"/>
    <w:rsid w:val="003D594B"/>
    <w:rsid w:val="003D59D0"/>
    <w:rsid w:val="003D59F5"/>
    <w:rsid w:val="003D5B64"/>
    <w:rsid w:val="003D5B9E"/>
    <w:rsid w:val="003D5C48"/>
    <w:rsid w:val="003D5C51"/>
    <w:rsid w:val="003D5C5E"/>
    <w:rsid w:val="003D5C62"/>
    <w:rsid w:val="003D5D1A"/>
    <w:rsid w:val="003D5DA0"/>
    <w:rsid w:val="003D5E7E"/>
    <w:rsid w:val="003D5EA3"/>
    <w:rsid w:val="003D5EDA"/>
    <w:rsid w:val="003D60EE"/>
    <w:rsid w:val="003D611B"/>
    <w:rsid w:val="003D6163"/>
    <w:rsid w:val="003D6264"/>
    <w:rsid w:val="003D6311"/>
    <w:rsid w:val="003D6332"/>
    <w:rsid w:val="003D63EA"/>
    <w:rsid w:val="003D6663"/>
    <w:rsid w:val="003D66A2"/>
    <w:rsid w:val="003D66EA"/>
    <w:rsid w:val="003D670F"/>
    <w:rsid w:val="003D677D"/>
    <w:rsid w:val="003D6892"/>
    <w:rsid w:val="003D6938"/>
    <w:rsid w:val="003D69F1"/>
    <w:rsid w:val="003D6A08"/>
    <w:rsid w:val="003D6A85"/>
    <w:rsid w:val="003D6B9D"/>
    <w:rsid w:val="003D6B9E"/>
    <w:rsid w:val="003D6BCB"/>
    <w:rsid w:val="003D6BE0"/>
    <w:rsid w:val="003D6BFF"/>
    <w:rsid w:val="003D6C02"/>
    <w:rsid w:val="003D6C26"/>
    <w:rsid w:val="003D6D18"/>
    <w:rsid w:val="003D6E19"/>
    <w:rsid w:val="003D6F49"/>
    <w:rsid w:val="003D6F90"/>
    <w:rsid w:val="003D6F96"/>
    <w:rsid w:val="003D7047"/>
    <w:rsid w:val="003D7085"/>
    <w:rsid w:val="003D7158"/>
    <w:rsid w:val="003D719F"/>
    <w:rsid w:val="003D71B1"/>
    <w:rsid w:val="003D71DB"/>
    <w:rsid w:val="003D7216"/>
    <w:rsid w:val="003D72F0"/>
    <w:rsid w:val="003D7304"/>
    <w:rsid w:val="003D7331"/>
    <w:rsid w:val="003D7377"/>
    <w:rsid w:val="003D73B0"/>
    <w:rsid w:val="003D73E0"/>
    <w:rsid w:val="003D73F2"/>
    <w:rsid w:val="003D755A"/>
    <w:rsid w:val="003D7617"/>
    <w:rsid w:val="003D776B"/>
    <w:rsid w:val="003D781E"/>
    <w:rsid w:val="003D7826"/>
    <w:rsid w:val="003D7857"/>
    <w:rsid w:val="003D797C"/>
    <w:rsid w:val="003D7A5F"/>
    <w:rsid w:val="003D7C12"/>
    <w:rsid w:val="003D7E87"/>
    <w:rsid w:val="003D7ED0"/>
    <w:rsid w:val="003D7F6F"/>
    <w:rsid w:val="003D7F99"/>
    <w:rsid w:val="003D7FB5"/>
    <w:rsid w:val="003D7FF8"/>
    <w:rsid w:val="003E0071"/>
    <w:rsid w:val="003E00C1"/>
    <w:rsid w:val="003E03B4"/>
    <w:rsid w:val="003E03C0"/>
    <w:rsid w:val="003E0430"/>
    <w:rsid w:val="003E0540"/>
    <w:rsid w:val="003E0558"/>
    <w:rsid w:val="003E05ED"/>
    <w:rsid w:val="003E0674"/>
    <w:rsid w:val="003E067F"/>
    <w:rsid w:val="003E0740"/>
    <w:rsid w:val="003E07F4"/>
    <w:rsid w:val="003E08D0"/>
    <w:rsid w:val="003E0921"/>
    <w:rsid w:val="003E0A6D"/>
    <w:rsid w:val="003E0A72"/>
    <w:rsid w:val="003E0AA2"/>
    <w:rsid w:val="003E0AAB"/>
    <w:rsid w:val="003E0B4A"/>
    <w:rsid w:val="003E0CD6"/>
    <w:rsid w:val="003E0D86"/>
    <w:rsid w:val="003E0D96"/>
    <w:rsid w:val="003E0DA1"/>
    <w:rsid w:val="003E0E15"/>
    <w:rsid w:val="003E0E24"/>
    <w:rsid w:val="003E0E75"/>
    <w:rsid w:val="003E0E7F"/>
    <w:rsid w:val="003E0E87"/>
    <w:rsid w:val="003E1016"/>
    <w:rsid w:val="003E1047"/>
    <w:rsid w:val="003E11AB"/>
    <w:rsid w:val="003E131B"/>
    <w:rsid w:val="003E1337"/>
    <w:rsid w:val="003E135A"/>
    <w:rsid w:val="003E13A9"/>
    <w:rsid w:val="003E13CF"/>
    <w:rsid w:val="003E14A9"/>
    <w:rsid w:val="003E14D0"/>
    <w:rsid w:val="003E1502"/>
    <w:rsid w:val="003E158B"/>
    <w:rsid w:val="003E15F8"/>
    <w:rsid w:val="003E1678"/>
    <w:rsid w:val="003E17C0"/>
    <w:rsid w:val="003E17E0"/>
    <w:rsid w:val="003E182C"/>
    <w:rsid w:val="003E1841"/>
    <w:rsid w:val="003E1844"/>
    <w:rsid w:val="003E18E0"/>
    <w:rsid w:val="003E18F1"/>
    <w:rsid w:val="003E196B"/>
    <w:rsid w:val="003E1A23"/>
    <w:rsid w:val="003E1B18"/>
    <w:rsid w:val="003E1C02"/>
    <w:rsid w:val="003E1CC1"/>
    <w:rsid w:val="003E1CCA"/>
    <w:rsid w:val="003E1DBE"/>
    <w:rsid w:val="003E1DFC"/>
    <w:rsid w:val="003E1EA3"/>
    <w:rsid w:val="003E1EDB"/>
    <w:rsid w:val="003E1F41"/>
    <w:rsid w:val="003E1F4E"/>
    <w:rsid w:val="003E1F95"/>
    <w:rsid w:val="003E1FBA"/>
    <w:rsid w:val="003E1FEF"/>
    <w:rsid w:val="003E200B"/>
    <w:rsid w:val="003E20B5"/>
    <w:rsid w:val="003E2161"/>
    <w:rsid w:val="003E2170"/>
    <w:rsid w:val="003E21CD"/>
    <w:rsid w:val="003E21D2"/>
    <w:rsid w:val="003E222D"/>
    <w:rsid w:val="003E22B4"/>
    <w:rsid w:val="003E22E0"/>
    <w:rsid w:val="003E2346"/>
    <w:rsid w:val="003E23E4"/>
    <w:rsid w:val="003E2400"/>
    <w:rsid w:val="003E2439"/>
    <w:rsid w:val="003E243C"/>
    <w:rsid w:val="003E24DC"/>
    <w:rsid w:val="003E2521"/>
    <w:rsid w:val="003E258F"/>
    <w:rsid w:val="003E25B7"/>
    <w:rsid w:val="003E25CA"/>
    <w:rsid w:val="003E25D4"/>
    <w:rsid w:val="003E26A9"/>
    <w:rsid w:val="003E26D2"/>
    <w:rsid w:val="003E26FB"/>
    <w:rsid w:val="003E273B"/>
    <w:rsid w:val="003E2750"/>
    <w:rsid w:val="003E27E7"/>
    <w:rsid w:val="003E2905"/>
    <w:rsid w:val="003E2969"/>
    <w:rsid w:val="003E2A16"/>
    <w:rsid w:val="003E2B13"/>
    <w:rsid w:val="003E2B27"/>
    <w:rsid w:val="003E2BE1"/>
    <w:rsid w:val="003E2C11"/>
    <w:rsid w:val="003E2C30"/>
    <w:rsid w:val="003E2CAE"/>
    <w:rsid w:val="003E2CC0"/>
    <w:rsid w:val="003E2D8E"/>
    <w:rsid w:val="003E2DBA"/>
    <w:rsid w:val="003E2F46"/>
    <w:rsid w:val="003E2FB2"/>
    <w:rsid w:val="003E3030"/>
    <w:rsid w:val="003E308C"/>
    <w:rsid w:val="003E30A9"/>
    <w:rsid w:val="003E30AE"/>
    <w:rsid w:val="003E3268"/>
    <w:rsid w:val="003E3305"/>
    <w:rsid w:val="003E34D7"/>
    <w:rsid w:val="003E3676"/>
    <w:rsid w:val="003E3726"/>
    <w:rsid w:val="003E37C7"/>
    <w:rsid w:val="003E393B"/>
    <w:rsid w:val="003E3983"/>
    <w:rsid w:val="003E3BB0"/>
    <w:rsid w:val="003E3C11"/>
    <w:rsid w:val="003E3C28"/>
    <w:rsid w:val="003E3CCB"/>
    <w:rsid w:val="003E3D37"/>
    <w:rsid w:val="003E3D5E"/>
    <w:rsid w:val="003E3DEA"/>
    <w:rsid w:val="003E3E00"/>
    <w:rsid w:val="003E3E5E"/>
    <w:rsid w:val="003E4219"/>
    <w:rsid w:val="003E42AE"/>
    <w:rsid w:val="003E4329"/>
    <w:rsid w:val="003E4334"/>
    <w:rsid w:val="003E43A5"/>
    <w:rsid w:val="003E43F4"/>
    <w:rsid w:val="003E4410"/>
    <w:rsid w:val="003E450E"/>
    <w:rsid w:val="003E460E"/>
    <w:rsid w:val="003E468B"/>
    <w:rsid w:val="003E4724"/>
    <w:rsid w:val="003E4760"/>
    <w:rsid w:val="003E477C"/>
    <w:rsid w:val="003E4791"/>
    <w:rsid w:val="003E4843"/>
    <w:rsid w:val="003E4943"/>
    <w:rsid w:val="003E49C2"/>
    <w:rsid w:val="003E4A47"/>
    <w:rsid w:val="003E4A6C"/>
    <w:rsid w:val="003E4A8E"/>
    <w:rsid w:val="003E4B6A"/>
    <w:rsid w:val="003E4BA2"/>
    <w:rsid w:val="003E4CC8"/>
    <w:rsid w:val="003E4DB7"/>
    <w:rsid w:val="003E4DE3"/>
    <w:rsid w:val="003E4FE2"/>
    <w:rsid w:val="003E50BC"/>
    <w:rsid w:val="003E50FA"/>
    <w:rsid w:val="003E5249"/>
    <w:rsid w:val="003E52E6"/>
    <w:rsid w:val="003E5369"/>
    <w:rsid w:val="003E5378"/>
    <w:rsid w:val="003E53E3"/>
    <w:rsid w:val="003E5448"/>
    <w:rsid w:val="003E5583"/>
    <w:rsid w:val="003E558F"/>
    <w:rsid w:val="003E55A2"/>
    <w:rsid w:val="003E55D9"/>
    <w:rsid w:val="003E5655"/>
    <w:rsid w:val="003E566C"/>
    <w:rsid w:val="003E56D6"/>
    <w:rsid w:val="003E571C"/>
    <w:rsid w:val="003E57F7"/>
    <w:rsid w:val="003E5821"/>
    <w:rsid w:val="003E593F"/>
    <w:rsid w:val="003E5A0E"/>
    <w:rsid w:val="003E5A1D"/>
    <w:rsid w:val="003E5C31"/>
    <w:rsid w:val="003E5C4D"/>
    <w:rsid w:val="003E5CFC"/>
    <w:rsid w:val="003E5D49"/>
    <w:rsid w:val="003E5DAB"/>
    <w:rsid w:val="003E5E1C"/>
    <w:rsid w:val="003E5E34"/>
    <w:rsid w:val="003E5EC6"/>
    <w:rsid w:val="003E5EF8"/>
    <w:rsid w:val="003E5F71"/>
    <w:rsid w:val="003E5F9F"/>
    <w:rsid w:val="003E5FA5"/>
    <w:rsid w:val="003E5FF5"/>
    <w:rsid w:val="003E6074"/>
    <w:rsid w:val="003E60EE"/>
    <w:rsid w:val="003E614A"/>
    <w:rsid w:val="003E61CE"/>
    <w:rsid w:val="003E633D"/>
    <w:rsid w:val="003E6432"/>
    <w:rsid w:val="003E655C"/>
    <w:rsid w:val="003E66C2"/>
    <w:rsid w:val="003E67BB"/>
    <w:rsid w:val="003E67D8"/>
    <w:rsid w:val="003E68AC"/>
    <w:rsid w:val="003E6AC1"/>
    <w:rsid w:val="003E6CDD"/>
    <w:rsid w:val="003E6D50"/>
    <w:rsid w:val="003E6DCC"/>
    <w:rsid w:val="003E6DE5"/>
    <w:rsid w:val="003E6F29"/>
    <w:rsid w:val="003E6F60"/>
    <w:rsid w:val="003E705B"/>
    <w:rsid w:val="003E72A3"/>
    <w:rsid w:val="003E72F1"/>
    <w:rsid w:val="003E734E"/>
    <w:rsid w:val="003E73C3"/>
    <w:rsid w:val="003E73E6"/>
    <w:rsid w:val="003E74DE"/>
    <w:rsid w:val="003E7541"/>
    <w:rsid w:val="003E75BE"/>
    <w:rsid w:val="003E75C1"/>
    <w:rsid w:val="003E76E5"/>
    <w:rsid w:val="003E770F"/>
    <w:rsid w:val="003E77EB"/>
    <w:rsid w:val="003E77F0"/>
    <w:rsid w:val="003E7828"/>
    <w:rsid w:val="003E78E2"/>
    <w:rsid w:val="003E7902"/>
    <w:rsid w:val="003E79DC"/>
    <w:rsid w:val="003E79DD"/>
    <w:rsid w:val="003E7A98"/>
    <w:rsid w:val="003E7AC0"/>
    <w:rsid w:val="003E7AEE"/>
    <w:rsid w:val="003E7B01"/>
    <w:rsid w:val="003E7B73"/>
    <w:rsid w:val="003E7C8B"/>
    <w:rsid w:val="003E7E80"/>
    <w:rsid w:val="003E7E8B"/>
    <w:rsid w:val="003E7EBF"/>
    <w:rsid w:val="003F00F0"/>
    <w:rsid w:val="003F0227"/>
    <w:rsid w:val="003F0237"/>
    <w:rsid w:val="003F0268"/>
    <w:rsid w:val="003F028B"/>
    <w:rsid w:val="003F0294"/>
    <w:rsid w:val="003F02EB"/>
    <w:rsid w:val="003F0407"/>
    <w:rsid w:val="003F040E"/>
    <w:rsid w:val="003F04E2"/>
    <w:rsid w:val="003F0522"/>
    <w:rsid w:val="003F0544"/>
    <w:rsid w:val="003F0545"/>
    <w:rsid w:val="003F0597"/>
    <w:rsid w:val="003F065A"/>
    <w:rsid w:val="003F0664"/>
    <w:rsid w:val="003F06A6"/>
    <w:rsid w:val="003F06D9"/>
    <w:rsid w:val="003F07A0"/>
    <w:rsid w:val="003F0820"/>
    <w:rsid w:val="003F089E"/>
    <w:rsid w:val="003F094F"/>
    <w:rsid w:val="003F09E5"/>
    <w:rsid w:val="003F0A07"/>
    <w:rsid w:val="003F0AFD"/>
    <w:rsid w:val="003F0B6A"/>
    <w:rsid w:val="003F0BCB"/>
    <w:rsid w:val="003F0D34"/>
    <w:rsid w:val="003F0D43"/>
    <w:rsid w:val="003F0DAE"/>
    <w:rsid w:val="003F0E46"/>
    <w:rsid w:val="003F0EAB"/>
    <w:rsid w:val="003F0F22"/>
    <w:rsid w:val="003F10B2"/>
    <w:rsid w:val="003F10F7"/>
    <w:rsid w:val="003F1135"/>
    <w:rsid w:val="003F1242"/>
    <w:rsid w:val="003F12DE"/>
    <w:rsid w:val="003F137F"/>
    <w:rsid w:val="003F154B"/>
    <w:rsid w:val="003F15EA"/>
    <w:rsid w:val="003F1626"/>
    <w:rsid w:val="003F162B"/>
    <w:rsid w:val="003F163D"/>
    <w:rsid w:val="003F1642"/>
    <w:rsid w:val="003F166C"/>
    <w:rsid w:val="003F170F"/>
    <w:rsid w:val="003F175D"/>
    <w:rsid w:val="003F1855"/>
    <w:rsid w:val="003F18DE"/>
    <w:rsid w:val="003F18E5"/>
    <w:rsid w:val="003F19C3"/>
    <w:rsid w:val="003F1A04"/>
    <w:rsid w:val="003F1B25"/>
    <w:rsid w:val="003F1B37"/>
    <w:rsid w:val="003F1BA5"/>
    <w:rsid w:val="003F1BCA"/>
    <w:rsid w:val="003F1D0C"/>
    <w:rsid w:val="003F1EF4"/>
    <w:rsid w:val="003F1F6F"/>
    <w:rsid w:val="003F1F8D"/>
    <w:rsid w:val="003F2056"/>
    <w:rsid w:val="003F2155"/>
    <w:rsid w:val="003F216F"/>
    <w:rsid w:val="003F21B9"/>
    <w:rsid w:val="003F2343"/>
    <w:rsid w:val="003F2492"/>
    <w:rsid w:val="003F2523"/>
    <w:rsid w:val="003F25AA"/>
    <w:rsid w:val="003F263B"/>
    <w:rsid w:val="003F270C"/>
    <w:rsid w:val="003F2758"/>
    <w:rsid w:val="003F27FC"/>
    <w:rsid w:val="003F281A"/>
    <w:rsid w:val="003F28A1"/>
    <w:rsid w:val="003F28D5"/>
    <w:rsid w:val="003F28F1"/>
    <w:rsid w:val="003F2953"/>
    <w:rsid w:val="003F2A90"/>
    <w:rsid w:val="003F2A9E"/>
    <w:rsid w:val="003F2B2F"/>
    <w:rsid w:val="003F2C57"/>
    <w:rsid w:val="003F2D0E"/>
    <w:rsid w:val="003F2D9A"/>
    <w:rsid w:val="003F2DB6"/>
    <w:rsid w:val="003F2E9B"/>
    <w:rsid w:val="003F2EBB"/>
    <w:rsid w:val="003F303C"/>
    <w:rsid w:val="003F31CB"/>
    <w:rsid w:val="003F3294"/>
    <w:rsid w:val="003F343B"/>
    <w:rsid w:val="003F34E3"/>
    <w:rsid w:val="003F3660"/>
    <w:rsid w:val="003F3716"/>
    <w:rsid w:val="003F3720"/>
    <w:rsid w:val="003F3877"/>
    <w:rsid w:val="003F39CC"/>
    <w:rsid w:val="003F39E8"/>
    <w:rsid w:val="003F3A3B"/>
    <w:rsid w:val="003F3AE3"/>
    <w:rsid w:val="003F3B4B"/>
    <w:rsid w:val="003F3B58"/>
    <w:rsid w:val="003F3B9B"/>
    <w:rsid w:val="003F3C51"/>
    <w:rsid w:val="003F3D83"/>
    <w:rsid w:val="003F3DBE"/>
    <w:rsid w:val="003F3DD7"/>
    <w:rsid w:val="003F3FE5"/>
    <w:rsid w:val="003F4016"/>
    <w:rsid w:val="003F41CB"/>
    <w:rsid w:val="003F41D9"/>
    <w:rsid w:val="003F41EB"/>
    <w:rsid w:val="003F4317"/>
    <w:rsid w:val="003F4395"/>
    <w:rsid w:val="003F448B"/>
    <w:rsid w:val="003F44C6"/>
    <w:rsid w:val="003F454D"/>
    <w:rsid w:val="003F4615"/>
    <w:rsid w:val="003F466F"/>
    <w:rsid w:val="003F4845"/>
    <w:rsid w:val="003F48D2"/>
    <w:rsid w:val="003F4A42"/>
    <w:rsid w:val="003F4BD2"/>
    <w:rsid w:val="003F4CB7"/>
    <w:rsid w:val="003F4D5B"/>
    <w:rsid w:val="003F4DE4"/>
    <w:rsid w:val="003F4DF9"/>
    <w:rsid w:val="003F4ED3"/>
    <w:rsid w:val="003F4F14"/>
    <w:rsid w:val="003F4F33"/>
    <w:rsid w:val="003F4FD4"/>
    <w:rsid w:val="003F503B"/>
    <w:rsid w:val="003F5060"/>
    <w:rsid w:val="003F50B7"/>
    <w:rsid w:val="003F50E6"/>
    <w:rsid w:val="003F511E"/>
    <w:rsid w:val="003F51A1"/>
    <w:rsid w:val="003F51ED"/>
    <w:rsid w:val="003F51F6"/>
    <w:rsid w:val="003F5301"/>
    <w:rsid w:val="003F536D"/>
    <w:rsid w:val="003F54F0"/>
    <w:rsid w:val="003F5667"/>
    <w:rsid w:val="003F56A0"/>
    <w:rsid w:val="003F56EF"/>
    <w:rsid w:val="003F57C4"/>
    <w:rsid w:val="003F581A"/>
    <w:rsid w:val="003F5828"/>
    <w:rsid w:val="003F5877"/>
    <w:rsid w:val="003F5921"/>
    <w:rsid w:val="003F5995"/>
    <w:rsid w:val="003F5ABC"/>
    <w:rsid w:val="003F5B1A"/>
    <w:rsid w:val="003F5B40"/>
    <w:rsid w:val="003F5D93"/>
    <w:rsid w:val="003F5DF6"/>
    <w:rsid w:val="003F5F10"/>
    <w:rsid w:val="003F5F2E"/>
    <w:rsid w:val="003F5FE4"/>
    <w:rsid w:val="003F6000"/>
    <w:rsid w:val="003F60EA"/>
    <w:rsid w:val="003F611F"/>
    <w:rsid w:val="003F6171"/>
    <w:rsid w:val="003F61CB"/>
    <w:rsid w:val="003F6224"/>
    <w:rsid w:val="003F62D0"/>
    <w:rsid w:val="003F62DC"/>
    <w:rsid w:val="003F63FF"/>
    <w:rsid w:val="003F6468"/>
    <w:rsid w:val="003F646C"/>
    <w:rsid w:val="003F6509"/>
    <w:rsid w:val="003F6520"/>
    <w:rsid w:val="003F653F"/>
    <w:rsid w:val="003F6581"/>
    <w:rsid w:val="003F65C2"/>
    <w:rsid w:val="003F6651"/>
    <w:rsid w:val="003F665D"/>
    <w:rsid w:val="003F6678"/>
    <w:rsid w:val="003F669B"/>
    <w:rsid w:val="003F6770"/>
    <w:rsid w:val="003F684C"/>
    <w:rsid w:val="003F69FD"/>
    <w:rsid w:val="003F6A79"/>
    <w:rsid w:val="003F6AD7"/>
    <w:rsid w:val="003F6BA1"/>
    <w:rsid w:val="003F6BA5"/>
    <w:rsid w:val="003F6BAE"/>
    <w:rsid w:val="003F6C0E"/>
    <w:rsid w:val="003F6D90"/>
    <w:rsid w:val="003F6DE4"/>
    <w:rsid w:val="003F6E36"/>
    <w:rsid w:val="003F6E3C"/>
    <w:rsid w:val="003F6F5F"/>
    <w:rsid w:val="003F6F7D"/>
    <w:rsid w:val="003F6FD6"/>
    <w:rsid w:val="003F71DE"/>
    <w:rsid w:val="003F72CC"/>
    <w:rsid w:val="003F746C"/>
    <w:rsid w:val="003F7615"/>
    <w:rsid w:val="003F76BA"/>
    <w:rsid w:val="003F7712"/>
    <w:rsid w:val="003F777C"/>
    <w:rsid w:val="003F77A5"/>
    <w:rsid w:val="003F77B0"/>
    <w:rsid w:val="003F77CA"/>
    <w:rsid w:val="003F78C0"/>
    <w:rsid w:val="003F7919"/>
    <w:rsid w:val="003F7950"/>
    <w:rsid w:val="003F7966"/>
    <w:rsid w:val="003F79EB"/>
    <w:rsid w:val="003F7A18"/>
    <w:rsid w:val="003F7A84"/>
    <w:rsid w:val="003F7B4D"/>
    <w:rsid w:val="003F7C70"/>
    <w:rsid w:val="003F7D2C"/>
    <w:rsid w:val="003F7E58"/>
    <w:rsid w:val="003F7E8B"/>
    <w:rsid w:val="003F7EC8"/>
    <w:rsid w:val="003F7ED0"/>
    <w:rsid w:val="003F7F90"/>
    <w:rsid w:val="00400036"/>
    <w:rsid w:val="00400069"/>
    <w:rsid w:val="004000F5"/>
    <w:rsid w:val="004001D2"/>
    <w:rsid w:val="00400308"/>
    <w:rsid w:val="00400402"/>
    <w:rsid w:val="00400422"/>
    <w:rsid w:val="00400446"/>
    <w:rsid w:val="00400447"/>
    <w:rsid w:val="00400519"/>
    <w:rsid w:val="004005A7"/>
    <w:rsid w:val="00400697"/>
    <w:rsid w:val="00400711"/>
    <w:rsid w:val="00400723"/>
    <w:rsid w:val="004007FC"/>
    <w:rsid w:val="004009D9"/>
    <w:rsid w:val="00400A52"/>
    <w:rsid w:val="00400A7A"/>
    <w:rsid w:val="00400A7E"/>
    <w:rsid w:val="00400B19"/>
    <w:rsid w:val="00400B33"/>
    <w:rsid w:val="00400B67"/>
    <w:rsid w:val="00400D0F"/>
    <w:rsid w:val="00400DBE"/>
    <w:rsid w:val="00400DFF"/>
    <w:rsid w:val="00400F94"/>
    <w:rsid w:val="00400FA9"/>
    <w:rsid w:val="00400FF0"/>
    <w:rsid w:val="0040111E"/>
    <w:rsid w:val="0040112E"/>
    <w:rsid w:val="00401194"/>
    <w:rsid w:val="004011BC"/>
    <w:rsid w:val="00401288"/>
    <w:rsid w:val="0040129E"/>
    <w:rsid w:val="0040136E"/>
    <w:rsid w:val="0040148E"/>
    <w:rsid w:val="00401582"/>
    <w:rsid w:val="004015BB"/>
    <w:rsid w:val="004015E7"/>
    <w:rsid w:val="00401604"/>
    <w:rsid w:val="00401619"/>
    <w:rsid w:val="004016F2"/>
    <w:rsid w:val="00401707"/>
    <w:rsid w:val="0040175E"/>
    <w:rsid w:val="0040187D"/>
    <w:rsid w:val="00401A13"/>
    <w:rsid w:val="00401A3B"/>
    <w:rsid w:val="00401B7F"/>
    <w:rsid w:val="00401C78"/>
    <w:rsid w:val="00401E0F"/>
    <w:rsid w:val="00401E64"/>
    <w:rsid w:val="00401E7D"/>
    <w:rsid w:val="00401E8D"/>
    <w:rsid w:val="00401EC2"/>
    <w:rsid w:val="004020D5"/>
    <w:rsid w:val="0040212E"/>
    <w:rsid w:val="0040214A"/>
    <w:rsid w:val="004021A4"/>
    <w:rsid w:val="00402210"/>
    <w:rsid w:val="0040228C"/>
    <w:rsid w:val="00402376"/>
    <w:rsid w:val="004024CE"/>
    <w:rsid w:val="004024D1"/>
    <w:rsid w:val="004025B9"/>
    <w:rsid w:val="004025EA"/>
    <w:rsid w:val="0040269C"/>
    <w:rsid w:val="004026CA"/>
    <w:rsid w:val="0040270F"/>
    <w:rsid w:val="00402770"/>
    <w:rsid w:val="0040280F"/>
    <w:rsid w:val="00402825"/>
    <w:rsid w:val="00402843"/>
    <w:rsid w:val="0040284C"/>
    <w:rsid w:val="00402911"/>
    <w:rsid w:val="0040294B"/>
    <w:rsid w:val="0040298D"/>
    <w:rsid w:val="00402999"/>
    <w:rsid w:val="004029B6"/>
    <w:rsid w:val="00402A02"/>
    <w:rsid w:val="00402A5A"/>
    <w:rsid w:val="00402AAF"/>
    <w:rsid w:val="00402C32"/>
    <w:rsid w:val="00402CC7"/>
    <w:rsid w:val="00402D44"/>
    <w:rsid w:val="00402D49"/>
    <w:rsid w:val="00402DB8"/>
    <w:rsid w:val="00402DBF"/>
    <w:rsid w:val="00402E6B"/>
    <w:rsid w:val="00402EA3"/>
    <w:rsid w:val="00402EA8"/>
    <w:rsid w:val="00402EC5"/>
    <w:rsid w:val="00402EF7"/>
    <w:rsid w:val="0040309C"/>
    <w:rsid w:val="0040316B"/>
    <w:rsid w:val="00403199"/>
    <w:rsid w:val="004031F3"/>
    <w:rsid w:val="0040332C"/>
    <w:rsid w:val="00403396"/>
    <w:rsid w:val="00403430"/>
    <w:rsid w:val="0040346C"/>
    <w:rsid w:val="004034FD"/>
    <w:rsid w:val="00403511"/>
    <w:rsid w:val="004035D5"/>
    <w:rsid w:val="004035FE"/>
    <w:rsid w:val="00403693"/>
    <w:rsid w:val="00403758"/>
    <w:rsid w:val="004037F4"/>
    <w:rsid w:val="004037F7"/>
    <w:rsid w:val="0040383F"/>
    <w:rsid w:val="00403A0F"/>
    <w:rsid w:val="00403AEA"/>
    <w:rsid w:val="00403B42"/>
    <w:rsid w:val="00403BE0"/>
    <w:rsid w:val="00403BF3"/>
    <w:rsid w:val="00403C3A"/>
    <w:rsid w:val="00403C96"/>
    <w:rsid w:val="00403D88"/>
    <w:rsid w:val="00403E8B"/>
    <w:rsid w:val="00403EF0"/>
    <w:rsid w:val="00403F33"/>
    <w:rsid w:val="00403F6C"/>
    <w:rsid w:val="004041DF"/>
    <w:rsid w:val="00404229"/>
    <w:rsid w:val="004042E8"/>
    <w:rsid w:val="0040431D"/>
    <w:rsid w:val="004043E1"/>
    <w:rsid w:val="00404413"/>
    <w:rsid w:val="00404428"/>
    <w:rsid w:val="004044F4"/>
    <w:rsid w:val="0040461A"/>
    <w:rsid w:val="0040471E"/>
    <w:rsid w:val="0040485D"/>
    <w:rsid w:val="0040485E"/>
    <w:rsid w:val="004048C0"/>
    <w:rsid w:val="004048D7"/>
    <w:rsid w:val="004048DA"/>
    <w:rsid w:val="00404919"/>
    <w:rsid w:val="0040497B"/>
    <w:rsid w:val="004049F2"/>
    <w:rsid w:val="00404A2B"/>
    <w:rsid w:val="00404A54"/>
    <w:rsid w:val="00404B0B"/>
    <w:rsid w:val="00404B2D"/>
    <w:rsid w:val="00404BA2"/>
    <w:rsid w:val="00404CBD"/>
    <w:rsid w:val="00404CE3"/>
    <w:rsid w:val="00404D11"/>
    <w:rsid w:val="00404D1C"/>
    <w:rsid w:val="00404DBA"/>
    <w:rsid w:val="00404DFC"/>
    <w:rsid w:val="00404E24"/>
    <w:rsid w:val="00404F8C"/>
    <w:rsid w:val="00405098"/>
    <w:rsid w:val="004050C7"/>
    <w:rsid w:val="004050F0"/>
    <w:rsid w:val="00405108"/>
    <w:rsid w:val="00405177"/>
    <w:rsid w:val="004052AE"/>
    <w:rsid w:val="00405367"/>
    <w:rsid w:val="00405368"/>
    <w:rsid w:val="00405482"/>
    <w:rsid w:val="00405524"/>
    <w:rsid w:val="004055A7"/>
    <w:rsid w:val="00405616"/>
    <w:rsid w:val="00405618"/>
    <w:rsid w:val="00405643"/>
    <w:rsid w:val="00405662"/>
    <w:rsid w:val="0040571F"/>
    <w:rsid w:val="00405776"/>
    <w:rsid w:val="00405821"/>
    <w:rsid w:val="0040583F"/>
    <w:rsid w:val="0040589B"/>
    <w:rsid w:val="00405A3A"/>
    <w:rsid w:val="00405A9F"/>
    <w:rsid w:val="00405BD6"/>
    <w:rsid w:val="00405BE6"/>
    <w:rsid w:val="00405D8D"/>
    <w:rsid w:val="00405E99"/>
    <w:rsid w:val="00405F31"/>
    <w:rsid w:val="00405FD8"/>
    <w:rsid w:val="0040603E"/>
    <w:rsid w:val="0040609B"/>
    <w:rsid w:val="004060EF"/>
    <w:rsid w:val="00406161"/>
    <w:rsid w:val="00406224"/>
    <w:rsid w:val="00406323"/>
    <w:rsid w:val="0040638F"/>
    <w:rsid w:val="004063FE"/>
    <w:rsid w:val="004064C1"/>
    <w:rsid w:val="004064C4"/>
    <w:rsid w:val="004064F5"/>
    <w:rsid w:val="0040654C"/>
    <w:rsid w:val="0040654E"/>
    <w:rsid w:val="00406573"/>
    <w:rsid w:val="00406589"/>
    <w:rsid w:val="004065E3"/>
    <w:rsid w:val="004065FC"/>
    <w:rsid w:val="00406696"/>
    <w:rsid w:val="0040672B"/>
    <w:rsid w:val="00406789"/>
    <w:rsid w:val="004067C2"/>
    <w:rsid w:val="004067C8"/>
    <w:rsid w:val="0040688F"/>
    <w:rsid w:val="004068D2"/>
    <w:rsid w:val="004068EA"/>
    <w:rsid w:val="0040695F"/>
    <w:rsid w:val="00406A3E"/>
    <w:rsid w:val="00406A45"/>
    <w:rsid w:val="00406B2F"/>
    <w:rsid w:val="00406BAD"/>
    <w:rsid w:val="00406D1E"/>
    <w:rsid w:val="00406D5F"/>
    <w:rsid w:val="00406D99"/>
    <w:rsid w:val="00406EE4"/>
    <w:rsid w:val="00406F41"/>
    <w:rsid w:val="00406FD7"/>
    <w:rsid w:val="00406FE2"/>
    <w:rsid w:val="00406FE3"/>
    <w:rsid w:val="004070D0"/>
    <w:rsid w:val="0040712B"/>
    <w:rsid w:val="00407144"/>
    <w:rsid w:val="004073CB"/>
    <w:rsid w:val="00407440"/>
    <w:rsid w:val="00407480"/>
    <w:rsid w:val="004074ED"/>
    <w:rsid w:val="00407503"/>
    <w:rsid w:val="00407507"/>
    <w:rsid w:val="004075ED"/>
    <w:rsid w:val="0040760A"/>
    <w:rsid w:val="0040761F"/>
    <w:rsid w:val="004076AB"/>
    <w:rsid w:val="004076AF"/>
    <w:rsid w:val="004076E1"/>
    <w:rsid w:val="00407753"/>
    <w:rsid w:val="0040777A"/>
    <w:rsid w:val="004077CE"/>
    <w:rsid w:val="00407838"/>
    <w:rsid w:val="00407879"/>
    <w:rsid w:val="004078D9"/>
    <w:rsid w:val="00407939"/>
    <w:rsid w:val="004079D4"/>
    <w:rsid w:val="004079EE"/>
    <w:rsid w:val="00407A89"/>
    <w:rsid w:val="00407B42"/>
    <w:rsid w:val="00407B63"/>
    <w:rsid w:val="00407C48"/>
    <w:rsid w:val="00407D5C"/>
    <w:rsid w:val="00407D65"/>
    <w:rsid w:val="00407D67"/>
    <w:rsid w:val="00407EA8"/>
    <w:rsid w:val="00407F41"/>
    <w:rsid w:val="00407F7B"/>
    <w:rsid w:val="0041005C"/>
    <w:rsid w:val="00410091"/>
    <w:rsid w:val="00410107"/>
    <w:rsid w:val="00410110"/>
    <w:rsid w:val="00410224"/>
    <w:rsid w:val="0041028B"/>
    <w:rsid w:val="004102B8"/>
    <w:rsid w:val="004102CC"/>
    <w:rsid w:val="004102DA"/>
    <w:rsid w:val="00410678"/>
    <w:rsid w:val="0041070D"/>
    <w:rsid w:val="0041079F"/>
    <w:rsid w:val="004107C2"/>
    <w:rsid w:val="004107F4"/>
    <w:rsid w:val="0041081C"/>
    <w:rsid w:val="00410843"/>
    <w:rsid w:val="004108A5"/>
    <w:rsid w:val="00410A9A"/>
    <w:rsid w:val="00410AF2"/>
    <w:rsid w:val="00410B18"/>
    <w:rsid w:val="00410DF3"/>
    <w:rsid w:val="00410E4A"/>
    <w:rsid w:val="00410F42"/>
    <w:rsid w:val="004110B2"/>
    <w:rsid w:val="00411144"/>
    <w:rsid w:val="0041114D"/>
    <w:rsid w:val="004111A0"/>
    <w:rsid w:val="004111B4"/>
    <w:rsid w:val="004111B5"/>
    <w:rsid w:val="004111F0"/>
    <w:rsid w:val="00411284"/>
    <w:rsid w:val="00411338"/>
    <w:rsid w:val="0041135E"/>
    <w:rsid w:val="004113BA"/>
    <w:rsid w:val="004113E7"/>
    <w:rsid w:val="00411415"/>
    <w:rsid w:val="00411560"/>
    <w:rsid w:val="004115D5"/>
    <w:rsid w:val="00411623"/>
    <w:rsid w:val="004116CA"/>
    <w:rsid w:val="00411701"/>
    <w:rsid w:val="00411843"/>
    <w:rsid w:val="00411955"/>
    <w:rsid w:val="00411965"/>
    <w:rsid w:val="00411977"/>
    <w:rsid w:val="00411AD5"/>
    <w:rsid w:val="00411C42"/>
    <w:rsid w:val="00411D84"/>
    <w:rsid w:val="00411DE2"/>
    <w:rsid w:val="00411E23"/>
    <w:rsid w:val="00411F9A"/>
    <w:rsid w:val="0041202C"/>
    <w:rsid w:val="0041207F"/>
    <w:rsid w:val="004120B8"/>
    <w:rsid w:val="004120F0"/>
    <w:rsid w:val="00412135"/>
    <w:rsid w:val="00412143"/>
    <w:rsid w:val="00412185"/>
    <w:rsid w:val="00412332"/>
    <w:rsid w:val="0041233A"/>
    <w:rsid w:val="00412380"/>
    <w:rsid w:val="00412397"/>
    <w:rsid w:val="004123F3"/>
    <w:rsid w:val="00412409"/>
    <w:rsid w:val="0041240D"/>
    <w:rsid w:val="0041241A"/>
    <w:rsid w:val="004125E0"/>
    <w:rsid w:val="004126A2"/>
    <w:rsid w:val="00412757"/>
    <w:rsid w:val="0041278A"/>
    <w:rsid w:val="004128BD"/>
    <w:rsid w:val="00412912"/>
    <w:rsid w:val="00412A56"/>
    <w:rsid w:val="00412A77"/>
    <w:rsid w:val="00412C00"/>
    <w:rsid w:val="00412C75"/>
    <w:rsid w:val="00412D2E"/>
    <w:rsid w:val="00412D3D"/>
    <w:rsid w:val="00412E3E"/>
    <w:rsid w:val="00412F43"/>
    <w:rsid w:val="00412F85"/>
    <w:rsid w:val="00412F96"/>
    <w:rsid w:val="00412FF8"/>
    <w:rsid w:val="00413141"/>
    <w:rsid w:val="00413206"/>
    <w:rsid w:val="0041325F"/>
    <w:rsid w:val="0041342A"/>
    <w:rsid w:val="0041344E"/>
    <w:rsid w:val="0041359D"/>
    <w:rsid w:val="004136AE"/>
    <w:rsid w:val="004136CD"/>
    <w:rsid w:val="00413723"/>
    <w:rsid w:val="0041374D"/>
    <w:rsid w:val="00413755"/>
    <w:rsid w:val="0041396D"/>
    <w:rsid w:val="004139B3"/>
    <w:rsid w:val="004139C3"/>
    <w:rsid w:val="00413A27"/>
    <w:rsid w:val="00413A72"/>
    <w:rsid w:val="00413B8D"/>
    <w:rsid w:val="00413BF8"/>
    <w:rsid w:val="00413C63"/>
    <w:rsid w:val="00413CCB"/>
    <w:rsid w:val="00413CE1"/>
    <w:rsid w:val="00413F30"/>
    <w:rsid w:val="00413F4E"/>
    <w:rsid w:val="00414108"/>
    <w:rsid w:val="00414157"/>
    <w:rsid w:val="0041417A"/>
    <w:rsid w:val="0041417E"/>
    <w:rsid w:val="00414180"/>
    <w:rsid w:val="004141B4"/>
    <w:rsid w:val="0041420E"/>
    <w:rsid w:val="00414215"/>
    <w:rsid w:val="004142CF"/>
    <w:rsid w:val="00414403"/>
    <w:rsid w:val="00414409"/>
    <w:rsid w:val="0041441B"/>
    <w:rsid w:val="00414475"/>
    <w:rsid w:val="00414499"/>
    <w:rsid w:val="004144BB"/>
    <w:rsid w:val="004144C2"/>
    <w:rsid w:val="0041467A"/>
    <w:rsid w:val="00414783"/>
    <w:rsid w:val="00414797"/>
    <w:rsid w:val="0041479B"/>
    <w:rsid w:val="004147DB"/>
    <w:rsid w:val="004148D7"/>
    <w:rsid w:val="004148DE"/>
    <w:rsid w:val="0041491E"/>
    <w:rsid w:val="004149BA"/>
    <w:rsid w:val="00414A95"/>
    <w:rsid w:val="00414AD7"/>
    <w:rsid w:val="00414BCB"/>
    <w:rsid w:val="00414C56"/>
    <w:rsid w:val="00414C8D"/>
    <w:rsid w:val="00414CCF"/>
    <w:rsid w:val="00414DF7"/>
    <w:rsid w:val="00414F7B"/>
    <w:rsid w:val="00415117"/>
    <w:rsid w:val="004151CF"/>
    <w:rsid w:val="004151DF"/>
    <w:rsid w:val="00415253"/>
    <w:rsid w:val="004153CC"/>
    <w:rsid w:val="0041541F"/>
    <w:rsid w:val="00415518"/>
    <w:rsid w:val="0041551A"/>
    <w:rsid w:val="00415596"/>
    <w:rsid w:val="0041567A"/>
    <w:rsid w:val="0041568A"/>
    <w:rsid w:val="0041571B"/>
    <w:rsid w:val="00415813"/>
    <w:rsid w:val="004158A8"/>
    <w:rsid w:val="004158D7"/>
    <w:rsid w:val="004158E0"/>
    <w:rsid w:val="004158E1"/>
    <w:rsid w:val="00415A36"/>
    <w:rsid w:val="00415AB2"/>
    <w:rsid w:val="00415AC8"/>
    <w:rsid w:val="00415B43"/>
    <w:rsid w:val="00415C5C"/>
    <w:rsid w:val="00415C65"/>
    <w:rsid w:val="00415CCE"/>
    <w:rsid w:val="00415D54"/>
    <w:rsid w:val="00415D67"/>
    <w:rsid w:val="00415DB9"/>
    <w:rsid w:val="00415F87"/>
    <w:rsid w:val="00416011"/>
    <w:rsid w:val="00416112"/>
    <w:rsid w:val="00416157"/>
    <w:rsid w:val="004161C3"/>
    <w:rsid w:val="00416209"/>
    <w:rsid w:val="0041620F"/>
    <w:rsid w:val="0041623F"/>
    <w:rsid w:val="0041630C"/>
    <w:rsid w:val="00416310"/>
    <w:rsid w:val="00416328"/>
    <w:rsid w:val="0041641F"/>
    <w:rsid w:val="00416468"/>
    <w:rsid w:val="004164EC"/>
    <w:rsid w:val="00416652"/>
    <w:rsid w:val="00416656"/>
    <w:rsid w:val="0041675F"/>
    <w:rsid w:val="00416957"/>
    <w:rsid w:val="004169CC"/>
    <w:rsid w:val="00416AAE"/>
    <w:rsid w:val="00416AEF"/>
    <w:rsid w:val="00416AFD"/>
    <w:rsid w:val="00416BAF"/>
    <w:rsid w:val="00416BBD"/>
    <w:rsid w:val="00416BE1"/>
    <w:rsid w:val="00416D53"/>
    <w:rsid w:val="00416D72"/>
    <w:rsid w:val="00416E2F"/>
    <w:rsid w:val="00416F39"/>
    <w:rsid w:val="00416FD3"/>
    <w:rsid w:val="0041705D"/>
    <w:rsid w:val="00417114"/>
    <w:rsid w:val="004172A3"/>
    <w:rsid w:val="004172BA"/>
    <w:rsid w:val="00417333"/>
    <w:rsid w:val="0041741C"/>
    <w:rsid w:val="0041743B"/>
    <w:rsid w:val="004174E1"/>
    <w:rsid w:val="00417575"/>
    <w:rsid w:val="004176A3"/>
    <w:rsid w:val="0041772A"/>
    <w:rsid w:val="0041774D"/>
    <w:rsid w:val="00417766"/>
    <w:rsid w:val="0041783C"/>
    <w:rsid w:val="00417887"/>
    <w:rsid w:val="004178A2"/>
    <w:rsid w:val="00417920"/>
    <w:rsid w:val="0041792E"/>
    <w:rsid w:val="00417A34"/>
    <w:rsid w:val="00417A8F"/>
    <w:rsid w:val="00417B44"/>
    <w:rsid w:val="00417B52"/>
    <w:rsid w:val="00417BCF"/>
    <w:rsid w:val="00417C8D"/>
    <w:rsid w:val="00417CF6"/>
    <w:rsid w:val="00417D72"/>
    <w:rsid w:val="00417EEF"/>
    <w:rsid w:val="00417F13"/>
    <w:rsid w:val="00417FD0"/>
    <w:rsid w:val="00417FEA"/>
    <w:rsid w:val="00417FF6"/>
    <w:rsid w:val="00420001"/>
    <w:rsid w:val="0042002D"/>
    <w:rsid w:val="00420149"/>
    <w:rsid w:val="004201BC"/>
    <w:rsid w:val="004202C2"/>
    <w:rsid w:val="004202D8"/>
    <w:rsid w:val="004203B2"/>
    <w:rsid w:val="004203C9"/>
    <w:rsid w:val="00420582"/>
    <w:rsid w:val="004205A3"/>
    <w:rsid w:val="0042063A"/>
    <w:rsid w:val="004206A8"/>
    <w:rsid w:val="00420715"/>
    <w:rsid w:val="0042082D"/>
    <w:rsid w:val="00420843"/>
    <w:rsid w:val="00420854"/>
    <w:rsid w:val="0042085C"/>
    <w:rsid w:val="00420898"/>
    <w:rsid w:val="00420928"/>
    <w:rsid w:val="0042097A"/>
    <w:rsid w:val="004209B4"/>
    <w:rsid w:val="004209B7"/>
    <w:rsid w:val="00420A05"/>
    <w:rsid w:val="00420A10"/>
    <w:rsid w:val="00420B3B"/>
    <w:rsid w:val="00420BBB"/>
    <w:rsid w:val="00420CF2"/>
    <w:rsid w:val="00420E32"/>
    <w:rsid w:val="00420E4D"/>
    <w:rsid w:val="00420F5C"/>
    <w:rsid w:val="0042103C"/>
    <w:rsid w:val="0042104A"/>
    <w:rsid w:val="0042106A"/>
    <w:rsid w:val="004210B6"/>
    <w:rsid w:val="004210C5"/>
    <w:rsid w:val="00421263"/>
    <w:rsid w:val="0042126C"/>
    <w:rsid w:val="0042138C"/>
    <w:rsid w:val="004213D5"/>
    <w:rsid w:val="004215E2"/>
    <w:rsid w:val="00421631"/>
    <w:rsid w:val="004216BF"/>
    <w:rsid w:val="004216C2"/>
    <w:rsid w:val="0042177A"/>
    <w:rsid w:val="004218DE"/>
    <w:rsid w:val="004218E6"/>
    <w:rsid w:val="00421947"/>
    <w:rsid w:val="00421949"/>
    <w:rsid w:val="0042194A"/>
    <w:rsid w:val="0042199B"/>
    <w:rsid w:val="00421B0F"/>
    <w:rsid w:val="00421B47"/>
    <w:rsid w:val="00421BBA"/>
    <w:rsid w:val="00421C26"/>
    <w:rsid w:val="00421C4D"/>
    <w:rsid w:val="00421C83"/>
    <w:rsid w:val="00421E09"/>
    <w:rsid w:val="00421E49"/>
    <w:rsid w:val="00421EAB"/>
    <w:rsid w:val="00421F35"/>
    <w:rsid w:val="00421F66"/>
    <w:rsid w:val="00422011"/>
    <w:rsid w:val="004220F1"/>
    <w:rsid w:val="004221DB"/>
    <w:rsid w:val="004222DA"/>
    <w:rsid w:val="004224C3"/>
    <w:rsid w:val="004224C8"/>
    <w:rsid w:val="00422531"/>
    <w:rsid w:val="00422596"/>
    <w:rsid w:val="004225AA"/>
    <w:rsid w:val="0042261B"/>
    <w:rsid w:val="00422635"/>
    <w:rsid w:val="004226C8"/>
    <w:rsid w:val="00422753"/>
    <w:rsid w:val="00422774"/>
    <w:rsid w:val="004228E2"/>
    <w:rsid w:val="0042296B"/>
    <w:rsid w:val="004229D5"/>
    <w:rsid w:val="00422A79"/>
    <w:rsid w:val="00422A7C"/>
    <w:rsid w:val="00422A8B"/>
    <w:rsid w:val="00422AB8"/>
    <w:rsid w:val="00422BE5"/>
    <w:rsid w:val="00422D2A"/>
    <w:rsid w:val="00422D8B"/>
    <w:rsid w:val="00422DF6"/>
    <w:rsid w:val="00422E34"/>
    <w:rsid w:val="00422E47"/>
    <w:rsid w:val="00422F81"/>
    <w:rsid w:val="00422FE6"/>
    <w:rsid w:val="00423013"/>
    <w:rsid w:val="00423063"/>
    <w:rsid w:val="00423081"/>
    <w:rsid w:val="00423091"/>
    <w:rsid w:val="00423183"/>
    <w:rsid w:val="004231DC"/>
    <w:rsid w:val="004231E5"/>
    <w:rsid w:val="00423273"/>
    <w:rsid w:val="0042329A"/>
    <w:rsid w:val="0042332A"/>
    <w:rsid w:val="00423443"/>
    <w:rsid w:val="0042345E"/>
    <w:rsid w:val="0042347C"/>
    <w:rsid w:val="00423483"/>
    <w:rsid w:val="004234C3"/>
    <w:rsid w:val="004234CD"/>
    <w:rsid w:val="0042356C"/>
    <w:rsid w:val="00423611"/>
    <w:rsid w:val="00423626"/>
    <w:rsid w:val="004236C2"/>
    <w:rsid w:val="00423774"/>
    <w:rsid w:val="00423788"/>
    <w:rsid w:val="004237C2"/>
    <w:rsid w:val="004237C3"/>
    <w:rsid w:val="004237EF"/>
    <w:rsid w:val="00423990"/>
    <w:rsid w:val="00423BD0"/>
    <w:rsid w:val="00423C5B"/>
    <w:rsid w:val="00423C5D"/>
    <w:rsid w:val="00423CDC"/>
    <w:rsid w:val="00423DE5"/>
    <w:rsid w:val="00423E40"/>
    <w:rsid w:val="00423EA1"/>
    <w:rsid w:val="00423EDE"/>
    <w:rsid w:val="00424007"/>
    <w:rsid w:val="004240B2"/>
    <w:rsid w:val="004240FB"/>
    <w:rsid w:val="00424118"/>
    <w:rsid w:val="00424145"/>
    <w:rsid w:val="004241A0"/>
    <w:rsid w:val="004241D4"/>
    <w:rsid w:val="0042427C"/>
    <w:rsid w:val="004242CF"/>
    <w:rsid w:val="004243A4"/>
    <w:rsid w:val="004243BD"/>
    <w:rsid w:val="00424453"/>
    <w:rsid w:val="00424504"/>
    <w:rsid w:val="004245B8"/>
    <w:rsid w:val="004245EF"/>
    <w:rsid w:val="0042465D"/>
    <w:rsid w:val="00424745"/>
    <w:rsid w:val="004247BC"/>
    <w:rsid w:val="0042493C"/>
    <w:rsid w:val="004249C3"/>
    <w:rsid w:val="00424BB9"/>
    <w:rsid w:val="00424CC5"/>
    <w:rsid w:val="00424F33"/>
    <w:rsid w:val="00424F64"/>
    <w:rsid w:val="00424F8F"/>
    <w:rsid w:val="0042501E"/>
    <w:rsid w:val="00425049"/>
    <w:rsid w:val="00425069"/>
    <w:rsid w:val="004250A5"/>
    <w:rsid w:val="0042525A"/>
    <w:rsid w:val="004252E6"/>
    <w:rsid w:val="0042561E"/>
    <w:rsid w:val="004256FD"/>
    <w:rsid w:val="0042573B"/>
    <w:rsid w:val="004257C2"/>
    <w:rsid w:val="004257F2"/>
    <w:rsid w:val="0042582D"/>
    <w:rsid w:val="00425871"/>
    <w:rsid w:val="00425999"/>
    <w:rsid w:val="00425A2A"/>
    <w:rsid w:val="00425AA1"/>
    <w:rsid w:val="00425AB8"/>
    <w:rsid w:val="00425CF8"/>
    <w:rsid w:val="00425D07"/>
    <w:rsid w:val="00425D5B"/>
    <w:rsid w:val="00425D81"/>
    <w:rsid w:val="00425DB3"/>
    <w:rsid w:val="00425DB6"/>
    <w:rsid w:val="00425DDC"/>
    <w:rsid w:val="00425E5F"/>
    <w:rsid w:val="00425EDA"/>
    <w:rsid w:val="00425F5D"/>
    <w:rsid w:val="00425F8B"/>
    <w:rsid w:val="00426139"/>
    <w:rsid w:val="0042617A"/>
    <w:rsid w:val="00426215"/>
    <w:rsid w:val="00426256"/>
    <w:rsid w:val="004264DC"/>
    <w:rsid w:val="004264F1"/>
    <w:rsid w:val="0042658D"/>
    <w:rsid w:val="004265BC"/>
    <w:rsid w:val="00426640"/>
    <w:rsid w:val="004266BF"/>
    <w:rsid w:val="004267A4"/>
    <w:rsid w:val="004268B3"/>
    <w:rsid w:val="0042691B"/>
    <w:rsid w:val="00426A30"/>
    <w:rsid w:val="00426AC0"/>
    <w:rsid w:val="00426AEE"/>
    <w:rsid w:val="00426B7F"/>
    <w:rsid w:val="00426BAA"/>
    <w:rsid w:val="00426C23"/>
    <w:rsid w:val="00426C48"/>
    <w:rsid w:val="00426D1F"/>
    <w:rsid w:val="00426D33"/>
    <w:rsid w:val="00426DD6"/>
    <w:rsid w:val="00426E75"/>
    <w:rsid w:val="00426EEB"/>
    <w:rsid w:val="00426FBB"/>
    <w:rsid w:val="00427075"/>
    <w:rsid w:val="004270F7"/>
    <w:rsid w:val="00427388"/>
    <w:rsid w:val="00427400"/>
    <w:rsid w:val="00427467"/>
    <w:rsid w:val="00427495"/>
    <w:rsid w:val="004274D3"/>
    <w:rsid w:val="0042753F"/>
    <w:rsid w:val="004276B9"/>
    <w:rsid w:val="00427778"/>
    <w:rsid w:val="00427791"/>
    <w:rsid w:val="00427838"/>
    <w:rsid w:val="00427BCD"/>
    <w:rsid w:val="00427C76"/>
    <w:rsid w:val="00427C9E"/>
    <w:rsid w:val="00427CBE"/>
    <w:rsid w:val="00427CCE"/>
    <w:rsid w:val="00427D5D"/>
    <w:rsid w:val="00427E0D"/>
    <w:rsid w:val="00427EA3"/>
    <w:rsid w:val="00427EEB"/>
    <w:rsid w:val="00427EFB"/>
    <w:rsid w:val="00427F69"/>
    <w:rsid w:val="00430032"/>
    <w:rsid w:val="004300E6"/>
    <w:rsid w:val="00430160"/>
    <w:rsid w:val="00430188"/>
    <w:rsid w:val="004301FF"/>
    <w:rsid w:val="00430213"/>
    <w:rsid w:val="0043029B"/>
    <w:rsid w:val="00430329"/>
    <w:rsid w:val="00430365"/>
    <w:rsid w:val="00430378"/>
    <w:rsid w:val="004303D1"/>
    <w:rsid w:val="004303D4"/>
    <w:rsid w:val="0043046E"/>
    <w:rsid w:val="004304DF"/>
    <w:rsid w:val="0043053C"/>
    <w:rsid w:val="00430541"/>
    <w:rsid w:val="00430543"/>
    <w:rsid w:val="00430562"/>
    <w:rsid w:val="00430578"/>
    <w:rsid w:val="004305D9"/>
    <w:rsid w:val="0043063E"/>
    <w:rsid w:val="004306C4"/>
    <w:rsid w:val="0043070C"/>
    <w:rsid w:val="00430713"/>
    <w:rsid w:val="00430812"/>
    <w:rsid w:val="004308A2"/>
    <w:rsid w:val="00430951"/>
    <w:rsid w:val="00430A4A"/>
    <w:rsid w:val="00430ACA"/>
    <w:rsid w:val="00430ACB"/>
    <w:rsid w:val="00430C21"/>
    <w:rsid w:val="00430D81"/>
    <w:rsid w:val="00430D8D"/>
    <w:rsid w:val="00430DBF"/>
    <w:rsid w:val="00430DF2"/>
    <w:rsid w:val="00430EC4"/>
    <w:rsid w:val="00430F19"/>
    <w:rsid w:val="00430F53"/>
    <w:rsid w:val="00430F6E"/>
    <w:rsid w:val="00430F92"/>
    <w:rsid w:val="00430FCC"/>
    <w:rsid w:val="00430FDE"/>
    <w:rsid w:val="00431108"/>
    <w:rsid w:val="00431159"/>
    <w:rsid w:val="004311AC"/>
    <w:rsid w:val="004311B5"/>
    <w:rsid w:val="004312AD"/>
    <w:rsid w:val="00431348"/>
    <w:rsid w:val="004313B6"/>
    <w:rsid w:val="00431414"/>
    <w:rsid w:val="00431516"/>
    <w:rsid w:val="0043152C"/>
    <w:rsid w:val="004315FC"/>
    <w:rsid w:val="00431624"/>
    <w:rsid w:val="0043162E"/>
    <w:rsid w:val="0043168B"/>
    <w:rsid w:val="0043169D"/>
    <w:rsid w:val="00431720"/>
    <w:rsid w:val="00431820"/>
    <w:rsid w:val="004318A0"/>
    <w:rsid w:val="004318FB"/>
    <w:rsid w:val="00431A84"/>
    <w:rsid w:val="00431BC1"/>
    <w:rsid w:val="00431C8E"/>
    <w:rsid w:val="00431CA2"/>
    <w:rsid w:val="00431CA5"/>
    <w:rsid w:val="00431CAE"/>
    <w:rsid w:val="00431D07"/>
    <w:rsid w:val="00431E1D"/>
    <w:rsid w:val="00431E6E"/>
    <w:rsid w:val="00431E7A"/>
    <w:rsid w:val="00431EB3"/>
    <w:rsid w:val="00432067"/>
    <w:rsid w:val="004320BA"/>
    <w:rsid w:val="004320FD"/>
    <w:rsid w:val="00432142"/>
    <w:rsid w:val="004321C3"/>
    <w:rsid w:val="00432296"/>
    <w:rsid w:val="004322B8"/>
    <w:rsid w:val="004322BA"/>
    <w:rsid w:val="0043236B"/>
    <w:rsid w:val="00432391"/>
    <w:rsid w:val="00432401"/>
    <w:rsid w:val="004324BD"/>
    <w:rsid w:val="004325CA"/>
    <w:rsid w:val="004327BD"/>
    <w:rsid w:val="004327D5"/>
    <w:rsid w:val="0043286B"/>
    <w:rsid w:val="004328EE"/>
    <w:rsid w:val="004328FD"/>
    <w:rsid w:val="00432916"/>
    <w:rsid w:val="004329FF"/>
    <w:rsid w:val="00432A8A"/>
    <w:rsid w:val="00432B07"/>
    <w:rsid w:val="00432B57"/>
    <w:rsid w:val="00432E20"/>
    <w:rsid w:val="00432E84"/>
    <w:rsid w:val="00432F52"/>
    <w:rsid w:val="00432F6B"/>
    <w:rsid w:val="00432FB7"/>
    <w:rsid w:val="00432FBA"/>
    <w:rsid w:val="00432FE9"/>
    <w:rsid w:val="00433104"/>
    <w:rsid w:val="004331AB"/>
    <w:rsid w:val="00433218"/>
    <w:rsid w:val="0043326C"/>
    <w:rsid w:val="00433281"/>
    <w:rsid w:val="0043328A"/>
    <w:rsid w:val="004332D1"/>
    <w:rsid w:val="004332F5"/>
    <w:rsid w:val="00433385"/>
    <w:rsid w:val="0043339A"/>
    <w:rsid w:val="0043346F"/>
    <w:rsid w:val="0043349A"/>
    <w:rsid w:val="0043349B"/>
    <w:rsid w:val="004334AD"/>
    <w:rsid w:val="00433549"/>
    <w:rsid w:val="0043359B"/>
    <w:rsid w:val="00433640"/>
    <w:rsid w:val="00433707"/>
    <w:rsid w:val="00433791"/>
    <w:rsid w:val="004337DD"/>
    <w:rsid w:val="00433802"/>
    <w:rsid w:val="004338A3"/>
    <w:rsid w:val="00433976"/>
    <w:rsid w:val="004339B6"/>
    <w:rsid w:val="00433A08"/>
    <w:rsid w:val="00433A56"/>
    <w:rsid w:val="00433A8F"/>
    <w:rsid w:val="00433ACE"/>
    <w:rsid w:val="00433B7F"/>
    <w:rsid w:val="00433B9F"/>
    <w:rsid w:val="00433BA7"/>
    <w:rsid w:val="00433CA5"/>
    <w:rsid w:val="00433D87"/>
    <w:rsid w:val="00433D8C"/>
    <w:rsid w:val="00433DA1"/>
    <w:rsid w:val="00433DE2"/>
    <w:rsid w:val="00433E11"/>
    <w:rsid w:val="00433F14"/>
    <w:rsid w:val="0043406D"/>
    <w:rsid w:val="0043407D"/>
    <w:rsid w:val="0043410F"/>
    <w:rsid w:val="00434129"/>
    <w:rsid w:val="004341A5"/>
    <w:rsid w:val="004341C7"/>
    <w:rsid w:val="00434232"/>
    <w:rsid w:val="00434284"/>
    <w:rsid w:val="00434386"/>
    <w:rsid w:val="004344C5"/>
    <w:rsid w:val="004344F3"/>
    <w:rsid w:val="004344FE"/>
    <w:rsid w:val="0043452E"/>
    <w:rsid w:val="004345B2"/>
    <w:rsid w:val="004345F2"/>
    <w:rsid w:val="004345FA"/>
    <w:rsid w:val="004346B4"/>
    <w:rsid w:val="004346CC"/>
    <w:rsid w:val="004346E8"/>
    <w:rsid w:val="004346FA"/>
    <w:rsid w:val="00434731"/>
    <w:rsid w:val="00434755"/>
    <w:rsid w:val="0043475C"/>
    <w:rsid w:val="00434769"/>
    <w:rsid w:val="004348FA"/>
    <w:rsid w:val="00434907"/>
    <w:rsid w:val="00434934"/>
    <w:rsid w:val="00434A85"/>
    <w:rsid w:val="00434AC5"/>
    <w:rsid w:val="00434C6A"/>
    <w:rsid w:val="00434CEF"/>
    <w:rsid w:val="00434E08"/>
    <w:rsid w:val="00434ECD"/>
    <w:rsid w:val="00434F0B"/>
    <w:rsid w:val="00435062"/>
    <w:rsid w:val="0043517F"/>
    <w:rsid w:val="004351F3"/>
    <w:rsid w:val="00435229"/>
    <w:rsid w:val="00435294"/>
    <w:rsid w:val="004352DE"/>
    <w:rsid w:val="004352FB"/>
    <w:rsid w:val="004353B7"/>
    <w:rsid w:val="0043547B"/>
    <w:rsid w:val="0043547C"/>
    <w:rsid w:val="004354F6"/>
    <w:rsid w:val="00435508"/>
    <w:rsid w:val="0043552F"/>
    <w:rsid w:val="00435619"/>
    <w:rsid w:val="004356FF"/>
    <w:rsid w:val="0043576C"/>
    <w:rsid w:val="00435772"/>
    <w:rsid w:val="004357E2"/>
    <w:rsid w:val="004357EF"/>
    <w:rsid w:val="0043585E"/>
    <w:rsid w:val="0043589F"/>
    <w:rsid w:val="0043594E"/>
    <w:rsid w:val="0043596E"/>
    <w:rsid w:val="004359F9"/>
    <w:rsid w:val="00435A69"/>
    <w:rsid w:val="00435C08"/>
    <w:rsid w:val="00435C2A"/>
    <w:rsid w:val="00435C38"/>
    <w:rsid w:val="00435CE6"/>
    <w:rsid w:val="00435D1E"/>
    <w:rsid w:val="00435E16"/>
    <w:rsid w:val="00435E9F"/>
    <w:rsid w:val="00435EDE"/>
    <w:rsid w:val="00435F4F"/>
    <w:rsid w:val="00435F56"/>
    <w:rsid w:val="00435FB7"/>
    <w:rsid w:val="00435FBD"/>
    <w:rsid w:val="00436073"/>
    <w:rsid w:val="0043609E"/>
    <w:rsid w:val="004360A2"/>
    <w:rsid w:val="00436187"/>
    <w:rsid w:val="004361B7"/>
    <w:rsid w:val="004362AA"/>
    <w:rsid w:val="004362AB"/>
    <w:rsid w:val="00436379"/>
    <w:rsid w:val="004364CC"/>
    <w:rsid w:val="00436551"/>
    <w:rsid w:val="00436573"/>
    <w:rsid w:val="004365BB"/>
    <w:rsid w:val="00436606"/>
    <w:rsid w:val="00436643"/>
    <w:rsid w:val="00436776"/>
    <w:rsid w:val="00436788"/>
    <w:rsid w:val="0043686B"/>
    <w:rsid w:val="00436A18"/>
    <w:rsid w:val="00436A7B"/>
    <w:rsid w:val="00436B0F"/>
    <w:rsid w:val="00436B12"/>
    <w:rsid w:val="00436B1E"/>
    <w:rsid w:val="00436B4D"/>
    <w:rsid w:val="00436C74"/>
    <w:rsid w:val="00436E0C"/>
    <w:rsid w:val="00436EB5"/>
    <w:rsid w:val="0043703B"/>
    <w:rsid w:val="0043706D"/>
    <w:rsid w:val="00437081"/>
    <w:rsid w:val="004371CB"/>
    <w:rsid w:val="00437214"/>
    <w:rsid w:val="00437267"/>
    <w:rsid w:val="004372C3"/>
    <w:rsid w:val="00437300"/>
    <w:rsid w:val="0043731A"/>
    <w:rsid w:val="0043732A"/>
    <w:rsid w:val="00437372"/>
    <w:rsid w:val="004373ED"/>
    <w:rsid w:val="00437412"/>
    <w:rsid w:val="00437435"/>
    <w:rsid w:val="0043754F"/>
    <w:rsid w:val="004375A1"/>
    <w:rsid w:val="004375EF"/>
    <w:rsid w:val="0043760D"/>
    <w:rsid w:val="00437621"/>
    <w:rsid w:val="0043767A"/>
    <w:rsid w:val="00437745"/>
    <w:rsid w:val="00437795"/>
    <w:rsid w:val="00437798"/>
    <w:rsid w:val="0043783A"/>
    <w:rsid w:val="00437875"/>
    <w:rsid w:val="0043793F"/>
    <w:rsid w:val="00437954"/>
    <w:rsid w:val="004379B8"/>
    <w:rsid w:val="004379CC"/>
    <w:rsid w:val="00437A51"/>
    <w:rsid w:val="00437A6A"/>
    <w:rsid w:val="00437A79"/>
    <w:rsid w:val="00437B6F"/>
    <w:rsid w:val="00437B8C"/>
    <w:rsid w:val="00437C71"/>
    <w:rsid w:val="00437D6F"/>
    <w:rsid w:val="00437E32"/>
    <w:rsid w:val="00437E63"/>
    <w:rsid w:val="00437EEC"/>
    <w:rsid w:val="00437EF4"/>
    <w:rsid w:val="00437F2C"/>
    <w:rsid w:val="00437FEB"/>
    <w:rsid w:val="0044001F"/>
    <w:rsid w:val="0044006B"/>
    <w:rsid w:val="0044008D"/>
    <w:rsid w:val="00440288"/>
    <w:rsid w:val="004402C0"/>
    <w:rsid w:val="0044038E"/>
    <w:rsid w:val="004403A4"/>
    <w:rsid w:val="0044059F"/>
    <w:rsid w:val="004405C5"/>
    <w:rsid w:val="0044060C"/>
    <w:rsid w:val="00440617"/>
    <w:rsid w:val="0044064F"/>
    <w:rsid w:val="00440860"/>
    <w:rsid w:val="0044089E"/>
    <w:rsid w:val="004408B1"/>
    <w:rsid w:val="004408E8"/>
    <w:rsid w:val="0044090F"/>
    <w:rsid w:val="00440943"/>
    <w:rsid w:val="004409BE"/>
    <w:rsid w:val="004409DD"/>
    <w:rsid w:val="00440A67"/>
    <w:rsid w:val="00440AC2"/>
    <w:rsid w:val="00440AE7"/>
    <w:rsid w:val="00440B00"/>
    <w:rsid w:val="00440C06"/>
    <w:rsid w:val="00440C18"/>
    <w:rsid w:val="00440C68"/>
    <w:rsid w:val="00440C8B"/>
    <w:rsid w:val="00440D03"/>
    <w:rsid w:val="00440D3F"/>
    <w:rsid w:val="00440DBC"/>
    <w:rsid w:val="00440F23"/>
    <w:rsid w:val="00440F63"/>
    <w:rsid w:val="00440FC3"/>
    <w:rsid w:val="00441078"/>
    <w:rsid w:val="00441091"/>
    <w:rsid w:val="004410FA"/>
    <w:rsid w:val="00441184"/>
    <w:rsid w:val="004411DE"/>
    <w:rsid w:val="0044123D"/>
    <w:rsid w:val="0044123E"/>
    <w:rsid w:val="004412AE"/>
    <w:rsid w:val="00441307"/>
    <w:rsid w:val="00441364"/>
    <w:rsid w:val="004413FF"/>
    <w:rsid w:val="00441486"/>
    <w:rsid w:val="004414B6"/>
    <w:rsid w:val="004414E5"/>
    <w:rsid w:val="004415FA"/>
    <w:rsid w:val="004417CC"/>
    <w:rsid w:val="004417CD"/>
    <w:rsid w:val="0044180D"/>
    <w:rsid w:val="0044183E"/>
    <w:rsid w:val="0044191B"/>
    <w:rsid w:val="00441990"/>
    <w:rsid w:val="004419E6"/>
    <w:rsid w:val="00441A4E"/>
    <w:rsid w:val="00441B6D"/>
    <w:rsid w:val="00441BBF"/>
    <w:rsid w:val="00441BDE"/>
    <w:rsid w:val="00441BE1"/>
    <w:rsid w:val="00441C0C"/>
    <w:rsid w:val="00441C88"/>
    <w:rsid w:val="00441CE2"/>
    <w:rsid w:val="00441D99"/>
    <w:rsid w:val="00441E0C"/>
    <w:rsid w:val="00441ECC"/>
    <w:rsid w:val="00441F51"/>
    <w:rsid w:val="00441FDF"/>
    <w:rsid w:val="00441FE9"/>
    <w:rsid w:val="00442090"/>
    <w:rsid w:val="004420CA"/>
    <w:rsid w:val="004420EE"/>
    <w:rsid w:val="00442121"/>
    <w:rsid w:val="00442149"/>
    <w:rsid w:val="004421D2"/>
    <w:rsid w:val="0044223A"/>
    <w:rsid w:val="00442293"/>
    <w:rsid w:val="00442324"/>
    <w:rsid w:val="0044236D"/>
    <w:rsid w:val="00442375"/>
    <w:rsid w:val="0044241C"/>
    <w:rsid w:val="0044258B"/>
    <w:rsid w:val="0044258D"/>
    <w:rsid w:val="00442611"/>
    <w:rsid w:val="00442624"/>
    <w:rsid w:val="00442636"/>
    <w:rsid w:val="00442723"/>
    <w:rsid w:val="004427F6"/>
    <w:rsid w:val="004428F3"/>
    <w:rsid w:val="00442951"/>
    <w:rsid w:val="004429E3"/>
    <w:rsid w:val="00442A07"/>
    <w:rsid w:val="00442A30"/>
    <w:rsid w:val="00442AC1"/>
    <w:rsid w:val="00442AF1"/>
    <w:rsid w:val="00442B56"/>
    <w:rsid w:val="00442BD4"/>
    <w:rsid w:val="00442C3B"/>
    <w:rsid w:val="00442D24"/>
    <w:rsid w:val="00442E80"/>
    <w:rsid w:val="00442F41"/>
    <w:rsid w:val="00442FC8"/>
    <w:rsid w:val="00443001"/>
    <w:rsid w:val="0044301E"/>
    <w:rsid w:val="00443058"/>
    <w:rsid w:val="00443094"/>
    <w:rsid w:val="004430DC"/>
    <w:rsid w:val="004430FA"/>
    <w:rsid w:val="00443144"/>
    <w:rsid w:val="0044317B"/>
    <w:rsid w:val="0044325F"/>
    <w:rsid w:val="00443467"/>
    <w:rsid w:val="004434E8"/>
    <w:rsid w:val="00443513"/>
    <w:rsid w:val="00443574"/>
    <w:rsid w:val="00443744"/>
    <w:rsid w:val="00443790"/>
    <w:rsid w:val="004438AF"/>
    <w:rsid w:val="00443916"/>
    <w:rsid w:val="004439BD"/>
    <w:rsid w:val="00443ACD"/>
    <w:rsid w:val="00443AED"/>
    <w:rsid w:val="00443B1A"/>
    <w:rsid w:val="00443C28"/>
    <w:rsid w:val="00443C31"/>
    <w:rsid w:val="00443E15"/>
    <w:rsid w:val="00443E60"/>
    <w:rsid w:val="00443EF2"/>
    <w:rsid w:val="00443EFC"/>
    <w:rsid w:val="00443F41"/>
    <w:rsid w:val="00443F5A"/>
    <w:rsid w:val="00443F5F"/>
    <w:rsid w:val="00443FCB"/>
    <w:rsid w:val="00444006"/>
    <w:rsid w:val="004440A9"/>
    <w:rsid w:val="004440FC"/>
    <w:rsid w:val="004441D7"/>
    <w:rsid w:val="004441DA"/>
    <w:rsid w:val="0044422D"/>
    <w:rsid w:val="00444319"/>
    <w:rsid w:val="0044437F"/>
    <w:rsid w:val="004443ED"/>
    <w:rsid w:val="00444507"/>
    <w:rsid w:val="0044455E"/>
    <w:rsid w:val="00444575"/>
    <w:rsid w:val="004445B2"/>
    <w:rsid w:val="004446C5"/>
    <w:rsid w:val="004447AB"/>
    <w:rsid w:val="004447B7"/>
    <w:rsid w:val="004447CD"/>
    <w:rsid w:val="004448A1"/>
    <w:rsid w:val="004448BD"/>
    <w:rsid w:val="0044493C"/>
    <w:rsid w:val="004449B3"/>
    <w:rsid w:val="00444A37"/>
    <w:rsid w:val="00444A6B"/>
    <w:rsid w:val="00444B6B"/>
    <w:rsid w:val="00444D27"/>
    <w:rsid w:val="00444E3C"/>
    <w:rsid w:val="00444FA0"/>
    <w:rsid w:val="0044504C"/>
    <w:rsid w:val="0044515F"/>
    <w:rsid w:val="0044537A"/>
    <w:rsid w:val="004453FD"/>
    <w:rsid w:val="00445467"/>
    <w:rsid w:val="004454A0"/>
    <w:rsid w:val="004455AA"/>
    <w:rsid w:val="004456AE"/>
    <w:rsid w:val="004456BA"/>
    <w:rsid w:val="0044579C"/>
    <w:rsid w:val="00445803"/>
    <w:rsid w:val="0044585E"/>
    <w:rsid w:val="00445A48"/>
    <w:rsid w:val="00445A9A"/>
    <w:rsid w:val="00445AB3"/>
    <w:rsid w:val="00445B19"/>
    <w:rsid w:val="00445CCD"/>
    <w:rsid w:val="00445CE1"/>
    <w:rsid w:val="00445D87"/>
    <w:rsid w:val="00445DFA"/>
    <w:rsid w:val="00445E3C"/>
    <w:rsid w:val="00445EA8"/>
    <w:rsid w:val="00445EAA"/>
    <w:rsid w:val="00445EE1"/>
    <w:rsid w:val="00445FB3"/>
    <w:rsid w:val="00445FF4"/>
    <w:rsid w:val="0044602B"/>
    <w:rsid w:val="0044607A"/>
    <w:rsid w:val="0044608A"/>
    <w:rsid w:val="004460B5"/>
    <w:rsid w:val="0044610D"/>
    <w:rsid w:val="00446115"/>
    <w:rsid w:val="004461B1"/>
    <w:rsid w:val="00446220"/>
    <w:rsid w:val="00446236"/>
    <w:rsid w:val="004462DE"/>
    <w:rsid w:val="004462DF"/>
    <w:rsid w:val="0044633F"/>
    <w:rsid w:val="00446366"/>
    <w:rsid w:val="00446411"/>
    <w:rsid w:val="00446569"/>
    <w:rsid w:val="004466EC"/>
    <w:rsid w:val="004467DB"/>
    <w:rsid w:val="004467FE"/>
    <w:rsid w:val="0044686A"/>
    <w:rsid w:val="00446875"/>
    <w:rsid w:val="004468EE"/>
    <w:rsid w:val="004468FC"/>
    <w:rsid w:val="00446956"/>
    <w:rsid w:val="00446964"/>
    <w:rsid w:val="0044699A"/>
    <w:rsid w:val="00446A2D"/>
    <w:rsid w:val="00446B59"/>
    <w:rsid w:val="00446CD4"/>
    <w:rsid w:val="00446DC6"/>
    <w:rsid w:val="00446ECC"/>
    <w:rsid w:val="00446EFE"/>
    <w:rsid w:val="00446FCD"/>
    <w:rsid w:val="00446FE6"/>
    <w:rsid w:val="0044704B"/>
    <w:rsid w:val="00447066"/>
    <w:rsid w:val="00447186"/>
    <w:rsid w:val="004471C7"/>
    <w:rsid w:val="00447229"/>
    <w:rsid w:val="004473C2"/>
    <w:rsid w:val="004473EC"/>
    <w:rsid w:val="00447404"/>
    <w:rsid w:val="0044740C"/>
    <w:rsid w:val="00447412"/>
    <w:rsid w:val="0044743A"/>
    <w:rsid w:val="004474F2"/>
    <w:rsid w:val="004475DF"/>
    <w:rsid w:val="0044768C"/>
    <w:rsid w:val="00447709"/>
    <w:rsid w:val="00447760"/>
    <w:rsid w:val="0044776B"/>
    <w:rsid w:val="00447798"/>
    <w:rsid w:val="00447799"/>
    <w:rsid w:val="004477B3"/>
    <w:rsid w:val="00447815"/>
    <w:rsid w:val="00447856"/>
    <w:rsid w:val="00447883"/>
    <w:rsid w:val="00447907"/>
    <w:rsid w:val="00447934"/>
    <w:rsid w:val="004479A6"/>
    <w:rsid w:val="00447AE3"/>
    <w:rsid w:val="00447B53"/>
    <w:rsid w:val="00447CAE"/>
    <w:rsid w:val="00447CF8"/>
    <w:rsid w:val="00447D3C"/>
    <w:rsid w:val="00447D51"/>
    <w:rsid w:val="00447DF9"/>
    <w:rsid w:val="00447E41"/>
    <w:rsid w:val="00447E73"/>
    <w:rsid w:val="00447E95"/>
    <w:rsid w:val="00447EA5"/>
    <w:rsid w:val="00447EEB"/>
    <w:rsid w:val="00447F15"/>
    <w:rsid w:val="00447F53"/>
    <w:rsid w:val="00447F68"/>
    <w:rsid w:val="0045002B"/>
    <w:rsid w:val="00450092"/>
    <w:rsid w:val="004501DF"/>
    <w:rsid w:val="0045020E"/>
    <w:rsid w:val="00450275"/>
    <w:rsid w:val="004503AD"/>
    <w:rsid w:val="004503B8"/>
    <w:rsid w:val="004503D7"/>
    <w:rsid w:val="00450420"/>
    <w:rsid w:val="00450478"/>
    <w:rsid w:val="0045047D"/>
    <w:rsid w:val="0045048C"/>
    <w:rsid w:val="004504C5"/>
    <w:rsid w:val="004505C1"/>
    <w:rsid w:val="004505D9"/>
    <w:rsid w:val="00450610"/>
    <w:rsid w:val="00450760"/>
    <w:rsid w:val="00450814"/>
    <w:rsid w:val="00450816"/>
    <w:rsid w:val="004508E9"/>
    <w:rsid w:val="0045097E"/>
    <w:rsid w:val="00450A0F"/>
    <w:rsid w:val="00450A95"/>
    <w:rsid w:val="00450B09"/>
    <w:rsid w:val="00450B19"/>
    <w:rsid w:val="00450B4C"/>
    <w:rsid w:val="00450BC4"/>
    <w:rsid w:val="00450BEF"/>
    <w:rsid w:val="00450C01"/>
    <w:rsid w:val="00450C26"/>
    <w:rsid w:val="00450C32"/>
    <w:rsid w:val="00450C8D"/>
    <w:rsid w:val="00450CD4"/>
    <w:rsid w:val="00450D31"/>
    <w:rsid w:val="00450D3A"/>
    <w:rsid w:val="00450D75"/>
    <w:rsid w:val="00450D94"/>
    <w:rsid w:val="00450DD0"/>
    <w:rsid w:val="00450E27"/>
    <w:rsid w:val="00450F67"/>
    <w:rsid w:val="00450FA2"/>
    <w:rsid w:val="0045102F"/>
    <w:rsid w:val="0045104A"/>
    <w:rsid w:val="0045105F"/>
    <w:rsid w:val="004510C2"/>
    <w:rsid w:val="004510EE"/>
    <w:rsid w:val="0045121C"/>
    <w:rsid w:val="0045128A"/>
    <w:rsid w:val="00451519"/>
    <w:rsid w:val="00451580"/>
    <w:rsid w:val="004515EF"/>
    <w:rsid w:val="004516BD"/>
    <w:rsid w:val="004516E9"/>
    <w:rsid w:val="00451752"/>
    <w:rsid w:val="0045175F"/>
    <w:rsid w:val="00451883"/>
    <w:rsid w:val="004518E2"/>
    <w:rsid w:val="004519E0"/>
    <w:rsid w:val="00451CB9"/>
    <w:rsid w:val="00451D68"/>
    <w:rsid w:val="00451DCF"/>
    <w:rsid w:val="00451DF7"/>
    <w:rsid w:val="00451E3C"/>
    <w:rsid w:val="0045203E"/>
    <w:rsid w:val="004520C2"/>
    <w:rsid w:val="004520FE"/>
    <w:rsid w:val="0045212A"/>
    <w:rsid w:val="004521C2"/>
    <w:rsid w:val="00452216"/>
    <w:rsid w:val="00452261"/>
    <w:rsid w:val="004522D1"/>
    <w:rsid w:val="004522E4"/>
    <w:rsid w:val="0045232B"/>
    <w:rsid w:val="0045233E"/>
    <w:rsid w:val="00452341"/>
    <w:rsid w:val="0045238B"/>
    <w:rsid w:val="00452464"/>
    <w:rsid w:val="004524DB"/>
    <w:rsid w:val="00452520"/>
    <w:rsid w:val="0045255E"/>
    <w:rsid w:val="00452582"/>
    <w:rsid w:val="004525E9"/>
    <w:rsid w:val="00452630"/>
    <w:rsid w:val="00452668"/>
    <w:rsid w:val="00452762"/>
    <w:rsid w:val="004527BB"/>
    <w:rsid w:val="0045286B"/>
    <w:rsid w:val="0045288B"/>
    <w:rsid w:val="004528D3"/>
    <w:rsid w:val="0045291F"/>
    <w:rsid w:val="004529D1"/>
    <w:rsid w:val="00452A65"/>
    <w:rsid w:val="00452AA4"/>
    <w:rsid w:val="00452AD1"/>
    <w:rsid w:val="00452B27"/>
    <w:rsid w:val="00452B75"/>
    <w:rsid w:val="00452C3C"/>
    <w:rsid w:val="00452C6A"/>
    <w:rsid w:val="00452C6B"/>
    <w:rsid w:val="00452D12"/>
    <w:rsid w:val="00452D22"/>
    <w:rsid w:val="00452E2D"/>
    <w:rsid w:val="00452E4F"/>
    <w:rsid w:val="00452F0C"/>
    <w:rsid w:val="00452FFF"/>
    <w:rsid w:val="00453233"/>
    <w:rsid w:val="0045342B"/>
    <w:rsid w:val="0045347B"/>
    <w:rsid w:val="004534AE"/>
    <w:rsid w:val="004535D0"/>
    <w:rsid w:val="004535E2"/>
    <w:rsid w:val="00453664"/>
    <w:rsid w:val="00453787"/>
    <w:rsid w:val="004537BD"/>
    <w:rsid w:val="00453897"/>
    <w:rsid w:val="004538EA"/>
    <w:rsid w:val="0045394E"/>
    <w:rsid w:val="00453973"/>
    <w:rsid w:val="004539AB"/>
    <w:rsid w:val="004539B7"/>
    <w:rsid w:val="00453A1F"/>
    <w:rsid w:val="00453BBE"/>
    <w:rsid w:val="00453C58"/>
    <w:rsid w:val="00453CF7"/>
    <w:rsid w:val="00453D94"/>
    <w:rsid w:val="00453E21"/>
    <w:rsid w:val="00453F01"/>
    <w:rsid w:val="0045401F"/>
    <w:rsid w:val="00454116"/>
    <w:rsid w:val="00454136"/>
    <w:rsid w:val="00454148"/>
    <w:rsid w:val="00454181"/>
    <w:rsid w:val="004541CB"/>
    <w:rsid w:val="004541D7"/>
    <w:rsid w:val="004541D8"/>
    <w:rsid w:val="00454253"/>
    <w:rsid w:val="00454291"/>
    <w:rsid w:val="0045436A"/>
    <w:rsid w:val="00454439"/>
    <w:rsid w:val="0045445B"/>
    <w:rsid w:val="004544E1"/>
    <w:rsid w:val="004544F7"/>
    <w:rsid w:val="00454566"/>
    <w:rsid w:val="0045456F"/>
    <w:rsid w:val="00454597"/>
    <w:rsid w:val="00454673"/>
    <w:rsid w:val="004546A0"/>
    <w:rsid w:val="00454766"/>
    <w:rsid w:val="004547D2"/>
    <w:rsid w:val="0045481C"/>
    <w:rsid w:val="00454851"/>
    <w:rsid w:val="0045496B"/>
    <w:rsid w:val="0045497B"/>
    <w:rsid w:val="004549AC"/>
    <w:rsid w:val="00454A31"/>
    <w:rsid w:val="00454A9D"/>
    <w:rsid w:val="00454AFA"/>
    <w:rsid w:val="00454B91"/>
    <w:rsid w:val="00454C8E"/>
    <w:rsid w:val="00454D5D"/>
    <w:rsid w:val="00454E76"/>
    <w:rsid w:val="00454EEE"/>
    <w:rsid w:val="00454F01"/>
    <w:rsid w:val="00454FA8"/>
    <w:rsid w:val="00455090"/>
    <w:rsid w:val="004550AC"/>
    <w:rsid w:val="004551B9"/>
    <w:rsid w:val="004552FD"/>
    <w:rsid w:val="00455493"/>
    <w:rsid w:val="004554F9"/>
    <w:rsid w:val="00455507"/>
    <w:rsid w:val="004555B6"/>
    <w:rsid w:val="0045563A"/>
    <w:rsid w:val="00455643"/>
    <w:rsid w:val="004556EA"/>
    <w:rsid w:val="00455701"/>
    <w:rsid w:val="0045570D"/>
    <w:rsid w:val="00455715"/>
    <w:rsid w:val="00455846"/>
    <w:rsid w:val="00455854"/>
    <w:rsid w:val="004558A4"/>
    <w:rsid w:val="004558CC"/>
    <w:rsid w:val="00455947"/>
    <w:rsid w:val="00455A65"/>
    <w:rsid w:val="00455A7C"/>
    <w:rsid w:val="00455A93"/>
    <w:rsid w:val="00455AA6"/>
    <w:rsid w:val="00455B5B"/>
    <w:rsid w:val="00455C0B"/>
    <w:rsid w:val="00455C8E"/>
    <w:rsid w:val="00455CFD"/>
    <w:rsid w:val="00455D64"/>
    <w:rsid w:val="00455DC0"/>
    <w:rsid w:val="00455DF6"/>
    <w:rsid w:val="00455F78"/>
    <w:rsid w:val="00456026"/>
    <w:rsid w:val="0045607F"/>
    <w:rsid w:val="00456090"/>
    <w:rsid w:val="00456096"/>
    <w:rsid w:val="004560E5"/>
    <w:rsid w:val="00456120"/>
    <w:rsid w:val="004561BE"/>
    <w:rsid w:val="004562DD"/>
    <w:rsid w:val="004562F2"/>
    <w:rsid w:val="00456343"/>
    <w:rsid w:val="00456353"/>
    <w:rsid w:val="00456377"/>
    <w:rsid w:val="004563E1"/>
    <w:rsid w:val="0045640A"/>
    <w:rsid w:val="00456545"/>
    <w:rsid w:val="0045655F"/>
    <w:rsid w:val="004565BC"/>
    <w:rsid w:val="0045661A"/>
    <w:rsid w:val="0045663D"/>
    <w:rsid w:val="0045697C"/>
    <w:rsid w:val="00456995"/>
    <w:rsid w:val="004569D8"/>
    <w:rsid w:val="00456A74"/>
    <w:rsid w:val="00456C7B"/>
    <w:rsid w:val="00456CC6"/>
    <w:rsid w:val="00456D49"/>
    <w:rsid w:val="00456E3B"/>
    <w:rsid w:val="00456ECF"/>
    <w:rsid w:val="00456EEA"/>
    <w:rsid w:val="00456FA9"/>
    <w:rsid w:val="004571C9"/>
    <w:rsid w:val="004572C4"/>
    <w:rsid w:val="0045735B"/>
    <w:rsid w:val="00457538"/>
    <w:rsid w:val="004575B8"/>
    <w:rsid w:val="0045774A"/>
    <w:rsid w:val="004577D7"/>
    <w:rsid w:val="00457800"/>
    <w:rsid w:val="00457803"/>
    <w:rsid w:val="0045788C"/>
    <w:rsid w:val="00457893"/>
    <w:rsid w:val="0045794B"/>
    <w:rsid w:val="00457A03"/>
    <w:rsid w:val="00457A3F"/>
    <w:rsid w:val="00457A9A"/>
    <w:rsid w:val="00457AAE"/>
    <w:rsid w:val="00457B3C"/>
    <w:rsid w:val="00457B5F"/>
    <w:rsid w:val="00457C83"/>
    <w:rsid w:val="00457CBC"/>
    <w:rsid w:val="00457CF0"/>
    <w:rsid w:val="00457E34"/>
    <w:rsid w:val="00457EC1"/>
    <w:rsid w:val="00457F03"/>
    <w:rsid w:val="00457FE2"/>
    <w:rsid w:val="0046001F"/>
    <w:rsid w:val="00460061"/>
    <w:rsid w:val="0046006B"/>
    <w:rsid w:val="004600E0"/>
    <w:rsid w:val="00460181"/>
    <w:rsid w:val="004601D5"/>
    <w:rsid w:val="00460238"/>
    <w:rsid w:val="00460289"/>
    <w:rsid w:val="00460347"/>
    <w:rsid w:val="00460387"/>
    <w:rsid w:val="004603AF"/>
    <w:rsid w:val="004603DF"/>
    <w:rsid w:val="00460432"/>
    <w:rsid w:val="0046044F"/>
    <w:rsid w:val="00460589"/>
    <w:rsid w:val="004605B4"/>
    <w:rsid w:val="00460707"/>
    <w:rsid w:val="00460737"/>
    <w:rsid w:val="00460782"/>
    <w:rsid w:val="00460787"/>
    <w:rsid w:val="004607FC"/>
    <w:rsid w:val="00460802"/>
    <w:rsid w:val="004608CE"/>
    <w:rsid w:val="004608FD"/>
    <w:rsid w:val="004609BF"/>
    <w:rsid w:val="004609E0"/>
    <w:rsid w:val="00460AFD"/>
    <w:rsid w:val="00460B51"/>
    <w:rsid w:val="00460C46"/>
    <w:rsid w:val="00460D2A"/>
    <w:rsid w:val="00460D52"/>
    <w:rsid w:val="00460D69"/>
    <w:rsid w:val="00460DB6"/>
    <w:rsid w:val="00461061"/>
    <w:rsid w:val="00461177"/>
    <w:rsid w:val="00461210"/>
    <w:rsid w:val="0046123D"/>
    <w:rsid w:val="00461294"/>
    <w:rsid w:val="0046130B"/>
    <w:rsid w:val="004613D6"/>
    <w:rsid w:val="00461446"/>
    <w:rsid w:val="004614AE"/>
    <w:rsid w:val="004614C0"/>
    <w:rsid w:val="0046162E"/>
    <w:rsid w:val="0046172F"/>
    <w:rsid w:val="0046173A"/>
    <w:rsid w:val="004617C1"/>
    <w:rsid w:val="004617E8"/>
    <w:rsid w:val="004617FA"/>
    <w:rsid w:val="0046190E"/>
    <w:rsid w:val="00461933"/>
    <w:rsid w:val="00461946"/>
    <w:rsid w:val="00461990"/>
    <w:rsid w:val="00461A1E"/>
    <w:rsid w:val="00461A33"/>
    <w:rsid w:val="00461A34"/>
    <w:rsid w:val="00461A41"/>
    <w:rsid w:val="00461BFB"/>
    <w:rsid w:val="00461DA4"/>
    <w:rsid w:val="00461DB5"/>
    <w:rsid w:val="00461E12"/>
    <w:rsid w:val="00461E5F"/>
    <w:rsid w:val="00461F17"/>
    <w:rsid w:val="00461F38"/>
    <w:rsid w:val="00461FB9"/>
    <w:rsid w:val="00461FC2"/>
    <w:rsid w:val="00461FEF"/>
    <w:rsid w:val="00462011"/>
    <w:rsid w:val="004621D8"/>
    <w:rsid w:val="00462284"/>
    <w:rsid w:val="00462294"/>
    <w:rsid w:val="004622E3"/>
    <w:rsid w:val="004623A7"/>
    <w:rsid w:val="004623A8"/>
    <w:rsid w:val="00462417"/>
    <w:rsid w:val="0046246C"/>
    <w:rsid w:val="004624E7"/>
    <w:rsid w:val="004624EB"/>
    <w:rsid w:val="00462560"/>
    <w:rsid w:val="004625AD"/>
    <w:rsid w:val="004625E9"/>
    <w:rsid w:val="0046264E"/>
    <w:rsid w:val="00462655"/>
    <w:rsid w:val="004629B9"/>
    <w:rsid w:val="00462A1C"/>
    <w:rsid w:val="00462A89"/>
    <w:rsid w:val="00462C47"/>
    <w:rsid w:val="00462C8F"/>
    <w:rsid w:val="00462D0C"/>
    <w:rsid w:val="00462E66"/>
    <w:rsid w:val="00462F33"/>
    <w:rsid w:val="00462F44"/>
    <w:rsid w:val="00462F57"/>
    <w:rsid w:val="00462FA5"/>
    <w:rsid w:val="00463034"/>
    <w:rsid w:val="00463081"/>
    <w:rsid w:val="0046309B"/>
    <w:rsid w:val="004630E2"/>
    <w:rsid w:val="00463135"/>
    <w:rsid w:val="004631C2"/>
    <w:rsid w:val="0046322F"/>
    <w:rsid w:val="0046324D"/>
    <w:rsid w:val="0046325B"/>
    <w:rsid w:val="004632B9"/>
    <w:rsid w:val="00463311"/>
    <w:rsid w:val="00463328"/>
    <w:rsid w:val="00463372"/>
    <w:rsid w:val="00463481"/>
    <w:rsid w:val="004634D7"/>
    <w:rsid w:val="004634F9"/>
    <w:rsid w:val="00463579"/>
    <w:rsid w:val="004636E6"/>
    <w:rsid w:val="00463877"/>
    <w:rsid w:val="004639F7"/>
    <w:rsid w:val="00463A38"/>
    <w:rsid w:val="00463AA8"/>
    <w:rsid w:val="00463ABE"/>
    <w:rsid w:val="00463B05"/>
    <w:rsid w:val="00463B55"/>
    <w:rsid w:val="00463B6E"/>
    <w:rsid w:val="00463C3F"/>
    <w:rsid w:val="00463D5F"/>
    <w:rsid w:val="00463D9D"/>
    <w:rsid w:val="00463DD2"/>
    <w:rsid w:val="00463DED"/>
    <w:rsid w:val="00463E43"/>
    <w:rsid w:val="00463F57"/>
    <w:rsid w:val="00463FA7"/>
    <w:rsid w:val="00463FD0"/>
    <w:rsid w:val="0046400E"/>
    <w:rsid w:val="0046407C"/>
    <w:rsid w:val="0046408D"/>
    <w:rsid w:val="004640E7"/>
    <w:rsid w:val="00464349"/>
    <w:rsid w:val="00464419"/>
    <w:rsid w:val="00464454"/>
    <w:rsid w:val="00464510"/>
    <w:rsid w:val="004645BE"/>
    <w:rsid w:val="004645C4"/>
    <w:rsid w:val="00464729"/>
    <w:rsid w:val="00464743"/>
    <w:rsid w:val="00464829"/>
    <w:rsid w:val="0046482C"/>
    <w:rsid w:val="004649A2"/>
    <w:rsid w:val="00464A1C"/>
    <w:rsid w:val="00464A42"/>
    <w:rsid w:val="00464B64"/>
    <w:rsid w:val="00464C3B"/>
    <w:rsid w:val="00464CBB"/>
    <w:rsid w:val="00464CFC"/>
    <w:rsid w:val="00464DAB"/>
    <w:rsid w:val="00464E19"/>
    <w:rsid w:val="00464EB0"/>
    <w:rsid w:val="00464F0E"/>
    <w:rsid w:val="00464F14"/>
    <w:rsid w:val="00464F91"/>
    <w:rsid w:val="00464FD0"/>
    <w:rsid w:val="00464FED"/>
    <w:rsid w:val="0046507A"/>
    <w:rsid w:val="004651FA"/>
    <w:rsid w:val="0046528A"/>
    <w:rsid w:val="004653D2"/>
    <w:rsid w:val="00465434"/>
    <w:rsid w:val="00465491"/>
    <w:rsid w:val="004654C8"/>
    <w:rsid w:val="004654DE"/>
    <w:rsid w:val="0046551C"/>
    <w:rsid w:val="0046554B"/>
    <w:rsid w:val="00465555"/>
    <w:rsid w:val="004655E1"/>
    <w:rsid w:val="0046565C"/>
    <w:rsid w:val="0046567B"/>
    <w:rsid w:val="00465805"/>
    <w:rsid w:val="00465838"/>
    <w:rsid w:val="004658BF"/>
    <w:rsid w:val="004658E5"/>
    <w:rsid w:val="00465985"/>
    <w:rsid w:val="00465999"/>
    <w:rsid w:val="00465A8E"/>
    <w:rsid w:val="00465B45"/>
    <w:rsid w:val="00465BFC"/>
    <w:rsid w:val="00465C59"/>
    <w:rsid w:val="00465C6F"/>
    <w:rsid w:val="00465CBE"/>
    <w:rsid w:val="00465CC2"/>
    <w:rsid w:val="00465CDA"/>
    <w:rsid w:val="00465DDB"/>
    <w:rsid w:val="00465E87"/>
    <w:rsid w:val="00465E9F"/>
    <w:rsid w:val="00465EB7"/>
    <w:rsid w:val="00465ECB"/>
    <w:rsid w:val="00465F26"/>
    <w:rsid w:val="00466103"/>
    <w:rsid w:val="0046612D"/>
    <w:rsid w:val="00466174"/>
    <w:rsid w:val="004661D5"/>
    <w:rsid w:val="004661F6"/>
    <w:rsid w:val="00466247"/>
    <w:rsid w:val="00466427"/>
    <w:rsid w:val="00466584"/>
    <w:rsid w:val="004665A4"/>
    <w:rsid w:val="0046662D"/>
    <w:rsid w:val="00466636"/>
    <w:rsid w:val="0046664F"/>
    <w:rsid w:val="00466712"/>
    <w:rsid w:val="0046682A"/>
    <w:rsid w:val="004668F5"/>
    <w:rsid w:val="00466B45"/>
    <w:rsid w:val="00466D47"/>
    <w:rsid w:val="00466E0A"/>
    <w:rsid w:val="00466E11"/>
    <w:rsid w:val="00466F8F"/>
    <w:rsid w:val="00466FB3"/>
    <w:rsid w:val="00466FC1"/>
    <w:rsid w:val="00466FEF"/>
    <w:rsid w:val="004670AE"/>
    <w:rsid w:val="0046713F"/>
    <w:rsid w:val="0046725C"/>
    <w:rsid w:val="00467285"/>
    <w:rsid w:val="004672AE"/>
    <w:rsid w:val="0046731C"/>
    <w:rsid w:val="0046731E"/>
    <w:rsid w:val="00467398"/>
    <w:rsid w:val="00467600"/>
    <w:rsid w:val="00467657"/>
    <w:rsid w:val="0046765E"/>
    <w:rsid w:val="00467716"/>
    <w:rsid w:val="0046782E"/>
    <w:rsid w:val="00467859"/>
    <w:rsid w:val="00467979"/>
    <w:rsid w:val="004679A8"/>
    <w:rsid w:val="00467A51"/>
    <w:rsid w:val="00467A7F"/>
    <w:rsid w:val="00467AF3"/>
    <w:rsid w:val="00467B12"/>
    <w:rsid w:val="00467B96"/>
    <w:rsid w:val="00467B99"/>
    <w:rsid w:val="00467BA3"/>
    <w:rsid w:val="00467C00"/>
    <w:rsid w:val="00467D0B"/>
    <w:rsid w:val="00467D99"/>
    <w:rsid w:val="00467DB9"/>
    <w:rsid w:val="00467DE4"/>
    <w:rsid w:val="00467E04"/>
    <w:rsid w:val="00467E62"/>
    <w:rsid w:val="00467E66"/>
    <w:rsid w:val="00467EB2"/>
    <w:rsid w:val="00467F0A"/>
    <w:rsid w:val="00467F1D"/>
    <w:rsid w:val="004700AF"/>
    <w:rsid w:val="004700BA"/>
    <w:rsid w:val="00470102"/>
    <w:rsid w:val="0047016F"/>
    <w:rsid w:val="0047025B"/>
    <w:rsid w:val="004702B5"/>
    <w:rsid w:val="004702D2"/>
    <w:rsid w:val="004703C4"/>
    <w:rsid w:val="00470474"/>
    <w:rsid w:val="004704D3"/>
    <w:rsid w:val="0047050C"/>
    <w:rsid w:val="00470516"/>
    <w:rsid w:val="00470598"/>
    <w:rsid w:val="004705AD"/>
    <w:rsid w:val="004705CF"/>
    <w:rsid w:val="004705D9"/>
    <w:rsid w:val="004705FD"/>
    <w:rsid w:val="00470607"/>
    <w:rsid w:val="0047063A"/>
    <w:rsid w:val="004706C4"/>
    <w:rsid w:val="004706C5"/>
    <w:rsid w:val="00470726"/>
    <w:rsid w:val="00470780"/>
    <w:rsid w:val="0047095D"/>
    <w:rsid w:val="004709BC"/>
    <w:rsid w:val="00470ACF"/>
    <w:rsid w:val="00470B0F"/>
    <w:rsid w:val="00470BA0"/>
    <w:rsid w:val="00470BBD"/>
    <w:rsid w:val="00470C3F"/>
    <w:rsid w:val="00470CA4"/>
    <w:rsid w:val="00470E18"/>
    <w:rsid w:val="00470E5D"/>
    <w:rsid w:val="00470EF3"/>
    <w:rsid w:val="00470F25"/>
    <w:rsid w:val="00470F6C"/>
    <w:rsid w:val="00470FEC"/>
    <w:rsid w:val="00471053"/>
    <w:rsid w:val="00471058"/>
    <w:rsid w:val="00471086"/>
    <w:rsid w:val="0047112F"/>
    <w:rsid w:val="004711DB"/>
    <w:rsid w:val="004711E3"/>
    <w:rsid w:val="00471265"/>
    <w:rsid w:val="004712AF"/>
    <w:rsid w:val="004712D5"/>
    <w:rsid w:val="004713C7"/>
    <w:rsid w:val="004713DB"/>
    <w:rsid w:val="004716C8"/>
    <w:rsid w:val="00471827"/>
    <w:rsid w:val="004718B7"/>
    <w:rsid w:val="00471912"/>
    <w:rsid w:val="00471A7B"/>
    <w:rsid w:val="00471B4F"/>
    <w:rsid w:val="00471BB6"/>
    <w:rsid w:val="00471CF7"/>
    <w:rsid w:val="00471D03"/>
    <w:rsid w:val="00471D06"/>
    <w:rsid w:val="00471D10"/>
    <w:rsid w:val="00471D1E"/>
    <w:rsid w:val="00471DB3"/>
    <w:rsid w:val="00471DFC"/>
    <w:rsid w:val="00471E35"/>
    <w:rsid w:val="00471EC8"/>
    <w:rsid w:val="00471F97"/>
    <w:rsid w:val="00471FBA"/>
    <w:rsid w:val="00471FBC"/>
    <w:rsid w:val="00471FDF"/>
    <w:rsid w:val="00471FE0"/>
    <w:rsid w:val="00472071"/>
    <w:rsid w:val="004720B7"/>
    <w:rsid w:val="0047216A"/>
    <w:rsid w:val="0047225E"/>
    <w:rsid w:val="00472267"/>
    <w:rsid w:val="004722A7"/>
    <w:rsid w:val="004722D3"/>
    <w:rsid w:val="0047230C"/>
    <w:rsid w:val="00472320"/>
    <w:rsid w:val="00472388"/>
    <w:rsid w:val="00472421"/>
    <w:rsid w:val="0047242C"/>
    <w:rsid w:val="00472463"/>
    <w:rsid w:val="00472471"/>
    <w:rsid w:val="0047248C"/>
    <w:rsid w:val="00472532"/>
    <w:rsid w:val="004725B5"/>
    <w:rsid w:val="004725E2"/>
    <w:rsid w:val="00472684"/>
    <w:rsid w:val="0047268B"/>
    <w:rsid w:val="00472769"/>
    <w:rsid w:val="004727E9"/>
    <w:rsid w:val="004727F3"/>
    <w:rsid w:val="00472832"/>
    <w:rsid w:val="00472873"/>
    <w:rsid w:val="00472A9A"/>
    <w:rsid w:val="00472BCB"/>
    <w:rsid w:val="00472C27"/>
    <w:rsid w:val="00472C39"/>
    <w:rsid w:val="00472C3F"/>
    <w:rsid w:val="00472CC1"/>
    <w:rsid w:val="00472CD1"/>
    <w:rsid w:val="00472E02"/>
    <w:rsid w:val="00472EE8"/>
    <w:rsid w:val="00472EFA"/>
    <w:rsid w:val="00472F20"/>
    <w:rsid w:val="00472FAB"/>
    <w:rsid w:val="004730FB"/>
    <w:rsid w:val="00473156"/>
    <w:rsid w:val="00473187"/>
    <w:rsid w:val="00473197"/>
    <w:rsid w:val="0047322B"/>
    <w:rsid w:val="00473231"/>
    <w:rsid w:val="00473334"/>
    <w:rsid w:val="0047344D"/>
    <w:rsid w:val="00473469"/>
    <w:rsid w:val="0047348D"/>
    <w:rsid w:val="004734B1"/>
    <w:rsid w:val="004734E1"/>
    <w:rsid w:val="0047356F"/>
    <w:rsid w:val="00473585"/>
    <w:rsid w:val="00473650"/>
    <w:rsid w:val="0047366D"/>
    <w:rsid w:val="004736BC"/>
    <w:rsid w:val="004736E8"/>
    <w:rsid w:val="00473879"/>
    <w:rsid w:val="0047387F"/>
    <w:rsid w:val="004738DC"/>
    <w:rsid w:val="004738E3"/>
    <w:rsid w:val="004739EF"/>
    <w:rsid w:val="004739F3"/>
    <w:rsid w:val="004739FE"/>
    <w:rsid w:val="00473CF5"/>
    <w:rsid w:val="00473D46"/>
    <w:rsid w:val="00473D8B"/>
    <w:rsid w:val="00473DAF"/>
    <w:rsid w:val="00473E21"/>
    <w:rsid w:val="00473E30"/>
    <w:rsid w:val="00473F1C"/>
    <w:rsid w:val="00473F42"/>
    <w:rsid w:val="00473FD1"/>
    <w:rsid w:val="00473FD3"/>
    <w:rsid w:val="004740AC"/>
    <w:rsid w:val="00474145"/>
    <w:rsid w:val="004741B3"/>
    <w:rsid w:val="00474241"/>
    <w:rsid w:val="004742D6"/>
    <w:rsid w:val="004742EC"/>
    <w:rsid w:val="0047430E"/>
    <w:rsid w:val="0047435D"/>
    <w:rsid w:val="00474392"/>
    <w:rsid w:val="00474511"/>
    <w:rsid w:val="00474582"/>
    <w:rsid w:val="00474587"/>
    <w:rsid w:val="004746C8"/>
    <w:rsid w:val="00474704"/>
    <w:rsid w:val="00474787"/>
    <w:rsid w:val="00474796"/>
    <w:rsid w:val="00474876"/>
    <w:rsid w:val="004748BF"/>
    <w:rsid w:val="004748C8"/>
    <w:rsid w:val="0047493A"/>
    <w:rsid w:val="004749A5"/>
    <w:rsid w:val="004749C2"/>
    <w:rsid w:val="00474ABD"/>
    <w:rsid w:val="00474B17"/>
    <w:rsid w:val="00474B59"/>
    <w:rsid w:val="00474BB4"/>
    <w:rsid w:val="00474C3A"/>
    <w:rsid w:val="00474D18"/>
    <w:rsid w:val="00474D1D"/>
    <w:rsid w:val="00474D96"/>
    <w:rsid w:val="00474EBA"/>
    <w:rsid w:val="00474ECF"/>
    <w:rsid w:val="00474F60"/>
    <w:rsid w:val="0047505F"/>
    <w:rsid w:val="0047506D"/>
    <w:rsid w:val="004750B7"/>
    <w:rsid w:val="004751F3"/>
    <w:rsid w:val="004752B0"/>
    <w:rsid w:val="00475328"/>
    <w:rsid w:val="004753D0"/>
    <w:rsid w:val="004754FB"/>
    <w:rsid w:val="00475606"/>
    <w:rsid w:val="00475620"/>
    <w:rsid w:val="00475667"/>
    <w:rsid w:val="004756EC"/>
    <w:rsid w:val="004756F3"/>
    <w:rsid w:val="004756FD"/>
    <w:rsid w:val="004757D0"/>
    <w:rsid w:val="00475853"/>
    <w:rsid w:val="0047586B"/>
    <w:rsid w:val="00475900"/>
    <w:rsid w:val="004759CA"/>
    <w:rsid w:val="00475A27"/>
    <w:rsid w:val="00475A80"/>
    <w:rsid w:val="00475AEF"/>
    <w:rsid w:val="00475B51"/>
    <w:rsid w:val="00475BB6"/>
    <w:rsid w:val="00475C06"/>
    <w:rsid w:val="00475C47"/>
    <w:rsid w:val="00475C8F"/>
    <w:rsid w:val="00475CAE"/>
    <w:rsid w:val="00475E16"/>
    <w:rsid w:val="00475E6A"/>
    <w:rsid w:val="00475EEB"/>
    <w:rsid w:val="00476206"/>
    <w:rsid w:val="004762EB"/>
    <w:rsid w:val="0047630B"/>
    <w:rsid w:val="00476355"/>
    <w:rsid w:val="00476372"/>
    <w:rsid w:val="00476416"/>
    <w:rsid w:val="0047645F"/>
    <w:rsid w:val="00476544"/>
    <w:rsid w:val="00476563"/>
    <w:rsid w:val="00476788"/>
    <w:rsid w:val="00476900"/>
    <w:rsid w:val="004769BD"/>
    <w:rsid w:val="004769CF"/>
    <w:rsid w:val="00476A9D"/>
    <w:rsid w:val="00476AC1"/>
    <w:rsid w:val="00476C21"/>
    <w:rsid w:val="00476F39"/>
    <w:rsid w:val="00476FE6"/>
    <w:rsid w:val="00477043"/>
    <w:rsid w:val="0047707B"/>
    <w:rsid w:val="004770CF"/>
    <w:rsid w:val="00477220"/>
    <w:rsid w:val="004772D1"/>
    <w:rsid w:val="004772DD"/>
    <w:rsid w:val="004773DF"/>
    <w:rsid w:val="00477419"/>
    <w:rsid w:val="00477457"/>
    <w:rsid w:val="004774EE"/>
    <w:rsid w:val="004775F6"/>
    <w:rsid w:val="00477666"/>
    <w:rsid w:val="00477671"/>
    <w:rsid w:val="0047774F"/>
    <w:rsid w:val="00477768"/>
    <w:rsid w:val="0047778A"/>
    <w:rsid w:val="004777D0"/>
    <w:rsid w:val="00477854"/>
    <w:rsid w:val="00477901"/>
    <w:rsid w:val="0047795B"/>
    <w:rsid w:val="0047798E"/>
    <w:rsid w:val="00477A0B"/>
    <w:rsid w:val="00477B25"/>
    <w:rsid w:val="00477B42"/>
    <w:rsid w:val="00477BCF"/>
    <w:rsid w:val="00477C8C"/>
    <w:rsid w:val="00477D3E"/>
    <w:rsid w:val="00477D8A"/>
    <w:rsid w:val="00477E53"/>
    <w:rsid w:val="00477EAB"/>
    <w:rsid w:val="00477F24"/>
    <w:rsid w:val="00477FA7"/>
    <w:rsid w:val="00477FC7"/>
    <w:rsid w:val="0048005C"/>
    <w:rsid w:val="00480257"/>
    <w:rsid w:val="00480262"/>
    <w:rsid w:val="00480270"/>
    <w:rsid w:val="00480281"/>
    <w:rsid w:val="004803B2"/>
    <w:rsid w:val="0048045B"/>
    <w:rsid w:val="00480472"/>
    <w:rsid w:val="00480498"/>
    <w:rsid w:val="00480597"/>
    <w:rsid w:val="004805C3"/>
    <w:rsid w:val="004805D8"/>
    <w:rsid w:val="004807BA"/>
    <w:rsid w:val="0048080D"/>
    <w:rsid w:val="0048080E"/>
    <w:rsid w:val="00480893"/>
    <w:rsid w:val="004808AA"/>
    <w:rsid w:val="004808DF"/>
    <w:rsid w:val="004808E3"/>
    <w:rsid w:val="0048093C"/>
    <w:rsid w:val="0048094E"/>
    <w:rsid w:val="004809FE"/>
    <w:rsid w:val="00480B38"/>
    <w:rsid w:val="00480BB3"/>
    <w:rsid w:val="00480C65"/>
    <w:rsid w:val="00480D14"/>
    <w:rsid w:val="00480E52"/>
    <w:rsid w:val="00480E93"/>
    <w:rsid w:val="00480EEF"/>
    <w:rsid w:val="00480F1F"/>
    <w:rsid w:val="00480F4B"/>
    <w:rsid w:val="00480FA0"/>
    <w:rsid w:val="0048104F"/>
    <w:rsid w:val="0048109A"/>
    <w:rsid w:val="00481107"/>
    <w:rsid w:val="004811B3"/>
    <w:rsid w:val="00481274"/>
    <w:rsid w:val="0048133D"/>
    <w:rsid w:val="0048136B"/>
    <w:rsid w:val="004813CF"/>
    <w:rsid w:val="004814C3"/>
    <w:rsid w:val="004815A9"/>
    <w:rsid w:val="00481602"/>
    <w:rsid w:val="00481621"/>
    <w:rsid w:val="00481651"/>
    <w:rsid w:val="0048178B"/>
    <w:rsid w:val="0048178C"/>
    <w:rsid w:val="004818E3"/>
    <w:rsid w:val="004818F1"/>
    <w:rsid w:val="00481906"/>
    <w:rsid w:val="00481AB1"/>
    <w:rsid w:val="00481B9F"/>
    <w:rsid w:val="00481BAB"/>
    <w:rsid w:val="00481CD1"/>
    <w:rsid w:val="00481E0F"/>
    <w:rsid w:val="00481EF4"/>
    <w:rsid w:val="0048203D"/>
    <w:rsid w:val="004822E1"/>
    <w:rsid w:val="00482337"/>
    <w:rsid w:val="004823C5"/>
    <w:rsid w:val="0048242F"/>
    <w:rsid w:val="00482653"/>
    <w:rsid w:val="004827EA"/>
    <w:rsid w:val="004827FA"/>
    <w:rsid w:val="00482815"/>
    <w:rsid w:val="004828E4"/>
    <w:rsid w:val="00482903"/>
    <w:rsid w:val="00482B8F"/>
    <w:rsid w:val="00482B9C"/>
    <w:rsid w:val="00482BE4"/>
    <w:rsid w:val="00482CA3"/>
    <w:rsid w:val="00482CAA"/>
    <w:rsid w:val="00482D0A"/>
    <w:rsid w:val="00482D77"/>
    <w:rsid w:val="00482D92"/>
    <w:rsid w:val="00482DBF"/>
    <w:rsid w:val="00482DF0"/>
    <w:rsid w:val="00482E4C"/>
    <w:rsid w:val="00482E64"/>
    <w:rsid w:val="00482E6F"/>
    <w:rsid w:val="00482E79"/>
    <w:rsid w:val="00482EA2"/>
    <w:rsid w:val="00482FAD"/>
    <w:rsid w:val="00482FF9"/>
    <w:rsid w:val="00483002"/>
    <w:rsid w:val="00483047"/>
    <w:rsid w:val="0048307E"/>
    <w:rsid w:val="00483173"/>
    <w:rsid w:val="004831F1"/>
    <w:rsid w:val="0048320B"/>
    <w:rsid w:val="00483212"/>
    <w:rsid w:val="0048334B"/>
    <w:rsid w:val="00483356"/>
    <w:rsid w:val="00483478"/>
    <w:rsid w:val="004834E3"/>
    <w:rsid w:val="0048351A"/>
    <w:rsid w:val="00483565"/>
    <w:rsid w:val="004835D2"/>
    <w:rsid w:val="00483667"/>
    <w:rsid w:val="00483781"/>
    <w:rsid w:val="004837FB"/>
    <w:rsid w:val="00483831"/>
    <w:rsid w:val="00483901"/>
    <w:rsid w:val="00483926"/>
    <w:rsid w:val="00483A71"/>
    <w:rsid w:val="00483AB3"/>
    <w:rsid w:val="00483B8A"/>
    <w:rsid w:val="00483C8D"/>
    <w:rsid w:val="00483C97"/>
    <w:rsid w:val="00483DC6"/>
    <w:rsid w:val="00483E53"/>
    <w:rsid w:val="00483E8E"/>
    <w:rsid w:val="00483EBF"/>
    <w:rsid w:val="00483F09"/>
    <w:rsid w:val="004840DA"/>
    <w:rsid w:val="00484280"/>
    <w:rsid w:val="00484289"/>
    <w:rsid w:val="00484331"/>
    <w:rsid w:val="00484376"/>
    <w:rsid w:val="00484467"/>
    <w:rsid w:val="0048455C"/>
    <w:rsid w:val="004845CA"/>
    <w:rsid w:val="004846BB"/>
    <w:rsid w:val="0048478F"/>
    <w:rsid w:val="00484828"/>
    <w:rsid w:val="00484845"/>
    <w:rsid w:val="0048486E"/>
    <w:rsid w:val="00484A39"/>
    <w:rsid w:val="00484A86"/>
    <w:rsid w:val="00484A9C"/>
    <w:rsid w:val="00484BE4"/>
    <w:rsid w:val="00484D0F"/>
    <w:rsid w:val="00484D65"/>
    <w:rsid w:val="00484DA8"/>
    <w:rsid w:val="00484E63"/>
    <w:rsid w:val="00484F3C"/>
    <w:rsid w:val="00484F41"/>
    <w:rsid w:val="0048506F"/>
    <w:rsid w:val="004850E6"/>
    <w:rsid w:val="0048519F"/>
    <w:rsid w:val="004852CE"/>
    <w:rsid w:val="00485378"/>
    <w:rsid w:val="00485446"/>
    <w:rsid w:val="00485477"/>
    <w:rsid w:val="00485530"/>
    <w:rsid w:val="004855EB"/>
    <w:rsid w:val="004856B6"/>
    <w:rsid w:val="0048572C"/>
    <w:rsid w:val="0048577F"/>
    <w:rsid w:val="00485782"/>
    <w:rsid w:val="00485792"/>
    <w:rsid w:val="00485797"/>
    <w:rsid w:val="00485869"/>
    <w:rsid w:val="004858A4"/>
    <w:rsid w:val="00485914"/>
    <w:rsid w:val="0048596E"/>
    <w:rsid w:val="004859C5"/>
    <w:rsid w:val="00485A84"/>
    <w:rsid w:val="00485AFE"/>
    <w:rsid w:val="00485B03"/>
    <w:rsid w:val="00485C94"/>
    <w:rsid w:val="00485D34"/>
    <w:rsid w:val="00485E72"/>
    <w:rsid w:val="00485E99"/>
    <w:rsid w:val="00485EAC"/>
    <w:rsid w:val="00485EC7"/>
    <w:rsid w:val="00485F2A"/>
    <w:rsid w:val="00485F33"/>
    <w:rsid w:val="00485F91"/>
    <w:rsid w:val="00485FB1"/>
    <w:rsid w:val="00485FEA"/>
    <w:rsid w:val="00486089"/>
    <w:rsid w:val="00486118"/>
    <w:rsid w:val="0048614B"/>
    <w:rsid w:val="004861A4"/>
    <w:rsid w:val="004861C9"/>
    <w:rsid w:val="004861FF"/>
    <w:rsid w:val="0048621C"/>
    <w:rsid w:val="0048621F"/>
    <w:rsid w:val="00486227"/>
    <w:rsid w:val="00486244"/>
    <w:rsid w:val="00486348"/>
    <w:rsid w:val="00486358"/>
    <w:rsid w:val="0048637D"/>
    <w:rsid w:val="004863C2"/>
    <w:rsid w:val="004863FC"/>
    <w:rsid w:val="004864EC"/>
    <w:rsid w:val="00486506"/>
    <w:rsid w:val="00486556"/>
    <w:rsid w:val="00486612"/>
    <w:rsid w:val="00486626"/>
    <w:rsid w:val="004866EE"/>
    <w:rsid w:val="00486749"/>
    <w:rsid w:val="00486A03"/>
    <w:rsid w:val="00486A16"/>
    <w:rsid w:val="00486A9E"/>
    <w:rsid w:val="00486AD9"/>
    <w:rsid w:val="00486AFF"/>
    <w:rsid w:val="00486D40"/>
    <w:rsid w:val="00486D62"/>
    <w:rsid w:val="00486E39"/>
    <w:rsid w:val="00486F32"/>
    <w:rsid w:val="00486F3E"/>
    <w:rsid w:val="00486F87"/>
    <w:rsid w:val="00486FDA"/>
    <w:rsid w:val="00486FF4"/>
    <w:rsid w:val="0048700D"/>
    <w:rsid w:val="00487024"/>
    <w:rsid w:val="00487029"/>
    <w:rsid w:val="00487053"/>
    <w:rsid w:val="00487121"/>
    <w:rsid w:val="00487188"/>
    <w:rsid w:val="0048721E"/>
    <w:rsid w:val="00487246"/>
    <w:rsid w:val="004872D9"/>
    <w:rsid w:val="00487350"/>
    <w:rsid w:val="004875A5"/>
    <w:rsid w:val="004875B4"/>
    <w:rsid w:val="004875B5"/>
    <w:rsid w:val="0048765C"/>
    <w:rsid w:val="004876E5"/>
    <w:rsid w:val="0048771E"/>
    <w:rsid w:val="00487728"/>
    <w:rsid w:val="0048780A"/>
    <w:rsid w:val="004878C4"/>
    <w:rsid w:val="004878D7"/>
    <w:rsid w:val="00487946"/>
    <w:rsid w:val="004879C5"/>
    <w:rsid w:val="00487AB5"/>
    <w:rsid w:val="00487AF5"/>
    <w:rsid w:val="00487AFC"/>
    <w:rsid w:val="00487B23"/>
    <w:rsid w:val="00487B43"/>
    <w:rsid w:val="00487C03"/>
    <w:rsid w:val="00487D37"/>
    <w:rsid w:val="00487DFC"/>
    <w:rsid w:val="00487E11"/>
    <w:rsid w:val="00487EC1"/>
    <w:rsid w:val="00487ED0"/>
    <w:rsid w:val="00487F96"/>
    <w:rsid w:val="00490015"/>
    <w:rsid w:val="0049005D"/>
    <w:rsid w:val="00490079"/>
    <w:rsid w:val="00490091"/>
    <w:rsid w:val="00490134"/>
    <w:rsid w:val="004901C5"/>
    <w:rsid w:val="004901E3"/>
    <w:rsid w:val="0049021F"/>
    <w:rsid w:val="00490280"/>
    <w:rsid w:val="0049028F"/>
    <w:rsid w:val="004902B5"/>
    <w:rsid w:val="004902DB"/>
    <w:rsid w:val="004902F6"/>
    <w:rsid w:val="00490308"/>
    <w:rsid w:val="0049032C"/>
    <w:rsid w:val="004903AD"/>
    <w:rsid w:val="004903FA"/>
    <w:rsid w:val="0049044F"/>
    <w:rsid w:val="00490478"/>
    <w:rsid w:val="00490584"/>
    <w:rsid w:val="004905A9"/>
    <w:rsid w:val="0049066F"/>
    <w:rsid w:val="004907EC"/>
    <w:rsid w:val="00490807"/>
    <w:rsid w:val="0049080D"/>
    <w:rsid w:val="004908DF"/>
    <w:rsid w:val="00490995"/>
    <w:rsid w:val="00490A51"/>
    <w:rsid w:val="00490B32"/>
    <w:rsid w:val="00490B59"/>
    <w:rsid w:val="00490BE2"/>
    <w:rsid w:val="00490BEB"/>
    <w:rsid w:val="00490D81"/>
    <w:rsid w:val="00490E1E"/>
    <w:rsid w:val="00490E30"/>
    <w:rsid w:val="00490E56"/>
    <w:rsid w:val="00490E67"/>
    <w:rsid w:val="00490F0C"/>
    <w:rsid w:val="0049106B"/>
    <w:rsid w:val="0049114F"/>
    <w:rsid w:val="00491169"/>
    <w:rsid w:val="0049122C"/>
    <w:rsid w:val="004912B4"/>
    <w:rsid w:val="0049134F"/>
    <w:rsid w:val="004915D1"/>
    <w:rsid w:val="004915DA"/>
    <w:rsid w:val="004915EE"/>
    <w:rsid w:val="00491614"/>
    <w:rsid w:val="0049172A"/>
    <w:rsid w:val="0049175F"/>
    <w:rsid w:val="00491894"/>
    <w:rsid w:val="004918DF"/>
    <w:rsid w:val="00491909"/>
    <w:rsid w:val="0049191A"/>
    <w:rsid w:val="00491939"/>
    <w:rsid w:val="0049195D"/>
    <w:rsid w:val="004919F8"/>
    <w:rsid w:val="00491A78"/>
    <w:rsid w:val="00491D0B"/>
    <w:rsid w:val="00491D6B"/>
    <w:rsid w:val="00491D90"/>
    <w:rsid w:val="00491DEB"/>
    <w:rsid w:val="00491FA1"/>
    <w:rsid w:val="00491FDE"/>
    <w:rsid w:val="00492048"/>
    <w:rsid w:val="00492097"/>
    <w:rsid w:val="004920C2"/>
    <w:rsid w:val="00492162"/>
    <w:rsid w:val="00492263"/>
    <w:rsid w:val="004922E9"/>
    <w:rsid w:val="0049231F"/>
    <w:rsid w:val="004923CE"/>
    <w:rsid w:val="00492455"/>
    <w:rsid w:val="00492476"/>
    <w:rsid w:val="004925AF"/>
    <w:rsid w:val="004925F6"/>
    <w:rsid w:val="0049262E"/>
    <w:rsid w:val="004926EE"/>
    <w:rsid w:val="0049289E"/>
    <w:rsid w:val="004928A9"/>
    <w:rsid w:val="00492913"/>
    <w:rsid w:val="0049295E"/>
    <w:rsid w:val="004929C3"/>
    <w:rsid w:val="004929FA"/>
    <w:rsid w:val="00492A5B"/>
    <w:rsid w:val="00492A5C"/>
    <w:rsid w:val="00492AD2"/>
    <w:rsid w:val="00492B23"/>
    <w:rsid w:val="00492BCC"/>
    <w:rsid w:val="00492BEE"/>
    <w:rsid w:val="00492C21"/>
    <w:rsid w:val="00492C43"/>
    <w:rsid w:val="00492E56"/>
    <w:rsid w:val="00492F54"/>
    <w:rsid w:val="00493017"/>
    <w:rsid w:val="0049304E"/>
    <w:rsid w:val="00493061"/>
    <w:rsid w:val="004930BB"/>
    <w:rsid w:val="004930E2"/>
    <w:rsid w:val="0049312A"/>
    <w:rsid w:val="00493156"/>
    <w:rsid w:val="004931B7"/>
    <w:rsid w:val="004931F2"/>
    <w:rsid w:val="0049329B"/>
    <w:rsid w:val="0049335D"/>
    <w:rsid w:val="0049336F"/>
    <w:rsid w:val="00493413"/>
    <w:rsid w:val="00493416"/>
    <w:rsid w:val="00493460"/>
    <w:rsid w:val="00493488"/>
    <w:rsid w:val="004934DA"/>
    <w:rsid w:val="004935B6"/>
    <w:rsid w:val="004935CF"/>
    <w:rsid w:val="0049366C"/>
    <w:rsid w:val="004936B6"/>
    <w:rsid w:val="00493754"/>
    <w:rsid w:val="0049375B"/>
    <w:rsid w:val="00493761"/>
    <w:rsid w:val="00493806"/>
    <w:rsid w:val="0049380C"/>
    <w:rsid w:val="00493848"/>
    <w:rsid w:val="0049389C"/>
    <w:rsid w:val="004938CF"/>
    <w:rsid w:val="00493A38"/>
    <w:rsid w:val="00493A61"/>
    <w:rsid w:val="00493AF7"/>
    <w:rsid w:val="00493B38"/>
    <w:rsid w:val="00493B50"/>
    <w:rsid w:val="00493C3A"/>
    <w:rsid w:val="00493C76"/>
    <w:rsid w:val="00493CAF"/>
    <w:rsid w:val="00493CCA"/>
    <w:rsid w:val="00493D31"/>
    <w:rsid w:val="00493E90"/>
    <w:rsid w:val="00493F25"/>
    <w:rsid w:val="00493F2A"/>
    <w:rsid w:val="00494109"/>
    <w:rsid w:val="004943BB"/>
    <w:rsid w:val="004943D0"/>
    <w:rsid w:val="00494424"/>
    <w:rsid w:val="004944D7"/>
    <w:rsid w:val="004944F3"/>
    <w:rsid w:val="0049450B"/>
    <w:rsid w:val="004945CA"/>
    <w:rsid w:val="00494670"/>
    <w:rsid w:val="00494688"/>
    <w:rsid w:val="004946D5"/>
    <w:rsid w:val="004946DA"/>
    <w:rsid w:val="004946E2"/>
    <w:rsid w:val="00494710"/>
    <w:rsid w:val="0049475D"/>
    <w:rsid w:val="0049478A"/>
    <w:rsid w:val="004947CB"/>
    <w:rsid w:val="00494840"/>
    <w:rsid w:val="0049486C"/>
    <w:rsid w:val="004948D4"/>
    <w:rsid w:val="00494924"/>
    <w:rsid w:val="00494958"/>
    <w:rsid w:val="0049496D"/>
    <w:rsid w:val="004949A6"/>
    <w:rsid w:val="00494A51"/>
    <w:rsid w:val="00494B4D"/>
    <w:rsid w:val="00494CB9"/>
    <w:rsid w:val="00494CC0"/>
    <w:rsid w:val="00494F9C"/>
    <w:rsid w:val="00495034"/>
    <w:rsid w:val="0049534E"/>
    <w:rsid w:val="004954A4"/>
    <w:rsid w:val="004955EB"/>
    <w:rsid w:val="0049579E"/>
    <w:rsid w:val="004957B1"/>
    <w:rsid w:val="00495847"/>
    <w:rsid w:val="00495898"/>
    <w:rsid w:val="004958A6"/>
    <w:rsid w:val="00495A46"/>
    <w:rsid w:val="00495B17"/>
    <w:rsid w:val="00495B2D"/>
    <w:rsid w:val="00495B51"/>
    <w:rsid w:val="00495B71"/>
    <w:rsid w:val="00495BE6"/>
    <w:rsid w:val="00495C2B"/>
    <w:rsid w:val="00495C60"/>
    <w:rsid w:val="00495CA9"/>
    <w:rsid w:val="00495D1C"/>
    <w:rsid w:val="00495DC7"/>
    <w:rsid w:val="00495DD9"/>
    <w:rsid w:val="00495DFF"/>
    <w:rsid w:val="00495E6E"/>
    <w:rsid w:val="00495EB5"/>
    <w:rsid w:val="00495F2D"/>
    <w:rsid w:val="00495F4C"/>
    <w:rsid w:val="00495FD4"/>
    <w:rsid w:val="0049609F"/>
    <w:rsid w:val="0049610A"/>
    <w:rsid w:val="0049610E"/>
    <w:rsid w:val="004962A8"/>
    <w:rsid w:val="0049634A"/>
    <w:rsid w:val="004963E8"/>
    <w:rsid w:val="0049647D"/>
    <w:rsid w:val="004964EC"/>
    <w:rsid w:val="00496554"/>
    <w:rsid w:val="004966CF"/>
    <w:rsid w:val="00496743"/>
    <w:rsid w:val="00496908"/>
    <w:rsid w:val="00496926"/>
    <w:rsid w:val="00496A22"/>
    <w:rsid w:val="00496A7A"/>
    <w:rsid w:val="00496B1E"/>
    <w:rsid w:val="00496C42"/>
    <w:rsid w:val="00496C7B"/>
    <w:rsid w:val="00496D59"/>
    <w:rsid w:val="00496E7F"/>
    <w:rsid w:val="00496FF5"/>
    <w:rsid w:val="004970E9"/>
    <w:rsid w:val="00497157"/>
    <w:rsid w:val="004972B1"/>
    <w:rsid w:val="004973BD"/>
    <w:rsid w:val="00497404"/>
    <w:rsid w:val="0049740F"/>
    <w:rsid w:val="0049746D"/>
    <w:rsid w:val="00497501"/>
    <w:rsid w:val="00497516"/>
    <w:rsid w:val="004975B2"/>
    <w:rsid w:val="004975D6"/>
    <w:rsid w:val="00497633"/>
    <w:rsid w:val="00497708"/>
    <w:rsid w:val="0049773B"/>
    <w:rsid w:val="004977BB"/>
    <w:rsid w:val="004977F3"/>
    <w:rsid w:val="004977FE"/>
    <w:rsid w:val="00497832"/>
    <w:rsid w:val="0049787C"/>
    <w:rsid w:val="004978CE"/>
    <w:rsid w:val="004978E8"/>
    <w:rsid w:val="004978F8"/>
    <w:rsid w:val="004979C0"/>
    <w:rsid w:val="00497ACB"/>
    <w:rsid w:val="00497AEA"/>
    <w:rsid w:val="00497B4E"/>
    <w:rsid w:val="00497C23"/>
    <w:rsid w:val="00497C25"/>
    <w:rsid w:val="00497C31"/>
    <w:rsid w:val="00497C88"/>
    <w:rsid w:val="00497CA2"/>
    <w:rsid w:val="00497CB7"/>
    <w:rsid w:val="00497D2B"/>
    <w:rsid w:val="00497D46"/>
    <w:rsid w:val="00497E5D"/>
    <w:rsid w:val="00497E79"/>
    <w:rsid w:val="00497E7D"/>
    <w:rsid w:val="00497F12"/>
    <w:rsid w:val="00497F5B"/>
    <w:rsid w:val="00497FFA"/>
    <w:rsid w:val="004A00CC"/>
    <w:rsid w:val="004A00EF"/>
    <w:rsid w:val="004A0159"/>
    <w:rsid w:val="004A01E3"/>
    <w:rsid w:val="004A0209"/>
    <w:rsid w:val="004A0231"/>
    <w:rsid w:val="004A0292"/>
    <w:rsid w:val="004A02AF"/>
    <w:rsid w:val="004A0334"/>
    <w:rsid w:val="004A033B"/>
    <w:rsid w:val="004A0424"/>
    <w:rsid w:val="004A0511"/>
    <w:rsid w:val="004A076F"/>
    <w:rsid w:val="004A087D"/>
    <w:rsid w:val="004A088F"/>
    <w:rsid w:val="004A08D1"/>
    <w:rsid w:val="004A08E6"/>
    <w:rsid w:val="004A09A0"/>
    <w:rsid w:val="004A09B5"/>
    <w:rsid w:val="004A09C7"/>
    <w:rsid w:val="004A0A16"/>
    <w:rsid w:val="004A0A1B"/>
    <w:rsid w:val="004A0A55"/>
    <w:rsid w:val="004A0B71"/>
    <w:rsid w:val="004A0C11"/>
    <w:rsid w:val="004A0C8A"/>
    <w:rsid w:val="004A0E02"/>
    <w:rsid w:val="004A0E31"/>
    <w:rsid w:val="004A0E4D"/>
    <w:rsid w:val="004A0E58"/>
    <w:rsid w:val="004A0E82"/>
    <w:rsid w:val="004A0E9A"/>
    <w:rsid w:val="004A0F01"/>
    <w:rsid w:val="004A0F0F"/>
    <w:rsid w:val="004A0F87"/>
    <w:rsid w:val="004A0F8B"/>
    <w:rsid w:val="004A0FAD"/>
    <w:rsid w:val="004A1182"/>
    <w:rsid w:val="004A1218"/>
    <w:rsid w:val="004A126D"/>
    <w:rsid w:val="004A1346"/>
    <w:rsid w:val="004A13AF"/>
    <w:rsid w:val="004A1449"/>
    <w:rsid w:val="004A14C9"/>
    <w:rsid w:val="004A1518"/>
    <w:rsid w:val="004A152B"/>
    <w:rsid w:val="004A164F"/>
    <w:rsid w:val="004A1920"/>
    <w:rsid w:val="004A194F"/>
    <w:rsid w:val="004A1984"/>
    <w:rsid w:val="004A1A07"/>
    <w:rsid w:val="004A1A84"/>
    <w:rsid w:val="004A1B00"/>
    <w:rsid w:val="004A1B1E"/>
    <w:rsid w:val="004A1BD1"/>
    <w:rsid w:val="004A1BF2"/>
    <w:rsid w:val="004A1BF9"/>
    <w:rsid w:val="004A1C39"/>
    <w:rsid w:val="004A1C54"/>
    <w:rsid w:val="004A1DE4"/>
    <w:rsid w:val="004A1E1E"/>
    <w:rsid w:val="004A1F9D"/>
    <w:rsid w:val="004A2043"/>
    <w:rsid w:val="004A240C"/>
    <w:rsid w:val="004A24A5"/>
    <w:rsid w:val="004A2533"/>
    <w:rsid w:val="004A25B2"/>
    <w:rsid w:val="004A27A0"/>
    <w:rsid w:val="004A27D9"/>
    <w:rsid w:val="004A2821"/>
    <w:rsid w:val="004A2852"/>
    <w:rsid w:val="004A2B03"/>
    <w:rsid w:val="004A2D1C"/>
    <w:rsid w:val="004A2DF6"/>
    <w:rsid w:val="004A2E33"/>
    <w:rsid w:val="004A2E43"/>
    <w:rsid w:val="004A2E7E"/>
    <w:rsid w:val="004A2EAD"/>
    <w:rsid w:val="004A2F30"/>
    <w:rsid w:val="004A2F76"/>
    <w:rsid w:val="004A2FAB"/>
    <w:rsid w:val="004A2FBE"/>
    <w:rsid w:val="004A3014"/>
    <w:rsid w:val="004A30FE"/>
    <w:rsid w:val="004A3256"/>
    <w:rsid w:val="004A3263"/>
    <w:rsid w:val="004A3330"/>
    <w:rsid w:val="004A3334"/>
    <w:rsid w:val="004A33C0"/>
    <w:rsid w:val="004A3436"/>
    <w:rsid w:val="004A3477"/>
    <w:rsid w:val="004A36B5"/>
    <w:rsid w:val="004A3749"/>
    <w:rsid w:val="004A37F6"/>
    <w:rsid w:val="004A3800"/>
    <w:rsid w:val="004A3858"/>
    <w:rsid w:val="004A387B"/>
    <w:rsid w:val="004A39A5"/>
    <w:rsid w:val="004A39D8"/>
    <w:rsid w:val="004A3AB4"/>
    <w:rsid w:val="004A3ADF"/>
    <w:rsid w:val="004A3B11"/>
    <w:rsid w:val="004A3B9B"/>
    <w:rsid w:val="004A3C50"/>
    <w:rsid w:val="004A3CC4"/>
    <w:rsid w:val="004A3CEC"/>
    <w:rsid w:val="004A3D62"/>
    <w:rsid w:val="004A3D6A"/>
    <w:rsid w:val="004A3DD4"/>
    <w:rsid w:val="004A3DED"/>
    <w:rsid w:val="004A3E7A"/>
    <w:rsid w:val="004A3EE4"/>
    <w:rsid w:val="004A3F94"/>
    <w:rsid w:val="004A40C8"/>
    <w:rsid w:val="004A40FD"/>
    <w:rsid w:val="004A4161"/>
    <w:rsid w:val="004A41BF"/>
    <w:rsid w:val="004A4244"/>
    <w:rsid w:val="004A4295"/>
    <w:rsid w:val="004A42B1"/>
    <w:rsid w:val="004A42F0"/>
    <w:rsid w:val="004A4332"/>
    <w:rsid w:val="004A44B4"/>
    <w:rsid w:val="004A45DB"/>
    <w:rsid w:val="004A45E3"/>
    <w:rsid w:val="004A45EF"/>
    <w:rsid w:val="004A4709"/>
    <w:rsid w:val="004A47E5"/>
    <w:rsid w:val="004A47E8"/>
    <w:rsid w:val="004A47FC"/>
    <w:rsid w:val="004A487C"/>
    <w:rsid w:val="004A4929"/>
    <w:rsid w:val="004A494F"/>
    <w:rsid w:val="004A4A46"/>
    <w:rsid w:val="004A4A87"/>
    <w:rsid w:val="004A4AA0"/>
    <w:rsid w:val="004A4C84"/>
    <w:rsid w:val="004A4D5C"/>
    <w:rsid w:val="004A4DBA"/>
    <w:rsid w:val="004A4F43"/>
    <w:rsid w:val="004A4F62"/>
    <w:rsid w:val="004A50B9"/>
    <w:rsid w:val="004A515E"/>
    <w:rsid w:val="004A51C7"/>
    <w:rsid w:val="004A522D"/>
    <w:rsid w:val="004A524B"/>
    <w:rsid w:val="004A52D9"/>
    <w:rsid w:val="004A53E7"/>
    <w:rsid w:val="004A5457"/>
    <w:rsid w:val="004A5491"/>
    <w:rsid w:val="004A55CA"/>
    <w:rsid w:val="004A55F3"/>
    <w:rsid w:val="004A567E"/>
    <w:rsid w:val="004A56A6"/>
    <w:rsid w:val="004A56CD"/>
    <w:rsid w:val="004A57E1"/>
    <w:rsid w:val="004A5836"/>
    <w:rsid w:val="004A5853"/>
    <w:rsid w:val="004A58D7"/>
    <w:rsid w:val="004A58F7"/>
    <w:rsid w:val="004A59B5"/>
    <w:rsid w:val="004A5A4E"/>
    <w:rsid w:val="004A5AA9"/>
    <w:rsid w:val="004A5ADB"/>
    <w:rsid w:val="004A5B4F"/>
    <w:rsid w:val="004A5BFD"/>
    <w:rsid w:val="004A5C25"/>
    <w:rsid w:val="004A5C7E"/>
    <w:rsid w:val="004A5C90"/>
    <w:rsid w:val="004A5D83"/>
    <w:rsid w:val="004A5E2B"/>
    <w:rsid w:val="004A5EA8"/>
    <w:rsid w:val="004A5F2D"/>
    <w:rsid w:val="004A5F7D"/>
    <w:rsid w:val="004A5F98"/>
    <w:rsid w:val="004A5FA5"/>
    <w:rsid w:val="004A5FF5"/>
    <w:rsid w:val="004A600E"/>
    <w:rsid w:val="004A6087"/>
    <w:rsid w:val="004A6097"/>
    <w:rsid w:val="004A60F1"/>
    <w:rsid w:val="004A624E"/>
    <w:rsid w:val="004A639D"/>
    <w:rsid w:val="004A63E6"/>
    <w:rsid w:val="004A640A"/>
    <w:rsid w:val="004A6449"/>
    <w:rsid w:val="004A6453"/>
    <w:rsid w:val="004A64CA"/>
    <w:rsid w:val="004A652B"/>
    <w:rsid w:val="004A65B8"/>
    <w:rsid w:val="004A6632"/>
    <w:rsid w:val="004A665C"/>
    <w:rsid w:val="004A6670"/>
    <w:rsid w:val="004A66A3"/>
    <w:rsid w:val="004A6713"/>
    <w:rsid w:val="004A671D"/>
    <w:rsid w:val="004A67B2"/>
    <w:rsid w:val="004A67B5"/>
    <w:rsid w:val="004A686C"/>
    <w:rsid w:val="004A68B5"/>
    <w:rsid w:val="004A69CB"/>
    <w:rsid w:val="004A69FD"/>
    <w:rsid w:val="004A6A22"/>
    <w:rsid w:val="004A6AD1"/>
    <w:rsid w:val="004A6CA7"/>
    <w:rsid w:val="004A6CAC"/>
    <w:rsid w:val="004A6DBE"/>
    <w:rsid w:val="004A6E07"/>
    <w:rsid w:val="004A6E0B"/>
    <w:rsid w:val="004A6E16"/>
    <w:rsid w:val="004A6E56"/>
    <w:rsid w:val="004A6E75"/>
    <w:rsid w:val="004A6EB6"/>
    <w:rsid w:val="004A6EF3"/>
    <w:rsid w:val="004A6F3C"/>
    <w:rsid w:val="004A6F51"/>
    <w:rsid w:val="004A6FEE"/>
    <w:rsid w:val="004A7040"/>
    <w:rsid w:val="004A7084"/>
    <w:rsid w:val="004A70D7"/>
    <w:rsid w:val="004A71E9"/>
    <w:rsid w:val="004A721B"/>
    <w:rsid w:val="004A723D"/>
    <w:rsid w:val="004A730F"/>
    <w:rsid w:val="004A743E"/>
    <w:rsid w:val="004A7470"/>
    <w:rsid w:val="004A7475"/>
    <w:rsid w:val="004A7555"/>
    <w:rsid w:val="004A7571"/>
    <w:rsid w:val="004A761A"/>
    <w:rsid w:val="004A765A"/>
    <w:rsid w:val="004A7692"/>
    <w:rsid w:val="004A7711"/>
    <w:rsid w:val="004A774B"/>
    <w:rsid w:val="004A776F"/>
    <w:rsid w:val="004A779A"/>
    <w:rsid w:val="004A787A"/>
    <w:rsid w:val="004A78B3"/>
    <w:rsid w:val="004A7965"/>
    <w:rsid w:val="004A79D9"/>
    <w:rsid w:val="004A7B1B"/>
    <w:rsid w:val="004A7C2D"/>
    <w:rsid w:val="004A7D60"/>
    <w:rsid w:val="004A7E27"/>
    <w:rsid w:val="004A7F19"/>
    <w:rsid w:val="004A7F7B"/>
    <w:rsid w:val="004A7F90"/>
    <w:rsid w:val="004B0090"/>
    <w:rsid w:val="004B00DD"/>
    <w:rsid w:val="004B01ED"/>
    <w:rsid w:val="004B0288"/>
    <w:rsid w:val="004B0377"/>
    <w:rsid w:val="004B03BC"/>
    <w:rsid w:val="004B03E2"/>
    <w:rsid w:val="004B040E"/>
    <w:rsid w:val="004B048D"/>
    <w:rsid w:val="004B04DA"/>
    <w:rsid w:val="004B04E0"/>
    <w:rsid w:val="004B0787"/>
    <w:rsid w:val="004B0874"/>
    <w:rsid w:val="004B08A8"/>
    <w:rsid w:val="004B097D"/>
    <w:rsid w:val="004B0A75"/>
    <w:rsid w:val="004B0B78"/>
    <w:rsid w:val="004B0C12"/>
    <w:rsid w:val="004B0C1A"/>
    <w:rsid w:val="004B0C5B"/>
    <w:rsid w:val="004B0C9F"/>
    <w:rsid w:val="004B0CB0"/>
    <w:rsid w:val="004B0CD4"/>
    <w:rsid w:val="004B0E49"/>
    <w:rsid w:val="004B0E88"/>
    <w:rsid w:val="004B0E99"/>
    <w:rsid w:val="004B0ED8"/>
    <w:rsid w:val="004B0F47"/>
    <w:rsid w:val="004B10C8"/>
    <w:rsid w:val="004B1238"/>
    <w:rsid w:val="004B12A3"/>
    <w:rsid w:val="004B1389"/>
    <w:rsid w:val="004B1391"/>
    <w:rsid w:val="004B13EE"/>
    <w:rsid w:val="004B1431"/>
    <w:rsid w:val="004B165C"/>
    <w:rsid w:val="004B1690"/>
    <w:rsid w:val="004B179A"/>
    <w:rsid w:val="004B17BE"/>
    <w:rsid w:val="004B1891"/>
    <w:rsid w:val="004B197B"/>
    <w:rsid w:val="004B1A3C"/>
    <w:rsid w:val="004B1ACB"/>
    <w:rsid w:val="004B1B7D"/>
    <w:rsid w:val="004B1B9C"/>
    <w:rsid w:val="004B1BA9"/>
    <w:rsid w:val="004B1C20"/>
    <w:rsid w:val="004B1CEF"/>
    <w:rsid w:val="004B1CF5"/>
    <w:rsid w:val="004B1DA3"/>
    <w:rsid w:val="004B1DC0"/>
    <w:rsid w:val="004B1E6D"/>
    <w:rsid w:val="004B1EB0"/>
    <w:rsid w:val="004B1F70"/>
    <w:rsid w:val="004B205B"/>
    <w:rsid w:val="004B2095"/>
    <w:rsid w:val="004B2287"/>
    <w:rsid w:val="004B2296"/>
    <w:rsid w:val="004B23E1"/>
    <w:rsid w:val="004B2477"/>
    <w:rsid w:val="004B2573"/>
    <w:rsid w:val="004B2577"/>
    <w:rsid w:val="004B2590"/>
    <w:rsid w:val="004B25BC"/>
    <w:rsid w:val="004B25ED"/>
    <w:rsid w:val="004B271B"/>
    <w:rsid w:val="004B273E"/>
    <w:rsid w:val="004B2783"/>
    <w:rsid w:val="004B27FD"/>
    <w:rsid w:val="004B2939"/>
    <w:rsid w:val="004B2973"/>
    <w:rsid w:val="004B2A0E"/>
    <w:rsid w:val="004B2A24"/>
    <w:rsid w:val="004B2A53"/>
    <w:rsid w:val="004B2A89"/>
    <w:rsid w:val="004B2AB8"/>
    <w:rsid w:val="004B2CE4"/>
    <w:rsid w:val="004B2D01"/>
    <w:rsid w:val="004B2D21"/>
    <w:rsid w:val="004B2D70"/>
    <w:rsid w:val="004B2DD9"/>
    <w:rsid w:val="004B2E59"/>
    <w:rsid w:val="004B2FAA"/>
    <w:rsid w:val="004B3057"/>
    <w:rsid w:val="004B30A2"/>
    <w:rsid w:val="004B32BD"/>
    <w:rsid w:val="004B32C9"/>
    <w:rsid w:val="004B32CF"/>
    <w:rsid w:val="004B330D"/>
    <w:rsid w:val="004B332E"/>
    <w:rsid w:val="004B3354"/>
    <w:rsid w:val="004B338F"/>
    <w:rsid w:val="004B33C4"/>
    <w:rsid w:val="004B3454"/>
    <w:rsid w:val="004B34E9"/>
    <w:rsid w:val="004B3518"/>
    <w:rsid w:val="004B353E"/>
    <w:rsid w:val="004B3559"/>
    <w:rsid w:val="004B3614"/>
    <w:rsid w:val="004B376B"/>
    <w:rsid w:val="004B37AD"/>
    <w:rsid w:val="004B387A"/>
    <w:rsid w:val="004B38BC"/>
    <w:rsid w:val="004B3964"/>
    <w:rsid w:val="004B3995"/>
    <w:rsid w:val="004B3AA2"/>
    <w:rsid w:val="004B3B30"/>
    <w:rsid w:val="004B3B53"/>
    <w:rsid w:val="004B3B79"/>
    <w:rsid w:val="004B3B98"/>
    <w:rsid w:val="004B3BEC"/>
    <w:rsid w:val="004B3BF6"/>
    <w:rsid w:val="004B3C8F"/>
    <w:rsid w:val="004B3D86"/>
    <w:rsid w:val="004B3DBF"/>
    <w:rsid w:val="004B3DDC"/>
    <w:rsid w:val="004B3E3D"/>
    <w:rsid w:val="004B3FE4"/>
    <w:rsid w:val="004B405F"/>
    <w:rsid w:val="004B41FC"/>
    <w:rsid w:val="004B4224"/>
    <w:rsid w:val="004B42DC"/>
    <w:rsid w:val="004B42FC"/>
    <w:rsid w:val="004B446A"/>
    <w:rsid w:val="004B45B8"/>
    <w:rsid w:val="004B45FA"/>
    <w:rsid w:val="004B461B"/>
    <w:rsid w:val="004B4741"/>
    <w:rsid w:val="004B4869"/>
    <w:rsid w:val="004B48D2"/>
    <w:rsid w:val="004B48FA"/>
    <w:rsid w:val="004B49DF"/>
    <w:rsid w:val="004B49F3"/>
    <w:rsid w:val="004B4AE3"/>
    <w:rsid w:val="004B4B75"/>
    <w:rsid w:val="004B4BA5"/>
    <w:rsid w:val="004B4C0E"/>
    <w:rsid w:val="004B4C2F"/>
    <w:rsid w:val="004B4CA2"/>
    <w:rsid w:val="004B4CF9"/>
    <w:rsid w:val="004B4D3C"/>
    <w:rsid w:val="004B4D4C"/>
    <w:rsid w:val="004B4E99"/>
    <w:rsid w:val="004B4EB5"/>
    <w:rsid w:val="004B4F13"/>
    <w:rsid w:val="004B505B"/>
    <w:rsid w:val="004B5125"/>
    <w:rsid w:val="004B51CA"/>
    <w:rsid w:val="004B51FD"/>
    <w:rsid w:val="004B5283"/>
    <w:rsid w:val="004B5341"/>
    <w:rsid w:val="004B535A"/>
    <w:rsid w:val="004B5398"/>
    <w:rsid w:val="004B542D"/>
    <w:rsid w:val="004B5442"/>
    <w:rsid w:val="004B54A6"/>
    <w:rsid w:val="004B5575"/>
    <w:rsid w:val="004B56D2"/>
    <w:rsid w:val="004B5736"/>
    <w:rsid w:val="004B5775"/>
    <w:rsid w:val="004B5793"/>
    <w:rsid w:val="004B57D5"/>
    <w:rsid w:val="004B5830"/>
    <w:rsid w:val="004B5838"/>
    <w:rsid w:val="004B599B"/>
    <w:rsid w:val="004B59D2"/>
    <w:rsid w:val="004B5B51"/>
    <w:rsid w:val="004B5C2C"/>
    <w:rsid w:val="004B5E47"/>
    <w:rsid w:val="004B5E5A"/>
    <w:rsid w:val="004B5E83"/>
    <w:rsid w:val="004B5EFF"/>
    <w:rsid w:val="004B5F6D"/>
    <w:rsid w:val="004B5F97"/>
    <w:rsid w:val="004B608A"/>
    <w:rsid w:val="004B61A9"/>
    <w:rsid w:val="004B6280"/>
    <w:rsid w:val="004B62C7"/>
    <w:rsid w:val="004B62DC"/>
    <w:rsid w:val="004B643A"/>
    <w:rsid w:val="004B6486"/>
    <w:rsid w:val="004B6576"/>
    <w:rsid w:val="004B65C6"/>
    <w:rsid w:val="004B6621"/>
    <w:rsid w:val="004B6713"/>
    <w:rsid w:val="004B67D7"/>
    <w:rsid w:val="004B6891"/>
    <w:rsid w:val="004B6928"/>
    <w:rsid w:val="004B69C5"/>
    <w:rsid w:val="004B69C8"/>
    <w:rsid w:val="004B6A4B"/>
    <w:rsid w:val="004B6C35"/>
    <w:rsid w:val="004B6CE5"/>
    <w:rsid w:val="004B6D1F"/>
    <w:rsid w:val="004B6D72"/>
    <w:rsid w:val="004B6D99"/>
    <w:rsid w:val="004B6DB1"/>
    <w:rsid w:val="004B6E61"/>
    <w:rsid w:val="004B6EB5"/>
    <w:rsid w:val="004B6EFA"/>
    <w:rsid w:val="004B7021"/>
    <w:rsid w:val="004B7110"/>
    <w:rsid w:val="004B7129"/>
    <w:rsid w:val="004B71AB"/>
    <w:rsid w:val="004B71AE"/>
    <w:rsid w:val="004B71C6"/>
    <w:rsid w:val="004B71E4"/>
    <w:rsid w:val="004B7271"/>
    <w:rsid w:val="004B7281"/>
    <w:rsid w:val="004B72DC"/>
    <w:rsid w:val="004B7357"/>
    <w:rsid w:val="004B7433"/>
    <w:rsid w:val="004B747D"/>
    <w:rsid w:val="004B7501"/>
    <w:rsid w:val="004B753C"/>
    <w:rsid w:val="004B7579"/>
    <w:rsid w:val="004B7650"/>
    <w:rsid w:val="004B7652"/>
    <w:rsid w:val="004B76EB"/>
    <w:rsid w:val="004B77DA"/>
    <w:rsid w:val="004B77E1"/>
    <w:rsid w:val="004B7819"/>
    <w:rsid w:val="004B7986"/>
    <w:rsid w:val="004B7A77"/>
    <w:rsid w:val="004B7AFD"/>
    <w:rsid w:val="004B7BBF"/>
    <w:rsid w:val="004B7E91"/>
    <w:rsid w:val="004B7EE0"/>
    <w:rsid w:val="004B7F3A"/>
    <w:rsid w:val="004B7F9B"/>
    <w:rsid w:val="004B7FF6"/>
    <w:rsid w:val="004C004D"/>
    <w:rsid w:val="004C00C2"/>
    <w:rsid w:val="004C0116"/>
    <w:rsid w:val="004C013D"/>
    <w:rsid w:val="004C0160"/>
    <w:rsid w:val="004C017F"/>
    <w:rsid w:val="004C027F"/>
    <w:rsid w:val="004C04C1"/>
    <w:rsid w:val="004C04CB"/>
    <w:rsid w:val="004C05E4"/>
    <w:rsid w:val="004C0686"/>
    <w:rsid w:val="004C06B0"/>
    <w:rsid w:val="004C0812"/>
    <w:rsid w:val="004C0968"/>
    <w:rsid w:val="004C097E"/>
    <w:rsid w:val="004C098D"/>
    <w:rsid w:val="004C0A56"/>
    <w:rsid w:val="004C0BDB"/>
    <w:rsid w:val="004C0D7D"/>
    <w:rsid w:val="004C0DE3"/>
    <w:rsid w:val="004C0E1C"/>
    <w:rsid w:val="004C0E38"/>
    <w:rsid w:val="004C0E9B"/>
    <w:rsid w:val="004C0EAC"/>
    <w:rsid w:val="004C0F13"/>
    <w:rsid w:val="004C1082"/>
    <w:rsid w:val="004C10E0"/>
    <w:rsid w:val="004C10F5"/>
    <w:rsid w:val="004C1236"/>
    <w:rsid w:val="004C12A4"/>
    <w:rsid w:val="004C12C0"/>
    <w:rsid w:val="004C1304"/>
    <w:rsid w:val="004C147E"/>
    <w:rsid w:val="004C158D"/>
    <w:rsid w:val="004C15C7"/>
    <w:rsid w:val="004C1993"/>
    <w:rsid w:val="004C1A03"/>
    <w:rsid w:val="004C1A08"/>
    <w:rsid w:val="004C1A13"/>
    <w:rsid w:val="004C1A1A"/>
    <w:rsid w:val="004C1A1E"/>
    <w:rsid w:val="004C1AE5"/>
    <w:rsid w:val="004C1B2E"/>
    <w:rsid w:val="004C1BF7"/>
    <w:rsid w:val="004C1C09"/>
    <w:rsid w:val="004C1C79"/>
    <w:rsid w:val="004C1DDF"/>
    <w:rsid w:val="004C1E17"/>
    <w:rsid w:val="004C1E1A"/>
    <w:rsid w:val="004C1E62"/>
    <w:rsid w:val="004C1F20"/>
    <w:rsid w:val="004C1F6E"/>
    <w:rsid w:val="004C2047"/>
    <w:rsid w:val="004C20FC"/>
    <w:rsid w:val="004C2269"/>
    <w:rsid w:val="004C22C8"/>
    <w:rsid w:val="004C23DE"/>
    <w:rsid w:val="004C2440"/>
    <w:rsid w:val="004C24E6"/>
    <w:rsid w:val="004C251F"/>
    <w:rsid w:val="004C25A2"/>
    <w:rsid w:val="004C26B6"/>
    <w:rsid w:val="004C281B"/>
    <w:rsid w:val="004C2903"/>
    <w:rsid w:val="004C29CB"/>
    <w:rsid w:val="004C2A45"/>
    <w:rsid w:val="004C2A83"/>
    <w:rsid w:val="004C2B2F"/>
    <w:rsid w:val="004C2BEF"/>
    <w:rsid w:val="004C2C2B"/>
    <w:rsid w:val="004C2C5C"/>
    <w:rsid w:val="004C2C8D"/>
    <w:rsid w:val="004C2DE3"/>
    <w:rsid w:val="004C2DE6"/>
    <w:rsid w:val="004C2E1C"/>
    <w:rsid w:val="004C2E30"/>
    <w:rsid w:val="004C2E45"/>
    <w:rsid w:val="004C30D8"/>
    <w:rsid w:val="004C3169"/>
    <w:rsid w:val="004C3192"/>
    <w:rsid w:val="004C31E7"/>
    <w:rsid w:val="004C3234"/>
    <w:rsid w:val="004C3386"/>
    <w:rsid w:val="004C33FA"/>
    <w:rsid w:val="004C34AF"/>
    <w:rsid w:val="004C3724"/>
    <w:rsid w:val="004C37D9"/>
    <w:rsid w:val="004C3813"/>
    <w:rsid w:val="004C3940"/>
    <w:rsid w:val="004C397B"/>
    <w:rsid w:val="004C397C"/>
    <w:rsid w:val="004C397F"/>
    <w:rsid w:val="004C39B1"/>
    <w:rsid w:val="004C3A0B"/>
    <w:rsid w:val="004C3A3D"/>
    <w:rsid w:val="004C3B69"/>
    <w:rsid w:val="004C3BD8"/>
    <w:rsid w:val="004C3D2D"/>
    <w:rsid w:val="004C3D92"/>
    <w:rsid w:val="004C3D9A"/>
    <w:rsid w:val="004C3DA5"/>
    <w:rsid w:val="004C3DAC"/>
    <w:rsid w:val="004C3E84"/>
    <w:rsid w:val="004C3ED5"/>
    <w:rsid w:val="004C40A8"/>
    <w:rsid w:val="004C4162"/>
    <w:rsid w:val="004C41AA"/>
    <w:rsid w:val="004C426E"/>
    <w:rsid w:val="004C4276"/>
    <w:rsid w:val="004C42BE"/>
    <w:rsid w:val="004C4309"/>
    <w:rsid w:val="004C44FB"/>
    <w:rsid w:val="004C45C5"/>
    <w:rsid w:val="004C461D"/>
    <w:rsid w:val="004C46FC"/>
    <w:rsid w:val="004C47B6"/>
    <w:rsid w:val="004C4825"/>
    <w:rsid w:val="004C4A8C"/>
    <w:rsid w:val="004C4AD9"/>
    <w:rsid w:val="004C4BEB"/>
    <w:rsid w:val="004C4DD4"/>
    <w:rsid w:val="004C4F14"/>
    <w:rsid w:val="004C4F60"/>
    <w:rsid w:val="004C4FA0"/>
    <w:rsid w:val="004C5105"/>
    <w:rsid w:val="004C5167"/>
    <w:rsid w:val="004C516D"/>
    <w:rsid w:val="004C5195"/>
    <w:rsid w:val="004C5282"/>
    <w:rsid w:val="004C52A4"/>
    <w:rsid w:val="004C52BA"/>
    <w:rsid w:val="004C53DB"/>
    <w:rsid w:val="004C549E"/>
    <w:rsid w:val="004C549F"/>
    <w:rsid w:val="004C5507"/>
    <w:rsid w:val="004C5526"/>
    <w:rsid w:val="004C556E"/>
    <w:rsid w:val="004C55E7"/>
    <w:rsid w:val="004C5639"/>
    <w:rsid w:val="004C5783"/>
    <w:rsid w:val="004C57B7"/>
    <w:rsid w:val="004C57ED"/>
    <w:rsid w:val="004C58BC"/>
    <w:rsid w:val="004C59A1"/>
    <w:rsid w:val="004C59E9"/>
    <w:rsid w:val="004C5A11"/>
    <w:rsid w:val="004C5A71"/>
    <w:rsid w:val="004C5B2A"/>
    <w:rsid w:val="004C5C14"/>
    <w:rsid w:val="004C5D96"/>
    <w:rsid w:val="004C5DA8"/>
    <w:rsid w:val="004C5E69"/>
    <w:rsid w:val="004C5E89"/>
    <w:rsid w:val="004C5EB0"/>
    <w:rsid w:val="004C5EB8"/>
    <w:rsid w:val="004C5F54"/>
    <w:rsid w:val="004C6008"/>
    <w:rsid w:val="004C60E2"/>
    <w:rsid w:val="004C6149"/>
    <w:rsid w:val="004C61CB"/>
    <w:rsid w:val="004C6200"/>
    <w:rsid w:val="004C6295"/>
    <w:rsid w:val="004C629A"/>
    <w:rsid w:val="004C62FE"/>
    <w:rsid w:val="004C631D"/>
    <w:rsid w:val="004C6345"/>
    <w:rsid w:val="004C6378"/>
    <w:rsid w:val="004C6412"/>
    <w:rsid w:val="004C6440"/>
    <w:rsid w:val="004C64BB"/>
    <w:rsid w:val="004C657B"/>
    <w:rsid w:val="004C6641"/>
    <w:rsid w:val="004C665E"/>
    <w:rsid w:val="004C66E8"/>
    <w:rsid w:val="004C672E"/>
    <w:rsid w:val="004C675E"/>
    <w:rsid w:val="004C685F"/>
    <w:rsid w:val="004C6AEF"/>
    <w:rsid w:val="004C6B20"/>
    <w:rsid w:val="004C6B7A"/>
    <w:rsid w:val="004C6BC5"/>
    <w:rsid w:val="004C6CA6"/>
    <w:rsid w:val="004C6CC7"/>
    <w:rsid w:val="004C6D09"/>
    <w:rsid w:val="004C6D56"/>
    <w:rsid w:val="004C6D65"/>
    <w:rsid w:val="004C6EAF"/>
    <w:rsid w:val="004C6F04"/>
    <w:rsid w:val="004C6F25"/>
    <w:rsid w:val="004C6F2B"/>
    <w:rsid w:val="004C6F87"/>
    <w:rsid w:val="004C7068"/>
    <w:rsid w:val="004C708C"/>
    <w:rsid w:val="004C7149"/>
    <w:rsid w:val="004C7198"/>
    <w:rsid w:val="004C7225"/>
    <w:rsid w:val="004C723B"/>
    <w:rsid w:val="004C73E8"/>
    <w:rsid w:val="004C74D6"/>
    <w:rsid w:val="004C75AA"/>
    <w:rsid w:val="004C7677"/>
    <w:rsid w:val="004C76BF"/>
    <w:rsid w:val="004C76D8"/>
    <w:rsid w:val="004C7744"/>
    <w:rsid w:val="004C77D9"/>
    <w:rsid w:val="004C7957"/>
    <w:rsid w:val="004C795E"/>
    <w:rsid w:val="004C7963"/>
    <w:rsid w:val="004C7973"/>
    <w:rsid w:val="004C7B46"/>
    <w:rsid w:val="004C7B57"/>
    <w:rsid w:val="004C7B67"/>
    <w:rsid w:val="004C7BD2"/>
    <w:rsid w:val="004C7C9E"/>
    <w:rsid w:val="004C7CA7"/>
    <w:rsid w:val="004C7CD0"/>
    <w:rsid w:val="004C7DAA"/>
    <w:rsid w:val="004C7ECC"/>
    <w:rsid w:val="004C7ED5"/>
    <w:rsid w:val="004C7EF5"/>
    <w:rsid w:val="004C7F28"/>
    <w:rsid w:val="004C7FC8"/>
    <w:rsid w:val="004C80F4"/>
    <w:rsid w:val="004CA700"/>
    <w:rsid w:val="004D0076"/>
    <w:rsid w:val="004D0195"/>
    <w:rsid w:val="004D02B4"/>
    <w:rsid w:val="004D0410"/>
    <w:rsid w:val="004D0418"/>
    <w:rsid w:val="004D0465"/>
    <w:rsid w:val="004D04E2"/>
    <w:rsid w:val="004D055F"/>
    <w:rsid w:val="004D0581"/>
    <w:rsid w:val="004D0596"/>
    <w:rsid w:val="004D05D5"/>
    <w:rsid w:val="004D0658"/>
    <w:rsid w:val="004D0723"/>
    <w:rsid w:val="004D0A83"/>
    <w:rsid w:val="004D0AF1"/>
    <w:rsid w:val="004D0B3A"/>
    <w:rsid w:val="004D0B3E"/>
    <w:rsid w:val="004D0B74"/>
    <w:rsid w:val="004D0C06"/>
    <w:rsid w:val="004D0C92"/>
    <w:rsid w:val="004D0DD3"/>
    <w:rsid w:val="004D0E19"/>
    <w:rsid w:val="004D0E7C"/>
    <w:rsid w:val="004D0E96"/>
    <w:rsid w:val="004D0EF7"/>
    <w:rsid w:val="004D1031"/>
    <w:rsid w:val="004D1032"/>
    <w:rsid w:val="004D115C"/>
    <w:rsid w:val="004D1224"/>
    <w:rsid w:val="004D122A"/>
    <w:rsid w:val="004D1315"/>
    <w:rsid w:val="004D1327"/>
    <w:rsid w:val="004D145C"/>
    <w:rsid w:val="004D159A"/>
    <w:rsid w:val="004D15E5"/>
    <w:rsid w:val="004D16F5"/>
    <w:rsid w:val="004D192D"/>
    <w:rsid w:val="004D1A12"/>
    <w:rsid w:val="004D1A2C"/>
    <w:rsid w:val="004D1A7A"/>
    <w:rsid w:val="004D1B30"/>
    <w:rsid w:val="004D1D1E"/>
    <w:rsid w:val="004D1E77"/>
    <w:rsid w:val="004D1E8A"/>
    <w:rsid w:val="004D1EA4"/>
    <w:rsid w:val="004D1F10"/>
    <w:rsid w:val="004D1FF8"/>
    <w:rsid w:val="004D205E"/>
    <w:rsid w:val="004D2183"/>
    <w:rsid w:val="004D2186"/>
    <w:rsid w:val="004D21B2"/>
    <w:rsid w:val="004D221B"/>
    <w:rsid w:val="004D2327"/>
    <w:rsid w:val="004D2399"/>
    <w:rsid w:val="004D23D3"/>
    <w:rsid w:val="004D2410"/>
    <w:rsid w:val="004D2432"/>
    <w:rsid w:val="004D2474"/>
    <w:rsid w:val="004D2527"/>
    <w:rsid w:val="004D2587"/>
    <w:rsid w:val="004D271D"/>
    <w:rsid w:val="004D277F"/>
    <w:rsid w:val="004D2798"/>
    <w:rsid w:val="004D279C"/>
    <w:rsid w:val="004D287E"/>
    <w:rsid w:val="004D2887"/>
    <w:rsid w:val="004D28CF"/>
    <w:rsid w:val="004D290F"/>
    <w:rsid w:val="004D292D"/>
    <w:rsid w:val="004D2999"/>
    <w:rsid w:val="004D2B01"/>
    <w:rsid w:val="004D2CB8"/>
    <w:rsid w:val="004D2CF9"/>
    <w:rsid w:val="004D2D49"/>
    <w:rsid w:val="004D2D9D"/>
    <w:rsid w:val="004D2DB1"/>
    <w:rsid w:val="004D2E3B"/>
    <w:rsid w:val="004D2E72"/>
    <w:rsid w:val="004D3009"/>
    <w:rsid w:val="004D3019"/>
    <w:rsid w:val="004D306D"/>
    <w:rsid w:val="004D3168"/>
    <w:rsid w:val="004D321D"/>
    <w:rsid w:val="004D3234"/>
    <w:rsid w:val="004D326B"/>
    <w:rsid w:val="004D35F6"/>
    <w:rsid w:val="004D3621"/>
    <w:rsid w:val="004D363E"/>
    <w:rsid w:val="004D367F"/>
    <w:rsid w:val="004D36CF"/>
    <w:rsid w:val="004D372F"/>
    <w:rsid w:val="004D37CA"/>
    <w:rsid w:val="004D3863"/>
    <w:rsid w:val="004D38CD"/>
    <w:rsid w:val="004D39A7"/>
    <w:rsid w:val="004D39B5"/>
    <w:rsid w:val="004D3A43"/>
    <w:rsid w:val="004D3B7F"/>
    <w:rsid w:val="004D3BB6"/>
    <w:rsid w:val="004D3E6C"/>
    <w:rsid w:val="004D3E88"/>
    <w:rsid w:val="004D3E90"/>
    <w:rsid w:val="004D3F9E"/>
    <w:rsid w:val="004D4026"/>
    <w:rsid w:val="004D409A"/>
    <w:rsid w:val="004D4296"/>
    <w:rsid w:val="004D4372"/>
    <w:rsid w:val="004D438B"/>
    <w:rsid w:val="004D43A8"/>
    <w:rsid w:val="004D4444"/>
    <w:rsid w:val="004D4479"/>
    <w:rsid w:val="004D45A6"/>
    <w:rsid w:val="004D4611"/>
    <w:rsid w:val="004D4613"/>
    <w:rsid w:val="004D466C"/>
    <w:rsid w:val="004D46A7"/>
    <w:rsid w:val="004D4723"/>
    <w:rsid w:val="004D472B"/>
    <w:rsid w:val="004D47CF"/>
    <w:rsid w:val="004D482F"/>
    <w:rsid w:val="004D4997"/>
    <w:rsid w:val="004D4BD5"/>
    <w:rsid w:val="004D4C8A"/>
    <w:rsid w:val="004D4D12"/>
    <w:rsid w:val="004D4F88"/>
    <w:rsid w:val="004D4F89"/>
    <w:rsid w:val="004D502A"/>
    <w:rsid w:val="004D507D"/>
    <w:rsid w:val="004D50AA"/>
    <w:rsid w:val="004D50D2"/>
    <w:rsid w:val="004D51C0"/>
    <w:rsid w:val="004D52D4"/>
    <w:rsid w:val="004D5304"/>
    <w:rsid w:val="004D5319"/>
    <w:rsid w:val="004D5336"/>
    <w:rsid w:val="004D539A"/>
    <w:rsid w:val="004D5471"/>
    <w:rsid w:val="004D5485"/>
    <w:rsid w:val="004D54CB"/>
    <w:rsid w:val="004D553E"/>
    <w:rsid w:val="004D55C9"/>
    <w:rsid w:val="004D55D0"/>
    <w:rsid w:val="004D57A5"/>
    <w:rsid w:val="004D57AE"/>
    <w:rsid w:val="004D585C"/>
    <w:rsid w:val="004D5889"/>
    <w:rsid w:val="004D58B0"/>
    <w:rsid w:val="004D58C2"/>
    <w:rsid w:val="004D599D"/>
    <w:rsid w:val="004D59B0"/>
    <w:rsid w:val="004D59BB"/>
    <w:rsid w:val="004D5A55"/>
    <w:rsid w:val="004D5B4E"/>
    <w:rsid w:val="004D5B55"/>
    <w:rsid w:val="004D5BA4"/>
    <w:rsid w:val="004D5CD5"/>
    <w:rsid w:val="004D5CF4"/>
    <w:rsid w:val="004D5D96"/>
    <w:rsid w:val="004D5EE5"/>
    <w:rsid w:val="004D5F20"/>
    <w:rsid w:val="004D5F81"/>
    <w:rsid w:val="004D6034"/>
    <w:rsid w:val="004D6163"/>
    <w:rsid w:val="004D61C3"/>
    <w:rsid w:val="004D6237"/>
    <w:rsid w:val="004D6296"/>
    <w:rsid w:val="004D62E8"/>
    <w:rsid w:val="004D62FE"/>
    <w:rsid w:val="004D6327"/>
    <w:rsid w:val="004D6395"/>
    <w:rsid w:val="004D63B0"/>
    <w:rsid w:val="004D63C7"/>
    <w:rsid w:val="004D641E"/>
    <w:rsid w:val="004D657F"/>
    <w:rsid w:val="004D6592"/>
    <w:rsid w:val="004D660D"/>
    <w:rsid w:val="004D66A1"/>
    <w:rsid w:val="004D66CA"/>
    <w:rsid w:val="004D66E1"/>
    <w:rsid w:val="004D67DF"/>
    <w:rsid w:val="004D67FB"/>
    <w:rsid w:val="004D6A2B"/>
    <w:rsid w:val="004D6A43"/>
    <w:rsid w:val="004D6AB9"/>
    <w:rsid w:val="004D6AF2"/>
    <w:rsid w:val="004D6B1F"/>
    <w:rsid w:val="004D6BE5"/>
    <w:rsid w:val="004D6D70"/>
    <w:rsid w:val="004D6D9D"/>
    <w:rsid w:val="004D6F60"/>
    <w:rsid w:val="004D6F90"/>
    <w:rsid w:val="004D70C4"/>
    <w:rsid w:val="004D70EF"/>
    <w:rsid w:val="004D72EE"/>
    <w:rsid w:val="004D737D"/>
    <w:rsid w:val="004D749E"/>
    <w:rsid w:val="004D74D0"/>
    <w:rsid w:val="004D7553"/>
    <w:rsid w:val="004D757E"/>
    <w:rsid w:val="004D75E9"/>
    <w:rsid w:val="004D76BB"/>
    <w:rsid w:val="004D76BD"/>
    <w:rsid w:val="004D770E"/>
    <w:rsid w:val="004D7725"/>
    <w:rsid w:val="004D776A"/>
    <w:rsid w:val="004D779E"/>
    <w:rsid w:val="004D7854"/>
    <w:rsid w:val="004D7878"/>
    <w:rsid w:val="004D789B"/>
    <w:rsid w:val="004D7A16"/>
    <w:rsid w:val="004D7A4C"/>
    <w:rsid w:val="004D7CA6"/>
    <w:rsid w:val="004D7D04"/>
    <w:rsid w:val="004D7D27"/>
    <w:rsid w:val="004D7D56"/>
    <w:rsid w:val="004D7D5E"/>
    <w:rsid w:val="004D7DE9"/>
    <w:rsid w:val="004D7DF6"/>
    <w:rsid w:val="004D7F0B"/>
    <w:rsid w:val="004D7FAC"/>
    <w:rsid w:val="004D7FC0"/>
    <w:rsid w:val="004D7FEC"/>
    <w:rsid w:val="004E0025"/>
    <w:rsid w:val="004E007B"/>
    <w:rsid w:val="004E009A"/>
    <w:rsid w:val="004E00C8"/>
    <w:rsid w:val="004E010C"/>
    <w:rsid w:val="004E017A"/>
    <w:rsid w:val="004E01BE"/>
    <w:rsid w:val="004E0225"/>
    <w:rsid w:val="004E0258"/>
    <w:rsid w:val="004E02D8"/>
    <w:rsid w:val="004E0375"/>
    <w:rsid w:val="004E03FC"/>
    <w:rsid w:val="004E0449"/>
    <w:rsid w:val="004E0487"/>
    <w:rsid w:val="004E0558"/>
    <w:rsid w:val="004E05DB"/>
    <w:rsid w:val="004E05FF"/>
    <w:rsid w:val="004E062C"/>
    <w:rsid w:val="004E070E"/>
    <w:rsid w:val="004E0764"/>
    <w:rsid w:val="004E078C"/>
    <w:rsid w:val="004E0976"/>
    <w:rsid w:val="004E09D1"/>
    <w:rsid w:val="004E09D4"/>
    <w:rsid w:val="004E0B6F"/>
    <w:rsid w:val="004E0CE0"/>
    <w:rsid w:val="004E0DB0"/>
    <w:rsid w:val="004E0ED0"/>
    <w:rsid w:val="004E0F27"/>
    <w:rsid w:val="004E0FD7"/>
    <w:rsid w:val="004E0FEA"/>
    <w:rsid w:val="004E1077"/>
    <w:rsid w:val="004E10EE"/>
    <w:rsid w:val="004E113C"/>
    <w:rsid w:val="004E1160"/>
    <w:rsid w:val="004E11C4"/>
    <w:rsid w:val="004E152D"/>
    <w:rsid w:val="004E155D"/>
    <w:rsid w:val="004E157F"/>
    <w:rsid w:val="004E158A"/>
    <w:rsid w:val="004E15BC"/>
    <w:rsid w:val="004E15ED"/>
    <w:rsid w:val="004E1603"/>
    <w:rsid w:val="004E1692"/>
    <w:rsid w:val="004E1794"/>
    <w:rsid w:val="004E18DB"/>
    <w:rsid w:val="004E1985"/>
    <w:rsid w:val="004E1A18"/>
    <w:rsid w:val="004E1A20"/>
    <w:rsid w:val="004E1A3D"/>
    <w:rsid w:val="004E1A44"/>
    <w:rsid w:val="004E1A98"/>
    <w:rsid w:val="004E1B39"/>
    <w:rsid w:val="004E1BE8"/>
    <w:rsid w:val="004E1C0D"/>
    <w:rsid w:val="004E1C9D"/>
    <w:rsid w:val="004E1D18"/>
    <w:rsid w:val="004E1D29"/>
    <w:rsid w:val="004E1E5F"/>
    <w:rsid w:val="004E1EB0"/>
    <w:rsid w:val="004E1F9A"/>
    <w:rsid w:val="004E1FCA"/>
    <w:rsid w:val="004E1FF3"/>
    <w:rsid w:val="004E2062"/>
    <w:rsid w:val="004E20C7"/>
    <w:rsid w:val="004E2120"/>
    <w:rsid w:val="004E2201"/>
    <w:rsid w:val="004E22B2"/>
    <w:rsid w:val="004E235D"/>
    <w:rsid w:val="004E2384"/>
    <w:rsid w:val="004E244C"/>
    <w:rsid w:val="004E24B4"/>
    <w:rsid w:val="004E24DF"/>
    <w:rsid w:val="004E251F"/>
    <w:rsid w:val="004E2540"/>
    <w:rsid w:val="004E2588"/>
    <w:rsid w:val="004E258B"/>
    <w:rsid w:val="004E25BB"/>
    <w:rsid w:val="004E263E"/>
    <w:rsid w:val="004E26A5"/>
    <w:rsid w:val="004E284F"/>
    <w:rsid w:val="004E2889"/>
    <w:rsid w:val="004E28F6"/>
    <w:rsid w:val="004E292E"/>
    <w:rsid w:val="004E297B"/>
    <w:rsid w:val="004E29E7"/>
    <w:rsid w:val="004E2D10"/>
    <w:rsid w:val="004E2D15"/>
    <w:rsid w:val="004E2D1B"/>
    <w:rsid w:val="004E2D72"/>
    <w:rsid w:val="004E2DB2"/>
    <w:rsid w:val="004E2DC8"/>
    <w:rsid w:val="004E2DCD"/>
    <w:rsid w:val="004E2F51"/>
    <w:rsid w:val="004E2FE4"/>
    <w:rsid w:val="004E2FF4"/>
    <w:rsid w:val="004E3048"/>
    <w:rsid w:val="004E309C"/>
    <w:rsid w:val="004E30A4"/>
    <w:rsid w:val="004E30DB"/>
    <w:rsid w:val="004E30DC"/>
    <w:rsid w:val="004E30F3"/>
    <w:rsid w:val="004E3140"/>
    <w:rsid w:val="004E3141"/>
    <w:rsid w:val="004E327E"/>
    <w:rsid w:val="004E32A3"/>
    <w:rsid w:val="004E33A2"/>
    <w:rsid w:val="004E34A6"/>
    <w:rsid w:val="004E34FE"/>
    <w:rsid w:val="004E35F0"/>
    <w:rsid w:val="004E3649"/>
    <w:rsid w:val="004E364C"/>
    <w:rsid w:val="004E36CF"/>
    <w:rsid w:val="004E3831"/>
    <w:rsid w:val="004E38BA"/>
    <w:rsid w:val="004E38FC"/>
    <w:rsid w:val="004E3906"/>
    <w:rsid w:val="004E3962"/>
    <w:rsid w:val="004E3972"/>
    <w:rsid w:val="004E39D6"/>
    <w:rsid w:val="004E3A97"/>
    <w:rsid w:val="004E3B07"/>
    <w:rsid w:val="004E3B2F"/>
    <w:rsid w:val="004E3B3E"/>
    <w:rsid w:val="004E3BC4"/>
    <w:rsid w:val="004E3BFD"/>
    <w:rsid w:val="004E3C1B"/>
    <w:rsid w:val="004E3EE0"/>
    <w:rsid w:val="004E3F15"/>
    <w:rsid w:val="004E4005"/>
    <w:rsid w:val="004E4022"/>
    <w:rsid w:val="004E4110"/>
    <w:rsid w:val="004E41D5"/>
    <w:rsid w:val="004E426D"/>
    <w:rsid w:val="004E4279"/>
    <w:rsid w:val="004E42B5"/>
    <w:rsid w:val="004E437A"/>
    <w:rsid w:val="004E43C9"/>
    <w:rsid w:val="004E43D5"/>
    <w:rsid w:val="004E44F9"/>
    <w:rsid w:val="004E452F"/>
    <w:rsid w:val="004E4565"/>
    <w:rsid w:val="004E471F"/>
    <w:rsid w:val="004E4768"/>
    <w:rsid w:val="004E47D5"/>
    <w:rsid w:val="004E48AD"/>
    <w:rsid w:val="004E48CC"/>
    <w:rsid w:val="004E48D9"/>
    <w:rsid w:val="004E48E5"/>
    <w:rsid w:val="004E4988"/>
    <w:rsid w:val="004E4A1A"/>
    <w:rsid w:val="004E4ADE"/>
    <w:rsid w:val="004E4B11"/>
    <w:rsid w:val="004E4B44"/>
    <w:rsid w:val="004E4B5A"/>
    <w:rsid w:val="004E4D1B"/>
    <w:rsid w:val="004E4D2D"/>
    <w:rsid w:val="004E4D38"/>
    <w:rsid w:val="004E4D9B"/>
    <w:rsid w:val="004E4DBD"/>
    <w:rsid w:val="004E4E09"/>
    <w:rsid w:val="004E4E64"/>
    <w:rsid w:val="004E4F3C"/>
    <w:rsid w:val="004E4FEB"/>
    <w:rsid w:val="004E504F"/>
    <w:rsid w:val="004E506A"/>
    <w:rsid w:val="004E506D"/>
    <w:rsid w:val="004E507A"/>
    <w:rsid w:val="004E5253"/>
    <w:rsid w:val="004E52BA"/>
    <w:rsid w:val="004E537C"/>
    <w:rsid w:val="004E5416"/>
    <w:rsid w:val="004E5460"/>
    <w:rsid w:val="004E5484"/>
    <w:rsid w:val="004E5525"/>
    <w:rsid w:val="004E5598"/>
    <w:rsid w:val="004E55C3"/>
    <w:rsid w:val="004E57C8"/>
    <w:rsid w:val="004E58D9"/>
    <w:rsid w:val="004E594E"/>
    <w:rsid w:val="004E5991"/>
    <w:rsid w:val="004E5C52"/>
    <w:rsid w:val="004E5D9A"/>
    <w:rsid w:val="004E5E97"/>
    <w:rsid w:val="004E5EB0"/>
    <w:rsid w:val="004E5EE4"/>
    <w:rsid w:val="004E5EEA"/>
    <w:rsid w:val="004E5F1F"/>
    <w:rsid w:val="004E5F4D"/>
    <w:rsid w:val="004E5F76"/>
    <w:rsid w:val="004E5FDB"/>
    <w:rsid w:val="004E612E"/>
    <w:rsid w:val="004E61C1"/>
    <w:rsid w:val="004E626D"/>
    <w:rsid w:val="004E630E"/>
    <w:rsid w:val="004E6314"/>
    <w:rsid w:val="004E6368"/>
    <w:rsid w:val="004E636F"/>
    <w:rsid w:val="004E6398"/>
    <w:rsid w:val="004E63B1"/>
    <w:rsid w:val="004E63D2"/>
    <w:rsid w:val="004E641F"/>
    <w:rsid w:val="004E6508"/>
    <w:rsid w:val="004E6532"/>
    <w:rsid w:val="004E65A4"/>
    <w:rsid w:val="004E65B6"/>
    <w:rsid w:val="004E660A"/>
    <w:rsid w:val="004E6685"/>
    <w:rsid w:val="004E6734"/>
    <w:rsid w:val="004E6775"/>
    <w:rsid w:val="004E67DD"/>
    <w:rsid w:val="004E6827"/>
    <w:rsid w:val="004E6837"/>
    <w:rsid w:val="004E68AD"/>
    <w:rsid w:val="004E691D"/>
    <w:rsid w:val="004E69B2"/>
    <w:rsid w:val="004E69B3"/>
    <w:rsid w:val="004E69C5"/>
    <w:rsid w:val="004E6A02"/>
    <w:rsid w:val="004E6B18"/>
    <w:rsid w:val="004E6B98"/>
    <w:rsid w:val="004E6C95"/>
    <w:rsid w:val="004E6E4B"/>
    <w:rsid w:val="004E6EC4"/>
    <w:rsid w:val="004E6F84"/>
    <w:rsid w:val="004E6FEA"/>
    <w:rsid w:val="004E7017"/>
    <w:rsid w:val="004E7130"/>
    <w:rsid w:val="004E7132"/>
    <w:rsid w:val="004E71F5"/>
    <w:rsid w:val="004E727E"/>
    <w:rsid w:val="004E72CE"/>
    <w:rsid w:val="004E7315"/>
    <w:rsid w:val="004E74D7"/>
    <w:rsid w:val="004E7508"/>
    <w:rsid w:val="004E75C8"/>
    <w:rsid w:val="004E76FE"/>
    <w:rsid w:val="004E77A1"/>
    <w:rsid w:val="004E78D5"/>
    <w:rsid w:val="004E78E2"/>
    <w:rsid w:val="004E7936"/>
    <w:rsid w:val="004E79CA"/>
    <w:rsid w:val="004E7A6F"/>
    <w:rsid w:val="004E7A9E"/>
    <w:rsid w:val="004E7AC6"/>
    <w:rsid w:val="004E7B18"/>
    <w:rsid w:val="004E7BAD"/>
    <w:rsid w:val="004E7CD8"/>
    <w:rsid w:val="004E7DBC"/>
    <w:rsid w:val="004E7E40"/>
    <w:rsid w:val="004E7F6D"/>
    <w:rsid w:val="004E7F85"/>
    <w:rsid w:val="004EECBC"/>
    <w:rsid w:val="004F0073"/>
    <w:rsid w:val="004F007A"/>
    <w:rsid w:val="004F00FF"/>
    <w:rsid w:val="004F01EA"/>
    <w:rsid w:val="004F025B"/>
    <w:rsid w:val="004F028A"/>
    <w:rsid w:val="004F02C1"/>
    <w:rsid w:val="004F02E7"/>
    <w:rsid w:val="004F04D6"/>
    <w:rsid w:val="004F0594"/>
    <w:rsid w:val="004F05CD"/>
    <w:rsid w:val="004F062B"/>
    <w:rsid w:val="004F06A0"/>
    <w:rsid w:val="004F0799"/>
    <w:rsid w:val="004F07E5"/>
    <w:rsid w:val="004F0808"/>
    <w:rsid w:val="004F089B"/>
    <w:rsid w:val="004F08BF"/>
    <w:rsid w:val="004F08CD"/>
    <w:rsid w:val="004F096A"/>
    <w:rsid w:val="004F09FE"/>
    <w:rsid w:val="004F0AAA"/>
    <w:rsid w:val="004F0BCC"/>
    <w:rsid w:val="004F0C25"/>
    <w:rsid w:val="004F0C36"/>
    <w:rsid w:val="004F0C8F"/>
    <w:rsid w:val="004F0CB2"/>
    <w:rsid w:val="004F0D8A"/>
    <w:rsid w:val="004F0E1A"/>
    <w:rsid w:val="004F0F43"/>
    <w:rsid w:val="004F10D0"/>
    <w:rsid w:val="004F1194"/>
    <w:rsid w:val="004F121B"/>
    <w:rsid w:val="004F124E"/>
    <w:rsid w:val="004F127C"/>
    <w:rsid w:val="004F1293"/>
    <w:rsid w:val="004F1350"/>
    <w:rsid w:val="004F1384"/>
    <w:rsid w:val="004F13DD"/>
    <w:rsid w:val="004F151D"/>
    <w:rsid w:val="004F1579"/>
    <w:rsid w:val="004F163A"/>
    <w:rsid w:val="004F172A"/>
    <w:rsid w:val="004F1741"/>
    <w:rsid w:val="004F1766"/>
    <w:rsid w:val="004F17C2"/>
    <w:rsid w:val="004F1804"/>
    <w:rsid w:val="004F1815"/>
    <w:rsid w:val="004F185D"/>
    <w:rsid w:val="004F1863"/>
    <w:rsid w:val="004F19A3"/>
    <w:rsid w:val="004F1A1E"/>
    <w:rsid w:val="004F1BCD"/>
    <w:rsid w:val="004F1E03"/>
    <w:rsid w:val="004F1E35"/>
    <w:rsid w:val="004F1E9B"/>
    <w:rsid w:val="004F1F28"/>
    <w:rsid w:val="004F1F34"/>
    <w:rsid w:val="004F1F5F"/>
    <w:rsid w:val="004F1FA8"/>
    <w:rsid w:val="004F2016"/>
    <w:rsid w:val="004F2086"/>
    <w:rsid w:val="004F22AF"/>
    <w:rsid w:val="004F2325"/>
    <w:rsid w:val="004F2353"/>
    <w:rsid w:val="004F235C"/>
    <w:rsid w:val="004F23DB"/>
    <w:rsid w:val="004F246B"/>
    <w:rsid w:val="004F25C4"/>
    <w:rsid w:val="004F25DF"/>
    <w:rsid w:val="004F2671"/>
    <w:rsid w:val="004F26A6"/>
    <w:rsid w:val="004F26DD"/>
    <w:rsid w:val="004F26F0"/>
    <w:rsid w:val="004F2768"/>
    <w:rsid w:val="004F27AE"/>
    <w:rsid w:val="004F27C4"/>
    <w:rsid w:val="004F28AA"/>
    <w:rsid w:val="004F29B7"/>
    <w:rsid w:val="004F2A92"/>
    <w:rsid w:val="004F2C50"/>
    <w:rsid w:val="004F2C5C"/>
    <w:rsid w:val="004F2D56"/>
    <w:rsid w:val="004F2D91"/>
    <w:rsid w:val="004F2DEC"/>
    <w:rsid w:val="004F2E0A"/>
    <w:rsid w:val="004F2E5B"/>
    <w:rsid w:val="004F2E66"/>
    <w:rsid w:val="004F2EBB"/>
    <w:rsid w:val="004F2F15"/>
    <w:rsid w:val="004F2F61"/>
    <w:rsid w:val="004F307D"/>
    <w:rsid w:val="004F322F"/>
    <w:rsid w:val="004F32CF"/>
    <w:rsid w:val="004F3307"/>
    <w:rsid w:val="004F3368"/>
    <w:rsid w:val="004F33FE"/>
    <w:rsid w:val="004F34BC"/>
    <w:rsid w:val="004F34EF"/>
    <w:rsid w:val="004F3553"/>
    <w:rsid w:val="004F356C"/>
    <w:rsid w:val="004F35F2"/>
    <w:rsid w:val="004F362F"/>
    <w:rsid w:val="004F36B8"/>
    <w:rsid w:val="004F36BC"/>
    <w:rsid w:val="004F36EF"/>
    <w:rsid w:val="004F370C"/>
    <w:rsid w:val="004F3763"/>
    <w:rsid w:val="004F387F"/>
    <w:rsid w:val="004F38E5"/>
    <w:rsid w:val="004F38F0"/>
    <w:rsid w:val="004F3921"/>
    <w:rsid w:val="004F3960"/>
    <w:rsid w:val="004F3996"/>
    <w:rsid w:val="004F39C0"/>
    <w:rsid w:val="004F3B83"/>
    <w:rsid w:val="004F3BC6"/>
    <w:rsid w:val="004F3CBA"/>
    <w:rsid w:val="004F3D35"/>
    <w:rsid w:val="004F3F2A"/>
    <w:rsid w:val="004F3FED"/>
    <w:rsid w:val="004F40A0"/>
    <w:rsid w:val="004F40C3"/>
    <w:rsid w:val="004F40F1"/>
    <w:rsid w:val="004F414F"/>
    <w:rsid w:val="004F42E6"/>
    <w:rsid w:val="004F43D4"/>
    <w:rsid w:val="004F43F5"/>
    <w:rsid w:val="004F4423"/>
    <w:rsid w:val="004F4544"/>
    <w:rsid w:val="004F45C8"/>
    <w:rsid w:val="004F467D"/>
    <w:rsid w:val="004F46F1"/>
    <w:rsid w:val="004F46F5"/>
    <w:rsid w:val="004F4720"/>
    <w:rsid w:val="004F48D9"/>
    <w:rsid w:val="004F4941"/>
    <w:rsid w:val="004F49DC"/>
    <w:rsid w:val="004F4A38"/>
    <w:rsid w:val="004F4A9E"/>
    <w:rsid w:val="004F4B59"/>
    <w:rsid w:val="004F4BC2"/>
    <w:rsid w:val="004F4BC6"/>
    <w:rsid w:val="004F4BD6"/>
    <w:rsid w:val="004F4C00"/>
    <w:rsid w:val="004F4DBD"/>
    <w:rsid w:val="004F4E0C"/>
    <w:rsid w:val="004F4F3C"/>
    <w:rsid w:val="004F4F99"/>
    <w:rsid w:val="004F4FCF"/>
    <w:rsid w:val="004F509E"/>
    <w:rsid w:val="004F5117"/>
    <w:rsid w:val="004F51F8"/>
    <w:rsid w:val="004F5263"/>
    <w:rsid w:val="004F5287"/>
    <w:rsid w:val="004F5364"/>
    <w:rsid w:val="004F5381"/>
    <w:rsid w:val="004F541A"/>
    <w:rsid w:val="004F545C"/>
    <w:rsid w:val="004F548E"/>
    <w:rsid w:val="004F54C3"/>
    <w:rsid w:val="004F5598"/>
    <w:rsid w:val="004F56A7"/>
    <w:rsid w:val="004F5807"/>
    <w:rsid w:val="004F585E"/>
    <w:rsid w:val="004F586D"/>
    <w:rsid w:val="004F5891"/>
    <w:rsid w:val="004F58FA"/>
    <w:rsid w:val="004F58FD"/>
    <w:rsid w:val="004F5979"/>
    <w:rsid w:val="004F59B7"/>
    <w:rsid w:val="004F59FB"/>
    <w:rsid w:val="004F5BC3"/>
    <w:rsid w:val="004F5C4F"/>
    <w:rsid w:val="004F5C5D"/>
    <w:rsid w:val="004F5CCA"/>
    <w:rsid w:val="004F5CD2"/>
    <w:rsid w:val="004F5CDE"/>
    <w:rsid w:val="004F5D0F"/>
    <w:rsid w:val="004F5D9C"/>
    <w:rsid w:val="004F5DB4"/>
    <w:rsid w:val="004F5ECD"/>
    <w:rsid w:val="004F5F7E"/>
    <w:rsid w:val="004F5FE0"/>
    <w:rsid w:val="004F5FEE"/>
    <w:rsid w:val="004F60B2"/>
    <w:rsid w:val="004F60D2"/>
    <w:rsid w:val="004F61DF"/>
    <w:rsid w:val="004F63C6"/>
    <w:rsid w:val="004F6786"/>
    <w:rsid w:val="004F6890"/>
    <w:rsid w:val="004F68C2"/>
    <w:rsid w:val="004F68F9"/>
    <w:rsid w:val="004F6921"/>
    <w:rsid w:val="004F69B0"/>
    <w:rsid w:val="004F6ACE"/>
    <w:rsid w:val="004F6B4A"/>
    <w:rsid w:val="004F6B92"/>
    <w:rsid w:val="004F6C1E"/>
    <w:rsid w:val="004F6CAD"/>
    <w:rsid w:val="004F6CFC"/>
    <w:rsid w:val="004F6D2A"/>
    <w:rsid w:val="004F6D59"/>
    <w:rsid w:val="004F6DFA"/>
    <w:rsid w:val="004F6E10"/>
    <w:rsid w:val="004F6E47"/>
    <w:rsid w:val="004F6EE1"/>
    <w:rsid w:val="004F6EEA"/>
    <w:rsid w:val="004F6F2C"/>
    <w:rsid w:val="004F6F90"/>
    <w:rsid w:val="004F6FFE"/>
    <w:rsid w:val="004F70A1"/>
    <w:rsid w:val="004F70E9"/>
    <w:rsid w:val="004F712A"/>
    <w:rsid w:val="004F7161"/>
    <w:rsid w:val="004F7184"/>
    <w:rsid w:val="004F71B8"/>
    <w:rsid w:val="004F71C1"/>
    <w:rsid w:val="004F7265"/>
    <w:rsid w:val="004F7291"/>
    <w:rsid w:val="004F72C6"/>
    <w:rsid w:val="004F72E2"/>
    <w:rsid w:val="004F74EC"/>
    <w:rsid w:val="004F7538"/>
    <w:rsid w:val="004F7565"/>
    <w:rsid w:val="004F75B2"/>
    <w:rsid w:val="004F7643"/>
    <w:rsid w:val="004F76F9"/>
    <w:rsid w:val="004F76FB"/>
    <w:rsid w:val="004F778C"/>
    <w:rsid w:val="004F77AE"/>
    <w:rsid w:val="004F77D1"/>
    <w:rsid w:val="004F78F5"/>
    <w:rsid w:val="004F794E"/>
    <w:rsid w:val="004F79A8"/>
    <w:rsid w:val="004F7A3D"/>
    <w:rsid w:val="004F7AA1"/>
    <w:rsid w:val="004F7B5A"/>
    <w:rsid w:val="004F7BF5"/>
    <w:rsid w:val="004F7CBD"/>
    <w:rsid w:val="004F7DB3"/>
    <w:rsid w:val="004F7F65"/>
    <w:rsid w:val="004F7FEA"/>
    <w:rsid w:val="00500203"/>
    <w:rsid w:val="0050023D"/>
    <w:rsid w:val="00500291"/>
    <w:rsid w:val="00500485"/>
    <w:rsid w:val="005004C6"/>
    <w:rsid w:val="005004CF"/>
    <w:rsid w:val="005004DB"/>
    <w:rsid w:val="0050059B"/>
    <w:rsid w:val="005005C5"/>
    <w:rsid w:val="005005EC"/>
    <w:rsid w:val="0050060A"/>
    <w:rsid w:val="0050062C"/>
    <w:rsid w:val="0050065D"/>
    <w:rsid w:val="0050068B"/>
    <w:rsid w:val="00500717"/>
    <w:rsid w:val="0050073F"/>
    <w:rsid w:val="0050088D"/>
    <w:rsid w:val="0050096D"/>
    <w:rsid w:val="00500993"/>
    <w:rsid w:val="005009B5"/>
    <w:rsid w:val="00500A32"/>
    <w:rsid w:val="00500AB7"/>
    <w:rsid w:val="00500AD6"/>
    <w:rsid w:val="00500B23"/>
    <w:rsid w:val="00500BE9"/>
    <w:rsid w:val="00500C1B"/>
    <w:rsid w:val="00500C33"/>
    <w:rsid w:val="00500C4E"/>
    <w:rsid w:val="00500C88"/>
    <w:rsid w:val="00500DE0"/>
    <w:rsid w:val="00500DF5"/>
    <w:rsid w:val="00500E17"/>
    <w:rsid w:val="00500E64"/>
    <w:rsid w:val="00500F36"/>
    <w:rsid w:val="00500FFB"/>
    <w:rsid w:val="0050101B"/>
    <w:rsid w:val="00501093"/>
    <w:rsid w:val="005010A3"/>
    <w:rsid w:val="005010EE"/>
    <w:rsid w:val="00501221"/>
    <w:rsid w:val="00501243"/>
    <w:rsid w:val="005012BB"/>
    <w:rsid w:val="0050143F"/>
    <w:rsid w:val="005014A4"/>
    <w:rsid w:val="0050153E"/>
    <w:rsid w:val="00501554"/>
    <w:rsid w:val="00501569"/>
    <w:rsid w:val="0050157C"/>
    <w:rsid w:val="005015F4"/>
    <w:rsid w:val="0050164C"/>
    <w:rsid w:val="00501674"/>
    <w:rsid w:val="00501686"/>
    <w:rsid w:val="005016BF"/>
    <w:rsid w:val="00501705"/>
    <w:rsid w:val="00501719"/>
    <w:rsid w:val="0050177D"/>
    <w:rsid w:val="005017B8"/>
    <w:rsid w:val="005018B6"/>
    <w:rsid w:val="005019D3"/>
    <w:rsid w:val="00501AB4"/>
    <w:rsid w:val="00501BBE"/>
    <w:rsid w:val="00501C2C"/>
    <w:rsid w:val="00501C55"/>
    <w:rsid w:val="00501CA3"/>
    <w:rsid w:val="00501D6E"/>
    <w:rsid w:val="00501D79"/>
    <w:rsid w:val="00501F72"/>
    <w:rsid w:val="00501F74"/>
    <w:rsid w:val="00501FCD"/>
    <w:rsid w:val="00502050"/>
    <w:rsid w:val="00502067"/>
    <w:rsid w:val="005020A6"/>
    <w:rsid w:val="005020CF"/>
    <w:rsid w:val="00502163"/>
    <w:rsid w:val="0050218E"/>
    <w:rsid w:val="005021D7"/>
    <w:rsid w:val="005021F8"/>
    <w:rsid w:val="005022AC"/>
    <w:rsid w:val="005023B5"/>
    <w:rsid w:val="005024A2"/>
    <w:rsid w:val="00502538"/>
    <w:rsid w:val="00502541"/>
    <w:rsid w:val="00502543"/>
    <w:rsid w:val="0050265C"/>
    <w:rsid w:val="005026B3"/>
    <w:rsid w:val="00502759"/>
    <w:rsid w:val="00502816"/>
    <w:rsid w:val="0050287F"/>
    <w:rsid w:val="005028AA"/>
    <w:rsid w:val="005028DF"/>
    <w:rsid w:val="005028EE"/>
    <w:rsid w:val="0050293A"/>
    <w:rsid w:val="005029E1"/>
    <w:rsid w:val="00502A7C"/>
    <w:rsid w:val="00502A92"/>
    <w:rsid w:val="00502ACD"/>
    <w:rsid w:val="00502B77"/>
    <w:rsid w:val="00502CAF"/>
    <w:rsid w:val="00502D4D"/>
    <w:rsid w:val="00502D95"/>
    <w:rsid w:val="00502DCE"/>
    <w:rsid w:val="00502F42"/>
    <w:rsid w:val="0050300D"/>
    <w:rsid w:val="00503037"/>
    <w:rsid w:val="005030F8"/>
    <w:rsid w:val="0050312C"/>
    <w:rsid w:val="005031E2"/>
    <w:rsid w:val="0050329A"/>
    <w:rsid w:val="005032BC"/>
    <w:rsid w:val="0050346E"/>
    <w:rsid w:val="005034EF"/>
    <w:rsid w:val="005035BC"/>
    <w:rsid w:val="00503632"/>
    <w:rsid w:val="0050363B"/>
    <w:rsid w:val="00503671"/>
    <w:rsid w:val="005036D8"/>
    <w:rsid w:val="005036DC"/>
    <w:rsid w:val="005038DC"/>
    <w:rsid w:val="00503969"/>
    <w:rsid w:val="00503989"/>
    <w:rsid w:val="005039B2"/>
    <w:rsid w:val="005039C1"/>
    <w:rsid w:val="005039D5"/>
    <w:rsid w:val="00503A2B"/>
    <w:rsid w:val="00503B7D"/>
    <w:rsid w:val="00503C49"/>
    <w:rsid w:val="00503D0B"/>
    <w:rsid w:val="00503D52"/>
    <w:rsid w:val="00503D6C"/>
    <w:rsid w:val="00503DDD"/>
    <w:rsid w:val="00503F71"/>
    <w:rsid w:val="00503F77"/>
    <w:rsid w:val="00503FC2"/>
    <w:rsid w:val="005040A4"/>
    <w:rsid w:val="00504107"/>
    <w:rsid w:val="00504109"/>
    <w:rsid w:val="00504181"/>
    <w:rsid w:val="005041FE"/>
    <w:rsid w:val="0050424B"/>
    <w:rsid w:val="0050432D"/>
    <w:rsid w:val="005043B3"/>
    <w:rsid w:val="00504408"/>
    <w:rsid w:val="00504465"/>
    <w:rsid w:val="00504569"/>
    <w:rsid w:val="005045DF"/>
    <w:rsid w:val="00504827"/>
    <w:rsid w:val="00504849"/>
    <w:rsid w:val="0050486B"/>
    <w:rsid w:val="0050486C"/>
    <w:rsid w:val="00504925"/>
    <w:rsid w:val="005049AD"/>
    <w:rsid w:val="00504A5B"/>
    <w:rsid w:val="00504AA5"/>
    <w:rsid w:val="00504C98"/>
    <w:rsid w:val="00504CA9"/>
    <w:rsid w:val="00504CEB"/>
    <w:rsid w:val="00504D85"/>
    <w:rsid w:val="00504F37"/>
    <w:rsid w:val="00504FE3"/>
    <w:rsid w:val="0050521E"/>
    <w:rsid w:val="00505287"/>
    <w:rsid w:val="00505342"/>
    <w:rsid w:val="00505470"/>
    <w:rsid w:val="005054D8"/>
    <w:rsid w:val="00505559"/>
    <w:rsid w:val="00505618"/>
    <w:rsid w:val="00505679"/>
    <w:rsid w:val="0050568A"/>
    <w:rsid w:val="0050591C"/>
    <w:rsid w:val="00505A76"/>
    <w:rsid w:val="00505B5E"/>
    <w:rsid w:val="00505C03"/>
    <w:rsid w:val="00505CFB"/>
    <w:rsid w:val="00505D08"/>
    <w:rsid w:val="00505D12"/>
    <w:rsid w:val="00505DB5"/>
    <w:rsid w:val="00505E44"/>
    <w:rsid w:val="00505F7E"/>
    <w:rsid w:val="0050603B"/>
    <w:rsid w:val="005061B3"/>
    <w:rsid w:val="0050622D"/>
    <w:rsid w:val="00506247"/>
    <w:rsid w:val="0050625A"/>
    <w:rsid w:val="0050629F"/>
    <w:rsid w:val="0050631A"/>
    <w:rsid w:val="0050634A"/>
    <w:rsid w:val="00506369"/>
    <w:rsid w:val="005063E7"/>
    <w:rsid w:val="005064CC"/>
    <w:rsid w:val="005065EC"/>
    <w:rsid w:val="00506795"/>
    <w:rsid w:val="00506934"/>
    <w:rsid w:val="00506959"/>
    <w:rsid w:val="0050698B"/>
    <w:rsid w:val="005069F0"/>
    <w:rsid w:val="00506AB2"/>
    <w:rsid w:val="00506B0C"/>
    <w:rsid w:val="00506BE5"/>
    <w:rsid w:val="00506C8E"/>
    <w:rsid w:val="00506D11"/>
    <w:rsid w:val="00506D1B"/>
    <w:rsid w:val="00506D20"/>
    <w:rsid w:val="00506D5D"/>
    <w:rsid w:val="00506E06"/>
    <w:rsid w:val="00506E2C"/>
    <w:rsid w:val="00506EC9"/>
    <w:rsid w:val="00506FC8"/>
    <w:rsid w:val="00506FCA"/>
    <w:rsid w:val="00506FFC"/>
    <w:rsid w:val="00507075"/>
    <w:rsid w:val="005070AB"/>
    <w:rsid w:val="005070B2"/>
    <w:rsid w:val="005070E6"/>
    <w:rsid w:val="005070E8"/>
    <w:rsid w:val="005070F0"/>
    <w:rsid w:val="00507118"/>
    <w:rsid w:val="005072C2"/>
    <w:rsid w:val="005072C9"/>
    <w:rsid w:val="005072D0"/>
    <w:rsid w:val="005072F2"/>
    <w:rsid w:val="0050730F"/>
    <w:rsid w:val="00507343"/>
    <w:rsid w:val="005073B7"/>
    <w:rsid w:val="005075C0"/>
    <w:rsid w:val="00507632"/>
    <w:rsid w:val="005076D3"/>
    <w:rsid w:val="00507716"/>
    <w:rsid w:val="0050773A"/>
    <w:rsid w:val="00507763"/>
    <w:rsid w:val="00507773"/>
    <w:rsid w:val="00507788"/>
    <w:rsid w:val="005077B5"/>
    <w:rsid w:val="005077E2"/>
    <w:rsid w:val="00507814"/>
    <w:rsid w:val="0050785E"/>
    <w:rsid w:val="0050799D"/>
    <w:rsid w:val="00507A9D"/>
    <w:rsid w:val="00507AF3"/>
    <w:rsid w:val="00507CC5"/>
    <w:rsid w:val="00507D72"/>
    <w:rsid w:val="00507DB1"/>
    <w:rsid w:val="00507E10"/>
    <w:rsid w:val="00507F7D"/>
    <w:rsid w:val="00507FE9"/>
    <w:rsid w:val="00510045"/>
    <w:rsid w:val="0051008D"/>
    <w:rsid w:val="00510102"/>
    <w:rsid w:val="0051023F"/>
    <w:rsid w:val="005102D8"/>
    <w:rsid w:val="005105C8"/>
    <w:rsid w:val="00510760"/>
    <w:rsid w:val="00510789"/>
    <w:rsid w:val="005107C3"/>
    <w:rsid w:val="00510859"/>
    <w:rsid w:val="005109F0"/>
    <w:rsid w:val="00510A4C"/>
    <w:rsid w:val="00510ACF"/>
    <w:rsid w:val="00510BF7"/>
    <w:rsid w:val="00510C23"/>
    <w:rsid w:val="00510CEB"/>
    <w:rsid w:val="00510DE3"/>
    <w:rsid w:val="00510DF6"/>
    <w:rsid w:val="00510E44"/>
    <w:rsid w:val="00510E49"/>
    <w:rsid w:val="00510EB1"/>
    <w:rsid w:val="00510F09"/>
    <w:rsid w:val="00510F44"/>
    <w:rsid w:val="0051117E"/>
    <w:rsid w:val="005111B9"/>
    <w:rsid w:val="00511279"/>
    <w:rsid w:val="005112C8"/>
    <w:rsid w:val="005112F4"/>
    <w:rsid w:val="005113F7"/>
    <w:rsid w:val="005114B6"/>
    <w:rsid w:val="005115A9"/>
    <w:rsid w:val="0051182C"/>
    <w:rsid w:val="0051182F"/>
    <w:rsid w:val="005118AE"/>
    <w:rsid w:val="005119ED"/>
    <w:rsid w:val="005119F8"/>
    <w:rsid w:val="00511A88"/>
    <w:rsid w:val="00511A95"/>
    <w:rsid w:val="00511BCD"/>
    <w:rsid w:val="00511C1D"/>
    <w:rsid w:val="00511CCB"/>
    <w:rsid w:val="00511CDD"/>
    <w:rsid w:val="00511DD1"/>
    <w:rsid w:val="00511E44"/>
    <w:rsid w:val="00511E66"/>
    <w:rsid w:val="00511E6C"/>
    <w:rsid w:val="00511E73"/>
    <w:rsid w:val="00511E98"/>
    <w:rsid w:val="00511F97"/>
    <w:rsid w:val="00511FFB"/>
    <w:rsid w:val="00512041"/>
    <w:rsid w:val="00512063"/>
    <w:rsid w:val="005120C2"/>
    <w:rsid w:val="0051221C"/>
    <w:rsid w:val="00512284"/>
    <w:rsid w:val="005122CC"/>
    <w:rsid w:val="00512399"/>
    <w:rsid w:val="005124BC"/>
    <w:rsid w:val="00512558"/>
    <w:rsid w:val="005125A3"/>
    <w:rsid w:val="005125BA"/>
    <w:rsid w:val="00512796"/>
    <w:rsid w:val="005127A5"/>
    <w:rsid w:val="00512844"/>
    <w:rsid w:val="00512895"/>
    <w:rsid w:val="005128A2"/>
    <w:rsid w:val="0051294D"/>
    <w:rsid w:val="00512A53"/>
    <w:rsid w:val="00512AB1"/>
    <w:rsid w:val="00512AE7"/>
    <w:rsid w:val="00512B2B"/>
    <w:rsid w:val="00512B46"/>
    <w:rsid w:val="00512C5E"/>
    <w:rsid w:val="00512C82"/>
    <w:rsid w:val="00512C90"/>
    <w:rsid w:val="00512CA6"/>
    <w:rsid w:val="00512D83"/>
    <w:rsid w:val="00512F6B"/>
    <w:rsid w:val="00512FA0"/>
    <w:rsid w:val="0051307D"/>
    <w:rsid w:val="00513191"/>
    <w:rsid w:val="005132F9"/>
    <w:rsid w:val="00513345"/>
    <w:rsid w:val="00513372"/>
    <w:rsid w:val="005133EC"/>
    <w:rsid w:val="0051353F"/>
    <w:rsid w:val="00513615"/>
    <w:rsid w:val="0051386A"/>
    <w:rsid w:val="00513928"/>
    <w:rsid w:val="0051394E"/>
    <w:rsid w:val="00513988"/>
    <w:rsid w:val="00513A14"/>
    <w:rsid w:val="00513A72"/>
    <w:rsid w:val="00513AC6"/>
    <w:rsid w:val="00513B8E"/>
    <w:rsid w:val="00513BA7"/>
    <w:rsid w:val="00513BDA"/>
    <w:rsid w:val="00513C11"/>
    <w:rsid w:val="00513C6D"/>
    <w:rsid w:val="00513D1E"/>
    <w:rsid w:val="00513D55"/>
    <w:rsid w:val="00513D73"/>
    <w:rsid w:val="00513E37"/>
    <w:rsid w:val="00513F03"/>
    <w:rsid w:val="00513FBB"/>
    <w:rsid w:val="0051403B"/>
    <w:rsid w:val="00514046"/>
    <w:rsid w:val="0051407E"/>
    <w:rsid w:val="005140DB"/>
    <w:rsid w:val="0051415B"/>
    <w:rsid w:val="00514195"/>
    <w:rsid w:val="005141EE"/>
    <w:rsid w:val="005142F4"/>
    <w:rsid w:val="00514313"/>
    <w:rsid w:val="00514418"/>
    <w:rsid w:val="0051441E"/>
    <w:rsid w:val="00514420"/>
    <w:rsid w:val="0051442B"/>
    <w:rsid w:val="00514626"/>
    <w:rsid w:val="0051467F"/>
    <w:rsid w:val="0051468A"/>
    <w:rsid w:val="005146F5"/>
    <w:rsid w:val="00514750"/>
    <w:rsid w:val="005148FB"/>
    <w:rsid w:val="00514904"/>
    <w:rsid w:val="0051492F"/>
    <w:rsid w:val="0051493E"/>
    <w:rsid w:val="005149A1"/>
    <w:rsid w:val="005149D5"/>
    <w:rsid w:val="005149E3"/>
    <w:rsid w:val="00514A83"/>
    <w:rsid w:val="00514D81"/>
    <w:rsid w:val="00514DA1"/>
    <w:rsid w:val="00514DA6"/>
    <w:rsid w:val="00514E4F"/>
    <w:rsid w:val="00514E7A"/>
    <w:rsid w:val="00514E8E"/>
    <w:rsid w:val="00514EEB"/>
    <w:rsid w:val="00514EFB"/>
    <w:rsid w:val="0051504D"/>
    <w:rsid w:val="0051508D"/>
    <w:rsid w:val="00515260"/>
    <w:rsid w:val="005152BC"/>
    <w:rsid w:val="005152BE"/>
    <w:rsid w:val="005152DC"/>
    <w:rsid w:val="00515377"/>
    <w:rsid w:val="005153A9"/>
    <w:rsid w:val="0051547A"/>
    <w:rsid w:val="00515482"/>
    <w:rsid w:val="005154EC"/>
    <w:rsid w:val="00515556"/>
    <w:rsid w:val="00515597"/>
    <w:rsid w:val="005155F7"/>
    <w:rsid w:val="00515639"/>
    <w:rsid w:val="00515645"/>
    <w:rsid w:val="0051576D"/>
    <w:rsid w:val="0051579A"/>
    <w:rsid w:val="005157F8"/>
    <w:rsid w:val="00515836"/>
    <w:rsid w:val="00515853"/>
    <w:rsid w:val="005158DF"/>
    <w:rsid w:val="00515940"/>
    <w:rsid w:val="005159BF"/>
    <w:rsid w:val="00515A1B"/>
    <w:rsid w:val="00515A5E"/>
    <w:rsid w:val="00515A61"/>
    <w:rsid w:val="00515A6F"/>
    <w:rsid w:val="00515A8D"/>
    <w:rsid w:val="00515A95"/>
    <w:rsid w:val="00515AE8"/>
    <w:rsid w:val="00515AE9"/>
    <w:rsid w:val="00515AEB"/>
    <w:rsid w:val="00515AF4"/>
    <w:rsid w:val="00515B07"/>
    <w:rsid w:val="00515C80"/>
    <w:rsid w:val="00515D87"/>
    <w:rsid w:val="00515D88"/>
    <w:rsid w:val="00515E10"/>
    <w:rsid w:val="00515E1F"/>
    <w:rsid w:val="00515ECB"/>
    <w:rsid w:val="00515F37"/>
    <w:rsid w:val="00515F7C"/>
    <w:rsid w:val="00515FB8"/>
    <w:rsid w:val="00515FC2"/>
    <w:rsid w:val="0051602A"/>
    <w:rsid w:val="005160AF"/>
    <w:rsid w:val="0051614D"/>
    <w:rsid w:val="005161BB"/>
    <w:rsid w:val="00516256"/>
    <w:rsid w:val="0051625D"/>
    <w:rsid w:val="00516301"/>
    <w:rsid w:val="00516334"/>
    <w:rsid w:val="005163DB"/>
    <w:rsid w:val="00516407"/>
    <w:rsid w:val="00516560"/>
    <w:rsid w:val="0051656F"/>
    <w:rsid w:val="0051667D"/>
    <w:rsid w:val="0051671F"/>
    <w:rsid w:val="00516743"/>
    <w:rsid w:val="00516755"/>
    <w:rsid w:val="005167D2"/>
    <w:rsid w:val="00516878"/>
    <w:rsid w:val="00516903"/>
    <w:rsid w:val="0051693F"/>
    <w:rsid w:val="005169C6"/>
    <w:rsid w:val="005169DC"/>
    <w:rsid w:val="00516A60"/>
    <w:rsid w:val="00516AC1"/>
    <w:rsid w:val="00516B49"/>
    <w:rsid w:val="00516BFB"/>
    <w:rsid w:val="00516C12"/>
    <w:rsid w:val="00516C15"/>
    <w:rsid w:val="00516CCC"/>
    <w:rsid w:val="00516D12"/>
    <w:rsid w:val="00516D3E"/>
    <w:rsid w:val="00516DF2"/>
    <w:rsid w:val="00516E34"/>
    <w:rsid w:val="00516E69"/>
    <w:rsid w:val="00517013"/>
    <w:rsid w:val="0051709A"/>
    <w:rsid w:val="005170E3"/>
    <w:rsid w:val="005171EE"/>
    <w:rsid w:val="00517237"/>
    <w:rsid w:val="005172EB"/>
    <w:rsid w:val="005173AC"/>
    <w:rsid w:val="005173D4"/>
    <w:rsid w:val="00517440"/>
    <w:rsid w:val="00517462"/>
    <w:rsid w:val="00517464"/>
    <w:rsid w:val="00517465"/>
    <w:rsid w:val="0051764C"/>
    <w:rsid w:val="0051788F"/>
    <w:rsid w:val="00517914"/>
    <w:rsid w:val="005179A0"/>
    <w:rsid w:val="00517A7C"/>
    <w:rsid w:val="00517B43"/>
    <w:rsid w:val="00517B8C"/>
    <w:rsid w:val="00517BD5"/>
    <w:rsid w:val="00517D79"/>
    <w:rsid w:val="00517D82"/>
    <w:rsid w:val="00517DDF"/>
    <w:rsid w:val="00517E16"/>
    <w:rsid w:val="00517F01"/>
    <w:rsid w:val="00517FD7"/>
    <w:rsid w:val="0052002E"/>
    <w:rsid w:val="005200CB"/>
    <w:rsid w:val="005201C9"/>
    <w:rsid w:val="005201DE"/>
    <w:rsid w:val="005202FF"/>
    <w:rsid w:val="00520415"/>
    <w:rsid w:val="005204C2"/>
    <w:rsid w:val="00520509"/>
    <w:rsid w:val="0052076D"/>
    <w:rsid w:val="0052077B"/>
    <w:rsid w:val="00520792"/>
    <w:rsid w:val="005207FA"/>
    <w:rsid w:val="005208F6"/>
    <w:rsid w:val="0052093E"/>
    <w:rsid w:val="00520993"/>
    <w:rsid w:val="00520A90"/>
    <w:rsid w:val="00520AC8"/>
    <w:rsid w:val="00520B65"/>
    <w:rsid w:val="00520BAE"/>
    <w:rsid w:val="00520BF8"/>
    <w:rsid w:val="00520C77"/>
    <w:rsid w:val="00520CF5"/>
    <w:rsid w:val="00520D13"/>
    <w:rsid w:val="00520E70"/>
    <w:rsid w:val="00520E8F"/>
    <w:rsid w:val="00520F0B"/>
    <w:rsid w:val="00520F7F"/>
    <w:rsid w:val="00521150"/>
    <w:rsid w:val="0052121A"/>
    <w:rsid w:val="005212F2"/>
    <w:rsid w:val="005213D3"/>
    <w:rsid w:val="0052142E"/>
    <w:rsid w:val="00521510"/>
    <w:rsid w:val="0052159F"/>
    <w:rsid w:val="005216A1"/>
    <w:rsid w:val="00521710"/>
    <w:rsid w:val="00521744"/>
    <w:rsid w:val="0052174D"/>
    <w:rsid w:val="0052178F"/>
    <w:rsid w:val="005217F0"/>
    <w:rsid w:val="0052183B"/>
    <w:rsid w:val="00521846"/>
    <w:rsid w:val="00521885"/>
    <w:rsid w:val="0052189B"/>
    <w:rsid w:val="0052189F"/>
    <w:rsid w:val="00521BE8"/>
    <w:rsid w:val="00521D4E"/>
    <w:rsid w:val="00521D59"/>
    <w:rsid w:val="00521D6B"/>
    <w:rsid w:val="00521E43"/>
    <w:rsid w:val="00521F82"/>
    <w:rsid w:val="00522039"/>
    <w:rsid w:val="005220CD"/>
    <w:rsid w:val="0052228B"/>
    <w:rsid w:val="005222BF"/>
    <w:rsid w:val="0052241A"/>
    <w:rsid w:val="00522438"/>
    <w:rsid w:val="005224C6"/>
    <w:rsid w:val="005225D4"/>
    <w:rsid w:val="005225EF"/>
    <w:rsid w:val="005225FA"/>
    <w:rsid w:val="00522612"/>
    <w:rsid w:val="00522731"/>
    <w:rsid w:val="0052281D"/>
    <w:rsid w:val="00522866"/>
    <w:rsid w:val="00522956"/>
    <w:rsid w:val="0052297D"/>
    <w:rsid w:val="005229EA"/>
    <w:rsid w:val="00522A12"/>
    <w:rsid w:val="00522AB2"/>
    <w:rsid w:val="00522B91"/>
    <w:rsid w:val="00522BAE"/>
    <w:rsid w:val="00522CA7"/>
    <w:rsid w:val="00522CE8"/>
    <w:rsid w:val="00522CEE"/>
    <w:rsid w:val="00522D2B"/>
    <w:rsid w:val="00522DC8"/>
    <w:rsid w:val="00522E63"/>
    <w:rsid w:val="00522F20"/>
    <w:rsid w:val="00522FB4"/>
    <w:rsid w:val="00522FEF"/>
    <w:rsid w:val="00523073"/>
    <w:rsid w:val="00523218"/>
    <w:rsid w:val="00523251"/>
    <w:rsid w:val="00523341"/>
    <w:rsid w:val="005233E6"/>
    <w:rsid w:val="00523430"/>
    <w:rsid w:val="005234C0"/>
    <w:rsid w:val="005234D4"/>
    <w:rsid w:val="0052354F"/>
    <w:rsid w:val="00523706"/>
    <w:rsid w:val="0052376A"/>
    <w:rsid w:val="005237AD"/>
    <w:rsid w:val="005237D8"/>
    <w:rsid w:val="005237E8"/>
    <w:rsid w:val="005237F2"/>
    <w:rsid w:val="005237F3"/>
    <w:rsid w:val="005237FA"/>
    <w:rsid w:val="005238B1"/>
    <w:rsid w:val="005239AF"/>
    <w:rsid w:val="005239FB"/>
    <w:rsid w:val="00523A24"/>
    <w:rsid w:val="00523A76"/>
    <w:rsid w:val="00523A93"/>
    <w:rsid w:val="00523AA6"/>
    <w:rsid w:val="00523B15"/>
    <w:rsid w:val="00523B2F"/>
    <w:rsid w:val="00523B47"/>
    <w:rsid w:val="00523BEB"/>
    <w:rsid w:val="00523C5C"/>
    <w:rsid w:val="00523D45"/>
    <w:rsid w:val="00523D82"/>
    <w:rsid w:val="00523DD0"/>
    <w:rsid w:val="00523EAD"/>
    <w:rsid w:val="00523F19"/>
    <w:rsid w:val="00523F44"/>
    <w:rsid w:val="00523FF3"/>
    <w:rsid w:val="0052402D"/>
    <w:rsid w:val="00524073"/>
    <w:rsid w:val="005240B7"/>
    <w:rsid w:val="00524109"/>
    <w:rsid w:val="0052413A"/>
    <w:rsid w:val="00524207"/>
    <w:rsid w:val="005242C6"/>
    <w:rsid w:val="00524309"/>
    <w:rsid w:val="0052432D"/>
    <w:rsid w:val="0052442B"/>
    <w:rsid w:val="00524548"/>
    <w:rsid w:val="005245BD"/>
    <w:rsid w:val="00524658"/>
    <w:rsid w:val="005246B7"/>
    <w:rsid w:val="005246F5"/>
    <w:rsid w:val="00524718"/>
    <w:rsid w:val="005247D9"/>
    <w:rsid w:val="0052488F"/>
    <w:rsid w:val="005248AA"/>
    <w:rsid w:val="005248B0"/>
    <w:rsid w:val="00524918"/>
    <w:rsid w:val="005249F7"/>
    <w:rsid w:val="00524AD9"/>
    <w:rsid w:val="00524B67"/>
    <w:rsid w:val="00524CC0"/>
    <w:rsid w:val="00524CC6"/>
    <w:rsid w:val="00524CD1"/>
    <w:rsid w:val="00524D2D"/>
    <w:rsid w:val="00524DE9"/>
    <w:rsid w:val="00524EC8"/>
    <w:rsid w:val="00524F32"/>
    <w:rsid w:val="00525093"/>
    <w:rsid w:val="00525097"/>
    <w:rsid w:val="0052509E"/>
    <w:rsid w:val="00525138"/>
    <w:rsid w:val="00525155"/>
    <w:rsid w:val="0052519E"/>
    <w:rsid w:val="005251CE"/>
    <w:rsid w:val="00525240"/>
    <w:rsid w:val="00525297"/>
    <w:rsid w:val="005252BF"/>
    <w:rsid w:val="005252E3"/>
    <w:rsid w:val="005252E9"/>
    <w:rsid w:val="00525382"/>
    <w:rsid w:val="00525445"/>
    <w:rsid w:val="005254BF"/>
    <w:rsid w:val="005254DA"/>
    <w:rsid w:val="00525574"/>
    <w:rsid w:val="0052560E"/>
    <w:rsid w:val="00525626"/>
    <w:rsid w:val="0052565F"/>
    <w:rsid w:val="005256A8"/>
    <w:rsid w:val="005256E2"/>
    <w:rsid w:val="005257A1"/>
    <w:rsid w:val="00525804"/>
    <w:rsid w:val="00525817"/>
    <w:rsid w:val="00525835"/>
    <w:rsid w:val="00525841"/>
    <w:rsid w:val="0052585B"/>
    <w:rsid w:val="00525861"/>
    <w:rsid w:val="005258AB"/>
    <w:rsid w:val="005258DB"/>
    <w:rsid w:val="005259E3"/>
    <w:rsid w:val="00525AAE"/>
    <w:rsid w:val="00525C3A"/>
    <w:rsid w:val="00525DBA"/>
    <w:rsid w:val="00525DC8"/>
    <w:rsid w:val="00525E12"/>
    <w:rsid w:val="00525E6A"/>
    <w:rsid w:val="00525E7A"/>
    <w:rsid w:val="00525E9D"/>
    <w:rsid w:val="00525EE3"/>
    <w:rsid w:val="00525F98"/>
    <w:rsid w:val="00525FAD"/>
    <w:rsid w:val="00525FC3"/>
    <w:rsid w:val="00526040"/>
    <w:rsid w:val="0052604E"/>
    <w:rsid w:val="005260B7"/>
    <w:rsid w:val="005260D0"/>
    <w:rsid w:val="0052612B"/>
    <w:rsid w:val="00526147"/>
    <w:rsid w:val="00526233"/>
    <w:rsid w:val="005262DC"/>
    <w:rsid w:val="0052644B"/>
    <w:rsid w:val="00526657"/>
    <w:rsid w:val="00526765"/>
    <w:rsid w:val="005267EA"/>
    <w:rsid w:val="0052687E"/>
    <w:rsid w:val="00526A15"/>
    <w:rsid w:val="00526AC2"/>
    <w:rsid w:val="00526C21"/>
    <w:rsid w:val="00526CAC"/>
    <w:rsid w:val="00526D37"/>
    <w:rsid w:val="00526D8F"/>
    <w:rsid w:val="00526DD1"/>
    <w:rsid w:val="00526DE0"/>
    <w:rsid w:val="00526E66"/>
    <w:rsid w:val="00526F65"/>
    <w:rsid w:val="00526FB7"/>
    <w:rsid w:val="00526FC3"/>
    <w:rsid w:val="00526FD7"/>
    <w:rsid w:val="0052703B"/>
    <w:rsid w:val="0052704D"/>
    <w:rsid w:val="00527176"/>
    <w:rsid w:val="005271EB"/>
    <w:rsid w:val="00527215"/>
    <w:rsid w:val="005272C0"/>
    <w:rsid w:val="005272E2"/>
    <w:rsid w:val="0052733B"/>
    <w:rsid w:val="00527441"/>
    <w:rsid w:val="0052750A"/>
    <w:rsid w:val="00527520"/>
    <w:rsid w:val="00527593"/>
    <w:rsid w:val="005275A2"/>
    <w:rsid w:val="005275A3"/>
    <w:rsid w:val="005275BC"/>
    <w:rsid w:val="005275E4"/>
    <w:rsid w:val="00527648"/>
    <w:rsid w:val="00527649"/>
    <w:rsid w:val="0052774C"/>
    <w:rsid w:val="00527811"/>
    <w:rsid w:val="0052788A"/>
    <w:rsid w:val="00527A60"/>
    <w:rsid w:val="00527AD6"/>
    <w:rsid w:val="00527BB5"/>
    <w:rsid w:val="00527BCE"/>
    <w:rsid w:val="00527BD2"/>
    <w:rsid w:val="00527C06"/>
    <w:rsid w:val="00527C51"/>
    <w:rsid w:val="00527C82"/>
    <w:rsid w:val="00527CEB"/>
    <w:rsid w:val="00527D0B"/>
    <w:rsid w:val="00527D97"/>
    <w:rsid w:val="00527F48"/>
    <w:rsid w:val="00527F4B"/>
    <w:rsid w:val="00527FC8"/>
    <w:rsid w:val="0053004F"/>
    <w:rsid w:val="00530220"/>
    <w:rsid w:val="0053028D"/>
    <w:rsid w:val="0053029B"/>
    <w:rsid w:val="0053034B"/>
    <w:rsid w:val="0053036A"/>
    <w:rsid w:val="005303CB"/>
    <w:rsid w:val="0053042E"/>
    <w:rsid w:val="0053044C"/>
    <w:rsid w:val="00530504"/>
    <w:rsid w:val="00530593"/>
    <w:rsid w:val="005305B8"/>
    <w:rsid w:val="0053074C"/>
    <w:rsid w:val="00530854"/>
    <w:rsid w:val="00530AD3"/>
    <w:rsid w:val="00530AD8"/>
    <w:rsid w:val="00530BF7"/>
    <w:rsid w:val="00530CD4"/>
    <w:rsid w:val="00530D84"/>
    <w:rsid w:val="00530D96"/>
    <w:rsid w:val="00530EE6"/>
    <w:rsid w:val="00530F74"/>
    <w:rsid w:val="0053106E"/>
    <w:rsid w:val="0053107B"/>
    <w:rsid w:val="00531185"/>
    <w:rsid w:val="005311BF"/>
    <w:rsid w:val="005311C2"/>
    <w:rsid w:val="005311EC"/>
    <w:rsid w:val="005312C4"/>
    <w:rsid w:val="0053135E"/>
    <w:rsid w:val="00531477"/>
    <w:rsid w:val="0053150B"/>
    <w:rsid w:val="0053165C"/>
    <w:rsid w:val="0053166D"/>
    <w:rsid w:val="00531670"/>
    <w:rsid w:val="00531721"/>
    <w:rsid w:val="00531797"/>
    <w:rsid w:val="0053189F"/>
    <w:rsid w:val="00531911"/>
    <w:rsid w:val="0053192B"/>
    <w:rsid w:val="00531975"/>
    <w:rsid w:val="005319AD"/>
    <w:rsid w:val="00531A39"/>
    <w:rsid w:val="00531A6B"/>
    <w:rsid w:val="00531B5C"/>
    <w:rsid w:val="00531BC0"/>
    <w:rsid w:val="00531C48"/>
    <w:rsid w:val="00531CF0"/>
    <w:rsid w:val="00531D35"/>
    <w:rsid w:val="00531D43"/>
    <w:rsid w:val="00531DC3"/>
    <w:rsid w:val="00531E67"/>
    <w:rsid w:val="00531EDF"/>
    <w:rsid w:val="00531F5D"/>
    <w:rsid w:val="00531F88"/>
    <w:rsid w:val="005321B9"/>
    <w:rsid w:val="0053229A"/>
    <w:rsid w:val="005322AF"/>
    <w:rsid w:val="005322F3"/>
    <w:rsid w:val="00532361"/>
    <w:rsid w:val="005323B3"/>
    <w:rsid w:val="00532412"/>
    <w:rsid w:val="005324A7"/>
    <w:rsid w:val="00532508"/>
    <w:rsid w:val="0053254C"/>
    <w:rsid w:val="0053259F"/>
    <w:rsid w:val="0053268E"/>
    <w:rsid w:val="00532693"/>
    <w:rsid w:val="00532733"/>
    <w:rsid w:val="00532777"/>
    <w:rsid w:val="00532804"/>
    <w:rsid w:val="00532828"/>
    <w:rsid w:val="00532905"/>
    <w:rsid w:val="0053296F"/>
    <w:rsid w:val="005329E2"/>
    <w:rsid w:val="00532AD7"/>
    <w:rsid w:val="00532AE3"/>
    <w:rsid w:val="00532B4F"/>
    <w:rsid w:val="00532BB6"/>
    <w:rsid w:val="00532C2A"/>
    <w:rsid w:val="00532C7E"/>
    <w:rsid w:val="00532CBD"/>
    <w:rsid w:val="00532CC3"/>
    <w:rsid w:val="00532D61"/>
    <w:rsid w:val="00532E3E"/>
    <w:rsid w:val="00532F71"/>
    <w:rsid w:val="00532FDF"/>
    <w:rsid w:val="00532FEC"/>
    <w:rsid w:val="00532FFA"/>
    <w:rsid w:val="0053308F"/>
    <w:rsid w:val="005330E6"/>
    <w:rsid w:val="00533136"/>
    <w:rsid w:val="0053316B"/>
    <w:rsid w:val="00533185"/>
    <w:rsid w:val="005332B9"/>
    <w:rsid w:val="005332C0"/>
    <w:rsid w:val="005332EE"/>
    <w:rsid w:val="00533394"/>
    <w:rsid w:val="005333A8"/>
    <w:rsid w:val="0053344E"/>
    <w:rsid w:val="0053354E"/>
    <w:rsid w:val="005335EA"/>
    <w:rsid w:val="00533737"/>
    <w:rsid w:val="00533776"/>
    <w:rsid w:val="00533800"/>
    <w:rsid w:val="00533865"/>
    <w:rsid w:val="005339D3"/>
    <w:rsid w:val="00533A23"/>
    <w:rsid w:val="00533A63"/>
    <w:rsid w:val="00533AAE"/>
    <w:rsid w:val="00533AD7"/>
    <w:rsid w:val="00533AE4"/>
    <w:rsid w:val="00533B48"/>
    <w:rsid w:val="00533C21"/>
    <w:rsid w:val="00533CC7"/>
    <w:rsid w:val="00533D4F"/>
    <w:rsid w:val="00533DAD"/>
    <w:rsid w:val="00533E77"/>
    <w:rsid w:val="00533F42"/>
    <w:rsid w:val="00533FC8"/>
    <w:rsid w:val="00533FD7"/>
    <w:rsid w:val="0053400F"/>
    <w:rsid w:val="0053404F"/>
    <w:rsid w:val="0053407C"/>
    <w:rsid w:val="005340B8"/>
    <w:rsid w:val="005340E7"/>
    <w:rsid w:val="00534119"/>
    <w:rsid w:val="00534197"/>
    <w:rsid w:val="005341AA"/>
    <w:rsid w:val="005341AC"/>
    <w:rsid w:val="0053428B"/>
    <w:rsid w:val="005342DE"/>
    <w:rsid w:val="005342F9"/>
    <w:rsid w:val="0053436E"/>
    <w:rsid w:val="0053448E"/>
    <w:rsid w:val="00534504"/>
    <w:rsid w:val="00534526"/>
    <w:rsid w:val="0053459D"/>
    <w:rsid w:val="005345EB"/>
    <w:rsid w:val="005346EE"/>
    <w:rsid w:val="00534757"/>
    <w:rsid w:val="005347CD"/>
    <w:rsid w:val="0053492A"/>
    <w:rsid w:val="00534A29"/>
    <w:rsid w:val="00534A36"/>
    <w:rsid w:val="00534A7C"/>
    <w:rsid w:val="00534B59"/>
    <w:rsid w:val="00534B6C"/>
    <w:rsid w:val="00534B73"/>
    <w:rsid w:val="00534BA1"/>
    <w:rsid w:val="00534BD6"/>
    <w:rsid w:val="00534BF6"/>
    <w:rsid w:val="00534CA2"/>
    <w:rsid w:val="00534D31"/>
    <w:rsid w:val="00534DDD"/>
    <w:rsid w:val="00534E5A"/>
    <w:rsid w:val="00534F46"/>
    <w:rsid w:val="00535051"/>
    <w:rsid w:val="0053507D"/>
    <w:rsid w:val="005350C8"/>
    <w:rsid w:val="00535312"/>
    <w:rsid w:val="0053539E"/>
    <w:rsid w:val="005353E3"/>
    <w:rsid w:val="0053547A"/>
    <w:rsid w:val="0053549C"/>
    <w:rsid w:val="0053558B"/>
    <w:rsid w:val="00535640"/>
    <w:rsid w:val="00535791"/>
    <w:rsid w:val="005357BB"/>
    <w:rsid w:val="00535871"/>
    <w:rsid w:val="00535A78"/>
    <w:rsid w:val="00535ABC"/>
    <w:rsid w:val="00535B89"/>
    <w:rsid w:val="00535B91"/>
    <w:rsid w:val="00535C54"/>
    <w:rsid w:val="00535C6C"/>
    <w:rsid w:val="00535D99"/>
    <w:rsid w:val="00535E51"/>
    <w:rsid w:val="00535EB2"/>
    <w:rsid w:val="00535EB7"/>
    <w:rsid w:val="00535F7C"/>
    <w:rsid w:val="00535FBD"/>
    <w:rsid w:val="005360E5"/>
    <w:rsid w:val="005360F7"/>
    <w:rsid w:val="0053618C"/>
    <w:rsid w:val="005361A2"/>
    <w:rsid w:val="005361A8"/>
    <w:rsid w:val="005361E5"/>
    <w:rsid w:val="005362FB"/>
    <w:rsid w:val="00536309"/>
    <w:rsid w:val="00536338"/>
    <w:rsid w:val="0053634A"/>
    <w:rsid w:val="005363B2"/>
    <w:rsid w:val="005363B8"/>
    <w:rsid w:val="00536570"/>
    <w:rsid w:val="00536642"/>
    <w:rsid w:val="005366CA"/>
    <w:rsid w:val="005366D9"/>
    <w:rsid w:val="00536729"/>
    <w:rsid w:val="005367B6"/>
    <w:rsid w:val="00536848"/>
    <w:rsid w:val="005368C5"/>
    <w:rsid w:val="00536984"/>
    <w:rsid w:val="005369F8"/>
    <w:rsid w:val="00536A7D"/>
    <w:rsid w:val="00536B06"/>
    <w:rsid w:val="00536B6E"/>
    <w:rsid w:val="00536BD2"/>
    <w:rsid w:val="00536BFF"/>
    <w:rsid w:val="00536C5A"/>
    <w:rsid w:val="00536C8E"/>
    <w:rsid w:val="00536CA7"/>
    <w:rsid w:val="00536D21"/>
    <w:rsid w:val="00536D73"/>
    <w:rsid w:val="00536DCF"/>
    <w:rsid w:val="00536E60"/>
    <w:rsid w:val="00536E7B"/>
    <w:rsid w:val="00536E9F"/>
    <w:rsid w:val="00536F1C"/>
    <w:rsid w:val="00536F74"/>
    <w:rsid w:val="005370AA"/>
    <w:rsid w:val="005370FA"/>
    <w:rsid w:val="00537102"/>
    <w:rsid w:val="005372F6"/>
    <w:rsid w:val="005372F8"/>
    <w:rsid w:val="0053737D"/>
    <w:rsid w:val="00537521"/>
    <w:rsid w:val="0053752C"/>
    <w:rsid w:val="0053758B"/>
    <w:rsid w:val="0053763E"/>
    <w:rsid w:val="0053769D"/>
    <w:rsid w:val="00537770"/>
    <w:rsid w:val="005377A7"/>
    <w:rsid w:val="0053782F"/>
    <w:rsid w:val="00537845"/>
    <w:rsid w:val="00537A38"/>
    <w:rsid w:val="00537B1C"/>
    <w:rsid w:val="00537B30"/>
    <w:rsid w:val="00537BAC"/>
    <w:rsid w:val="00537C9C"/>
    <w:rsid w:val="00537DA7"/>
    <w:rsid w:val="00537E30"/>
    <w:rsid w:val="00537E5F"/>
    <w:rsid w:val="00537E87"/>
    <w:rsid w:val="00537F04"/>
    <w:rsid w:val="00537F05"/>
    <w:rsid w:val="00537F49"/>
    <w:rsid w:val="00537FE0"/>
    <w:rsid w:val="00540000"/>
    <w:rsid w:val="00540012"/>
    <w:rsid w:val="0054002F"/>
    <w:rsid w:val="005402A7"/>
    <w:rsid w:val="00540304"/>
    <w:rsid w:val="0054040A"/>
    <w:rsid w:val="0054046F"/>
    <w:rsid w:val="005404CE"/>
    <w:rsid w:val="005405A8"/>
    <w:rsid w:val="005405C4"/>
    <w:rsid w:val="005405C7"/>
    <w:rsid w:val="005405FC"/>
    <w:rsid w:val="00540634"/>
    <w:rsid w:val="005406D3"/>
    <w:rsid w:val="00540732"/>
    <w:rsid w:val="005407D1"/>
    <w:rsid w:val="00540845"/>
    <w:rsid w:val="005408C1"/>
    <w:rsid w:val="005408D0"/>
    <w:rsid w:val="00540974"/>
    <w:rsid w:val="005409C8"/>
    <w:rsid w:val="005409C9"/>
    <w:rsid w:val="00540A84"/>
    <w:rsid w:val="00540AAE"/>
    <w:rsid w:val="00540C9C"/>
    <w:rsid w:val="00540E7F"/>
    <w:rsid w:val="00541109"/>
    <w:rsid w:val="0054123A"/>
    <w:rsid w:val="005412C9"/>
    <w:rsid w:val="005412DE"/>
    <w:rsid w:val="0054133B"/>
    <w:rsid w:val="0054146D"/>
    <w:rsid w:val="0054147C"/>
    <w:rsid w:val="00541492"/>
    <w:rsid w:val="00541636"/>
    <w:rsid w:val="00541648"/>
    <w:rsid w:val="00541652"/>
    <w:rsid w:val="005417CB"/>
    <w:rsid w:val="00541861"/>
    <w:rsid w:val="00541935"/>
    <w:rsid w:val="005419B8"/>
    <w:rsid w:val="005419C9"/>
    <w:rsid w:val="00541A32"/>
    <w:rsid w:val="00541A42"/>
    <w:rsid w:val="00541B9C"/>
    <w:rsid w:val="00541D2D"/>
    <w:rsid w:val="00541DC1"/>
    <w:rsid w:val="00541E9D"/>
    <w:rsid w:val="00541EE8"/>
    <w:rsid w:val="0054202C"/>
    <w:rsid w:val="005420A7"/>
    <w:rsid w:val="005421E0"/>
    <w:rsid w:val="005421F3"/>
    <w:rsid w:val="00542218"/>
    <w:rsid w:val="0054221F"/>
    <w:rsid w:val="0054228E"/>
    <w:rsid w:val="0054232C"/>
    <w:rsid w:val="00542346"/>
    <w:rsid w:val="005423ED"/>
    <w:rsid w:val="0054251D"/>
    <w:rsid w:val="0054258D"/>
    <w:rsid w:val="005426D9"/>
    <w:rsid w:val="0054271A"/>
    <w:rsid w:val="0054273A"/>
    <w:rsid w:val="0054276F"/>
    <w:rsid w:val="00542780"/>
    <w:rsid w:val="005427D3"/>
    <w:rsid w:val="005428BA"/>
    <w:rsid w:val="00542AFE"/>
    <w:rsid w:val="00542BF1"/>
    <w:rsid w:val="00542BFF"/>
    <w:rsid w:val="00542C02"/>
    <w:rsid w:val="00542C97"/>
    <w:rsid w:val="00542CFB"/>
    <w:rsid w:val="00542E13"/>
    <w:rsid w:val="00542F52"/>
    <w:rsid w:val="00542F8F"/>
    <w:rsid w:val="00542FD7"/>
    <w:rsid w:val="00542FEC"/>
    <w:rsid w:val="00542FFE"/>
    <w:rsid w:val="00543013"/>
    <w:rsid w:val="00543048"/>
    <w:rsid w:val="00543062"/>
    <w:rsid w:val="005430A5"/>
    <w:rsid w:val="00543195"/>
    <w:rsid w:val="00543279"/>
    <w:rsid w:val="0054329E"/>
    <w:rsid w:val="0054335A"/>
    <w:rsid w:val="00543375"/>
    <w:rsid w:val="005433B8"/>
    <w:rsid w:val="005433C2"/>
    <w:rsid w:val="005433F5"/>
    <w:rsid w:val="005433FA"/>
    <w:rsid w:val="005434B1"/>
    <w:rsid w:val="005434FA"/>
    <w:rsid w:val="00543570"/>
    <w:rsid w:val="00543620"/>
    <w:rsid w:val="00543855"/>
    <w:rsid w:val="0054398C"/>
    <w:rsid w:val="00543A00"/>
    <w:rsid w:val="00543ADA"/>
    <w:rsid w:val="00543B29"/>
    <w:rsid w:val="00543B88"/>
    <w:rsid w:val="00543C5D"/>
    <w:rsid w:val="00543CD6"/>
    <w:rsid w:val="00543D08"/>
    <w:rsid w:val="00543E88"/>
    <w:rsid w:val="00543EE8"/>
    <w:rsid w:val="00543F58"/>
    <w:rsid w:val="00544079"/>
    <w:rsid w:val="0054412A"/>
    <w:rsid w:val="00544139"/>
    <w:rsid w:val="005441AE"/>
    <w:rsid w:val="005441B1"/>
    <w:rsid w:val="00544290"/>
    <w:rsid w:val="00544305"/>
    <w:rsid w:val="00544346"/>
    <w:rsid w:val="005443B0"/>
    <w:rsid w:val="0054440D"/>
    <w:rsid w:val="00544416"/>
    <w:rsid w:val="005444C0"/>
    <w:rsid w:val="00544522"/>
    <w:rsid w:val="005445C6"/>
    <w:rsid w:val="00544602"/>
    <w:rsid w:val="005446AB"/>
    <w:rsid w:val="005446FA"/>
    <w:rsid w:val="00544712"/>
    <w:rsid w:val="00544892"/>
    <w:rsid w:val="00544939"/>
    <w:rsid w:val="0054493D"/>
    <w:rsid w:val="00544994"/>
    <w:rsid w:val="005449F1"/>
    <w:rsid w:val="00544A0F"/>
    <w:rsid w:val="00544AF3"/>
    <w:rsid w:val="00544AFE"/>
    <w:rsid w:val="00544B0C"/>
    <w:rsid w:val="00544D2C"/>
    <w:rsid w:val="00544D34"/>
    <w:rsid w:val="00544D61"/>
    <w:rsid w:val="00544DA7"/>
    <w:rsid w:val="00544DAA"/>
    <w:rsid w:val="00544E1F"/>
    <w:rsid w:val="00544E48"/>
    <w:rsid w:val="00544F7E"/>
    <w:rsid w:val="00544FC2"/>
    <w:rsid w:val="00544FE9"/>
    <w:rsid w:val="00545026"/>
    <w:rsid w:val="00545080"/>
    <w:rsid w:val="00545091"/>
    <w:rsid w:val="0054524F"/>
    <w:rsid w:val="005452AA"/>
    <w:rsid w:val="00545315"/>
    <w:rsid w:val="00545367"/>
    <w:rsid w:val="00545376"/>
    <w:rsid w:val="0054549B"/>
    <w:rsid w:val="00545526"/>
    <w:rsid w:val="00545561"/>
    <w:rsid w:val="00545584"/>
    <w:rsid w:val="005456DE"/>
    <w:rsid w:val="005457AD"/>
    <w:rsid w:val="0054580E"/>
    <w:rsid w:val="005458E9"/>
    <w:rsid w:val="00545992"/>
    <w:rsid w:val="00545A99"/>
    <w:rsid w:val="00545C3F"/>
    <w:rsid w:val="00545CB0"/>
    <w:rsid w:val="00545D43"/>
    <w:rsid w:val="00545EAA"/>
    <w:rsid w:val="00545FA4"/>
    <w:rsid w:val="00546061"/>
    <w:rsid w:val="00546112"/>
    <w:rsid w:val="005461D6"/>
    <w:rsid w:val="0054626B"/>
    <w:rsid w:val="005462C1"/>
    <w:rsid w:val="005462FF"/>
    <w:rsid w:val="0054646A"/>
    <w:rsid w:val="005465D1"/>
    <w:rsid w:val="00546625"/>
    <w:rsid w:val="005466A3"/>
    <w:rsid w:val="005466E9"/>
    <w:rsid w:val="005467A7"/>
    <w:rsid w:val="0054681D"/>
    <w:rsid w:val="0054689F"/>
    <w:rsid w:val="00546A16"/>
    <w:rsid w:val="00546AA7"/>
    <w:rsid w:val="00546B72"/>
    <w:rsid w:val="00546BE4"/>
    <w:rsid w:val="00546C13"/>
    <w:rsid w:val="00546CA3"/>
    <w:rsid w:val="00546CC5"/>
    <w:rsid w:val="00546CE8"/>
    <w:rsid w:val="00546D18"/>
    <w:rsid w:val="00546D2E"/>
    <w:rsid w:val="00546DD2"/>
    <w:rsid w:val="00546E0E"/>
    <w:rsid w:val="00546ECF"/>
    <w:rsid w:val="00546FE2"/>
    <w:rsid w:val="00546FFF"/>
    <w:rsid w:val="005470C5"/>
    <w:rsid w:val="005470FD"/>
    <w:rsid w:val="0054715B"/>
    <w:rsid w:val="005471A6"/>
    <w:rsid w:val="0054729E"/>
    <w:rsid w:val="00547373"/>
    <w:rsid w:val="00547498"/>
    <w:rsid w:val="005474D4"/>
    <w:rsid w:val="0054753A"/>
    <w:rsid w:val="005477CF"/>
    <w:rsid w:val="005477D7"/>
    <w:rsid w:val="0054790A"/>
    <w:rsid w:val="0054790F"/>
    <w:rsid w:val="00547A48"/>
    <w:rsid w:val="00547AF5"/>
    <w:rsid w:val="00547B18"/>
    <w:rsid w:val="00547B6A"/>
    <w:rsid w:val="00547BB1"/>
    <w:rsid w:val="00547BB9"/>
    <w:rsid w:val="00547CC3"/>
    <w:rsid w:val="00547D83"/>
    <w:rsid w:val="00547E44"/>
    <w:rsid w:val="00547EB1"/>
    <w:rsid w:val="00547FDB"/>
    <w:rsid w:val="00547FF5"/>
    <w:rsid w:val="0055004E"/>
    <w:rsid w:val="005501F0"/>
    <w:rsid w:val="00550252"/>
    <w:rsid w:val="005502A8"/>
    <w:rsid w:val="0055033D"/>
    <w:rsid w:val="005503DA"/>
    <w:rsid w:val="00550470"/>
    <w:rsid w:val="005504F0"/>
    <w:rsid w:val="00550522"/>
    <w:rsid w:val="0055053D"/>
    <w:rsid w:val="0055059E"/>
    <w:rsid w:val="005505C5"/>
    <w:rsid w:val="005505ED"/>
    <w:rsid w:val="0055062B"/>
    <w:rsid w:val="0055069C"/>
    <w:rsid w:val="0055078A"/>
    <w:rsid w:val="005507C9"/>
    <w:rsid w:val="0055095D"/>
    <w:rsid w:val="00550A66"/>
    <w:rsid w:val="00550A9E"/>
    <w:rsid w:val="00550ABD"/>
    <w:rsid w:val="00550AE9"/>
    <w:rsid w:val="00550B61"/>
    <w:rsid w:val="00550C29"/>
    <w:rsid w:val="00550C3B"/>
    <w:rsid w:val="00550CA0"/>
    <w:rsid w:val="00550CEF"/>
    <w:rsid w:val="00550CF7"/>
    <w:rsid w:val="00550DC2"/>
    <w:rsid w:val="00550E9B"/>
    <w:rsid w:val="00550EC2"/>
    <w:rsid w:val="00550F05"/>
    <w:rsid w:val="00550FF4"/>
    <w:rsid w:val="00551014"/>
    <w:rsid w:val="00551030"/>
    <w:rsid w:val="0055104A"/>
    <w:rsid w:val="005510B2"/>
    <w:rsid w:val="00551116"/>
    <w:rsid w:val="0055113D"/>
    <w:rsid w:val="005511E7"/>
    <w:rsid w:val="00551368"/>
    <w:rsid w:val="00551455"/>
    <w:rsid w:val="005514AA"/>
    <w:rsid w:val="0055157B"/>
    <w:rsid w:val="0055160E"/>
    <w:rsid w:val="00551725"/>
    <w:rsid w:val="00551824"/>
    <w:rsid w:val="005518D4"/>
    <w:rsid w:val="005518ED"/>
    <w:rsid w:val="0055194B"/>
    <w:rsid w:val="005519FD"/>
    <w:rsid w:val="00551A36"/>
    <w:rsid w:val="00551A41"/>
    <w:rsid w:val="00551A62"/>
    <w:rsid w:val="00551AA0"/>
    <w:rsid w:val="00551B52"/>
    <w:rsid w:val="00551B91"/>
    <w:rsid w:val="00551BA6"/>
    <w:rsid w:val="00551C28"/>
    <w:rsid w:val="00551C5F"/>
    <w:rsid w:val="00551CDA"/>
    <w:rsid w:val="00551D03"/>
    <w:rsid w:val="00551DE2"/>
    <w:rsid w:val="00551EE1"/>
    <w:rsid w:val="00552101"/>
    <w:rsid w:val="00552133"/>
    <w:rsid w:val="0055219B"/>
    <w:rsid w:val="005522A7"/>
    <w:rsid w:val="005522B1"/>
    <w:rsid w:val="005522D7"/>
    <w:rsid w:val="00552339"/>
    <w:rsid w:val="005523DE"/>
    <w:rsid w:val="00552433"/>
    <w:rsid w:val="00552442"/>
    <w:rsid w:val="0055245B"/>
    <w:rsid w:val="005524F8"/>
    <w:rsid w:val="00552532"/>
    <w:rsid w:val="00552668"/>
    <w:rsid w:val="00552786"/>
    <w:rsid w:val="005527E6"/>
    <w:rsid w:val="005528A2"/>
    <w:rsid w:val="005528C2"/>
    <w:rsid w:val="00552933"/>
    <w:rsid w:val="005529B8"/>
    <w:rsid w:val="00552A51"/>
    <w:rsid w:val="00552B77"/>
    <w:rsid w:val="00552D01"/>
    <w:rsid w:val="00552D9E"/>
    <w:rsid w:val="00552E1B"/>
    <w:rsid w:val="00552E2C"/>
    <w:rsid w:val="00552F0A"/>
    <w:rsid w:val="00552F69"/>
    <w:rsid w:val="00553008"/>
    <w:rsid w:val="00553027"/>
    <w:rsid w:val="00553043"/>
    <w:rsid w:val="0055308E"/>
    <w:rsid w:val="005530A5"/>
    <w:rsid w:val="005530DF"/>
    <w:rsid w:val="00553103"/>
    <w:rsid w:val="0055318D"/>
    <w:rsid w:val="0055325E"/>
    <w:rsid w:val="0055326E"/>
    <w:rsid w:val="005532EA"/>
    <w:rsid w:val="00553467"/>
    <w:rsid w:val="0055346D"/>
    <w:rsid w:val="00553482"/>
    <w:rsid w:val="005534A6"/>
    <w:rsid w:val="005534AB"/>
    <w:rsid w:val="005534E0"/>
    <w:rsid w:val="005534F9"/>
    <w:rsid w:val="0055357E"/>
    <w:rsid w:val="00553701"/>
    <w:rsid w:val="0055372C"/>
    <w:rsid w:val="005537C4"/>
    <w:rsid w:val="00553822"/>
    <w:rsid w:val="005538D2"/>
    <w:rsid w:val="00553A1E"/>
    <w:rsid w:val="00553AF8"/>
    <w:rsid w:val="00553BF1"/>
    <w:rsid w:val="00553D1C"/>
    <w:rsid w:val="00553D65"/>
    <w:rsid w:val="00553F56"/>
    <w:rsid w:val="00553F7C"/>
    <w:rsid w:val="0055415A"/>
    <w:rsid w:val="00554238"/>
    <w:rsid w:val="005542BD"/>
    <w:rsid w:val="0055442E"/>
    <w:rsid w:val="005544B0"/>
    <w:rsid w:val="005544BD"/>
    <w:rsid w:val="0055450D"/>
    <w:rsid w:val="005545D5"/>
    <w:rsid w:val="005545EE"/>
    <w:rsid w:val="00554603"/>
    <w:rsid w:val="00554618"/>
    <w:rsid w:val="00554668"/>
    <w:rsid w:val="00554742"/>
    <w:rsid w:val="00554823"/>
    <w:rsid w:val="00554869"/>
    <w:rsid w:val="00554895"/>
    <w:rsid w:val="005548E9"/>
    <w:rsid w:val="0055490A"/>
    <w:rsid w:val="00554936"/>
    <w:rsid w:val="00554978"/>
    <w:rsid w:val="00554A38"/>
    <w:rsid w:val="00554A4B"/>
    <w:rsid w:val="00554ABF"/>
    <w:rsid w:val="00554BA6"/>
    <w:rsid w:val="00554BD7"/>
    <w:rsid w:val="00554BEE"/>
    <w:rsid w:val="00554C4A"/>
    <w:rsid w:val="00554D93"/>
    <w:rsid w:val="00554DB0"/>
    <w:rsid w:val="00554DBA"/>
    <w:rsid w:val="00554DDC"/>
    <w:rsid w:val="00554EEF"/>
    <w:rsid w:val="0055508E"/>
    <w:rsid w:val="00555185"/>
    <w:rsid w:val="005551E2"/>
    <w:rsid w:val="005551E8"/>
    <w:rsid w:val="005553CE"/>
    <w:rsid w:val="00555426"/>
    <w:rsid w:val="00555444"/>
    <w:rsid w:val="00555461"/>
    <w:rsid w:val="00555490"/>
    <w:rsid w:val="005554EC"/>
    <w:rsid w:val="005554F1"/>
    <w:rsid w:val="00555540"/>
    <w:rsid w:val="005555BC"/>
    <w:rsid w:val="00555668"/>
    <w:rsid w:val="005556F8"/>
    <w:rsid w:val="005557B4"/>
    <w:rsid w:val="005557D8"/>
    <w:rsid w:val="0055581F"/>
    <w:rsid w:val="00555897"/>
    <w:rsid w:val="005558C7"/>
    <w:rsid w:val="00555943"/>
    <w:rsid w:val="0055598A"/>
    <w:rsid w:val="00555995"/>
    <w:rsid w:val="005559BF"/>
    <w:rsid w:val="00555ACD"/>
    <w:rsid w:val="00555AFF"/>
    <w:rsid w:val="00555B63"/>
    <w:rsid w:val="00555B73"/>
    <w:rsid w:val="00555C35"/>
    <w:rsid w:val="00555CB4"/>
    <w:rsid w:val="00555CB8"/>
    <w:rsid w:val="00555D75"/>
    <w:rsid w:val="00555EDA"/>
    <w:rsid w:val="00555FA9"/>
    <w:rsid w:val="00555FB6"/>
    <w:rsid w:val="00555FD0"/>
    <w:rsid w:val="00556059"/>
    <w:rsid w:val="0055606E"/>
    <w:rsid w:val="00556172"/>
    <w:rsid w:val="00556265"/>
    <w:rsid w:val="005563D0"/>
    <w:rsid w:val="0055648D"/>
    <w:rsid w:val="0055649A"/>
    <w:rsid w:val="005565E3"/>
    <w:rsid w:val="00556724"/>
    <w:rsid w:val="00556789"/>
    <w:rsid w:val="00556873"/>
    <w:rsid w:val="005568FB"/>
    <w:rsid w:val="0055693E"/>
    <w:rsid w:val="00556976"/>
    <w:rsid w:val="005569D2"/>
    <w:rsid w:val="005569E6"/>
    <w:rsid w:val="00556A37"/>
    <w:rsid w:val="00556A54"/>
    <w:rsid w:val="00556C10"/>
    <w:rsid w:val="00556C43"/>
    <w:rsid w:val="00556C45"/>
    <w:rsid w:val="00556D3E"/>
    <w:rsid w:val="00556D8E"/>
    <w:rsid w:val="00556EC0"/>
    <w:rsid w:val="00556ED7"/>
    <w:rsid w:val="00556FB1"/>
    <w:rsid w:val="00557076"/>
    <w:rsid w:val="005570CF"/>
    <w:rsid w:val="00557196"/>
    <w:rsid w:val="00557301"/>
    <w:rsid w:val="00557332"/>
    <w:rsid w:val="00557576"/>
    <w:rsid w:val="00557578"/>
    <w:rsid w:val="005577C3"/>
    <w:rsid w:val="005577E8"/>
    <w:rsid w:val="00557817"/>
    <w:rsid w:val="00557843"/>
    <w:rsid w:val="00557850"/>
    <w:rsid w:val="005578C2"/>
    <w:rsid w:val="00557927"/>
    <w:rsid w:val="0055793A"/>
    <w:rsid w:val="0055793C"/>
    <w:rsid w:val="005579B6"/>
    <w:rsid w:val="005579BF"/>
    <w:rsid w:val="005579E2"/>
    <w:rsid w:val="00557A08"/>
    <w:rsid w:val="00557AE0"/>
    <w:rsid w:val="00557B18"/>
    <w:rsid w:val="00557BC1"/>
    <w:rsid w:val="00557C75"/>
    <w:rsid w:val="00557C95"/>
    <w:rsid w:val="00557D04"/>
    <w:rsid w:val="00557F77"/>
    <w:rsid w:val="00557FE8"/>
    <w:rsid w:val="00560000"/>
    <w:rsid w:val="0056003E"/>
    <w:rsid w:val="0056007D"/>
    <w:rsid w:val="0056009C"/>
    <w:rsid w:val="005600D6"/>
    <w:rsid w:val="00560363"/>
    <w:rsid w:val="0056044F"/>
    <w:rsid w:val="00560519"/>
    <w:rsid w:val="0056053E"/>
    <w:rsid w:val="005605F5"/>
    <w:rsid w:val="00560609"/>
    <w:rsid w:val="00560723"/>
    <w:rsid w:val="00560781"/>
    <w:rsid w:val="00560832"/>
    <w:rsid w:val="0056083A"/>
    <w:rsid w:val="005608DB"/>
    <w:rsid w:val="005609C8"/>
    <w:rsid w:val="005609E4"/>
    <w:rsid w:val="00560AE0"/>
    <w:rsid w:val="00560C28"/>
    <w:rsid w:val="00560DC2"/>
    <w:rsid w:val="00560DCC"/>
    <w:rsid w:val="00560E5D"/>
    <w:rsid w:val="00561026"/>
    <w:rsid w:val="005610B9"/>
    <w:rsid w:val="005610D5"/>
    <w:rsid w:val="005610DD"/>
    <w:rsid w:val="0056112A"/>
    <w:rsid w:val="00561341"/>
    <w:rsid w:val="005613A8"/>
    <w:rsid w:val="005613FC"/>
    <w:rsid w:val="00561454"/>
    <w:rsid w:val="005614BF"/>
    <w:rsid w:val="005614E3"/>
    <w:rsid w:val="0056152A"/>
    <w:rsid w:val="0056158D"/>
    <w:rsid w:val="005615F9"/>
    <w:rsid w:val="00561665"/>
    <w:rsid w:val="005616DA"/>
    <w:rsid w:val="005617E5"/>
    <w:rsid w:val="005618D3"/>
    <w:rsid w:val="005618D6"/>
    <w:rsid w:val="00561916"/>
    <w:rsid w:val="00561924"/>
    <w:rsid w:val="00561946"/>
    <w:rsid w:val="005619A2"/>
    <w:rsid w:val="00561B0B"/>
    <w:rsid w:val="00561B12"/>
    <w:rsid w:val="00561B13"/>
    <w:rsid w:val="00561C53"/>
    <w:rsid w:val="00561CF4"/>
    <w:rsid w:val="00561D32"/>
    <w:rsid w:val="00561D9C"/>
    <w:rsid w:val="00561DBB"/>
    <w:rsid w:val="005620DA"/>
    <w:rsid w:val="005620F0"/>
    <w:rsid w:val="00562137"/>
    <w:rsid w:val="005622FD"/>
    <w:rsid w:val="0056237E"/>
    <w:rsid w:val="00562467"/>
    <w:rsid w:val="00562495"/>
    <w:rsid w:val="0056253F"/>
    <w:rsid w:val="0056256A"/>
    <w:rsid w:val="005625B6"/>
    <w:rsid w:val="005625C0"/>
    <w:rsid w:val="005626D1"/>
    <w:rsid w:val="0056271D"/>
    <w:rsid w:val="00562734"/>
    <w:rsid w:val="0056277F"/>
    <w:rsid w:val="005628C9"/>
    <w:rsid w:val="005628D7"/>
    <w:rsid w:val="00562932"/>
    <w:rsid w:val="005629A6"/>
    <w:rsid w:val="00562AAA"/>
    <w:rsid w:val="00562BD1"/>
    <w:rsid w:val="00562C44"/>
    <w:rsid w:val="00562C57"/>
    <w:rsid w:val="00562D10"/>
    <w:rsid w:val="00562D56"/>
    <w:rsid w:val="00562D76"/>
    <w:rsid w:val="005630EA"/>
    <w:rsid w:val="00563189"/>
    <w:rsid w:val="005631A8"/>
    <w:rsid w:val="005631C4"/>
    <w:rsid w:val="005631D2"/>
    <w:rsid w:val="005631FA"/>
    <w:rsid w:val="005632DD"/>
    <w:rsid w:val="00563317"/>
    <w:rsid w:val="0056335A"/>
    <w:rsid w:val="00563391"/>
    <w:rsid w:val="00563413"/>
    <w:rsid w:val="005634F6"/>
    <w:rsid w:val="00563508"/>
    <w:rsid w:val="00563516"/>
    <w:rsid w:val="0056352B"/>
    <w:rsid w:val="00563577"/>
    <w:rsid w:val="0056360D"/>
    <w:rsid w:val="0056364A"/>
    <w:rsid w:val="00563723"/>
    <w:rsid w:val="005637ED"/>
    <w:rsid w:val="005638CE"/>
    <w:rsid w:val="00563967"/>
    <w:rsid w:val="00563A62"/>
    <w:rsid w:val="00563AC4"/>
    <w:rsid w:val="00563B2A"/>
    <w:rsid w:val="00563B90"/>
    <w:rsid w:val="00563BAD"/>
    <w:rsid w:val="00563C46"/>
    <w:rsid w:val="00563C99"/>
    <w:rsid w:val="00563D07"/>
    <w:rsid w:val="00563D8B"/>
    <w:rsid w:val="00563E32"/>
    <w:rsid w:val="00563E73"/>
    <w:rsid w:val="00563EC5"/>
    <w:rsid w:val="00563F2B"/>
    <w:rsid w:val="00563F4F"/>
    <w:rsid w:val="00564047"/>
    <w:rsid w:val="00564050"/>
    <w:rsid w:val="0056417B"/>
    <w:rsid w:val="0056418B"/>
    <w:rsid w:val="0056419E"/>
    <w:rsid w:val="005641B8"/>
    <w:rsid w:val="00564268"/>
    <w:rsid w:val="005643F7"/>
    <w:rsid w:val="00564465"/>
    <w:rsid w:val="005644AA"/>
    <w:rsid w:val="00564545"/>
    <w:rsid w:val="005645C3"/>
    <w:rsid w:val="005645C5"/>
    <w:rsid w:val="00564602"/>
    <w:rsid w:val="00564654"/>
    <w:rsid w:val="005646F1"/>
    <w:rsid w:val="00564732"/>
    <w:rsid w:val="00564810"/>
    <w:rsid w:val="0056488A"/>
    <w:rsid w:val="005648DC"/>
    <w:rsid w:val="005648EF"/>
    <w:rsid w:val="0056490A"/>
    <w:rsid w:val="00564934"/>
    <w:rsid w:val="00564A2B"/>
    <w:rsid w:val="00564A7D"/>
    <w:rsid w:val="00564AFE"/>
    <w:rsid w:val="00564B30"/>
    <w:rsid w:val="00564B4E"/>
    <w:rsid w:val="00564C04"/>
    <w:rsid w:val="00564C07"/>
    <w:rsid w:val="00564C19"/>
    <w:rsid w:val="00564E81"/>
    <w:rsid w:val="005650F1"/>
    <w:rsid w:val="0056510E"/>
    <w:rsid w:val="00565130"/>
    <w:rsid w:val="0056519B"/>
    <w:rsid w:val="0056520E"/>
    <w:rsid w:val="0056523F"/>
    <w:rsid w:val="00565248"/>
    <w:rsid w:val="0056528C"/>
    <w:rsid w:val="00565335"/>
    <w:rsid w:val="00565406"/>
    <w:rsid w:val="0056540C"/>
    <w:rsid w:val="0056540E"/>
    <w:rsid w:val="0056541F"/>
    <w:rsid w:val="00565486"/>
    <w:rsid w:val="005654D2"/>
    <w:rsid w:val="00565527"/>
    <w:rsid w:val="00565571"/>
    <w:rsid w:val="00565647"/>
    <w:rsid w:val="00565668"/>
    <w:rsid w:val="00565692"/>
    <w:rsid w:val="005657AB"/>
    <w:rsid w:val="005658B4"/>
    <w:rsid w:val="005658E4"/>
    <w:rsid w:val="00565919"/>
    <w:rsid w:val="00565933"/>
    <w:rsid w:val="00565B5A"/>
    <w:rsid w:val="00565BFD"/>
    <w:rsid w:val="00565C3E"/>
    <w:rsid w:val="00565C69"/>
    <w:rsid w:val="00565CE0"/>
    <w:rsid w:val="00565CE3"/>
    <w:rsid w:val="00565D57"/>
    <w:rsid w:val="00565E65"/>
    <w:rsid w:val="00565F3A"/>
    <w:rsid w:val="00565F93"/>
    <w:rsid w:val="0056601A"/>
    <w:rsid w:val="00566020"/>
    <w:rsid w:val="0056602B"/>
    <w:rsid w:val="005660A0"/>
    <w:rsid w:val="005660D6"/>
    <w:rsid w:val="00566128"/>
    <w:rsid w:val="00566140"/>
    <w:rsid w:val="005661A1"/>
    <w:rsid w:val="005661B2"/>
    <w:rsid w:val="005661FE"/>
    <w:rsid w:val="00566217"/>
    <w:rsid w:val="00566218"/>
    <w:rsid w:val="00566378"/>
    <w:rsid w:val="005663B5"/>
    <w:rsid w:val="005663D8"/>
    <w:rsid w:val="005663E6"/>
    <w:rsid w:val="0056643A"/>
    <w:rsid w:val="005665BF"/>
    <w:rsid w:val="0056660A"/>
    <w:rsid w:val="00566627"/>
    <w:rsid w:val="005667A7"/>
    <w:rsid w:val="005667A8"/>
    <w:rsid w:val="0056684B"/>
    <w:rsid w:val="005668FA"/>
    <w:rsid w:val="00566940"/>
    <w:rsid w:val="005669A9"/>
    <w:rsid w:val="00566A29"/>
    <w:rsid w:val="00566B56"/>
    <w:rsid w:val="00566BE3"/>
    <w:rsid w:val="00566BED"/>
    <w:rsid w:val="00566DD6"/>
    <w:rsid w:val="00566E4A"/>
    <w:rsid w:val="00566E8E"/>
    <w:rsid w:val="00566EA9"/>
    <w:rsid w:val="00566EBD"/>
    <w:rsid w:val="00566FA0"/>
    <w:rsid w:val="0056702C"/>
    <w:rsid w:val="00567104"/>
    <w:rsid w:val="005672AC"/>
    <w:rsid w:val="005672C0"/>
    <w:rsid w:val="0056731F"/>
    <w:rsid w:val="005673B8"/>
    <w:rsid w:val="005673D5"/>
    <w:rsid w:val="00567483"/>
    <w:rsid w:val="005674F1"/>
    <w:rsid w:val="00567585"/>
    <w:rsid w:val="005675FB"/>
    <w:rsid w:val="0056761A"/>
    <w:rsid w:val="00567637"/>
    <w:rsid w:val="00567639"/>
    <w:rsid w:val="005677C8"/>
    <w:rsid w:val="0056781C"/>
    <w:rsid w:val="0056781F"/>
    <w:rsid w:val="0056786F"/>
    <w:rsid w:val="0056794E"/>
    <w:rsid w:val="005679F0"/>
    <w:rsid w:val="00567A40"/>
    <w:rsid w:val="00567A74"/>
    <w:rsid w:val="00567ADD"/>
    <w:rsid w:val="00567B1E"/>
    <w:rsid w:val="00567B65"/>
    <w:rsid w:val="00567B7B"/>
    <w:rsid w:val="00567BEA"/>
    <w:rsid w:val="00567DFB"/>
    <w:rsid w:val="00567F70"/>
    <w:rsid w:val="00567FDE"/>
    <w:rsid w:val="0056805B"/>
    <w:rsid w:val="0056D01C"/>
    <w:rsid w:val="0057006C"/>
    <w:rsid w:val="00570074"/>
    <w:rsid w:val="00570087"/>
    <w:rsid w:val="005700AE"/>
    <w:rsid w:val="005700B5"/>
    <w:rsid w:val="0057012C"/>
    <w:rsid w:val="00570250"/>
    <w:rsid w:val="00570318"/>
    <w:rsid w:val="00570356"/>
    <w:rsid w:val="005705A4"/>
    <w:rsid w:val="005706F2"/>
    <w:rsid w:val="005707A8"/>
    <w:rsid w:val="00570813"/>
    <w:rsid w:val="00570817"/>
    <w:rsid w:val="00570820"/>
    <w:rsid w:val="00570841"/>
    <w:rsid w:val="00570937"/>
    <w:rsid w:val="005709A9"/>
    <w:rsid w:val="00570A82"/>
    <w:rsid w:val="00570AA4"/>
    <w:rsid w:val="00570AC3"/>
    <w:rsid w:val="00570C54"/>
    <w:rsid w:val="00570CAD"/>
    <w:rsid w:val="00570CC5"/>
    <w:rsid w:val="00570FBA"/>
    <w:rsid w:val="005710E0"/>
    <w:rsid w:val="005710F3"/>
    <w:rsid w:val="00571131"/>
    <w:rsid w:val="00571261"/>
    <w:rsid w:val="005712B8"/>
    <w:rsid w:val="0057131A"/>
    <w:rsid w:val="00571396"/>
    <w:rsid w:val="0057146B"/>
    <w:rsid w:val="00571564"/>
    <w:rsid w:val="005715B6"/>
    <w:rsid w:val="005715D7"/>
    <w:rsid w:val="005716F1"/>
    <w:rsid w:val="005716F8"/>
    <w:rsid w:val="00571755"/>
    <w:rsid w:val="005717C5"/>
    <w:rsid w:val="005717CB"/>
    <w:rsid w:val="00571895"/>
    <w:rsid w:val="005718D6"/>
    <w:rsid w:val="005719BB"/>
    <w:rsid w:val="00571A14"/>
    <w:rsid w:val="00571A83"/>
    <w:rsid w:val="00571AD1"/>
    <w:rsid w:val="00571AFB"/>
    <w:rsid w:val="00571B80"/>
    <w:rsid w:val="00571D08"/>
    <w:rsid w:val="00571EA5"/>
    <w:rsid w:val="00571F06"/>
    <w:rsid w:val="00571F16"/>
    <w:rsid w:val="00571FAF"/>
    <w:rsid w:val="00571FB1"/>
    <w:rsid w:val="00571FD7"/>
    <w:rsid w:val="005720D1"/>
    <w:rsid w:val="005721FB"/>
    <w:rsid w:val="00572284"/>
    <w:rsid w:val="005722FC"/>
    <w:rsid w:val="00572312"/>
    <w:rsid w:val="00572367"/>
    <w:rsid w:val="005723FD"/>
    <w:rsid w:val="005725B4"/>
    <w:rsid w:val="005725F8"/>
    <w:rsid w:val="0057266E"/>
    <w:rsid w:val="005727EE"/>
    <w:rsid w:val="005728DB"/>
    <w:rsid w:val="005728F2"/>
    <w:rsid w:val="0057293F"/>
    <w:rsid w:val="00572955"/>
    <w:rsid w:val="005729BB"/>
    <w:rsid w:val="005729BF"/>
    <w:rsid w:val="005729D2"/>
    <w:rsid w:val="00572AC3"/>
    <w:rsid w:val="00572B5A"/>
    <w:rsid w:val="00572BA7"/>
    <w:rsid w:val="00572BC7"/>
    <w:rsid w:val="00572BFA"/>
    <w:rsid w:val="00572D69"/>
    <w:rsid w:val="00572E0F"/>
    <w:rsid w:val="00572E25"/>
    <w:rsid w:val="00572EAE"/>
    <w:rsid w:val="00572EE7"/>
    <w:rsid w:val="00572F32"/>
    <w:rsid w:val="00572F3A"/>
    <w:rsid w:val="00572FA4"/>
    <w:rsid w:val="00572FEE"/>
    <w:rsid w:val="00573120"/>
    <w:rsid w:val="00573161"/>
    <w:rsid w:val="005732D8"/>
    <w:rsid w:val="00573321"/>
    <w:rsid w:val="00573360"/>
    <w:rsid w:val="005734CF"/>
    <w:rsid w:val="005736C5"/>
    <w:rsid w:val="00573775"/>
    <w:rsid w:val="00573799"/>
    <w:rsid w:val="005737BB"/>
    <w:rsid w:val="0057384C"/>
    <w:rsid w:val="005739F2"/>
    <w:rsid w:val="00573A13"/>
    <w:rsid w:val="00573A53"/>
    <w:rsid w:val="00573B11"/>
    <w:rsid w:val="00573B90"/>
    <w:rsid w:val="00573BDB"/>
    <w:rsid w:val="00573CDD"/>
    <w:rsid w:val="00573D1C"/>
    <w:rsid w:val="00573DC7"/>
    <w:rsid w:val="00573F3C"/>
    <w:rsid w:val="00573F4B"/>
    <w:rsid w:val="00573F4E"/>
    <w:rsid w:val="00573F4F"/>
    <w:rsid w:val="0057406C"/>
    <w:rsid w:val="0057415D"/>
    <w:rsid w:val="00574172"/>
    <w:rsid w:val="0057418D"/>
    <w:rsid w:val="005741B4"/>
    <w:rsid w:val="0057421C"/>
    <w:rsid w:val="00574255"/>
    <w:rsid w:val="00574289"/>
    <w:rsid w:val="0057433D"/>
    <w:rsid w:val="005744D9"/>
    <w:rsid w:val="005746CC"/>
    <w:rsid w:val="005747B0"/>
    <w:rsid w:val="005747F8"/>
    <w:rsid w:val="00574862"/>
    <w:rsid w:val="0057486A"/>
    <w:rsid w:val="005748E5"/>
    <w:rsid w:val="0057493A"/>
    <w:rsid w:val="00574963"/>
    <w:rsid w:val="0057498A"/>
    <w:rsid w:val="005749A4"/>
    <w:rsid w:val="00574BB3"/>
    <w:rsid w:val="00574C06"/>
    <w:rsid w:val="00574C27"/>
    <w:rsid w:val="00574CB8"/>
    <w:rsid w:val="00574D00"/>
    <w:rsid w:val="00574D27"/>
    <w:rsid w:val="00574DCB"/>
    <w:rsid w:val="00574E20"/>
    <w:rsid w:val="00574F6E"/>
    <w:rsid w:val="00575005"/>
    <w:rsid w:val="0057516B"/>
    <w:rsid w:val="0057517E"/>
    <w:rsid w:val="005751F7"/>
    <w:rsid w:val="005752FC"/>
    <w:rsid w:val="00575355"/>
    <w:rsid w:val="0057543D"/>
    <w:rsid w:val="00575559"/>
    <w:rsid w:val="00575603"/>
    <w:rsid w:val="00575695"/>
    <w:rsid w:val="00575711"/>
    <w:rsid w:val="00575716"/>
    <w:rsid w:val="00575731"/>
    <w:rsid w:val="00575766"/>
    <w:rsid w:val="005757A3"/>
    <w:rsid w:val="005757B2"/>
    <w:rsid w:val="00575813"/>
    <w:rsid w:val="005758AF"/>
    <w:rsid w:val="005758EC"/>
    <w:rsid w:val="00575964"/>
    <w:rsid w:val="00575A52"/>
    <w:rsid w:val="00575BD6"/>
    <w:rsid w:val="00575C30"/>
    <w:rsid w:val="00575D9B"/>
    <w:rsid w:val="00575DA5"/>
    <w:rsid w:val="00575DF2"/>
    <w:rsid w:val="00575EE7"/>
    <w:rsid w:val="00575F32"/>
    <w:rsid w:val="00576069"/>
    <w:rsid w:val="0057618F"/>
    <w:rsid w:val="005761A0"/>
    <w:rsid w:val="005761D6"/>
    <w:rsid w:val="00576257"/>
    <w:rsid w:val="0057637F"/>
    <w:rsid w:val="005763EC"/>
    <w:rsid w:val="00576406"/>
    <w:rsid w:val="00576432"/>
    <w:rsid w:val="0057643F"/>
    <w:rsid w:val="00576445"/>
    <w:rsid w:val="0057645D"/>
    <w:rsid w:val="005764F2"/>
    <w:rsid w:val="0057660B"/>
    <w:rsid w:val="00576635"/>
    <w:rsid w:val="005766C8"/>
    <w:rsid w:val="005769E8"/>
    <w:rsid w:val="00576A20"/>
    <w:rsid w:val="00576A28"/>
    <w:rsid w:val="00576B58"/>
    <w:rsid w:val="00576B88"/>
    <w:rsid w:val="00576BC1"/>
    <w:rsid w:val="00576C8E"/>
    <w:rsid w:val="00576C92"/>
    <w:rsid w:val="00576E3A"/>
    <w:rsid w:val="00576EB7"/>
    <w:rsid w:val="00576F2E"/>
    <w:rsid w:val="0057702D"/>
    <w:rsid w:val="00577041"/>
    <w:rsid w:val="00577118"/>
    <w:rsid w:val="0057720A"/>
    <w:rsid w:val="00577212"/>
    <w:rsid w:val="0057721C"/>
    <w:rsid w:val="0057725A"/>
    <w:rsid w:val="005772BA"/>
    <w:rsid w:val="00577311"/>
    <w:rsid w:val="005773CC"/>
    <w:rsid w:val="00577450"/>
    <w:rsid w:val="00577479"/>
    <w:rsid w:val="00577493"/>
    <w:rsid w:val="005775CA"/>
    <w:rsid w:val="00577614"/>
    <w:rsid w:val="00577661"/>
    <w:rsid w:val="005776E1"/>
    <w:rsid w:val="005776E2"/>
    <w:rsid w:val="005776F8"/>
    <w:rsid w:val="00577728"/>
    <w:rsid w:val="005777A0"/>
    <w:rsid w:val="00577897"/>
    <w:rsid w:val="00577956"/>
    <w:rsid w:val="005779ED"/>
    <w:rsid w:val="00577A39"/>
    <w:rsid w:val="00577A3F"/>
    <w:rsid w:val="00577B1A"/>
    <w:rsid w:val="00577B7C"/>
    <w:rsid w:val="00577B86"/>
    <w:rsid w:val="00577B95"/>
    <w:rsid w:val="00577C84"/>
    <w:rsid w:val="00577D73"/>
    <w:rsid w:val="00577DB6"/>
    <w:rsid w:val="00577EB0"/>
    <w:rsid w:val="00577F4F"/>
    <w:rsid w:val="00577FB6"/>
    <w:rsid w:val="00577FFA"/>
    <w:rsid w:val="0058011F"/>
    <w:rsid w:val="00580311"/>
    <w:rsid w:val="005804BC"/>
    <w:rsid w:val="0058051C"/>
    <w:rsid w:val="0058053D"/>
    <w:rsid w:val="0058057E"/>
    <w:rsid w:val="005805E4"/>
    <w:rsid w:val="005805E8"/>
    <w:rsid w:val="00580657"/>
    <w:rsid w:val="0058066A"/>
    <w:rsid w:val="00580769"/>
    <w:rsid w:val="00580937"/>
    <w:rsid w:val="00580B77"/>
    <w:rsid w:val="00580B78"/>
    <w:rsid w:val="00580C8E"/>
    <w:rsid w:val="00580CCA"/>
    <w:rsid w:val="00580D14"/>
    <w:rsid w:val="00580D63"/>
    <w:rsid w:val="00580DFF"/>
    <w:rsid w:val="00580E34"/>
    <w:rsid w:val="00580EAF"/>
    <w:rsid w:val="00580F10"/>
    <w:rsid w:val="00580F2A"/>
    <w:rsid w:val="00581089"/>
    <w:rsid w:val="00581095"/>
    <w:rsid w:val="005810EF"/>
    <w:rsid w:val="0058118A"/>
    <w:rsid w:val="0058118F"/>
    <w:rsid w:val="00581237"/>
    <w:rsid w:val="00581291"/>
    <w:rsid w:val="005813E0"/>
    <w:rsid w:val="00581584"/>
    <w:rsid w:val="005815C6"/>
    <w:rsid w:val="005815D3"/>
    <w:rsid w:val="0058172E"/>
    <w:rsid w:val="0058173F"/>
    <w:rsid w:val="00581747"/>
    <w:rsid w:val="00581773"/>
    <w:rsid w:val="00581792"/>
    <w:rsid w:val="00581898"/>
    <w:rsid w:val="005818F5"/>
    <w:rsid w:val="005818F9"/>
    <w:rsid w:val="0058199A"/>
    <w:rsid w:val="005819F5"/>
    <w:rsid w:val="005819FE"/>
    <w:rsid w:val="00581ACA"/>
    <w:rsid w:val="00581B15"/>
    <w:rsid w:val="00581B6D"/>
    <w:rsid w:val="00581B9E"/>
    <w:rsid w:val="00581C1B"/>
    <w:rsid w:val="00581C27"/>
    <w:rsid w:val="00581C50"/>
    <w:rsid w:val="00581D60"/>
    <w:rsid w:val="00581E9F"/>
    <w:rsid w:val="00581EA7"/>
    <w:rsid w:val="00581EC2"/>
    <w:rsid w:val="00581EC9"/>
    <w:rsid w:val="00581F12"/>
    <w:rsid w:val="00581F1D"/>
    <w:rsid w:val="0058204D"/>
    <w:rsid w:val="00582091"/>
    <w:rsid w:val="005820A0"/>
    <w:rsid w:val="005820BC"/>
    <w:rsid w:val="005821AD"/>
    <w:rsid w:val="0058229C"/>
    <w:rsid w:val="005822EB"/>
    <w:rsid w:val="00582316"/>
    <w:rsid w:val="005823CB"/>
    <w:rsid w:val="00582422"/>
    <w:rsid w:val="00582430"/>
    <w:rsid w:val="00582457"/>
    <w:rsid w:val="0058254F"/>
    <w:rsid w:val="0058257E"/>
    <w:rsid w:val="00582620"/>
    <w:rsid w:val="005826E7"/>
    <w:rsid w:val="00582757"/>
    <w:rsid w:val="00582782"/>
    <w:rsid w:val="0058278F"/>
    <w:rsid w:val="005827A9"/>
    <w:rsid w:val="00582873"/>
    <w:rsid w:val="0058294F"/>
    <w:rsid w:val="00582992"/>
    <w:rsid w:val="005829D4"/>
    <w:rsid w:val="00582AED"/>
    <w:rsid w:val="00582C39"/>
    <w:rsid w:val="00582C7D"/>
    <w:rsid w:val="00582CC0"/>
    <w:rsid w:val="00582D3A"/>
    <w:rsid w:val="00582D91"/>
    <w:rsid w:val="00582D96"/>
    <w:rsid w:val="00582DA2"/>
    <w:rsid w:val="00582DBD"/>
    <w:rsid w:val="00582E25"/>
    <w:rsid w:val="00582E2C"/>
    <w:rsid w:val="00582F20"/>
    <w:rsid w:val="00582F65"/>
    <w:rsid w:val="00582F66"/>
    <w:rsid w:val="00582FA7"/>
    <w:rsid w:val="0058304E"/>
    <w:rsid w:val="00583059"/>
    <w:rsid w:val="005830A3"/>
    <w:rsid w:val="0058315B"/>
    <w:rsid w:val="0058318F"/>
    <w:rsid w:val="005831B0"/>
    <w:rsid w:val="005831DA"/>
    <w:rsid w:val="005831F4"/>
    <w:rsid w:val="005831FF"/>
    <w:rsid w:val="0058323C"/>
    <w:rsid w:val="005833F6"/>
    <w:rsid w:val="00583425"/>
    <w:rsid w:val="005834C3"/>
    <w:rsid w:val="005834D6"/>
    <w:rsid w:val="005834D8"/>
    <w:rsid w:val="00583521"/>
    <w:rsid w:val="00583541"/>
    <w:rsid w:val="005835B5"/>
    <w:rsid w:val="005835E0"/>
    <w:rsid w:val="005835FA"/>
    <w:rsid w:val="0058361E"/>
    <w:rsid w:val="0058377C"/>
    <w:rsid w:val="005838CC"/>
    <w:rsid w:val="00583925"/>
    <w:rsid w:val="00583997"/>
    <w:rsid w:val="005839AB"/>
    <w:rsid w:val="005839C5"/>
    <w:rsid w:val="005839DC"/>
    <w:rsid w:val="00583A52"/>
    <w:rsid w:val="00583B53"/>
    <w:rsid w:val="00583BBF"/>
    <w:rsid w:val="00583BDE"/>
    <w:rsid w:val="00583CD2"/>
    <w:rsid w:val="00583E86"/>
    <w:rsid w:val="00583ED9"/>
    <w:rsid w:val="00583F5C"/>
    <w:rsid w:val="00583F8F"/>
    <w:rsid w:val="00584075"/>
    <w:rsid w:val="005840CE"/>
    <w:rsid w:val="005840DA"/>
    <w:rsid w:val="005841D7"/>
    <w:rsid w:val="00584244"/>
    <w:rsid w:val="00584248"/>
    <w:rsid w:val="005842A3"/>
    <w:rsid w:val="005842AC"/>
    <w:rsid w:val="00584302"/>
    <w:rsid w:val="005843AB"/>
    <w:rsid w:val="005843D7"/>
    <w:rsid w:val="005843E0"/>
    <w:rsid w:val="0058441B"/>
    <w:rsid w:val="0058446E"/>
    <w:rsid w:val="0058449D"/>
    <w:rsid w:val="00584574"/>
    <w:rsid w:val="005845AE"/>
    <w:rsid w:val="0058471E"/>
    <w:rsid w:val="0058475F"/>
    <w:rsid w:val="0058491B"/>
    <w:rsid w:val="00584A24"/>
    <w:rsid w:val="00584A59"/>
    <w:rsid w:val="00584B15"/>
    <w:rsid w:val="00584B53"/>
    <w:rsid w:val="00584B9D"/>
    <w:rsid w:val="00584BE2"/>
    <w:rsid w:val="00584BE4"/>
    <w:rsid w:val="00584C00"/>
    <w:rsid w:val="00584C4E"/>
    <w:rsid w:val="00584C92"/>
    <w:rsid w:val="00584DBD"/>
    <w:rsid w:val="00584DCA"/>
    <w:rsid w:val="00584E19"/>
    <w:rsid w:val="005850CB"/>
    <w:rsid w:val="00585136"/>
    <w:rsid w:val="0058526E"/>
    <w:rsid w:val="0058535E"/>
    <w:rsid w:val="0058535F"/>
    <w:rsid w:val="00585363"/>
    <w:rsid w:val="00585413"/>
    <w:rsid w:val="00585455"/>
    <w:rsid w:val="0058557D"/>
    <w:rsid w:val="005855F6"/>
    <w:rsid w:val="00585644"/>
    <w:rsid w:val="0058566E"/>
    <w:rsid w:val="0058568D"/>
    <w:rsid w:val="005857BE"/>
    <w:rsid w:val="0058584A"/>
    <w:rsid w:val="005858C5"/>
    <w:rsid w:val="005858D6"/>
    <w:rsid w:val="005858E6"/>
    <w:rsid w:val="00585991"/>
    <w:rsid w:val="00585A09"/>
    <w:rsid w:val="00585A18"/>
    <w:rsid w:val="00585A22"/>
    <w:rsid w:val="00585ADD"/>
    <w:rsid w:val="00585B00"/>
    <w:rsid w:val="00585B05"/>
    <w:rsid w:val="00585B10"/>
    <w:rsid w:val="00585B34"/>
    <w:rsid w:val="00585B49"/>
    <w:rsid w:val="00585C0F"/>
    <w:rsid w:val="00585C20"/>
    <w:rsid w:val="00585C52"/>
    <w:rsid w:val="00585CF3"/>
    <w:rsid w:val="00585D14"/>
    <w:rsid w:val="00585D5F"/>
    <w:rsid w:val="00585D8A"/>
    <w:rsid w:val="00585E07"/>
    <w:rsid w:val="00585EA3"/>
    <w:rsid w:val="00585ED8"/>
    <w:rsid w:val="00585F10"/>
    <w:rsid w:val="00585F56"/>
    <w:rsid w:val="00585FC0"/>
    <w:rsid w:val="0058631C"/>
    <w:rsid w:val="00586370"/>
    <w:rsid w:val="00586462"/>
    <w:rsid w:val="0058647F"/>
    <w:rsid w:val="005864D3"/>
    <w:rsid w:val="00586527"/>
    <w:rsid w:val="005865B5"/>
    <w:rsid w:val="00586661"/>
    <w:rsid w:val="005866CC"/>
    <w:rsid w:val="00586708"/>
    <w:rsid w:val="00586755"/>
    <w:rsid w:val="00586769"/>
    <w:rsid w:val="005867AC"/>
    <w:rsid w:val="00586801"/>
    <w:rsid w:val="00586856"/>
    <w:rsid w:val="00586897"/>
    <w:rsid w:val="00586929"/>
    <w:rsid w:val="0058694E"/>
    <w:rsid w:val="00586A01"/>
    <w:rsid w:val="00586AE4"/>
    <w:rsid w:val="00586B27"/>
    <w:rsid w:val="00586BC3"/>
    <w:rsid w:val="00586CC1"/>
    <w:rsid w:val="00586D40"/>
    <w:rsid w:val="00586DB1"/>
    <w:rsid w:val="00586DDC"/>
    <w:rsid w:val="00586FE7"/>
    <w:rsid w:val="00586FF1"/>
    <w:rsid w:val="005870F5"/>
    <w:rsid w:val="0058710A"/>
    <w:rsid w:val="0058733A"/>
    <w:rsid w:val="005873D4"/>
    <w:rsid w:val="005873D5"/>
    <w:rsid w:val="00587502"/>
    <w:rsid w:val="00587583"/>
    <w:rsid w:val="0058758C"/>
    <w:rsid w:val="005875B2"/>
    <w:rsid w:val="005876BA"/>
    <w:rsid w:val="00587753"/>
    <w:rsid w:val="0058775D"/>
    <w:rsid w:val="0058780A"/>
    <w:rsid w:val="00587814"/>
    <w:rsid w:val="0058785A"/>
    <w:rsid w:val="005878B3"/>
    <w:rsid w:val="005879D4"/>
    <w:rsid w:val="00587B45"/>
    <w:rsid w:val="00587B77"/>
    <w:rsid w:val="00587B8C"/>
    <w:rsid w:val="00587BA5"/>
    <w:rsid w:val="00587BDB"/>
    <w:rsid w:val="00587C9D"/>
    <w:rsid w:val="00587CDA"/>
    <w:rsid w:val="00587D17"/>
    <w:rsid w:val="00587FDF"/>
    <w:rsid w:val="0059004C"/>
    <w:rsid w:val="00590114"/>
    <w:rsid w:val="0059015D"/>
    <w:rsid w:val="00590170"/>
    <w:rsid w:val="0059019D"/>
    <w:rsid w:val="005901F0"/>
    <w:rsid w:val="005903CF"/>
    <w:rsid w:val="00590450"/>
    <w:rsid w:val="00590483"/>
    <w:rsid w:val="0059053B"/>
    <w:rsid w:val="00590561"/>
    <w:rsid w:val="00590572"/>
    <w:rsid w:val="005905A6"/>
    <w:rsid w:val="005905F9"/>
    <w:rsid w:val="0059061C"/>
    <w:rsid w:val="0059061E"/>
    <w:rsid w:val="00590666"/>
    <w:rsid w:val="00590677"/>
    <w:rsid w:val="0059068D"/>
    <w:rsid w:val="005907A0"/>
    <w:rsid w:val="00590814"/>
    <w:rsid w:val="005908C8"/>
    <w:rsid w:val="0059091D"/>
    <w:rsid w:val="005909BA"/>
    <w:rsid w:val="00590BB3"/>
    <w:rsid w:val="00590C00"/>
    <w:rsid w:val="00590C8A"/>
    <w:rsid w:val="00590D80"/>
    <w:rsid w:val="00590E43"/>
    <w:rsid w:val="00590E6B"/>
    <w:rsid w:val="00590E6F"/>
    <w:rsid w:val="00590FDC"/>
    <w:rsid w:val="00590FDF"/>
    <w:rsid w:val="005910E8"/>
    <w:rsid w:val="0059119D"/>
    <w:rsid w:val="005911E5"/>
    <w:rsid w:val="00591275"/>
    <w:rsid w:val="00591306"/>
    <w:rsid w:val="0059141B"/>
    <w:rsid w:val="0059151B"/>
    <w:rsid w:val="00591603"/>
    <w:rsid w:val="0059165B"/>
    <w:rsid w:val="0059173C"/>
    <w:rsid w:val="00591887"/>
    <w:rsid w:val="005918F8"/>
    <w:rsid w:val="00591931"/>
    <w:rsid w:val="00591AB4"/>
    <w:rsid w:val="00591ADF"/>
    <w:rsid w:val="00591B15"/>
    <w:rsid w:val="00591B5E"/>
    <w:rsid w:val="00591C45"/>
    <w:rsid w:val="00591C57"/>
    <w:rsid w:val="00591D24"/>
    <w:rsid w:val="00591DC6"/>
    <w:rsid w:val="00591DDF"/>
    <w:rsid w:val="00591DF7"/>
    <w:rsid w:val="00591E25"/>
    <w:rsid w:val="00591F10"/>
    <w:rsid w:val="00591F96"/>
    <w:rsid w:val="00592019"/>
    <w:rsid w:val="0059207F"/>
    <w:rsid w:val="005920B1"/>
    <w:rsid w:val="0059215D"/>
    <w:rsid w:val="00592176"/>
    <w:rsid w:val="00592183"/>
    <w:rsid w:val="00592219"/>
    <w:rsid w:val="00592241"/>
    <w:rsid w:val="005922DE"/>
    <w:rsid w:val="00592307"/>
    <w:rsid w:val="00592346"/>
    <w:rsid w:val="00592434"/>
    <w:rsid w:val="005925D3"/>
    <w:rsid w:val="0059263D"/>
    <w:rsid w:val="0059265E"/>
    <w:rsid w:val="005926B9"/>
    <w:rsid w:val="005926D7"/>
    <w:rsid w:val="00592708"/>
    <w:rsid w:val="005927B4"/>
    <w:rsid w:val="005927BB"/>
    <w:rsid w:val="00592826"/>
    <w:rsid w:val="00592839"/>
    <w:rsid w:val="005928EE"/>
    <w:rsid w:val="00592A18"/>
    <w:rsid w:val="00592B6E"/>
    <w:rsid w:val="00592B81"/>
    <w:rsid w:val="00592C6D"/>
    <w:rsid w:val="00592CA5"/>
    <w:rsid w:val="00592D20"/>
    <w:rsid w:val="00592D6F"/>
    <w:rsid w:val="00592D7D"/>
    <w:rsid w:val="00592DD1"/>
    <w:rsid w:val="00592E39"/>
    <w:rsid w:val="00592EC7"/>
    <w:rsid w:val="00592F33"/>
    <w:rsid w:val="00592FAF"/>
    <w:rsid w:val="00593015"/>
    <w:rsid w:val="0059301D"/>
    <w:rsid w:val="0059322C"/>
    <w:rsid w:val="00593319"/>
    <w:rsid w:val="005933FC"/>
    <w:rsid w:val="0059340A"/>
    <w:rsid w:val="00593436"/>
    <w:rsid w:val="005934C0"/>
    <w:rsid w:val="00593598"/>
    <w:rsid w:val="0059361A"/>
    <w:rsid w:val="0059365F"/>
    <w:rsid w:val="005936B0"/>
    <w:rsid w:val="005936F2"/>
    <w:rsid w:val="00593744"/>
    <w:rsid w:val="0059376F"/>
    <w:rsid w:val="0059378F"/>
    <w:rsid w:val="00593878"/>
    <w:rsid w:val="00593893"/>
    <w:rsid w:val="005938BB"/>
    <w:rsid w:val="00593959"/>
    <w:rsid w:val="0059399A"/>
    <w:rsid w:val="00593AF3"/>
    <w:rsid w:val="00593B56"/>
    <w:rsid w:val="00593BA1"/>
    <w:rsid w:val="00593BA9"/>
    <w:rsid w:val="00593BCA"/>
    <w:rsid w:val="00593BEE"/>
    <w:rsid w:val="00593C52"/>
    <w:rsid w:val="00593C58"/>
    <w:rsid w:val="00593EF8"/>
    <w:rsid w:val="00593F47"/>
    <w:rsid w:val="00593FC3"/>
    <w:rsid w:val="005940AA"/>
    <w:rsid w:val="005940B5"/>
    <w:rsid w:val="0059421E"/>
    <w:rsid w:val="00594251"/>
    <w:rsid w:val="005942A9"/>
    <w:rsid w:val="005942D5"/>
    <w:rsid w:val="005943AA"/>
    <w:rsid w:val="005944C2"/>
    <w:rsid w:val="005944ED"/>
    <w:rsid w:val="005945CB"/>
    <w:rsid w:val="005946C9"/>
    <w:rsid w:val="0059488C"/>
    <w:rsid w:val="00594909"/>
    <w:rsid w:val="00594AAA"/>
    <w:rsid w:val="00594B2B"/>
    <w:rsid w:val="00594BC8"/>
    <w:rsid w:val="00594C71"/>
    <w:rsid w:val="00594C7B"/>
    <w:rsid w:val="00594CAE"/>
    <w:rsid w:val="00594CEE"/>
    <w:rsid w:val="00594CEF"/>
    <w:rsid w:val="00594D98"/>
    <w:rsid w:val="00594DA3"/>
    <w:rsid w:val="00594DC8"/>
    <w:rsid w:val="00594E16"/>
    <w:rsid w:val="00594E26"/>
    <w:rsid w:val="00594E6C"/>
    <w:rsid w:val="00594EA9"/>
    <w:rsid w:val="00594FB2"/>
    <w:rsid w:val="00594FF3"/>
    <w:rsid w:val="0059509A"/>
    <w:rsid w:val="00595227"/>
    <w:rsid w:val="005952D6"/>
    <w:rsid w:val="005952DC"/>
    <w:rsid w:val="005953C4"/>
    <w:rsid w:val="0059558E"/>
    <w:rsid w:val="00595590"/>
    <w:rsid w:val="0059559D"/>
    <w:rsid w:val="0059565E"/>
    <w:rsid w:val="0059568B"/>
    <w:rsid w:val="005956DB"/>
    <w:rsid w:val="00595769"/>
    <w:rsid w:val="00595839"/>
    <w:rsid w:val="0059588B"/>
    <w:rsid w:val="005958B0"/>
    <w:rsid w:val="00595996"/>
    <w:rsid w:val="005959DE"/>
    <w:rsid w:val="00595A4D"/>
    <w:rsid w:val="00595A6E"/>
    <w:rsid w:val="00595B30"/>
    <w:rsid w:val="00595B4A"/>
    <w:rsid w:val="00595B77"/>
    <w:rsid w:val="00595CD3"/>
    <w:rsid w:val="00595CE9"/>
    <w:rsid w:val="00595D4B"/>
    <w:rsid w:val="00595F0C"/>
    <w:rsid w:val="005960B9"/>
    <w:rsid w:val="00596154"/>
    <w:rsid w:val="0059623E"/>
    <w:rsid w:val="00596281"/>
    <w:rsid w:val="00596285"/>
    <w:rsid w:val="005962CA"/>
    <w:rsid w:val="00596348"/>
    <w:rsid w:val="00596386"/>
    <w:rsid w:val="00596399"/>
    <w:rsid w:val="00596620"/>
    <w:rsid w:val="005966AA"/>
    <w:rsid w:val="00596819"/>
    <w:rsid w:val="005969F8"/>
    <w:rsid w:val="00596A2C"/>
    <w:rsid w:val="00596AF9"/>
    <w:rsid w:val="00596B0A"/>
    <w:rsid w:val="00596B13"/>
    <w:rsid w:val="00596BB4"/>
    <w:rsid w:val="00596C26"/>
    <w:rsid w:val="00596C53"/>
    <w:rsid w:val="00596C99"/>
    <w:rsid w:val="00596CE0"/>
    <w:rsid w:val="00596CE4"/>
    <w:rsid w:val="00596D47"/>
    <w:rsid w:val="00596D52"/>
    <w:rsid w:val="00596DA7"/>
    <w:rsid w:val="00596DDA"/>
    <w:rsid w:val="00596EA1"/>
    <w:rsid w:val="00596EBF"/>
    <w:rsid w:val="00596F82"/>
    <w:rsid w:val="00596FCC"/>
    <w:rsid w:val="0059714C"/>
    <w:rsid w:val="00597176"/>
    <w:rsid w:val="0059729C"/>
    <w:rsid w:val="005972DA"/>
    <w:rsid w:val="005972FF"/>
    <w:rsid w:val="0059734B"/>
    <w:rsid w:val="00597408"/>
    <w:rsid w:val="00597465"/>
    <w:rsid w:val="00597562"/>
    <w:rsid w:val="00597785"/>
    <w:rsid w:val="005977C8"/>
    <w:rsid w:val="00597896"/>
    <w:rsid w:val="00597914"/>
    <w:rsid w:val="00597959"/>
    <w:rsid w:val="00597A4E"/>
    <w:rsid w:val="00597A52"/>
    <w:rsid w:val="00597A6F"/>
    <w:rsid w:val="00597B37"/>
    <w:rsid w:val="00597BB0"/>
    <w:rsid w:val="00597CA8"/>
    <w:rsid w:val="00597CFF"/>
    <w:rsid w:val="00597D6D"/>
    <w:rsid w:val="00597DC8"/>
    <w:rsid w:val="00597E16"/>
    <w:rsid w:val="00597E34"/>
    <w:rsid w:val="00597EF5"/>
    <w:rsid w:val="00597F9C"/>
    <w:rsid w:val="00597FE9"/>
    <w:rsid w:val="005A000F"/>
    <w:rsid w:val="005A0045"/>
    <w:rsid w:val="005A004B"/>
    <w:rsid w:val="005A0091"/>
    <w:rsid w:val="005A0094"/>
    <w:rsid w:val="005A00CF"/>
    <w:rsid w:val="005A0109"/>
    <w:rsid w:val="005A010A"/>
    <w:rsid w:val="005A018E"/>
    <w:rsid w:val="005A01B0"/>
    <w:rsid w:val="005A0282"/>
    <w:rsid w:val="005A028E"/>
    <w:rsid w:val="005A03CE"/>
    <w:rsid w:val="005A0474"/>
    <w:rsid w:val="005A047A"/>
    <w:rsid w:val="005A047E"/>
    <w:rsid w:val="005A0484"/>
    <w:rsid w:val="005A04D9"/>
    <w:rsid w:val="005A050F"/>
    <w:rsid w:val="005A0516"/>
    <w:rsid w:val="005A0636"/>
    <w:rsid w:val="005A070B"/>
    <w:rsid w:val="005A0804"/>
    <w:rsid w:val="005A0866"/>
    <w:rsid w:val="005A091E"/>
    <w:rsid w:val="005A0930"/>
    <w:rsid w:val="005A09B0"/>
    <w:rsid w:val="005A0A5C"/>
    <w:rsid w:val="005A0C92"/>
    <w:rsid w:val="005A0CF8"/>
    <w:rsid w:val="005A0DB3"/>
    <w:rsid w:val="005A0DED"/>
    <w:rsid w:val="005A0DEE"/>
    <w:rsid w:val="005A0DF1"/>
    <w:rsid w:val="005A0E40"/>
    <w:rsid w:val="005A0EC2"/>
    <w:rsid w:val="005A0F2F"/>
    <w:rsid w:val="005A0F32"/>
    <w:rsid w:val="005A0F99"/>
    <w:rsid w:val="005A116C"/>
    <w:rsid w:val="005A11F8"/>
    <w:rsid w:val="005A1247"/>
    <w:rsid w:val="005A1259"/>
    <w:rsid w:val="005A128B"/>
    <w:rsid w:val="005A1397"/>
    <w:rsid w:val="005A13E8"/>
    <w:rsid w:val="005A14CE"/>
    <w:rsid w:val="005A14F3"/>
    <w:rsid w:val="005A1594"/>
    <w:rsid w:val="005A170B"/>
    <w:rsid w:val="005A1755"/>
    <w:rsid w:val="005A17EA"/>
    <w:rsid w:val="005A196F"/>
    <w:rsid w:val="005A1975"/>
    <w:rsid w:val="005A1A12"/>
    <w:rsid w:val="005A1A7E"/>
    <w:rsid w:val="005A1AAD"/>
    <w:rsid w:val="005A1B2A"/>
    <w:rsid w:val="005A1B6F"/>
    <w:rsid w:val="005A1BD0"/>
    <w:rsid w:val="005A1BEC"/>
    <w:rsid w:val="005A1C00"/>
    <w:rsid w:val="005A1C4C"/>
    <w:rsid w:val="005A1D2C"/>
    <w:rsid w:val="005A1DD6"/>
    <w:rsid w:val="005A1DE9"/>
    <w:rsid w:val="005A1E6D"/>
    <w:rsid w:val="005A1E85"/>
    <w:rsid w:val="005A207C"/>
    <w:rsid w:val="005A20CC"/>
    <w:rsid w:val="005A20D7"/>
    <w:rsid w:val="005A2134"/>
    <w:rsid w:val="005A218B"/>
    <w:rsid w:val="005A221A"/>
    <w:rsid w:val="005A2237"/>
    <w:rsid w:val="005A2250"/>
    <w:rsid w:val="005A2259"/>
    <w:rsid w:val="005A2262"/>
    <w:rsid w:val="005A226C"/>
    <w:rsid w:val="005A228A"/>
    <w:rsid w:val="005A230A"/>
    <w:rsid w:val="005A234E"/>
    <w:rsid w:val="005A23E6"/>
    <w:rsid w:val="005A241A"/>
    <w:rsid w:val="005A24EC"/>
    <w:rsid w:val="005A25F1"/>
    <w:rsid w:val="005A2719"/>
    <w:rsid w:val="005A274B"/>
    <w:rsid w:val="005A27AC"/>
    <w:rsid w:val="005A27B8"/>
    <w:rsid w:val="005A280C"/>
    <w:rsid w:val="005A2917"/>
    <w:rsid w:val="005A29F2"/>
    <w:rsid w:val="005A2A56"/>
    <w:rsid w:val="005A2BD4"/>
    <w:rsid w:val="005A2CC7"/>
    <w:rsid w:val="005A2EFC"/>
    <w:rsid w:val="005A2FF4"/>
    <w:rsid w:val="005A2FFF"/>
    <w:rsid w:val="005A3019"/>
    <w:rsid w:val="005A301E"/>
    <w:rsid w:val="005A3087"/>
    <w:rsid w:val="005A30EB"/>
    <w:rsid w:val="005A3198"/>
    <w:rsid w:val="005A3241"/>
    <w:rsid w:val="005A342F"/>
    <w:rsid w:val="005A352A"/>
    <w:rsid w:val="005A3540"/>
    <w:rsid w:val="005A359F"/>
    <w:rsid w:val="005A35C0"/>
    <w:rsid w:val="005A35C6"/>
    <w:rsid w:val="005A35CA"/>
    <w:rsid w:val="005A3608"/>
    <w:rsid w:val="005A3727"/>
    <w:rsid w:val="005A37AC"/>
    <w:rsid w:val="005A37B1"/>
    <w:rsid w:val="005A3883"/>
    <w:rsid w:val="005A39BC"/>
    <w:rsid w:val="005A39C5"/>
    <w:rsid w:val="005A39CB"/>
    <w:rsid w:val="005A3AD9"/>
    <w:rsid w:val="005A3B43"/>
    <w:rsid w:val="005A3BD4"/>
    <w:rsid w:val="005A3C14"/>
    <w:rsid w:val="005A3C41"/>
    <w:rsid w:val="005A3CFE"/>
    <w:rsid w:val="005A3EE8"/>
    <w:rsid w:val="005A3FF1"/>
    <w:rsid w:val="005A4000"/>
    <w:rsid w:val="005A4135"/>
    <w:rsid w:val="005A41D1"/>
    <w:rsid w:val="005A41E2"/>
    <w:rsid w:val="005A422C"/>
    <w:rsid w:val="005A445F"/>
    <w:rsid w:val="005A4464"/>
    <w:rsid w:val="005A44A9"/>
    <w:rsid w:val="005A44C5"/>
    <w:rsid w:val="005A4533"/>
    <w:rsid w:val="005A46B5"/>
    <w:rsid w:val="005A46B9"/>
    <w:rsid w:val="005A476D"/>
    <w:rsid w:val="005A4857"/>
    <w:rsid w:val="005A4876"/>
    <w:rsid w:val="005A49AB"/>
    <w:rsid w:val="005A4A46"/>
    <w:rsid w:val="005A4AFE"/>
    <w:rsid w:val="005A4C53"/>
    <w:rsid w:val="005A4CBE"/>
    <w:rsid w:val="005A4D49"/>
    <w:rsid w:val="005A4D7E"/>
    <w:rsid w:val="005A4DE8"/>
    <w:rsid w:val="005A4EDE"/>
    <w:rsid w:val="005A4F98"/>
    <w:rsid w:val="005A4FF1"/>
    <w:rsid w:val="005A4FFD"/>
    <w:rsid w:val="005A5030"/>
    <w:rsid w:val="005A50D5"/>
    <w:rsid w:val="005A5364"/>
    <w:rsid w:val="005A53C2"/>
    <w:rsid w:val="005A551D"/>
    <w:rsid w:val="005A5553"/>
    <w:rsid w:val="005A5556"/>
    <w:rsid w:val="005A559C"/>
    <w:rsid w:val="005A5682"/>
    <w:rsid w:val="005A5703"/>
    <w:rsid w:val="005A575D"/>
    <w:rsid w:val="005A57ED"/>
    <w:rsid w:val="005A58A2"/>
    <w:rsid w:val="005A58B6"/>
    <w:rsid w:val="005A5946"/>
    <w:rsid w:val="005A598A"/>
    <w:rsid w:val="005A59CA"/>
    <w:rsid w:val="005A59F0"/>
    <w:rsid w:val="005A5A70"/>
    <w:rsid w:val="005A5A8B"/>
    <w:rsid w:val="005A5C22"/>
    <w:rsid w:val="005A5C64"/>
    <w:rsid w:val="005A5C8C"/>
    <w:rsid w:val="005A5D0F"/>
    <w:rsid w:val="005A5D6F"/>
    <w:rsid w:val="005A5FBB"/>
    <w:rsid w:val="005A5FEA"/>
    <w:rsid w:val="005A6055"/>
    <w:rsid w:val="005A609B"/>
    <w:rsid w:val="005A617D"/>
    <w:rsid w:val="005A62CF"/>
    <w:rsid w:val="005A63BD"/>
    <w:rsid w:val="005A6593"/>
    <w:rsid w:val="005A662B"/>
    <w:rsid w:val="005A6684"/>
    <w:rsid w:val="005A6788"/>
    <w:rsid w:val="005A67A5"/>
    <w:rsid w:val="005A6836"/>
    <w:rsid w:val="005A6846"/>
    <w:rsid w:val="005A688A"/>
    <w:rsid w:val="005A68D2"/>
    <w:rsid w:val="005A6A15"/>
    <w:rsid w:val="005A6A17"/>
    <w:rsid w:val="005A6A23"/>
    <w:rsid w:val="005A6A30"/>
    <w:rsid w:val="005A6AAE"/>
    <w:rsid w:val="005A6B47"/>
    <w:rsid w:val="005A6BCD"/>
    <w:rsid w:val="005A6C28"/>
    <w:rsid w:val="005A6CD2"/>
    <w:rsid w:val="005A6CF2"/>
    <w:rsid w:val="005A6D25"/>
    <w:rsid w:val="005A6D72"/>
    <w:rsid w:val="005A6D94"/>
    <w:rsid w:val="005A6DBC"/>
    <w:rsid w:val="005A6ED2"/>
    <w:rsid w:val="005A6F45"/>
    <w:rsid w:val="005A7034"/>
    <w:rsid w:val="005A706D"/>
    <w:rsid w:val="005A70A7"/>
    <w:rsid w:val="005A70D8"/>
    <w:rsid w:val="005A7177"/>
    <w:rsid w:val="005A7410"/>
    <w:rsid w:val="005A7446"/>
    <w:rsid w:val="005A7456"/>
    <w:rsid w:val="005A7474"/>
    <w:rsid w:val="005A74E5"/>
    <w:rsid w:val="005A7598"/>
    <w:rsid w:val="005A75BE"/>
    <w:rsid w:val="005A75E7"/>
    <w:rsid w:val="005A76ED"/>
    <w:rsid w:val="005A7742"/>
    <w:rsid w:val="005A777D"/>
    <w:rsid w:val="005A7785"/>
    <w:rsid w:val="005A77D4"/>
    <w:rsid w:val="005A7976"/>
    <w:rsid w:val="005A7A16"/>
    <w:rsid w:val="005A7C01"/>
    <w:rsid w:val="005A7D33"/>
    <w:rsid w:val="005A7D3A"/>
    <w:rsid w:val="005A7D71"/>
    <w:rsid w:val="005A7DD2"/>
    <w:rsid w:val="005A7E4A"/>
    <w:rsid w:val="005A7FD1"/>
    <w:rsid w:val="005A7FFD"/>
    <w:rsid w:val="005B016B"/>
    <w:rsid w:val="005B01F5"/>
    <w:rsid w:val="005B01FF"/>
    <w:rsid w:val="005B0212"/>
    <w:rsid w:val="005B0223"/>
    <w:rsid w:val="005B02B9"/>
    <w:rsid w:val="005B02CC"/>
    <w:rsid w:val="005B038B"/>
    <w:rsid w:val="005B04B6"/>
    <w:rsid w:val="005B0657"/>
    <w:rsid w:val="005B06E8"/>
    <w:rsid w:val="005B071F"/>
    <w:rsid w:val="005B0858"/>
    <w:rsid w:val="005B08AE"/>
    <w:rsid w:val="005B0949"/>
    <w:rsid w:val="005B09A1"/>
    <w:rsid w:val="005B0B22"/>
    <w:rsid w:val="005B0BD5"/>
    <w:rsid w:val="005B0BF6"/>
    <w:rsid w:val="005B0BFD"/>
    <w:rsid w:val="005B0C0F"/>
    <w:rsid w:val="005B0C13"/>
    <w:rsid w:val="005B0C28"/>
    <w:rsid w:val="005B0D23"/>
    <w:rsid w:val="005B0D64"/>
    <w:rsid w:val="005B0D8A"/>
    <w:rsid w:val="005B0E54"/>
    <w:rsid w:val="005B0E80"/>
    <w:rsid w:val="005B0EE8"/>
    <w:rsid w:val="005B0EF9"/>
    <w:rsid w:val="005B0F0C"/>
    <w:rsid w:val="005B0F9B"/>
    <w:rsid w:val="005B1091"/>
    <w:rsid w:val="005B111C"/>
    <w:rsid w:val="005B1133"/>
    <w:rsid w:val="005B12EE"/>
    <w:rsid w:val="005B13CB"/>
    <w:rsid w:val="005B142B"/>
    <w:rsid w:val="005B1445"/>
    <w:rsid w:val="005B146B"/>
    <w:rsid w:val="005B1626"/>
    <w:rsid w:val="005B167B"/>
    <w:rsid w:val="005B169F"/>
    <w:rsid w:val="005B1730"/>
    <w:rsid w:val="005B1747"/>
    <w:rsid w:val="005B176C"/>
    <w:rsid w:val="005B1815"/>
    <w:rsid w:val="005B18F8"/>
    <w:rsid w:val="005B1992"/>
    <w:rsid w:val="005B19B6"/>
    <w:rsid w:val="005B1A0B"/>
    <w:rsid w:val="005B1A8E"/>
    <w:rsid w:val="005B1AD3"/>
    <w:rsid w:val="005B1AF3"/>
    <w:rsid w:val="005B1B13"/>
    <w:rsid w:val="005B1B40"/>
    <w:rsid w:val="005B1C6D"/>
    <w:rsid w:val="005B1D08"/>
    <w:rsid w:val="005B1D1B"/>
    <w:rsid w:val="005B1D64"/>
    <w:rsid w:val="005B1E7E"/>
    <w:rsid w:val="005B1EC8"/>
    <w:rsid w:val="005B1EFC"/>
    <w:rsid w:val="005B1F82"/>
    <w:rsid w:val="005B20BE"/>
    <w:rsid w:val="005B2101"/>
    <w:rsid w:val="005B214D"/>
    <w:rsid w:val="005B218B"/>
    <w:rsid w:val="005B2198"/>
    <w:rsid w:val="005B225E"/>
    <w:rsid w:val="005B2385"/>
    <w:rsid w:val="005B2387"/>
    <w:rsid w:val="005B2394"/>
    <w:rsid w:val="005B2430"/>
    <w:rsid w:val="005B25B3"/>
    <w:rsid w:val="005B2621"/>
    <w:rsid w:val="005B27C4"/>
    <w:rsid w:val="005B2936"/>
    <w:rsid w:val="005B297C"/>
    <w:rsid w:val="005B29A5"/>
    <w:rsid w:val="005B2A1A"/>
    <w:rsid w:val="005B2A67"/>
    <w:rsid w:val="005B2A7B"/>
    <w:rsid w:val="005B2B4E"/>
    <w:rsid w:val="005B2B82"/>
    <w:rsid w:val="005B2BA7"/>
    <w:rsid w:val="005B2CEB"/>
    <w:rsid w:val="005B2DC1"/>
    <w:rsid w:val="005B2EAB"/>
    <w:rsid w:val="005B2F88"/>
    <w:rsid w:val="005B3074"/>
    <w:rsid w:val="005B30DC"/>
    <w:rsid w:val="005B3128"/>
    <w:rsid w:val="005B33D5"/>
    <w:rsid w:val="005B34BE"/>
    <w:rsid w:val="005B356C"/>
    <w:rsid w:val="005B3573"/>
    <w:rsid w:val="005B35A4"/>
    <w:rsid w:val="005B35BE"/>
    <w:rsid w:val="005B378A"/>
    <w:rsid w:val="005B37AD"/>
    <w:rsid w:val="005B37B2"/>
    <w:rsid w:val="005B38D9"/>
    <w:rsid w:val="005B3923"/>
    <w:rsid w:val="005B39D8"/>
    <w:rsid w:val="005B3A04"/>
    <w:rsid w:val="005B3A81"/>
    <w:rsid w:val="005B3AF5"/>
    <w:rsid w:val="005B3B19"/>
    <w:rsid w:val="005B3B81"/>
    <w:rsid w:val="005B3BCE"/>
    <w:rsid w:val="005B3D53"/>
    <w:rsid w:val="005B3DAF"/>
    <w:rsid w:val="005B3E09"/>
    <w:rsid w:val="005B3E45"/>
    <w:rsid w:val="005B3E83"/>
    <w:rsid w:val="005B3E85"/>
    <w:rsid w:val="005B3EC7"/>
    <w:rsid w:val="005B3EDD"/>
    <w:rsid w:val="005B3FA4"/>
    <w:rsid w:val="005B3FAD"/>
    <w:rsid w:val="005B3FC5"/>
    <w:rsid w:val="005B41CD"/>
    <w:rsid w:val="005B42B6"/>
    <w:rsid w:val="005B43D0"/>
    <w:rsid w:val="005B44D0"/>
    <w:rsid w:val="005B4501"/>
    <w:rsid w:val="005B4729"/>
    <w:rsid w:val="005B4736"/>
    <w:rsid w:val="005B478D"/>
    <w:rsid w:val="005B479C"/>
    <w:rsid w:val="005B47B6"/>
    <w:rsid w:val="005B4A4B"/>
    <w:rsid w:val="005B4C67"/>
    <w:rsid w:val="005B4E47"/>
    <w:rsid w:val="005B4EF5"/>
    <w:rsid w:val="005B4F27"/>
    <w:rsid w:val="005B4FF7"/>
    <w:rsid w:val="005B5062"/>
    <w:rsid w:val="005B506A"/>
    <w:rsid w:val="005B506F"/>
    <w:rsid w:val="005B5122"/>
    <w:rsid w:val="005B5165"/>
    <w:rsid w:val="005B51BB"/>
    <w:rsid w:val="005B51C6"/>
    <w:rsid w:val="005B52B8"/>
    <w:rsid w:val="005B52D7"/>
    <w:rsid w:val="005B5337"/>
    <w:rsid w:val="005B535D"/>
    <w:rsid w:val="005B5366"/>
    <w:rsid w:val="005B5397"/>
    <w:rsid w:val="005B5471"/>
    <w:rsid w:val="005B5492"/>
    <w:rsid w:val="005B555A"/>
    <w:rsid w:val="005B55E7"/>
    <w:rsid w:val="005B5655"/>
    <w:rsid w:val="005B5656"/>
    <w:rsid w:val="005B5708"/>
    <w:rsid w:val="005B57EC"/>
    <w:rsid w:val="005B5994"/>
    <w:rsid w:val="005B5A25"/>
    <w:rsid w:val="005B5A2D"/>
    <w:rsid w:val="005B5A44"/>
    <w:rsid w:val="005B5B1B"/>
    <w:rsid w:val="005B5BE9"/>
    <w:rsid w:val="005B5CF2"/>
    <w:rsid w:val="005B5DB1"/>
    <w:rsid w:val="005B5DC5"/>
    <w:rsid w:val="005B5DEE"/>
    <w:rsid w:val="005B5E58"/>
    <w:rsid w:val="005B5E81"/>
    <w:rsid w:val="005B5EC5"/>
    <w:rsid w:val="005B5ED1"/>
    <w:rsid w:val="005B5FC3"/>
    <w:rsid w:val="005B6055"/>
    <w:rsid w:val="005B608B"/>
    <w:rsid w:val="005B60E7"/>
    <w:rsid w:val="005B61A5"/>
    <w:rsid w:val="005B61AC"/>
    <w:rsid w:val="005B61C1"/>
    <w:rsid w:val="005B625E"/>
    <w:rsid w:val="005B638E"/>
    <w:rsid w:val="005B644E"/>
    <w:rsid w:val="005B6463"/>
    <w:rsid w:val="005B6479"/>
    <w:rsid w:val="005B64C9"/>
    <w:rsid w:val="005B64DD"/>
    <w:rsid w:val="005B6531"/>
    <w:rsid w:val="005B663A"/>
    <w:rsid w:val="005B664A"/>
    <w:rsid w:val="005B66CD"/>
    <w:rsid w:val="005B67D0"/>
    <w:rsid w:val="005B6873"/>
    <w:rsid w:val="005B6A27"/>
    <w:rsid w:val="005B6AFF"/>
    <w:rsid w:val="005B6BC9"/>
    <w:rsid w:val="005B6BD2"/>
    <w:rsid w:val="005B6D1A"/>
    <w:rsid w:val="005B6DAB"/>
    <w:rsid w:val="005B6DD1"/>
    <w:rsid w:val="005B6E6F"/>
    <w:rsid w:val="005B706E"/>
    <w:rsid w:val="005B709C"/>
    <w:rsid w:val="005B7120"/>
    <w:rsid w:val="005B7138"/>
    <w:rsid w:val="005B71CC"/>
    <w:rsid w:val="005B71F4"/>
    <w:rsid w:val="005B72F0"/>
    <w:rsid w:val="005B750C"/>
    <w:rsid w:val="005B760E"/>
    <w:rsid w:val="005B76B1"/>
    <w:rsid w:val="005B7864"/>
    <w:rsid w:val="005B79A5"/>
    <w:rsid w:val="005B7AD6"/>
    <w:rsid w:val="005B7BAA"/>
    <w:rsid w:val="005B7BF7"/>
    <w:rsid w:val="005B7CC3"/>
    <w:rsid w:val="005B7CE5"/>
    <w:rsid w:val="005B7D49"/>
    <w:rsid w:val="005B7E7F"/>
    <w:rsid w:val="005B86E6"/>
    <w:rsid w:val="005C0031"/>
    <w:rsid w:val="005C00EC"/>
    <w:rsid w:val="005C019E"/>
    <w:rsid w:val="005C026E"/>
    <w:rsid w:val="005C030A"/>
    <w:rsid w:val="005C035C"/>
    <w:rsid w:val="005C03FA"/>
    <w:rsid w:val="005C04CB"/>
    <w:rsid w:val="005C063B"/>
    <w:rsid w:val="005C073B"/>
    <w:rsid w:val="005C076C"/>
    <w:rsid w:val="005C08DE"/>
    <w:rsid w:val="005C08ED"/>
    <w:rsid w:val="005C0914"/>
    <w:rsid w:val="005C0930"/>
    <w:rsid w:val="005C094B"/>
    <w:rsid w:val="005C09C2"/>
    <w:rsid w:val="005C09F5"/>
    <w:rsid w:val="005C0A78"/>
    <w:rsid w:val="005C0B47"/>
    <w:rsid w:val="005C0B60"/>
    <w:rsid w:val="005C0C60"/>
    <w:rsid w:val="005C0CF5"/>
    <w:rsid w:val="005C0D95"/>
    <w:rsid w:val="005C0EE0"/>
    <w:rsid w:val="005C0EFC"/>
    <w:rsid w:val="005C0F1C"/>
    <w:rsid w:val="005C104B"/>
    <w:rsid w:val="005C1052"/>
    <w:rsid w:val="005C1063"/>
    <w:rsid w:val="005C10AC"/>
    <w:rsid w:val="005C110D"/>
    <w:rsid w:val="005C1133"/>
    <w:rsid w:val="005C1134"/>
    <w:rsid w:val="005C12B4"/>
    <w:rsid w:val="005C1381"/>
    <w:rsid w:val="005C14D4"/>
    <w:rsid w:val="005C153A"/>
    <w:rsid w:val="005C1544"/>
    <w:rsid w:val="005C163C"/>
    <w:rsid w:val="005C167A"/>
    <w:rsid w:val="005C16F9"/>
    <w:rsid w:val="005C189C"/>
    <w:rsid w:val="005C18B4"/>
    <w:rsid w:val="005C1911"/>
    <w:rsid w:val="005C19B6"/>
    <w:rsid w:val="005C19C3"/>
    <w:rsid w:val="005C1AA7"/>
    <w:rsid w:val="005C1B57"/>
    <w:rsid w:val="005C1B7A"/>
    <w:rsid w:val="005C1D0A"/>
    <w:rsid w:val="005C1D21"/>
    <w:rsid w:val="005C1D6C"/>
    <w:rsid w:val="005C1E65"/>
    <w:rsid w:val="005C1E95"/>
    <w:rsid w:val="005C1EB9"/>
    <w:rsid w:val="005C1ED2"/>
    <w:rsid w:val="005C1F49"/>
    <w:rsid w:val="005C1F89"/>
    <w:rsid w:val="005C1FAD"/>
    <w:rsid w:val="005C206E"/>
    <w:rsid w:val="005C2079"/>
    <w:rsid w:val="005C20A4"/>
    <w:rsid w:val="005C21E9"/>
    <w:rsid w:val="005C22BF"/>
    <w:rsid w:val="005C23FC"/>
    <w:rsid w:val="005C2499"/>
    <w:rsid w:val="005C2529"/>
    <w:rsid w:val="005C253F"/>
    <w:rsid w:val="005C255A"/>
    <w:rsid w:val="005C25A6"/>
    <w:rsid w:val="005C25BD"/>
    <w:rsid w:val="005C26B1"/>
    <w:rsid w:val="005C26BF"/>
    <w:rsid w:val="005C26DA"/>
    <w:rsid w:val="005C27FB"/>
    <w:rsid w:val="005C2831"/>
    <w:rsid w:val="005C28A3"/>
    <w:rsid w:val="005C28A7"/>
    <w:rsid w:val="005C28AD"/>
    <w:rsid w:val="005C28B3"/>
    <w:rsid w:val="005C28D2"/>
    <w:rsid w:val="005C299D"/>
    <w:rsid w:val="005C29E2"/>
    <w:rsid w:val="005C2A2E"/>
    <w:rsid w:val="005C2A7A"/>
    <w:rsid w:val="005C2C12"/>
    <w:rsid w:val="005C2C45"/>
    <w:rsid w:val="005C2DF4"/>
    <w:rsid w:val="005C2E5E"/>
    <w:rsid w:val="005C2EA7"/>
    <w:rsid w:val="005C2F51"/>
    <w:rsid w:val="005C2F8B"/>
    <w:rsid w:val="005C308C"/>
    <w:rsid w:val="005C30FD"/>
    <w:rsid w:val="005C315D"/>
    <w:rsid w:val="005C32C4"/>
    <w:rsid w:val="005C32FB"/>
    <w:rsid w:val="005C33BF"/>
    <w:rsid w:val="005C34D2"/>
    <w:rsid w:val="005C3511"/>
    <w:rsid w:val="005C3555"/>
    <w:rsid w:val="005C361D"/>
    <w:rsid w:val="005C36F0"/>
    <w:rsid w:val="005C3910"/>
    <w:rsid w:val="005C3998"/>
    <w:rsid w:val="005C39AC"/>
    <w:rsid w:val="005C39FC"/>
    <w:rsid w:val="005C3B7D"/>
    <w:rsid w:val="005C3B98"/>
    <w:rsid w:val="005C3BB2"/>
    <w:rsid w:val="005C3DA8"/>
    <w:rsid w:val="005C3E26"/>
    <w:rsid w:val="005C3F5D"/>
    <w:rsid w:val="005C3FF6"/>
    <w:rsid w:val="005C4170"/>
    <w:rsid w:val="005C4316"/>
    <w:rsid w:val="005C4327"/>
    <w:rsid w:val="005C4334"/>
    <w:rsid w:val="005C435A"/>
    <w:rsid w:val="005C43C2"/>
    <w:rsid w:val="005C4551"/>
    <w:rsid w:val="005C4562"/>
    <w:rsid w:val="005C4607"/>
    <w:rsid w:val="005C46C5"/>
    <w:rsid w:val="005C4784"/>
    <w:rsid w:val="005C47AB"/>
    <w:rsid w:val="005C47C9"/>
    <w:rsid w:val="005C47DD"/>
    <w:rsid w:val="005C48EE"/>
    <w:rsid w:val="005C49CF"/>
    <w:rsid w:val="005C4A10"/>
    <w:rsid w:val="005C4B6E"/>
    <w:rsid w:val="005C4B79"/>
    <w:rsid w:val="005C4C8A"/>
    <w:rsid w:val="005C4CF2"/>
    <w:rsid w:val="005C4D7C"/>
    <w:rsid w:val="005C4DCC"/>
    <w:rsid w:val="005C4EE9"/>
    <w:rsid w:val="005C4F77"/>
    <w:rsid w:val="005C5073"/>
    <w:rsid w:val="005C50FA"/>
    <w:rsid w:val="005C51BE"/>
    <w:rsid w:val="005C52A6"/>
    <w:rsid w:val="005C52BE"/>
    <w:rsid w:val="005C5305"/>
    <w:rsid w:val="005C532C"/>
    <w:rsid w:val="005C5339"/>
    <w:rsid w:val="005C5366"/>
    <w:rsid w:val="005C5397"/>
    <w:rsid w:val="005C539D"/>
    <w:rsid w:val="005C54B0"/>
    <w:rsid w:val="005C55AE"/>
    <w:rsid w:val="005C55D2"/>
    <w:rsid w:val="005C5646"/>
    <w:rsid w:val="005C56DF"/>
    <w:rsid w:val="005C56ED"/>
    <w:rsid w:val="005C5738"/>
    <w:rsid w:val="005C5761"/>
    <w:rsid w:val="005C586A"/>
    <w:rsid w:val="005C5895"/>
    <w:rsid w:val="005C59B7"/>
    <w:rsid w:val="005C5A6F"/>
    <w:rsid w:val="005C5B40"/>
    <w:rsid w:val="005C5B4F"/>
    <w:rsid w:val="005C5D43"/>
    <w:rsid w:val="005C5D52"/>
    <w:rsid w:val="005C5D55"/>
    <w:rsid w:val="005C5DED"/>
    <w:rsid w:val="005C5E57"/>
    <w:rsid w:val="005C5FCE"/>
    <w:rsid w:val="005C5FDD"/>
    <w:rsid w:val="005C61F9"/>
    <w:rsid w:val="005C62B3"/>
    <w:rsid w:val="005C6391"/>
    <w:rsid w:val="005C642D"/>
    <w:rsid w:val="005C644F"/>
    <w:rsid w:val="005C651D"/>
    <w:rsid w:val="005C6574"/>
    <w:rsid w:val="005C6575"/>
    <w:rsid w:val="005C65F7"/>
    <w:rsid w:val="005C66DE"/>
    <w:rsid w:val="005C66F8"/>
    <w:rsid w:val="005C6710"/>
    <w:rsid w:val="005C6772"/>
    <w:rsid w:val="005C6781"/>
    <w:rsid w:val="005C678E"/>
    <w:rsid w:val="005C67C2"/>
    <w:rsid w:val="005C682C"/>
    <w:rsid w:val="005C6839"/>
    <w:rsid w:val="005C6862"/>
    <w:rsid w:val="005C6881"/>
    <w:rsid w:val="005C6A4F"/>
    <w:rsid w:val="005C6A77"/>
    <w:rsid w:val="005C6A9D"/>
    <w:rsid w:val="005C6AFB"/>
    <w:rsid w:val="005C6C43"/>
    <w:rsid w:val="005C6C89"/>
    <w:rsid w:val="005C6CC3"/>
    <w:rsid w:val="005C6CFF"/>
    <w:rsid w:val="005C6DA8"/>
    <w:rsid w:val="005C6DD0"/>
    <w:rsid w:val="005C6DDB"/>
    <w:rsid w:val="005C6E83"/>
    <w:rsid w:val="005C6E86"/>
    <w:rsid w:val="005C6EB7"/>
    <w:rsid w:val="005C6FFA"/>
    <w:rsid w:val="005C702F"/>
    <w:rsid w:val="005C7109"/>
    <w:rsid w:val="005C725F"/>
    <w:rsid w:val="005C730F"/>
    <w:rsid w:val="005C73B7"/>
    <w:rsid w:val="005C7448"/>
    <w:rsid w:val="005C74ED"/>
    <w:rsid w:val="005C753D"/>
    <w:rsid w:val="005C7629"/>
    <w:rsid w:val="005C76A6"/>
    <w:rsid w:val="005C76B4"/>
    <w:rsid w:val="005C7732"/>
    <w:rsid w:val="005C7763"/>
    <w:rsid w:val="005C778C"/>
    <w:rsid w:val="005C779F"/>
    <w:rsid w:val="005C77D8"/>
    <w:rsid w:val="005C790D"/>
    <w:rsid w:val="005C792E"/>
    <w:rsid w:val="005C7931"/>
    <w:rsid w:val="005C794F"/>
    <w:rsid w:val="005C7970"/>
    <w:rsid w:val="005C79AB"/>
    <w:rsid w:val="005C79BD"/>
    <w:rsid w:val="005C7A84"/>
    <w:rsid w:val="005C7AB8"/>
    <w:rsid w:val="005C7B15"/>
    <w:rsid w:val="005C7B20"/>
    <w:rsid w:val="005C7B27"/>
    <w:rsid w:val="005C7CA1"/>
    <w:rsid w:val="005C7CCD"/>
    <w:rsid w:val="005C7D09"/>
    <w:rsid w:val="005C7D34"/>
    <w:rsid w:val="005C7D4B"/>
    <w:rsid w:val="005C7FCD"/>
    <w:rsid w:val="005D006D"/>
    <w:rsid w:val="005D007B"/>
    <w:rsid w:val="005D0130"/>
    <w:rsid w:val="005D0254"/>
    <w:rsid w:val="005D034D"/>
    <w:rsid w:val="005D0440"/>
    <w:rsid w:val="005D055E"/>
    <w:rsid w:val="005D05C4"/>
    <w:rsid w:val="005D05D3"/>
    <w:rsid w:val="005D061D"/>
    <w:rsid w:val="005D06A7"/>
    <w:rsid w:val="005D06D0"/>
    <w:rsid w:val="005D06F6"/>
    <w:rsid w:val="005D0705"/>
    <w:rsid w:val="005D075F"/>
    <w:rsid w:val="005D085B"/>
    <w:rsid w:val="005D09A1"/>
    <w:rsid w:val="005D0A0F"/>
    <w:rsid w:val="005D0AFB"/>
    <w:rsid w:val="005D0B2F"/>
    <w:rsid w:val="005D0C59"/>
    <w:rsid w:val="005D0CD3"/>
    <w:rsid w:val="005D0D4E"/>
    <w:rsid w:val="005D0D82"/>
    <w:rsid w:val="005D0E5A"/>
    <w:rsid w:val="005D104C"/>
    <w:rsid w:val="005D1053"/>
    <w:rsid w:val="005D1185"/>
    <w:rsid w:val="005D11EA"/>
    <w:rsid w:val="005D1211"/>
    <w:rsid w:val="005D1213"/>
    <w:rsid w:val="005D12FF"/>
    <w:rsid w:val="005D1330"/>
    <w:rsid w:val="005D13A1"/>
    <w:rsid w:val="005D1401"/>
    <w:rsid w:val="005D1485"/>
    <w:rsid w:val="005D1549"/>
    <w:rsid w:val="005D15CE"/>
    <w:rsid w:val="005D169F"/>
    <w:rsid w:val="005D16FD"/>
    <w:rsid w:val="005D173F"/>
    <w:rsid w:val="005D17C1"/>
    <w:rsid w:val="005D1987"/>
    <w:rsid w:val="005D1B3E"/>
    <w:rsid w:val="005D1C8F"/>
    <w:rsid w:val="005D1DC1"/>
    <w:rsid w:val="005D1DF6"/>
    <w:rsid w:val="005D1E44"/>
    <w:rsid w:val="005D1E6A"/>
    <w:rsid w:val="005D1E85"/>
    <w:rsid w:val="005D1E9E"/>
    <w:rsid w:val="005D1EBC"/>
    <w:rsid w:val="005D1EE6"/>
    <w:rsid w:val="005D1EE7"/>
    <w:rsid w:val="005D1F01"/>
    <w:rsid w:val="005D1FF8"/>
    <w:rsid w:val="005D200A"/>
    <w:rsid w:val="005D2122"/>
    <w:rsid w:val="005D21A8"/>
    <w:rsid w:val="005D228D"/>
    <w:rsid w:val="005D2619"/>
    <w:rsid w:val="005D265D"/>
    <w:rsid w:val="005D2696"/>
    <w:rsid w:val="005D26BB"/>
    <w:rsid w:val="005D26F4"/>
    <w:rsid w:val="005D275F"/>
    <w:rsid w:val="005D279C"/>
    <w:rsid w:val="005D27F3"/>
    <w:rsid w:val="005D2816"/>
    <w:rsid w:val="005D2862"/>
    <w:rsid w:val="005D2983"/>
    <w:rsid w:val="005D29CA"/>
    <w:rsid w:val="005D29FB"/>
    <w:rsid w:val="005D2A1A"/>
    <w:rsid w:val="005D2B16"/>
    <w:rsid w:val="005D2B30"/>
    <w:rsid w:val="005D2BFA"/>
    <w:rsid w:val="005D2C71"/>
    <w:rsid w:val="005D2CC0"/>
    <w:rsid w:val="005D2CF7"/>
    <w:rsid w:val="005D2D02"/>
    <w:rsid w:val="005D2EC4"/>
    <w:rsid w:val="005D2ED2"/>
    <w:rsid w:val="005D3004"/>
    <w:rsid w:val="005D306D"/>
    <w:rsid w:val="005D30F5"/>
    <w:rsid w:val="005D3115"/>
    <w:rsid w:val="005D31F8"/>
    <w:rsid w:val="005D33ED"/>
    <w:rsid w:val="005D34A0"/>
    <w:rsid w:val="005D34E7"/>
    <w:rsid w:val="005D35A2"/>
    <w:rsid w:val="005D35E0"/>
    <w:rsid w:val="005D35F0"/>
    <w:rsid w:val="005D35F1"/>
    <w:rsid w:val="005D364F"/>
    <w:rsid w:val="005D3689"/>
    <w:rsid w:val="005D36EB"/>
    <w:rsid w:val="005D376F"/>
    <w:rsid w:val="005D3876"/>
    <w:rsid w:val="005D3916"/>
    <w:rsid w:val="005D3945"/>
    <w:rsid w:val="005D3A3A"/>
    <w:rsid w:val="005D3A3B"/>
    <w:rsid w:val="005D3ACF"/>
    <w:rsid w:val="005D3C15"/>
    <w:rsid w:val="005D3CDA"/>
    <w:rsid w:val="005D3D1F"/>
    <w:rsid w:val="005D3EB0"/>
    <w:rsid w:val="005D3FAB"/>
    <w:rsid w:val="005D4006"/>
    <w:rsid w:val="005D4057"/>
    <w:rsid w:val="005D40CB"/>
    <w:rsid w:val="005D40CC"/>
    <w:rsid w:val="005D41B3"/>
    <w:rsid w:val="005D41B9"/>
    <w:rsid w:val="005D41DF"/>
    <w:rsid w:val="005D4246"/>
    <w:rsid w:val="005D4284"/>
    <w:rsid w:val="005D42F7"/>
    <w:rsid w:val="005D4493"/>
    <w:rsid w:val="005D4549"/>
    <w:rsid w:val="005D45E6"/>
    <w:rsid w:val="005D45F7"/>
    <w:rsid w:val="005D4616"/>
    <w:rsid w:val="005D4639"/>
    <w:rsid w:val="005D463D"/>
    <w:rsid w:val="005D474A"/>
    <w:rsid w:val="005D477D"/>
    <w:rsid w:val="005D478F"/>
    <w:rsid w:val="005D47C5"/>
    <w:rsid w:val="005D47F5"/>
    <w:rsid w:val="005D482D"/>
    <w:rsid w:val="005D48C3"/>
    <w:rsid w:val="005D48D5"/>
    <w:rsid w:val="005D494E"/>
    <w:rsid w:val="005D49BC"/>
    <w:rsid w:val="005D4B2B"/>
    <w:rsid w:val="005D4B8A"/>
    <w:rsid w:val="005D4D35"/>
    <w:rsid w:val="005D4D78"/>
    <w:rsid w:val="005D4D8B"/>
    <w:rsid w:val="005D4F3A"/>
    <w:rsid w:val="005D4FDA"/>
    <w:rsid w:val="005D50FC"/>
    <w:rsid w:val="005D5249"/>
    <w:rsid w:val="005D52FB"/>
    <w:rsid w:val="005D5361"/>
    <w:rsid w:val="005D5364"/>
    <w:rsid w:val="005D53B8"/>
    <w:rsid w:val="005D53DD"/>
    <w:rsid w:val="005D5472"/>
    <w:rsid w:val="005D5495"/>
    <w:rsid w:val="005D5568"/>
    <w:rsid w:val="005D55EC"/>
    <w:rsid w:val="005D5833"/>
    <w:rsid w:val="005D5940"/>
    <w:rsid w:val="005D59CE"/>
    <w:rsid w:val="005D59F1"/>
    <w:rsid w:val="005D5A20"/>
    <w:rsid w:val="005D5A88"/>
    <w:rsid w:val="005D5BBB"/>
    <w:rsid w:val="005D5BEB"/>
    <w:rsid w:val="005D5CB8"/>
    <w:rsid w:val="005D5D6E"/>
    <w:rsid w:val="005D5DF1"/>
    <w:rsid w:val="005D5E06"/>
    <w:rsid w:val="005D5E61"/>
    <w:rsid w:val="005D5F56"/>
    <w:rsid w:val="005D5FF4"/>
    <w:rsid w:val="005D6003"/>
    <w:rsid w:val="005D603A"/>
    <w:rsid w:val="005D6063"/>
    <w:rsid w:val="005D60B6"/>
    <w:rsid w:val="005D6197"/>
    <w:rsid w:val="005D61AB"/>
    <w:rsid w:val="005D61C1"/>
    <w:rsid w:val="005D6218"/>
    <w:rsid w:val="005D62D1"/>
    <w:rsid w:val="005D62F5"/>
    <w:rsid w:val="005D62FA"/>
    <w:rsid w:val="005D632D"/>
    <w:rsid w:val="005D6493"/>
    <w:rsid w:val="005D64E9"/>
    <w:rsid w:val="005D66C6"/>
    <w:rsid w:val="005D6754"/>
    <w:rsid w:val="005D676C"/>
    <w:rsid w:val="005D677F"/>
    <w:rsid w:val="005D680D"/>
    <w:rsid w:val="005D680E"/>
    <w:rsid w:val="005D6830"/>
    <w:rsid w:val="005D68E1"/>
    <w:rsid w:val="005D695A"/>
    <w:rsid w:val="005D69A6"/>
    <w:rsid w:val="005D6AD2"/>
    <w:rsid w:val="005D6AD6"/>
    <w:rsid w:val="005D6AE7"/>
    <w:rsid w:val="005D6B53"/>
    <w:rsid w:val="005D6B75"/>
    <w:rsid w:val="005D6C35"/>
    <w:rsid w:val="005D6C9D"/>
    <w:rsid w:val="005D6E44"/>
    <w:rsid w:val="005D6E6F"/>
    <w:rsid w:val="005D6EC4"/>
    <w:rsid w:val="005D6FD0"/>
    <w:rsid w:val="005D6FD7"/>
    <w:rsid w:val="005D6FD9"/>
    <w:rsid w:val="005D7182"/>
    <w:rsid w:val="005D71EF"/>
    <w:rsid w:val="005D722B"/>
    <w:rsid w:val="005D72F0"/>
    <w:rsid w:val="005D736F"/>
    <w:rsid w:val="005D73D4"/>
    <w:rsid w:val="005D745A"/>
    <w:rsid w:val="005D7479"/>
    <w:rsid w:val="005D75F1"/>
    <w:rsid w:val="005D761E"/>
    <w:rsid w:val="005D762F"/>
    <w:rsid w:val="005D7663"/>
    <w:rsid w:val="005D7671"/>
    <w:rsid w:val="005D7677"/>
    <w:rsid w:val="005D767D"/>
    <w:rsid w:val="005D768F"/>
    <w:rsid w:val="005D76B3"/>
    <w:rsid w:val="005D7744"/>
    <w:rsid w:val="005D7824"/>
    <w:rsid w:val="005D78D8"/>
    <w:rsid w:val="005D7915"/>
    <w:rsid w:val="005D798D"/>
    <w:rsid w:val="005D7A8A"/>
    <w:rsid w:val="005D7ADB"/>
    <w:rsid w:val="005D7B63"/>
    <w:rsid w:val="005D7C51"/>
    <w:rsid w:val="005D7CBE"/>
    <w:rsid w:val="005D7F1A"/>
    <w:rsid w:val="005D7FB7"/>
    <w:rsid w:val="005D7FCB"/>
    <w:rsid w:val="005D8EB5"/>
    <w:rsid w:val="005E00FA"/>
    <w:rsid w:val="005E012E"/>
    <w:rsid w:val="005E01E9"/>
    <w:rsid w:val="005E0313"/>
    <w:rsid w:val="005E03CE"/>
    <w:rsid w:val="005E03E0"/>
    <w:rsid w:val="005E0429"/>
    <w:rsid w:val="005E0439"/>
    <w:rsid w:val="005E056E"/>
    <w:rsid w:val="005E0581"/>
    <w:rsid w:val="005E058D"/>
    <w:rsid w:val="005E0654"/>
    <w:rsid w:val="005E065D"/>
    <w:rsid w:val="005E06DA"/>
    <w:rsid w:val="005E06F9"/>
    <w:rsid w:val="005E082C"/>
    <w:rsid w:val="005E08A7"/>
    <w:rsid w:val="005E08F4"/>
    <w:rsid w:val="005E09D0"/>
    <w:rsid w:val="005E09E4"/>
    <w:rsid w:val="005E0A1A"/>
    <w:rsid w:val="005E0A75"/>
    <w:rsid w:val="005E0AFC"/>
    <w:rsid w:val="005E0B4B"/>
    <w:rsid w:val="005E0BAB"/>
    <w:rsid w:val="005E0BEC"/>
    <w:rsid w:val="005E0C74"/>
    <w:rsid w:val="005E0D68"/>
    <w:rsid w:val="005E0DD7"/>
    <w:rsid w:val="005E0DFE"/>
    <w:rsid w:val="005E0E44"/>
    <w:rsid w:val="005E0EEB"/>
    <w:rsid w:val="005E0F34"/>
    <w:rsid w:val="005E0F3C"/>
    <w:rsid w:val="005E1026"/>
    <w:rsid w:val="005E1043"/>
    <w:rsid w:val="005E1047"/>
    <w:rsid w:val="005E10ED"/>
    <w:rsid w:val="005E11BB"/>
    <w:rsid w:val="005E12FB"/>
    <w:rsid w:val="005E133B"/>
    <w:rsid w:val="005E134A"/>
    <w:rsid w:val="005E14B9"/>
    <w:rsid w:val="005E1522"/>
    <w:rsid w:val="005E15BB"/>
    <w:rsid w:val="005E1722"/>
    <w:rsid w:val="005E17DA"/>
    <w:rsid w:val="005E1800"/>
    <w:rsid w:val="005E1830"/>
    <w:rsid w:val="005E1837"/>
    <w:rsid w:val="005E18A6"/>
    <w:rsid w:val="005E1939"/>
    <w:rsid w:val="005E194A"/>
    <w:rsid w:val="005E1965"/>
    <w:rsid w:val="005E19BF"/>
    <w:rsid w:val="005E1ACA"/>
    <w:rsid w:val="005E1B10"/>
    <w:rsid w:val="005E1B2E"/>
    <w:rsid w:val="005E1B89"/>
    <w:rsid w:val="005E1B8C"/>
    <w:rsid w:val="005E1BB2"/>
    <w:rsid w:val="005E1C00"/>
    <w:rsid w:val="005E1C23"/>
    <w:rsid w:val="005E1C76"/>
    <w:rsid w:val="005E1CE6"/>
    <w:rsid w:val="005E1D3E"/>
    <w:rsid w:val="005E1DC9"/>
    <w:rsid w:val="005E1E86"/>
    <w:rsid w:val="005E1FA2"/>
    <w:rsid w:val="005E2031"/>
    <w:rsid w:val="005E206F"/>
    <w:rsid w:val="005E207F"/>
    <w:rsid w:val="005E2092"/>
    <w:rsid w:val="005E2148"/>
    <w:rsid w:val="005E222D"/>
    <w:rsid w:val="005E2231"/>
    <w:rsid w:val="005E2463"/>
    <w:rsid w:val="005E24B7"/>
    <w:rsid w:val="005E24E2"/>
    <w:rsid w:val="005E25C7"/>
    <w:rsid w:val="005E2603"/>
    <w:rsid w:val="005E2606"/>
    <w:rsid w:val="005E26A9"/>
    <w:rsid w:val="005E26CF"/>
    <w:rsid w:val="005E26E5"/>
    <w:rsid w:val="005E26F4"/>
    <w:rsid w:val="005E274D"/>
    <w:rsid w:val="005E2763"/>
    <w:rsid w:val="005E278E"/>
    <w:rsid w:val="005E27C8"/>
    <w:rsid w:val="005E27D5"/>
    <w:rsid w:val="005E285D"/>
    <w:rsid w:val="005E2863"/>
    <w:rsid w:val="005E28AE"/>
    <w:rsid w:val="005E28B4"/>
    <w:rsid w:val="005E28DE"/>
    <w:rsid w:val="005E28ED"/>
    <w:rsid w:val="005E29AF"/>
    <w:rsid w:val="005E2A00"/>
    <w:rsid w:val="005E2A49"/>
    <w:rsid w:val="005E2A5E"/>
    <w:rsid w:val="005E2A7B"/>
    <w:rsid w:val="005E2B19"/>
    <w:rsid w:val="005E2B75"/>
    <w:rsid w:val="005E2B8D"/>
    <w:rsid w:val="005E2C4F"/>
    <w:rsid w:val="005E2C8D"/>
    <w:rsid w:val="005E2CA8"/>
    <w:rsid w:val="005E2CBA"/>
    <w:rsid w:val="005E2CC8"/>
    <w:rsid w:val="005E2DAD"/>
    <w:rsid w:val="005E2DB5"/>
    <w:rsid w:val="005E2DF8"/>
    <w:rsid w:val="005E2E63"/>
    <w:rsid w:val="005E2EB0"/>
    <w:rsid w:val="005E2F47"/>
    <w:rsid w:val="005E2F59"/>
    <w:rsid w:val="005E2FD4"/>
    <w:rsid w:val="005E2FF8"/>
    <w:rsid w:val="005E3036"/>
    <w:rsid w:val="005E309C"/>
    <w:rsid w:val="005E30B4"/>
    <w:rsid w:val="005E323E"/>
    <w:rsid w:val="005E3293"/>
    <w:rsid w:val="005E336E"/>
    <w:rsid w:val="005E33EB"/>
    <w:rsid w:val="005E345D"/>
    <w:rsid w:val="005E3480"/>
    <w:rsid w:val="005E3487"/>
    <w:rsid w:val="005E3504"/>
    <w:rsid w:val="005E3512"/>
    <w:rsid w:val="005E3525"/>
    <w:rsid w:val="005E3530"/>
    <w:rsid w:val="005E35B4"/>
    <w:rsid w:val="005E35D6"/>
    <w:rsid w:val="005E366D"/>
    <w:rsid w:val="005E3671"/>
    <w:rsid w:val="005E375C"/>
    <w:rsid w:val="005E37DE"/>
    <w:rsid w:val="005E38DD"/>
    <w:rsid w:val="005E3919"/>
    <w:rsid w:val="005E3A5B"/>
    <w:rsid w:val="005E3B1A"/>
    <w:rsid w:val="005E3CDE"/>
    <w:rsid w:val="005E3D4A"/>
    <w:rsid w:val="005E3D5D"/>
    <w:rsid w:val="005E3DBF"/>
    <w:rsid w:val="005E3DCD"/>
    <w:rsid w:val="005E3DF7"/>
    <w:rsid w:val="005E3EE8"/>
    <w:rsid w:val="005E3F26"/>
    <w:rsid w:val="005E406A"/>
    <w:rsid w:val="005E416E"/>
    <w:rsid w:val="005E418B"/>
    <w:rsid w:val="005E41C3"/>
    <w:rsid w:val="005E42DA"/>
    <w:rsid w:val="005E42E2"/>
    <w:rsid w:val="005E4369"/>
    <w:rsid w:val="005E4395"/>
    <w:rsid w:val="005E43E0"/>
    <w:rsid w:val="005E4547"/>
    <w:rsid w:val="005E4679"/>
    <w:rsid w:val="005E46AA"/>
    <w:rsid w:val="005E46DB"/>
    <w:rsid w:val="005E4733"/>
    <w:rsid w:val="005E4810"/>
    <w:rsid w:val="005E48D6"/>
    <w:rsid w:val="005E4920"/>
    <w:rsid w:val="005E498F"/>
    <w:rsid w:val="005E49EF"/>
    <w:rsid w:val="005E4A9A"/>
    <w:rsid w:val="005E4B1C"/>
    <w:rsid w:val="005E4B28"/>
    <w:rsid w:val="005E4B49"/>
    <w:rsid w:val="005E4BEF"/>
    <w:rsid w:val="005E4C12"/>
    <w:rsid w:val="005E4C6B"/>
    <w:rsid w:val="005E4D86"/>
    <w:rsid w:val="005E4DAE"/>
    <w:rsid w:val="005E4E66"/>
    <w:rsid w:val="005E4E86"/>
    <w:rsid w:val="005E4EAC"/>
    <w:rsid w:val="005E4EE8"/>
    <w:rsid w:val="005E4F2B"/>
    <w:rsid w:val="005E4F3D"/>
    <w:rsid w:val="005E4F59"/>
    <w:rsid w:val="005E50A6"/>
    <w:rsid w:val="005E50ED"/>
    <w:rsid w:val="005E5139"/>
    <w:rsid w:val="005E515E"/>
    <w:rsid w:val="005E5187"/>
    <w:rsid w:val="005E51B3"/>
    <w:rsid w:val="005E5279"/>
    <w:rsid w:val="005E531B"/>
    <w:rsid w:val="005E5374"/>
    <w:rsid w:val="005E53C7"/>
    <w:rsid w:val="005E5432"/>
    <w:rsid w:val="005E54D7"/>
    <w:rsid w:val="005E5508"/>
    <w:rsid w:val="005E554D"/>
    <w:rsid w:val="005E555B"/>
    <w:rsid w:val="005E5701"/>
    <w:rsid w:val="005E57DB"/>
    <w:rsid w:val="005E581C"/>
    <w:rsid w:val="005E5879"/>
    <w:rsid w:val="005E58CC"/>
    <w:rsid w:val="005E590F"/>
    <w:rsid w:val="005E59F6"/>
    <w:rsid w:val="005E5A27"/>
    <w:rsid w:val="005E5B81"/>
    <w:rsid w:val="005E5C31"/>
    <w:rsid w:val="005E5C70"/>
    <w:rsid w:val="005E5D79"/>
    <w:rsid w:val="005E5D8E"/>
    <w:rsid w:val="005E5DF4"/>
    <w:rsid w:val="005E5DFE"/>
    <w:rsid w:val="005E5E20"/>
    <w:rsid w:val="005E5E24"/>
    <w:rsid w:val="005E5E29"/>
    <w:rsid w:val="005E5F2F"/>
    <w:rsid w:val="005E5F8B"/>
    <w:rsid w:val="005E5F98"/>
    <w:rsid w:val="005E5FBA"/>
    <w:rsid w:val="005E6011"/>
    <w:rsid w:val="005E607A"/>
    <w:rsid w:val="005E607D"/>
    <w:rsid w:val="005E6189"/>
    <w:rsid w:val="005E61C3"/>
    <w:rsid w:val="005E6233"/>
    <w:rsid w:val="005E6324"/>
    <w:rsid w:val="005E6404"/>
    <w:rsid w:val="005E6408"/>
    <w:rsid w:val="005E643F"/>
    <w:rsid w:val="005E665E"/>
    <w:rsid w:val="005E667A"/>
    <w:rsid w:val="005E684E"/>
    <w:rsid w:val="005E6870"/>
    <w:rsid w:val="005E687F"/>
    <w:rsid w:val="005E68B5"/>
    <w:rsid w:val="005E695D"/>
    <w:rsid w:val="005E6A90"/>
    <w:rsid w:val="005E6ADB"/>
    <w:rsid w:val="005E6B08"/>
    <w:rsid w:val="005E6B7C"/>
    <w:rsid w:val="005E6CBC"/>
    <w:rsid w:val="005E6D1C"/>
    <w:rsid w:val="005E6E98"/>
    <w:rsid w:val="005E6FA7"/>
    <w:rsid w:val="005E728B"/>
    <w:rsid w:val="005E7292"/>
    <w:rsid w:val="005E73A5"/>
    <w:rsid w:val="005E74C9"/>
    <w:rsid w:val="005E7622"/>
    <w:rsid w:val="005E76B4"/>
    <w:rsid w:val="005E76E6"/>
    <w:rsid w:val="005E771C"/>
    <w:rsid w:val="005E7807"/>
    <w:rsid w:val="005E78CE"/>
    <w:rsid w:val="005E797B"/>
    <w:rsid w:val="005E79AC"/>
    <w:rsid w:val="005E79C6"/>
    <w:rsid w:val="005E79DC"/>
    <w:rsid w:val="005E7B0B"/>
    <w:rsid w:val="005E7B25"/>
    <w:rsid w:val="005E7BB3"/>
    <w:rsid w:val="005E7C8C"/>
    <w:rsid w:val="005E7CB2"/>
    <w:rsid w:val="005E7D95"/>
    <w:rsid w:val="005E7E0A"/>
    <w:rsid w:val="005E7E16"/>
    <w:rsid w:val="005E7EBE"/>
    <w:rsid w:val="005E7EF8"/>
    <w:rsid w:val="005E7F0E"/>
    <w:rsid w:val="005F00DE"/>
    <w:rsid w:val="005F0119"/>
    <w:rsid w:val="005F0303"/>
    <w:rsid w:val="005F03EA"/>
    <w:rsid w:val="005F057A"/>
    <w:rsid w:val="005F05E3"/>
    <w:rsid w:val="005F0698"/>
    <w:rsid w:val="005F06F6"/>
    <w:rsid w:val="005F07DC"/>
    <w:rsid w:val="005F07E7"/>
    <w:rsid w:val="005F087A"/>
    <w:rsid w:val="005F0A08"/>
    <w:rsid w:val="005F0A7A"/>
    <w:rsid w:val="005F0AA6"/>
    <w:rsid w:val="005F0AAE"/>
    <w:rsid w:val="005F0B30"/>
    <w:rsid w:val="005F0B6F"/>
    <w:rsid w:val="005F0C41"/>
    <w:rsid w:val="005F0C53"/>
    <w:rsid w:val="005F0CF7"/>
    <w:rsid w:val="005F0D02"/>
    <w:rsid w:val="005F0D2F"/>
    <w:rsid w:val="005F0E0B"/>
    <w:rsid w:val="005F0EDB"/>
    <w:rsid w:val="005F0F3D"/>
    <w:rsid w:val="005F0FA8"/>
    <w:rsid w:val="005F0FA9"/>
    <w:rsid w:val="005F0FE8"/>
    <w:rsid w:val="005F105A"/>
    <w:rsid w:val="005F105B"/>
    <w:rsid w:val="005F1077"/>
    <w:rsid w:val="005F107D"/>
    <w:rsid w:val="005F11F5"/>
    <w:rsid w:val="005F1259"/>
    <w:rsid w:val="005F125D"/>
    <w:rsid w:val="005F1326"/>
    <w:rsid w:val="005F134D"/>
    <w:rsid w:val="005F139A"/>
    <w:rsid w:val="005F13E3"/>
    <w:rsid w:val="005F1450"/>
    <w:rsid w:val="005F1473"/>
    <w:rsid w:val="005F14FC"/>
    <w:rsid w:val="005F1586"/>
    <w:rsid w:val="005F1599"/>
    <w:rsid w:val="005F15C2"/>
    <w:rsid w:val="005F164D"/>
    <w:rsid w:val="005F176A"/>
    <w:rsid w:val="005F188C"/>
    <w:rsid w:val="005F19A7"/>
    <w:rsid w:val="005F19B2"/>
    <w:rsid w:val="005F19C9"/>
    <w:rsid w:val="005F19FC"/>
    <w:rsid w:val="005F1A79"/>
    <w:rsid w:val="005F1A86"/>
    <w:rsid w:val="005F1AA5"/>
    <w:rsid w:val="005F1B30"/>
    <w:rsid w:val="005F1B3E"/>
    <w:rsid w:val="005F1B4D"/>
    <w:rsid w:val="005F1D2A"/>
    <w:rsid w:val="005F1D71"/>
    <w:rsid w:val="005F1DB6"/>
    <w:rsid w:val="005F1E82"/>
    <w:rsid w:val="005F1EE1"/>
    <w:rsid w:val="005F1F4E"/>
    <w:rsid w:val="005F1F8A"/>
    <w:rsid w:val="005F1FE9"/>
    <w:rsid w:val="005F1FF3"/>
    <w:rsid w:val="005F20F0"/>
    <w:rsid w:val="005F217F"/>
    <w:rsid w:val="005F2202"/>
    <w:rsid w:val="005F22FE"/>
    <w:rsid w:val="005F233B"/>
    <w:rsid w:val="005F2364"/>
    <w:rsid w:val="005F23B1"/>
    <w:rsid w:val="005F2494"/>
    <w:rsid w:val="005F24BB"/>
    <w:rsid w:val="005F24BF"/>
    <w:rsid w:val="005F2557"/>
    <w:rsid w:val="005F269A"/>
    <w:rsid w:val="005F270C"/>
    <w:rsid w:val="005F271D"/>
    <w:rsid w:val="005F28C7"/>
    <w:rsid w:val="005F28E5"/>
    <w:rsid w:val="005F299F"/>
    <w:rsid w:val="005F29CB"/>
    <w:rsid w:val="005F29DE"/>
    <w:rsid w:val="005F2A5F"/>
    <w:rsid w:val="005F2B03"/>
    <w:rsid w:val="005F2B51"/>
    <w:rsid w:val="005F2BFF"/>
    <w:rsid w:val="005F2C1F"/>
    <w:rsid w:val="005F2C89"/>
    <w:rsid w:val="005F2DB0"/>
    <w:rsid w:val="005F2DF4"/>
    <w:rsid w:val="005F2F36"/>
    <w:rsid w:val="005F2F77"/>
    <w:rsid w:val="005F2FBE"/>
    <w:rsid w:val="005F30BD"/>
    <w:rsid w:val="005F30DA"/>
    <w:rsid w:val="005F3121"/>
    <w:rsid w:val="005F3246"/>
    <w:rsid w:val="005F329D"/>
    <w:rsid w:val="005F32C3"/>
    <w:rsid w:val="005F33A2"/>
    <w:rsid w:val="005F33F1"/>
    <w:rsid w:val="005F3439"/>
    <w:rsid w:val="005F3456"/>
    <w:rsid w:val="005F3466"/>
    <w:rsid w:val="005F34F2"/>
    <w:rsid w:val="005F3597"/>
    <w:rsid w:val="005F35E7"/>
    <w:rsid w:val="005F35F1"/>
    <w:rsid w:val="005F3629"/>
    <w:rsid w:val="005F3640"/>
    <w:rsid w:val="005F36F6"/>
    <w:rsid w:val="005F385F"/>
    <w:rsid w:val="005F387D"/>
    <w:rsid w:val="005F3919"/>
    <w:rsid w:val="005F395C"/>
    <w:rsid w:val="005F39F9"/>
    <w:rsid w:val="005F3ADE"/>
    <w:rsid w:val="005F3CF1"/>
    <w:rsid w:val="005F3D06"/>
    <w:rsid w:val="005F3D3C"/>
    <w:rsid w:val="005F3D6A"/>
    <w:rsid w:val="005F3E9C"/>
    <w:rsid w:val="005F3EC0"/>
    <w:rsid w:val="005F3F88"/>
    <w:rsid w:val="005F3F99"/>
    <w:rsid w:val="005F4027"/>
    <w:rsid w:val="005F4034"/>
    <w:rsid w:val="005F4050"/>
    <w:rsid w:val="005F40EB"/>
    <w:rsid w:val="005F4161"/>
    <w:rsid w:val="005F4200"/>
    <w:rsid w:val="005F4287"/>
    <w:rsid w:val="005F42ED"/>
    <w:rsid w:val="005F433D"/>
    <w:rsid w:val="005F4405"/>
    <w:rsid w:val="005F44AA"/>
    <w:rsid w:val="005F4768"/>
    <w:rsid w:val="005F4812"/>
    <w:rsid w:val="005F48AE"/>
    <w:rsid w:val="005F4956"/>
    <w:rsid w:val="005F49F8"/>
    <w:rsid w:val="005F4A4B"/>
    <w:rsid w:val="005F4A84"/>
    <w:rsid w:val="005F4A87"/>
    <w:rsid w:val="005F4B1D"/>
    <w:rsid w:val="005F4B8C"/>
    <w:rsid w:val="005F4C03"/>
    <w:rsid w:val="005F4C80"/>
    <w:rsid w:val="005F4D6D"/>
    <w:rsid w:val="005F4DC4"/>
    <w:rsid w:val="005F4E03"/>
    <w:rsid w:val="005F4E09"/>
    <w:rsid w:val="005F4ECE"/>
    <w:rsid w:val="005F4FC6"/>
    <w:rsid w:val="005F509D"/>
    <w:rsid w:val="005F50B1"/>
    <w:rsid w:val="005F5341"/>
    <w:rsid w:val="005F53F0"/>
    <w:rsid w:val="005F5417"/>
    <w:rsid w:val="005F5455"/>
    <w:rsid w:val="005F5457"/>
    <w:rsid w:val="005F548A"/>
    <w:rsid w:val="005F54A9"/>
    <w:rsid w:val="005F550D"/>
    <w:rsid w:val="005F551F"/>
    <w:rsid w:val="005F55E0"/>
    <w:rsid w:val="005F55E4"/>
    <w:rsid w:val="005F55FD"/>
    <w:rsid w:val="005F56AF"/>
    <w:rsid w:val="005F56FB"/>
    <w:rsid w:val="005F578C"/>
    <w:rsid w:val="005F57C3"/>
    <w:rsid w:val="005F587C"/>
    <w:rsid w:val="005F5917"/>
    <w:rsid w:val="005F592F"/>
    <w:rsid w:val="005F5966"/>
    <w:rsid w:val="005F5982"/>
    <w:rsid w:val="005F59AA"/>
    <w:rsid w:val="005F59F9"/>
    <w:rsid w:val="005F5A23"/>
    <w:rsid w:val="005F5B51"/>
    <w:rsid w:val="005F5B52"/>
    <w:rsid w:val="005F5C38"/>
    <w:rsid w:val="005F5C98"/>
    <w:rsid w:val="005F5CB5"/>
    <w:rsid w:val="005F5D0E"/>
    <w:rsid w:val="005F5D2F"/>
    <w:rsid w:val="005F5D6A"/>
    <w:rsid w:val="005F5D70"/>
    <w:rsid w:val="005F5DD2"/>
    <w:rsid w:val="005F5E31"/>
    <w:rsid w:val="005F5ED7"/>
    <w:rsid w:val="005F5EF2"/>
    <w:rsid w:val="005F5FC0"/>
    <w:rsid w:val="005F605B"/>
    <w:rsid w:val="005F60BA"/>
    <w:rsid w:val="005F60DD"/>
    <w:rsid w:val="005F612F"/>
    <w:rsid w:val="005F614E"/>
    <w:rsid w:val="005F6167"/>
    <w:rsid w:val="005F61EB"/>
    <w:rsid w:val="005F623D"/>
    <w:rsid w:val="005F6310"/>
    <w:rsid w:val="005F6356"/>
    <w:rsid w:val="005F6358"/>
    <w:rsid w:val="005F643D"/>
    <w:rsid w:val="005F64A9"/>
    <w:rsid w:val="005F65F3"/>
    <w:rsid w:val="005F6634"/>
    <w:rsid w:val="005F6654"/>
    <w:rsid w:val="005F66B1"/>
    <w:rsid w:val="005F67CC"/>
    <w:rsid w:val="005F6820"/>
    <w:rsid w:val="005F688B"/>
    <w:rsid w:val="005F68EA"/>
    <w:rsid w:val="005F69AA"/>
    <w:rsid w:val="005F69B5"/>
    <w:rsid w:val="005F6A3C"/>
    <w:rsid w:val="005F6ABE"/>
    <w:rsid w:val="005F6B16"/>
    <w:rsid w:val="005F6BFE"/>
    <w:rsid w:val="005F6C9C"/>
    <w:rsid w:val="005F6D61"/>
    <w:rsid w:val="005F6DB5"/>
    <w:rsid w:val="005F6E1D"/>
    <w:rsid w:val="005F6E72"/>
    <w:rsid w:val="005F6ED4"/>
    <w:rsid w:val="005F6EFD"/>
    <w:rsid w:val="005F6F1F"/>
    <w:rsid w:val="005F6F33"/>
    <w:rsid w:val="005F6F93"/>
    <w:rsid w:val="005F700F"/>
    <w:rsid w:val="005F7044"/>
    <w:rsid w:val="005F7070"/>
    <w:rsid w:val="005F713A"/>
    <w:rsid w:val="005F71DF"/>
    <w:rsid w:val="005F72DA"/>
    <w:rsid w:val="005F7365"/>
    <w:rsid w:val="005F73BC"/>
    <w:rsid w:val="005F73BF"/>
    <w:rsid w:val="005F74F4"/>
    <w:rsid w:val="005F74F8"/>
    <w:rsid w:val="005F7519"/>
    <w:rsid w:val="005F75BE"/>
    <w:rsid w:val="005F7661"/>
    <w:rsid w:val="005F7754"/>
    <w:rsid w:val="005F77A7"/>
    <w:rsid w:val="005F7845"/>
    <w:rsid w:val="005F7BDB"/>
    <w:rsid w:val="005F7C4F"/>
    <w:rsid w:val="005F7C98"/>
    <w:rsid w:val="005F7CC7"/>
    <w:rsid w:val="005F7E0A"/>
    <w:rsid w:val="005F7E17"/>
    <w:rsid w:val="005F7E4E"/>
    <w:rsid w:val="005F7EEF"/>
    <w:rsid w:val="005F7FC4"/>
    <w:rsid w:val="005F7FE1"/>
    <w:rsid w:val="0060004D"/>
    <w:rsid w:val="00600052"/>
    <w:rsid w:val="006000AA"/>
    <w:rsid w:val="006000BD"/>
    <w:rsid w:val="00600143"/>
    <w:rsid w:val="00600164"/>
    <w:rsid w:val="00600175"/>
    <w:rsid w:val="006001D7"/>
    <w:rsid w:val="00600262"/>
    <w:rsid w:val="0060036E"/>
    <w:rsid w:val="0060041B"/>
    <w:rsid w:val="006004B7"/>
    <w:rsid w:val="006004DC"/>
    <w:rsid w:val="0060058B"/>
    <w:rsid w:val="00600636"/>
    <w:rsid w:val="00600658"/>
    <w:rsid w:val="0060080F"/>
    <w:rsid w:val="00600875"/>
    <w:rsid w:val="006008D2"/>
    <w:rsid w:val="006008D6"/>
    <w:rsid w:val="006009B3"/>
    <w:rsid w:val="00600B10"/>
    <w:rsid w:val="00600CA0"/>
    <w:rsid w:val="00600D5C"/>
    <w:rsid w:val="00600DBC"/>
    <w:rsid w:val="00600E1E"/>
    <w:rsid w:val="00600E20"/>
    <w:rsid w:val="00600E8A"/>
    <w:rsid w:val="00600ED3"/>
    <w:rsid w:val="006010C8"/>
    <w:rsid w:val="00601160"/>
    <w:rsid w:val="00601180"/>
    <w:rsid w:val="006011FA"/>
    <w:rsid w:val="00601244"/>
    <w:rsid w:val="00601437"/>
    <w:rsid w:val="006014A2"/>
    <w:rsid w:val="006014BE"/>
    <w:rsid w:val="006015A1"/>
    <w:rsid w:val="00601621"/>
    <w:rsid w:val="006019D1"/>
    <w:rsid w:val="00601A67"/>
    <w:rsid w:val="00601AED"/>
    <w:rsid w:val="00601B86"/>
    <w:rsid w:val="00601BB5"/>
    <w:rsid w:val="00601C7D"/>
    <w:rsid w:val="00601C97"/>
    <w:rsid w:val="00601D18"/>
    <w:rsid w:val="00601D27"/>
    <w:rsid w:val="00601E2A"/>
    <w:rsid w:val="00601E35"/>
    <w:rsid w:val="00601EF9"/>
    <w:rsid w:val="00602040"/>
    <w:rsid w:val="0060219D"/>
    <w:rsid w:val="006022E9"/>
    <w:rsid w:val="006023B2"/>
    <w:rsid w:val="006023C5"/>
    <w:rsid w:val="0060255C"/>
    <w:rsid w:val="0060256E"/>
    <w:rsid w:val="00602589"/>
    <w:rsid w:val="0060264F"/>
    <w:rsid w:val="00602661"/>
    <w:rsid w:val="0060269C"/>
    <w:rsid w:val="00602750"/>
    <w:rsid w:val="006027AA"/>
    <w:rsid w:val="006027B1"/>
    <w:rsid w:val="006028B9"/>
    <w:rsid w:val="006028C1"/>
    <w:rsid w:val="00602910"/>
    <w:rsid w:val="00602926"/>
    <w:rsid w:val="0060293C"/>
    <w:rsid w:val="0060299F"/>
    <w:rsid w:val="00602A96"/>
    <w:rsid w:val="00602B06"/>
    <w:rsid w:val="00602B8A"/>
    <w:rsid w:val="00602C4F"/>
    <w:rsid w:val="00602D42"/>
    <w:rsid w:val="00602DCE"/>
    <w:rsid w:val="00602DD5"/>
    <w:rsid w:val="00602DDE"/>
    <w:rsid w:val="00602E04"/>
    <w:rsid w:val="00602E18"/>
    <w:rsid w:val="00602E9B"/>
    <w:rsid w:val="00602F13"/>
    <w:rsid w:val="0060303D"/>
    <w:rsid w:val="00603072"/>
    <w:rsid w:val="0060316B"/>
    <w:rsid w:val="00603187"/>
    <w:rsid w:val="0060318E"/>
    <w:rsid w:val="006031BD"/>
    <w:rsid w:val="00603221"/>
    <w:rsid w:val="006033AD"/>
    <w:rsid w:val="00603497"/>
    <w:rsid w:val="006034A6"/>
    <w:rsid w:val="006034B1"/>
    <w:rsid w:val="00603526"/>
    <w:rsid w:val="00603572"/>
    <w:rsid w:val="0060368E"/>
    <w:rsid w:val="006037E2"/>
    <w:rsid w:val="00603863"/>
    <w:rsid w:val="00603899"/>
    <w:rsid w:val="0060395F"/>
    <w:rsid w:val="006039C2"/>
    <w:rsid w:val="00603A6A"/>
    <w:rsid w:val="00603ACA"/>
    <w:rsid w:val="00603BEE"/>
    <w:rsid w:val="00603C70"/>
    <w:rsid w:val="00603CA0"/>
    <w:rsid w:val="00603DF8"/>
    <w:rsid w:val="00603E0C"/>
    <w:rsid w:val="00603F7B"/>
    <w:rsid w:val="00603F90"/>
    <w:rsid w:val="00603F93"/>
    <w:rsid w:val="00603FB8"/>
    <w:rsid w:val="00603FC0"/>
    <w:rsid w:val="00603FCC"/>
    <w:rsid w:val="0060401D"/>
    <w:rsid w:val="0060407D"/>
    <w:rsid w:val="006040B4"/>
    <w:rsid w:val="00604115"/>
    <w:rsid w:val="00604163"/>
    <w:rsid w:val="0060417D"/>
    <w:rsid w:val="006041DB"/>
    <w:rsid w:val="006042AD"/>
    <w:rsid w:val="00604336"/>
    <w:rsid w:val="0060437C"/>
    <w:rsid w:val="00604409"/>
    <w:rsid w:val="00604449"/>
    <w:rsid w:val="006045FC"/>
    <w:rsid w:val="006046EC"/>
    <w:rsid w:val="00604702"/>
    <w:rsid w:val="0060484E"/>
    <w:rsid w:val="00604872"/>
    <w:rsid w:val="0060487B"/>
    <w:rsid w:val="00604887"/>
    <w:rsid w:val="006048A6"/>
    <w:rsid w:val="00604979"/>
    <w:rsid w:val="00604A83"/>
    <w:rsid w:val="00604BC2"/>
    <w:rsid w:val="00604D79"/>
    <w:rsid w:val="00604DEA"/>
    <w:rsid w:val="00604EF2"/>
    <w:rsid w:val="00605017"/>
    <w:rsid w:val="0060502F"/>
    <w:rsid w:val="00605049"/>
    <w:rsid w:val="00605156"/>
    <w:rsid w:val="00605201"/>
    <w:rsid w:val="006052EC"/>
    <w:rsid w:val="0060540B"/>
    <w:rsid w:val="00605410"/>
    <w:rsid w:val="00605472"/>
    <w:rsid w:val="006054BD"/>
    <w:rsid w:val="0060566A"/>
    <w:rsid w:val="0060586D"/>
    <w:rsid w:val="006058AA"/>
    <w:rsid w:val="006058E4"/>
    <w:rsid w:val="006058EE"/>
    <w:rsid w:val="0060594D"/>
    <w:rsid w:val="00605951"/>
    <w:rsid w:val="006059FD"/>
    <w:rsid w:val="00605A7F"/>
    <w:rsid w:val="00605BB3"/>
    <w:rsid w:val="00605BCE"/>
    <w:rsid w:val="00605C38"/>
    <w:rsid w:val="00605C50"/>
    <w:rsid w:val="00605C75"/>
    <w:rsid w:val="00605CF4"/>
    <w:rsid w:val="00605E5C"/>
    <w:rsid w:val="00605E9D"/>
    <w:rsid w:val="00605F35"/>
    <w:rsid w:val="00606141"/>
    <w:rsid w:val="006061DA"/>
    <w:rsid w:val="006062BD"/>
    <w:rsid w:val="0060657F"/>
    <w:rsid w:val="006065BE"/>
    <w:rsid w:val="006065D2"/>
    <w:rsid w:val="0060660D"/>
    <w:rsid w:val="00606654"/>
    <w:rsid w:val="0060671B"/>
    <w:rsid w:val="0060675C"/>
    <w:rsid w:val="0060679D"/>
    <w:rsid w:val="006067AD"/>
    <w:rsid w:val="00606820"/>
    <w:rsid w:val="00606854"/>
    <w:rsid w:val="00606922"/>
    <w:rsid w:val="00606941"/>
    <w:rsid w:val="00606976"/>
    <w:rsid w:val="00606A8D"/>
    <w:rsid w:val="00606B22"/>
    <w:rsid w:val="00606B71"/>
    <w:rsid w:val="00606BA7"/>
    <w:rsid w:val="00606C14"/>
    <w:rsid w:val="00606C8B"/>
    <w:rsid w:val="00606CEA"/>
    <w:rsid w:val="00606CFE"/>
    <w:rsid w:val="00606D7C"/>
    <w:rsid w:val="00606D8F"/>
    <w:rsid w:val="00606DE4"/>
    <w:rsid w:val="00606EAD"/>
    <w:rsid w:val="00606F28"/>
    <w:rsid w:val="00606F7F"/>
    <w:rsid w:val="00606FD8"/>
    <w:rsid w:val="00606FF1"/>
    <w:rsid w:val="00607133"/>
    <w:rsid w:val="0060714A"/>
    <w:rsid w:val="0060717E"/>
    <w:rsid w:val="0060720D"/>
    <w:rsid w:val="006072D5"/>
    <w:rsid w:val="0060739A"/>
    <w:rsid w:val="0060740E"/>
    <w:rsid w:val="00607546"/>
    <w:rsid w:val="00607676"/>
    <w:rsid w:val="00607712"/>
    <w:rsid w:val="00607741"/>
    <w:rsid w:val="00607819"/>
    <w:rsid w:val="00607830"/>
    <w:rsid w:val="00607865"/>
    <w:rsid w:val="006078E0"/>
    <w:rsid w:val="006078F2"/>
    <w:rsid w:val="00607910"/>
    <w:rsid w:val="006079C2"/>
    <w:rsid w:val="006079DE"/>
    <w:rsid w:val="00607A48"/>
    <w:rsid w:val="00607A78"/>
    <w:rsid w:val="00607AC8"/>
    <w:rsid w:val="00607BB2"/>
    <w:rsid w:val="00607BF5"/>
    <w:rsid w:val="00607BFE"/>
    <w:rsid w:val="00607CAE"/>
    <w:rsid w:val="00607D64"/>
    <w:rsid w:val="00607DDA"/>
    <w:rsid w:val="00607DFF"/>
    <w:rsid w:val="00607E00"/>
    <w:rsid w:val="00607E62"/>
    <w:rsid w:val="00607F3E"/>
    <w:rsid w:val="0061001C"/>
    <w:rsid w:val="006100A3"/>
    <w:rsid w:val="00610124"/>
    <w:rsid w:val="0061013A"/>
    <w:rsid w:val="0061019A"/>
    <w:rsid w:val="0061020D"/>
    <w:rsid w:val="00610257"/>
    <w:rsid w:val="006102EB"/>
    <w:rsid w:val="0061033F"/>
    <w:rsid w:val="00610360"/>
    <w:rsid w:val="006104A8"/>
    <w:rsid w:val="0061061C"/>
    <w:rsid w:val="006107DA"/>
    <w:rsid w:val="006107FA"/>
    <w:rsid w:val="0061086E"/>
    <w:rsid w:val="00610907"/>
    <w:rsid w:val="00610971"/>
    <w:rsid w:val="006109AB"/>
    <w:rsid w:val="00610A11"/>
    <w:rsid w:val="00610A40"/>
    <w:rsid w:val="00610BD2"/>
    <w:rsid w:val="00610C05"/>
    <w:rsid w:val="00610C2F"/>
    <w:rsid w:val="00610C7F"/>
    <w:rsid w:val="00610CDC"/>
    <w:rsid w:val="00610CE5"/>
    <w:rsid w:val="00610D39"/>
    <w:rsid w:val="00610E95"/>
    <w:rsid w:val="00610F2A"/>
    <w:rsid w:val="00610F5A"/>
    <w:rsid w:val="00611003"/>
    <w:rsid w:val="00611064"/>
    <w:rsid w:val="00611067"/>
    <w:rsid w:val="00611135"/>
    <w:rsid w:val="00611138"/>
    <w:rsid w:val="006111E7"/>
    <w:rsid w:val="0061137F"/>
    <w:rsid w:val="0061150A"/>
    <w:rsid w:val="0061155D"/>
    <w:rsid w:val="00611569"/>
    <w:rsid w:val="006115CF"/>
    <w:rsid w:val="00611617"/>
    <w:rsid w:val="006116A0"/>
    <w:rsid w:val="006116E3"/>
    <w:rsid w:val="00611880"/>
    <w:rsid w:val="006118B0"/>
    <w:rsid w:val="00611B12"/>
    <w:rsid w:val="00611C2C"/>
    <w:rsid w:val="00611C47"/>
    <w:rsid w:val="00611D9B"/>
    <w:rsid w:val="00611DAA"/>
    <w:rsid w:val="00611DDF"/>
    <w:rsid w:val="00611DF3"/>
    <w:rsid w:val="00611EA6"/>
    <w:rsid w:val="00611F47"/>
    <w:rsid w:val="00612013"/>
    <w:rsid w:val="006120B3"/>
    <w:rsid w:val="006120EA"/>
    <w:rsid w:val="00612107"/>
    <w:rsid w:val="006121B8"/>
    <w:rsid w:val="00612269"/>
    <w:rsid w:val="006123F6"/>
    <w:rsid w:val="006123FE"/>
    <w:rsid w:val="0061243B"/>
    <w:rsid w:val="0061246C"/>
    <w:rsid w:val="006124AC"/>
    <w:rsid w:val="0061258C"/>
    <w:rsid w:val="006125BD"/>
    <w:rsid w:val="0061263C"/>
    <w:rsid w:val="00612660"/>
    <w:rsid w:val="006126FA"/>
    <w:rsid w:val="0061274C"/>
    <w:rsid w:val="006127D4"/>
    <w:rsid w:val="00612961"/>
    <w:rsid w:val="006129BF"/>
    <w:rsid w:val="00612AB7"/>
    <w:rsid w:val="00612AE5"/>
    <w:rsid w:val="00612B11"/>
    <w:rsid w:val="00612C74"/>
    <w:rsid w:val="00612E42"/>
    <w:rsid w:val="00612E64"/>
    <w:rsid w:val="00612EFD"/>
    <w:rsid w:val="00612F57"/>
    <w:rsid w:val="006130B4"/>
    <w:rsid w:val="006131F5"/>
    <w:rsid w:val="0061323C"/>
    <w:rsid w:val="0061324E"/>
    <w:rsid w:val="006132C1"/>
    <w:rsid w:val="00613301"/>
    <w:rsid w:val="00613373"/>
    <w:rsid w:val="006133A4"/>
    <w:rsid w:val="00613428"/>
    <w:rsid w:val="0061346D"/>
    <w:rsid w:val="00613560"/>
    <w:rsid w:val="0061365E"/>
    <w:rsid w:val="006137FA"/>
    <w:rsid w:val="00613805"/>
    <w:rsid w:val="0061391C"/>
    <w:rsid w:val="00613945"/>
    <w:rsid w:val="006139A4"/>
    <w:rsid w:val="006139B2"/>
    <w:rsid w:val="00613A1B"/>
    <w:rsid w:val="00613ABE"/>
    <w:rsid w:val="00613B65"/>
    <w:rsid w:val="00613B6E"/>
    <w:rsid w:val="00613B94"/>
    <w:rsid w:val="00613BD6"/>
    <w:rsid w:val="00613CC6"/>
    <w:rsid w:val="00613D82"/>
    <w:rsid w:val="00613E65"/>
    <w:rsid w:val="006140A4"/>
    <w:rsid w:val="006140FC"/>
    <w:rsid w:val="00614147"/>
    <w:rsid w:val="00614158"/>
    <w:rsid w:val="00614176"/>
    <w:rsid w:val="006141F4"/>
    <w:rsid w:val="00614375"/>
    <w:rsid w:val="006143A9"/>
    <w:rsid w:val="00614442"/>
    <w:rsid w:val="00614459"/>
    <w:rsid w:val="0061445E"/>
    <w:rsid w:val="0061445F"/>
    <w:rsid w:val="006144DE"/>
    <w:rsid w:val="0061450E"/>
    <w:rsid w:val="00614602"/>
    <w:rsid w:val="00614641"/>
    <w:rsid w:val="0061472C"/>
    <w:rsid w:val="00614748"/>
    <w:rsid w:val="0061477E"/>
    <w:rsid w:val="006147CB"/>
    <w:rsid w:val="00614A41"/>
    <w:rsid w:val="00614AAA"/>
    <w:rsid w:val="00614ACB"/>
    <w:rsid w:val="00614B06"/>
    <w:rsid w:val="00614B14"/>
    <w:rsid w:val="00614B70"/>
    <w:rsid w:val="00614B95"/>
    <w:rsid w:val="00614C51"/>
    <w:rsid w:val="00614CD6"/>
    <w:rsid w:val="00614D35"/>
    <w:rsid w:val="00614E33"/>
    <w:rsid w:val="00614E4A"/>
    <w:rsid w:val="00614E7A"/>
    <w:rsid w:val="00614E9C"/>
    <w:rsid w:val="00614ECE"/>
    <w:rsid w:val="00614F14"/>
    <w:rsid w:val="006151C6"/>
    <w:rsid w:val="006151E0"/>
    <w:rsid w:val="0061525B"/>
    <w:rsid w:val="006153D5"/>
    <w:rsid w:val="00615459"/>
    <w:rsid w:val="0061573C"/>
    <w:rsid w:val="00615832"/>
    <w:rsid w:val="006159E6"/>
    <w:rsid w:val="006159F6"/>
    <w:rsid w:val="00615A57"/>
    <w:rsid w:val="00615A6B"/>
    <w:rsid w:val="00615ADE"/>
    <w:rsid w:val="00615B77"/>
    <w:rsid w:val="00615B91"/>
    <w:rsid w:val="00615BD4"/>
    <w:rsid w:val="00615BEF"/>
    <w:rsid w:val="00615CF1"/>
    <w:rsid w:val="00615D29"/>
    <w:rsid w:val="00615D76"/>
    <w:rsid w:val="00615DA9"/>
    <w:rsid w:val="00615E26"/>
    <w:rsid w:val="00615FE1"/>
    <w:rsid w:val="00616049"/>
    <w:rsid w:val="00616061"/>
    <w:rsid w:val="006161D9"/>
    <w:rsid w:val="0061626C"/>
    <w:rsid w:val="00616286"/>
    <w:rsid w:val="006162F8"/>
    <w:rsid w:val="00616485"/>
    <w:rsid w:val="006164BE"/>
    <w:rsid w:val="006164F3"/>
    <w:rsid w:val="0061656A"/>
    <w:rsid w:val="0061657C"/>
    <w:rsid w:val="006165B7"/>
    <w:rsid w:val="0061661E"/>
    <w:rsid w:val="00616693"/>
    <w:rsid w:val="00616785"/>
    <w:rsid w:val="00616816"/>
    <w:rsid w:val="00616837"/>
    <w:rsid w:val="0061698A"/>
    <w:rsid w:val="00616993"/>
    <w:rsid w:val="00616A15"/>
    <w:rsid w:val="00616AA4"/>
    <w:rsid w:val="00616BB7"/>
    <w:rsid w:val="00616CB8"/>
    <w:rsid w:val="00616CF5"/>
    <w:rsid w:val="00616D5C"/>
    <w:rsid w:val="00616DCD"/>
    <w:rsid w:val="00616DE1"/>
    <w:rsid w:val="00616E0D"/>
    <w:rsid w:val="00616EDE"/>
    <w:rsid w:val="00616F66"/>
    <w:rsid w:val="00617007"/>
    <w:rsid w:val="00617012"/>
    <w:rsid w:val="0061706A"/>
    <w:rsid w:val="006170B3"/>
    <w:rsid w:val="00617129"/>
    <w:rsid w:val="00617160"/>
    <w:rsid w:val="00617163"/>
    <w:rsid w:val="006171C9"/>
    <w:rsid w:val="00617243"/>
    <w:rsid w:val="0061730C"/>
    <w:rsid w:val="00617318"/>
    <w:rsid w:val="0061740E"/>
    <w:rsid w:val="00617418"/>
    <w:rsid w:val="00617449"/>
    <w:rsid w:val="0061744B"/>
    <w:rsid w:val="0061744C"/>
    <w:rsid w:val="00617473"/>
    <w:rsid w:val="006174AC"/>
    <w:rsid w:val="0061764A"/>
    <w:rsid w:val="00617653"/>
    <w:rsid w:val="0061766F"/>
    <w:rsid w:val="0061768B"/>
    <w:rsid w:val="006176B8"/>
    <w:rsid w:val="0061779D"/>
    <w:rsid w:val="006177CC"/>
    <w:rsid w:val="0061780A"/>
    <w:rsid w:val="006179A4"/>
    <w:rsid w:val="006179B1"/>
    <w:rsid w:val="006179F9"/>
    <w:rsid w:val="00617CF0"/>
    <w:rsid w:val="00617D2B"/>
    <w:rsid w:val="00617E85"/>
    <w:rsid w:val="00617F7B"/>
    <w:rsid w:val="006200B8"/>
    <w:rsid w:val="00620119"/>
    <w:rsid w:val="00620164"/>
    <w:rsid w:val="006201C1"/>
    <w:rsid w:val="006201D9"/>
    <w:rsid w:val="006202AF"/>
    <w:rsid w:val="006202E4"/>
    <w:rsid w:val="00620305"/>
    <w:rsid w:val="006203E4"/>
    <w:rsid w:val="00620684"/>
    <w:rsid w:val="0062069D"/>
    <w:rsid w:val="006206F8"/>
    <w:rsid w:val="00620787"/>
    <w:rsid w:val="006207C1"/>
    <w:rsid w:val="006207F9"/>
    <w:rsid w:val="006208C9"/>
    <w:rsid w:val="006208D5"/>
    <w:rsid w:val="00620951"/>
    <w:rsid w:val="006209F9"/>
    <w:rsid w:val="00620BBC"/>
    <w:rsid w:val="00620C40"/>
    <w:rsid w:val="00620DFA"/>
    <w:rsid w:val="00620E66"/>
    <w:rsid w:val="00620F0C"/>
    <w:rsid w:val="00620F79"/>
    <w:rsid w:val="00620FC7"/>
    <w:rsid w:val="0062104B"/>
    <w:rsid w:val="006210C8"/>
    <w:rsid w:val="0062117F"/>
    <w:rsid w:val="006211A7"/>
    <w:rsid w:val="00621218"/>
    <w:rsid w:val="006212E9"/>
    <w:rsid w:val="0062138B"/>
    <w:rsid w:val="00621398"/>
    <w:rsid w:val="006213AC"/>
    <w:rsid w:val="006213B5"/>
    <w:rsid w:val="006213C0"/>
    <w:rsid w:val="006213D5"/>
    <w:rsid w:val="00621400"/>
    <w:rsid w:val="00621405"/>
    <w:rsid w:val="0062151F"/>
    <w:rsid w:val="006215F2"/>
    <w:rsid w:val="006216A5"/>
    <w:rsid w:val="00621751"/>
    <w:rsid w:val="00621780"/>
    <w:rsid w:val="006217A9"/>
    <w:rsid w:val="006217DB"/>
    <w:rsid w:val="00621828"/>
    <w:rsid w:val="006218A4"/>
    <w:rsid w:val="006218C4"/>
    <w:rsid w:val="006218DD"/>
    <w:rsid w:val="00621B87"/>
    <w:rsid w:val="00621B96"/>
    <w:rsid w:val="00621BC4"/>
    <w:rsid w:val="00621BDE"/>
    <w:rsid w:val="00621BFC"/>
    <w:rsid w:val="00621C2F"/>
    <w:rsid w:val="00621CA6"/>
    <w:rsid w:val="00621DD1"/>
    <w:rsid w:val="00621F30"/>
    <w:rsid w:val="00621F97"/>
    <w:rsid w:val="00621FB4"/>
    <w:rsid w:val="0062207D"/>
    <w:rsid w:val="0062210B"/>
    <w:rsid w:val="006221C3"/>
    <w:rsid w:val="0062224B"/>
    <w:rsid w:val="0062233D"/>
    <w:rsid w:val="00622653"/>
    <w:rsid w:val="0062273C"/>
    <w:rsid w:val="0062278A"/>
    <w:rsid w:val="00622870"/>
    <w:rsid w:val="00622892"/>
    <w:rsid w:val="0062290A"/>
    <w:rsid w:val="006229EB"/>
    <w:rsid w:val="00622A3A"/>
    <w:rsid w:val="00622B21"/>
    <w:rsid w:val="00622B78"/>
    <w:rsid w:val="00622B97"/>
    <w:rsid w:val="00622D0B"/>
    <w:rsid w:val="00622DAA"/>
    <w:rsid w:val="00622DB3"/>
    <w:rsid w:val="00622DCE"/>
    <w:rsid w:val="00622E25"/>
    <w:rsid w:val="00622FDD"/>
    <w:rsid w:val="0062301A"/>
    <w:rsid w:val="00623274"/>
    <w:rsid w:val="006232D0"/>
    <w:rsid w:val="006232DB"/>
    <w:rsid w:val="006232FB"/>
    <w:rsid w:val="00623350"/>
    <w:rsid w:val="0062357A"/>
    <w:rsid w:val="00623606"/>
    <w:rsid w:val="006236F4"/>
    <w:rsid w:val="00623773"/>
    <w:rsid w:val="00623845"/>
    <w:rsid w:val="00623859"/>
    <w:rsid w:val="00623A1C"/>
    <w:rsid w:val="00623B0E"/>
    <w:rsid w:val="00623CF6"/>
    <w:rsid w:val="00623E35"/>
    <w:rsid w:val="00623E8A"/>
    <w:rsid w:val="00623EDC"/>
    <w:rsid w:val="00623FAA"/>
    <w:rsid w:val="00624057"/>
    <w:rsid w:val="006240CC"/>
    <w:rsid w:val="00624105"/>
    <w:rsid w:val="006241B3"/>
    <w:rsid w:val="00624268"/>
    <w:rsid w:val="006242FC"/>
    <w:rsid w:val="00624311"/>
    <w:rsid w:val="00624373"/>
    <w:rsid w:val="006243AA"/>
    <w:rsid w:val="006243C7"/>
    <w:rsid w:val="006243F3"/>
    <w:rsid w:val="006244CA"/>
    <w:rsid w:val="006245D0"/>
    <w:rsid w:val="006246B3"/>
    <w:rsid w:val="006247A9"/>
    <w:rsid w:val="00624858"/>
    <w:rsid w:val="0062488D"/>
    <w:rsid w:val="0062494A"/>
    <w:rsid w:val="006249FC"/>
    <w:rsid w:val="00624A2D"/>
    <w:rsid w:val="00624AA6"/>
    <w:rsid w:val="00624B14"/>
    <w:rsid w:val="00624BA8"/>
    <w:rsid w:val="00624C62"/>
    <w:rsid w:val="00624C6A"/>
    <w:rsid w:val="00624C8B"/>
    <w:rsid w:val="00624C96"/>
    <w:rsid w:val="00624D75"/>
    <w:rsid w:val="00624DC1"/>
    <w:rsid w:val="00624DF3"/>
    <w:rsid w:val="00624E5B"/>
    <w:rsid w:val="00624EA6"/>
    <w:rsid w:val="00624F6E"/>
    <w:rsid w:val="00624F8E"/>
    <w:rsid w:val="00624FF8"/>
    <w:rsid w:val="00625022"/>
    <w:rsid w:val="00625057"/>
    <w:rsid w:val="006250BD"/>
    <w:rsid w:val="00625269"/>
    <w:rsid w:val="006252E6"/>
    <w:rsid w:val="006252EE"/>
    <w:rsid w:val="00625390"/>
    <w:rsid w:val="006253D2"/>
    <w:rsid w:val="00625522"/>
    <w:rsid w:val="00625529"/>
    <w:rsid w:val="0062555A"/>
    <w:rsid w:val="006255C5"/>
    <w:rsid w:val="0062562B"/>
    <w:rsid w:val="006256A1"/>
    <w:rsid w:val="006257F4"/>
    <w:rsid w:val="00625829"/>
    <w:rsid w:val="00625A8A"/>
    <w:rsid w:val="00625BEE"/>
    <w:rsid w:val="00625C21"/>
    <w:rsid w:val="00625C84"/>
    <w:rsid w:val="00625CA3"/>
    <w:rsid w:val="00625D0E"/>
    <w:rsid w:val="00625DB5"/>
    <w:rsid w:val="00625DC7"/>
    <w:rsid w:val="00625DF6"/>
    <w:rsid w:val="00625E4B"/>
    <w:rsid w:val="00625E5A"/>
    <w:rsid w:val="00625EB5"/>
    <w:rsid w:val="00625FAC"/>
    <w:rsid w:val="0062600E"/>
    <w:rsid w:val="00626113"/>
    <w:rsid w:val="00626124"/>
    <w:rsid w:val="0062618C"/>
    <w:rsid w:val="006261BB"/>
    <w:rsid w:val="00626274"/>
    <w:rsid w:val="0062627E"/>
    <w:rsid w:val="0062638D"/>
    <w:rsid w:val="006264A0"/>
    <w:rsid w:val="006264A8"/>
    <w:rsid w:val="0062650C"/>
    <w:rsid w:val="006265BA"/>
    <w:rsid w:val="00626645"/>
    <w:rsid w:val="00626665"/>
    <w:rsid w:val="00626686"/>
    <w:rsid w:val="006266BD"/>
    <w:rsid w:val="00626724"/>
    <w:rsid w:val="0062672C"/>
    <w:rsid w:val="00626749"/>
    <w:rsid w:val="006267D2"/>
    <w:rsid w:val="006267E7"/>
    <w:rsid w:val="00626803"/>
    <w:rsid w:val="006269DE"/>
    <w:rsid w:val="00626A6E"/>
    <w:rsid w:val="00626ACB"/>
    <w:rsid w:val="00626B4D"/>
    <w:rsid w:val="00626BD7"/>
    <w:rsid w:val="00626CA3"/>
    <w:rsid w:val="00626CB7"/>
    <w:rsid w:val="00626CC6"/>
    <w:rsid w:val="00626DAE"/>
    <w:rsid w:val="00626DE5"/>
    <w:rsid w:val="00626E1A"/>
    <w:rsid w:val="00626F50"/>
    <w:rsid w:val="0062705E"/>
    <w:rsid w:val="00627174"/>
    <w:rsid w:val="006271B0"/>
    <w:rsid w:val="006271DD"/>
    <w:rsid w:val="006271E4"/>
    <w:rsid w:val="006272BA"/>
    <w:rsid w:val="006272D3"/>
    <w:rsid w:val="006273AD"/>
    <w:rsid w:val="00627421"/>
    <w:rsid w:val="00627452"/>
    <w:rsid w:val="00627481"/>
    <w:rsid w:val="0062758D"/>
    <w:rsid w:val="006275E6"/>
    <w:rsid w:val="00627652"/>
    <w:rsid w:val="006277DD"/>
    <w:rsid w:val="0062783B"/>
    <w:rsid w:val="00627880"/>
    <w:rsid w:val="00627909"/>
    <w:rsid w:val="00627927"/>
    <w:rsid w:val="00627981"/>
    <w:rsid w:val="006279C6"/>
    <w:rsid w:val="00627B44"/>
    <w:rsid w:val="00627C07"/>
    <w:rsid w:val="00627C79"/>
    <w:rsid w:val="00627CE8"/>
    <w:rsid w:val="00627D48"/>
    <w:rsid w:val="00627E13"/>
    <w:rsid w:val="00627E32"/>
    <w:rsid w:val="00627E39"/>
    <w:rsid w:val="00627F13"/>
    <w:rsid w:val="00627FC3"/>
    <w:rsid w:val="00627FCF"/>
    <w:rsid w:val="00630051"/>
    <w:rsid w:val="00630099"/>
    <w:rsid w:val="0063018A"/>
    <w:rsid w:val="006301CC"/>
    <w:rsid w:val="006301FF"/>
    <w:rsid w:val="00630235"/>
    <w:rsid w:val="00630272"/>
    <w:rsid w:val="006302FD"/>
    <w:rsid w:val="00630303"/>
    <w:rsid w:val="006303B4"/>
    <w:rsid w:val="006303C8"/>
    <w:rsid w:val="0063058A"/>
    <w:rsid w:val="0063058F"/>
    <w:rsid w:val="0063064C"/>
    <w:rsid w:val="00630760"/>
    <w:rsid w:val="0063084C"/>
    <w:rsid w:val="00630906"/>
    <w:rsid w:val="00630933"/>
    <w:rsid w:val="006309B2"/>
    <w:rsid w:val="006309EC"/>
    <w:rsid w:val="00630A17"/>
    <w:rsid w:val="00630AA1"/>
    <w:rsid w:val="00630B02"/>
    <w:rsid w:val="00630C53"/>
    <w:rsid w:val="00630CED"/>
    <w:rsid w:val="00630DB8"/>
    <w:rsid w:val="00630E0D"/>
    <w:rsid w:val="00630E23"/>
    <w:rsid w:val="00630EBE"/>
    <w:rsid w:val="00630F45"/>
    <w:rsid w:val="00630F4E"/>
    <w:rsid w:val="00630FA1"/>
    <w:rsid w:val="00631003"/>
    <w:rsid w:val="0063113D"/>
    <w:rsid w:val="006311BC"/>
    <w:rsid w:val="0063129C"/>
    <w:rsid w:val="006312AD"/>
    <w:rsid w:val="00631324"/>
    <w:rsid w:val="00631375"/>
    <w:rsid w:val="00631380"/>
    <w:rsid w:val="00631391"/>
    <w:rsid w:val="006313B1"/>
    <w:rsid w:val="006313B9"/>
    <w:rsid w:val="00631454"/>
    <w:rsid w:val="006314D1"/>
    <w:rsid w:val="0063153C"/>
    <w:rsid w:val="00631682"/>
    <w:rsid w:val="00631724"/>
    <w:rsid w:val="0063183A"/>
    <w:rsid w:val="0063188F"/>
    <w:rsid w:val="00631AD3"/>
    <w:rsid w:val="00631AF7"/>
    <w:rsid w:val="00631B70"/>
    <w:rsid w:val="00631B97"/>
    <w:rsid w:val="00631BA4"/>
    <w:rsid w:val="00631C32"/>
    <w:rsid w:val="00631C89"/>
    <w:rsid w:val="00631C98"/>
    <w:rsid w:val="00631D4B"/>
    <w:rsid w:val="00631E75"/>
    <w:rsid w:val="00631F2C"/>
    <w:rsid w:val="00631FC4"/>
    <w:rsid w:val="00632208"/>
    <w:rsid w:val="0063222E"/>
    <w:rsid w:val="00632244"/>
    <w:rsid w:val="00632286"/>
    <w:rsid w:val="006322E7"/>
    <w:rsid w:val="006322EF"/>
    <w:rsid w:val="0063236B"/>
    <w:rsid w:val="006323EF"/>
    <w:rsid w:val="0063257D"/>
    <w:rsid w:val="006325C3"/>
    <w:rsid w:val="00632640"/>
    <w:rsid w:val="006327FE"/>
    <w:rsid w:val="00632868"/>
    <w:rsid w:val="00632944"/>
    <w:rsid w:val="006329F2"/>
    <w:rsid w:val="00632AF4"/>
    <w:rsid w:val="00632C55"/>
    <w:rsid w:val="00632C5F"/>
    <w:rsid w:val="00632CCF"/>
    <w:rsid w:val="00632ED2"/>
    <w:rsid w:val="00632EFC"/>
    <w:rsid w:val="00632F16"/>
    <w:rsid w:val="00632F3C"/>
    <w:rsid w:val="00632FA9"/>
    <w:rsid w:val="0063306D"/>
    <w:rsid w:val="00633126"/>
    <w:rsid w:val="00633137"/>
    <w:rsid w:val="00633235"/>
    <w:rsid w:val="00633297"/>
    <w:rsid w:val="006332CB"/>
    <w:rsid w:val="00633303"/>
    <w:rsid w:val="0063349A"/>
    <w:rsid w:val="006334C3"/>
    <w:rsid w:val="00633631"/>
    <w:rsid w:val="00633637"/>
    <w:rsid w:val="006336A1"/>
    <w:rsid w:val="006336E9"/>
    <w:rsid w:val="006336EC"/>
    <w:rsid w:val="006337B3"/>
    <w:rsid w:val="0063382B"/>
    <w:rsid w:val="0063382F"/>
    <w:rsid w:val="00633920"/>
    <w:rsid w:val="00633996"/>
    <w:rsid w:val="006339B4"/>
    <w:rsid w:val="00633A01"/>
    <w:rsid w:val="00633ABE"/>
    <w:rsid w:val="00633B56"/>
    <w:rsid w:val="00633C73"/>
    <w:rsid w:val="00633C78"/>
    <w:rsid w:val="00633CAF"/>
    <w:rsid w:val="00633D24"/>
    <w:rsid w:val="00633DD6"/>
    <w:rsid w:val="00633E28"/>
    <w:rsid w:val="00634057"/>
    <w:rsid w:val="00634068"/>
    <w:rsid w:val="006340F1"/>
    <w:rsid w:val="0063410F"/>
    <w:rsid w:val="00634190"/>
    <w:rsid w:val="00634253"/>
    <w:rsid w:val="00634395"/>
    <w:rsid w:val="0063439D"/>
    <w:rsid w:val="006343A5"/>
    <w:rsid w:val="00634426"/>
    <w:rsid w:val="0063446E"/>
    <w:rsid w:val="00634503"/>
    <w:rsid w:val="0063454B"/>
    <w:rsid w:val="0063456B"/>
    <w:rsid w:val="00634603"/>
    <w:rsid w:val="00634687"/>
    <w:rsid w:val="00634735"/>
    <w:rsid w:val="00634A07"/>
    <w:rsid w:val="00634A53"/>
    <w:rsid w:val="00634B08"/>
    <w:rsid w:val="00634B28"/>
    <w:rsid w:val="00634C7D"/>
    <w:rsid w:val="00634CA5"/>
    <w:rsid w:val="00634D77"/>
    <w:rsid w:val="00634D9A"/>
    <w:rsid w:val="00634DDF"/>
    <w:rsid w:val="00634ECD"/>
    <w:rsid w:val="00634F65"/>
    <w:rsid w:val="00634F76"/>
    <w:rsid w:val="00634FB6"/>
    <w:rsid w:val="00634FEB"/>
    <w:rsid w:val="00635166"/>
    <w:rsid w:val="006351AD"/>
    <w:rsid w:val="006351C2"/>
    <w:rsid w:val="006352EB"/>
    <w:rsid w:val="006353A8"/>
    <w:rsid w:val="006353FF"/>
    <w:rsid w:val="0063545B"/>
    <w:rsid w:val="00635470"/>
    <w:rsid w:val="00635476"/>
    <w:rsid w:val="00635491"/>
    <w:rsid w:val="006354C0"/>
    <w:rsid w:val="00635552"/>
    <w:rsid w:val="00635575"/>
    <w:rsid w:val="00635578"/>
    <w:rsid w:val="006355D7"/>
    <w:rsid w:val="006355EB"/>
    <w:rsid w:val="0063564A"/>
    <w:rsid w:val="0063564D"/>
    <w:rsid w:val="0063568C"/>
    <w:rsid w:val="006356D9"/>
    <w:rsid w:val="00635761"/>
    <w:rsid w:val="0063582A"/>
    <w:rsid w:val="00635893"/>
    <w:rsid w:val="006358BA"/>
    <w:rsid w:val="00635953"/>
    <w:rsid w:val="00635986"/>
    <w:rsid w:val="00635992"/>
    <w:rsid w:val="006359BE"/>
    <w:rsid w:val="00635A2A"/>
    <w:rsid w:val="00635A36"/>
    <w:rsid w:val="00635AC7"/>
    <w:rsid w:val="00635B4F"/>
    <w:rsid w:val="00635B63"/>
    <w:rsid w:val="00635BA8"/>
    <w:rsid w:val="00635BE1"/>
    <w:rsid w:val="00635C6D"/>
    <w:rsid w:val="00635CC9"/>
    <w:rsid w:val="00635D76"/>
    <w:rsid w:val="00635DC9"/>
    <w:rsid w:val="00635EFE"/>
    <w:rsid w:val="00635F53"/>
    <w:rsid w:val="0063601C"/>
    <w:rsid w:val="00636024"/>
    <w:rsid w:val="00636165"/>
    <w:rsid w:val="006362A8"/>
    <w:rsid w:val="0063636B"/>
    <w:rsid w:val="00636478"/>
    <w:rsid w:val="00636494"/>
    <w:rsid w:val="006365C8"/>
    <w:rsid w:val="0063660B"/>
    <w:rsid w:val="006366B3"/>
    <w:rsid w:val="006366E6"/>
    <w:rsid w:val="006367A9"/>
    <w:rsid w:val="0063682A"/>
    <w:rsid w:val="00636946"/>
    <w:rsid w:val="006369FC"/>
    <w:rsid w:val="00636A33"/>
    <w:rsid w:val="00636A79"/>
    <w:rsid w:val="00636B43"/>
    <w:rsid w:val="00636B48"/>
    <w:rsid w:val="00636B50"/>
    <w:rsid w:val="00636BBA"/>
    <w:rsid w:val="00636C49"/>
    <w:rsid w:val="00636C95"/>
    <w:rsid w:val="00636CB5"/>
    <w:rsid w:val="00636CED"/>
    <w:rsid w:val="00636D6B"/>
    <w:rsid w:val="00636F8F"/>
    <w:rsid w:val="00636FD0"/>
    <w:rsid w:val="00637005"/>
    <w:rsid w:val="00637028"/>
    <w:rsid w:val="0063703E"/>
    <w:rsid w:val="00637041"/>
    <w:rsid w:val="00637090"/>
    <w:rsid w:val="0063710A"/>
    <w:rsid w:val="00637285"/>
    <w:rsid w:val="00637338"/>
    <w:rsid w:val="00637341"/>
    <w:rsid w:val="006373C1"/>
    <w:rsid w:val="006374A0"/>
    <w:rsid w:val="006374E6"/>
    <w:rsid w:val="00637575"/>
    <w:rsid w:val="006376AE"/>
    <w:rsid w:val="006376C4"/>
    <w:rsid w:val="00637746"/>
    <w:rsid w:val="006377A8"/>
    <w:rsid w:val="00637836"/>
    <w:rsid w:val="00637873"/>
    <w:rsid w:val="0063793F"/>
    <w:rsid w:val="00637A25"/>
    <w:rsid w:val="00637A2D"/>
    <w:rsid w:val="00637AB7"/>
    <w:rsid w:val="00637B5E"/>
    <w:rsid w:val="00637BF0"/>
    <w:rsid w:val="00637C0A"/>
    <w:rsid w:val="00637C35"/>
    <w:rsid w:val="00637C50"/>
    <w:rsid w:val="00637D6E"/>
    <w:rsid w:val="00637E59"/>
    <w:rsid w:val="00637ECC"/>
    <w:rsid w:val="0064005B"/>
    <w:rsid w:val="006400FD"/>
    <w:rsid w:val="006401E1"/>
    <w:rsid w:val="00640218"/>
    <w:rsid w:val="00640220"/>
    <w:rsid w:val="00640256"/>
    <w:rsid w:val="0064035F"/>
    <w:rsid w:val="006403D6"/>
    <w:rsid w:val="006403FD"/>
    <w:rsid w:val="00640480"/>
    <w:rsid w:val="006404AB"/>
    <w:rsid w:val="006404E2"/>
    <w:rsid w:val="0064054C"/>
    <w:rsid w:val="006405A1"/>
    <w:rsid w:val="006405B0"/>
    <w:rsid w:val="006405B8"/>
    <w:rsid w:val="006405C5"/>
    <w:rsid w:val="0064060E"/>
    <w:rsid w:val="00640647"/>
    <w:rsid w:val="006406BA"/>
    <w:rsid w:val="00640725"/>
    <w:rsid w:val="0064074A"/>
    <w:rsid w:val="006407CE"/>
    <w:rsid w:val="0064083E"/>
    <w:rsid w:val="00640889"/>
    <w:rsid w:val="00640944"/>
    <w:rsid w:val="00640984"/>
    <w:rsid w:val="00640990"/>
    <w:rsid w:val="00640991"/>
    <w:rsid w:val="006409B7"/>
    <w:rsid w:val="00640A32"/>
    <w:rsid w:val="00640A6B"/>
    <w:rsid w:val="00640AB0"/>
    <w:rsid w:val="00640B61"/>
    <w:rsid w:val="00640B8A"/>
    <w:rsid w:val="00640BB1"/>
    <w:rsid w:val="00640BC5"/>
    <w:rsid w:val="00640C1E"/>
    <w:rsid w:val="00640D30"/>
    <w:rsid w:val="00640D37"/>
    <w:rsid w:val="00640D46"/>
    <w:rsid w:val="00640E28"/>
    <w:rsid w:val="00640F3E"/>
    <w:rsid w:val="00640F7D"/>
    <w:rsid w:val="00640FB9"/>
    <w:rsid w:val="00640FE7"/>
    <w:rsid w:val="00641034"/>
    <w:rsid w:val="00641075"/>
    <w:rsid w:val="006410B5"/>
    <w:rsid w:val="006410FE"/>
    <w:rsid w:val="006411DD"/>
    <w:rsid w:val="006412C2"/>
    <w:rsid w:val="0064131D"/>
    <w:rsid w:val="00641387"/>
    <w:rsid w:val="006413A9"/>
    <w:rsid w:val="006413BF"/>
    <w:rsid w:val="00641462"/>
    <w:rsid w:val="00641488"/>
    <w:rsid w:val="006414CF"/>
    <w:rsid w:val="006415CB"/>
    <w:rsid w:val="006415D3"/>
    <w:rsid w:val="0064161B"/>
    <w:rsid w:val="0064165E"/>
    <w:rsid w:val="00641733"/>
    <w:rsid w:val="00641748"/>
    <w:rsid w:val="00641755"/>
    <w:rsid w:val="006417C2"/>
    <w:rsid w:val="006417D7"/>
    <w:rsid w:val="006418A1"/>
    <w:rsid w:val="00641979"/>
    <w:rsid w:val="00641986"/>
    <w:rsid w:val="00641A68"/>
    <w:rsid w:val="00641A71"/>
    <w:rsid w:val="00641A81"/>
    <w:rsid w:val="00641A92"/>
    <w:rsid w:val="00641ABC"/>
    <w:rsid w:val="00641AC0"/>
    <w:rsid w:val="00641AEA"/>
    <w:rsid w:val="00641B27"/>
    <w:rsid w:val="00641C5C"/>
    <w:rsid w:val="00641C89"/>
    <w:rsid w:val="00641CCB"/>
    <w:rsid w:val="00641D64"/>
    <w:rsid w:val="00641E0E"/>
    <w:rsid w:val="00641E87"/>
    <w:rsid w:val="00641EB6"/>
    <w:rsid w:val="00642071"/>
    <w:rsid w:val="00642081"/>
    <w:rsid w:val="006420FD"/>
    <w:rsid w:val="00642162"/>
    <w:rsid w:val="006422CA"/>
    <w:rsid w:val="006423B7"/>
    <w:rsid w:val="006424BC"/>
    <w:rsid w:val="00642524"/>
    <w:rsid w:val="006425BB"/>
    <w:rsid w:val="006425D8"/>
    <w:rsid w:val="0064262B"/>
    <w:rsid w:val="006428C8"/>
    <w:rsid w:val="006429E3"/>
    <w:rsid w:val="00642A12"/>
    <w:rsid w:val="00642A9C"/>
    <w:rsid w:val="00642B2A"/>
    <w:rsid w:val="00642B4B"/>
    <w:rsid w:val="00642BD2"/>
    <w:rsid w:val="00642C85"/>
    <w:rsid w:val="00642CE3"/>
    <w:rsid w:val="00642D21"/>
    <w:rsid w:val="00642F0F"/>
    <w:rsid w:val="00642F2F"/>
    <w:rsid w:val="00642F50"/>
    <w:rsid w:val="00642FC3"/>
    <w:rsid w:val="00643060"/>
    <w:rsid w:val="006430DA"/>
    <w:rsid w:val="006431AD"/>
    <w:rsid w:val="006432D1"/>
    <w:rsid w:val="006432D4"/>
    <w:rsid w:val="0064340B"/>
    <w:rsid w:val="0064349E"/>
    <w:rsid w:val="006434C6"/>
    <w:rsid w:val="0064354F"/>
    <w:rsid w:val="0064360A"/>
    <w:rsid w:val="0064368B"/>
    <w:rsid w:val="006437BE"/>
    <w:rsid w:val="00643859"/>
    <w:rsid w:val="00643894"/>
    <w:rsid w:val="00643923"/>
    <w:rsid w:val="006439BE"/>
    <w:rsid w:val="00643C57"/>
    <w:rsid w:val="00643CE0"/>
    <w:rsid w:val="00643D1F"/>
    <w:rsid w:val="00643D5C"/>
    <w:rsid w:val="00643DF8"/>
    <w:rsid w:val="00643EEA"/>
    <w:rsid w:val="00643FBD"/>
    <w:rsid w:val="00643FC7"/>
    <w:rsid w:val="0064403E"/>
    <w:rsid w:val="00644084"/>
    <w:rsid w:val="00644085"/>
    <w:rsid w:val="00644137"/>
    <w:rsid w:val="00644193"/>
    <w:rsid w:val="006442D6"/>
    <w:rsid w:val="006442F3"/>
    <w:rsid w:val="0064435E"/>
    <w:rsid w:val="0064438C"/>
    <w:rsid w:val="006443AB"/>
    <w:rsid w:val="00644446"/>
    <w:rsid w:val="00644449"/>
    <w:rsid w:val="00644455"/>
    <w:rsid w:val="00644520"/>
    <w:rsid w:val="0064465A"/>
    <w:rsid w:val="00644668"/>
    <w:rsid w:val="006447B4"/>
    <w:rsid w:val="006447C5"/>
    <w:rsid w:val="00644ABC"/>
    <w:rsid w:val="00644B13"/>
    <w:rsid w:val="00644B14"/>
    <w:rsid w:val="00644BAB"/>
    <w:rsid w:val="00644BCF"/>
    <w:rsid w:val="00644C8C"/>
    <w:rsid w:val="00644D71"/>
    <w:rsid w:val="00644E5F"/>
    <w:rsid w:val="00644E91"/>
    <w:rsid w:val="00644F1B"/>
    <w:rsid w:val="00644F9F"/>
    <w:rsid w:val="00645048"/>
    <w:rsid w:val="00645097"/>
    <w:rsid w:val="006451CB"/>
    <w:rsid w:val="006452E2"/>
    <w:rsid w:val="006453EA"/>
    <w:rsid w:val="00645425"/>
    <w:rsid w:val="00645453"/>
    <w:rsid w:val="006455E7"/>
    <w:rsid w:val="00645633"/>
    <w:rsid w:val="006456BB"/>
    <w:rsid w:val="0064574A"/>
    <w:rsid w:val="0064583A"/>
    <w:rsid w:val="00645964"/>
    <w:rsid w:val="00645A26"/>
    <w:rsid w:val="00645A3D"/>
    <w:rsid w:val="00645A63"/>
    <w:rsid w:val="00645B36"/>
    <w:rsid w:val="00645B53"/>
    <w:rsid w:val="00645BB5"/>
    <w:rsid w:val="00645BB9"/>
    <w:rsid w:val="00645C30"/>
    <w:rsid w:val="00645C36"/>
    <w:rsid w:val="00645D5A"/>
    <w:rsid w:val="00645D8E"/>
    <w:rsid w:val="00645D92"/>
    <w:rsid w:val="00645DD6"/>
    <w:rsid w:val="00645E69"/>
    <w:rsid w:val="00645E9B"/>
    <w:rsid w:val="00645EE9"/>
    <w:rsid w:val="00645F9C"/>
    <w:rsid w:val="00645FF7"/>
    <w:rsid w:val="00646056"/>
    <w:rsid w:val="006460A0"/>
    <w:rsid w:val="006460BE"/>
    <w:rsid w:val="0064613E"/>
    <w:rsid w:val="0064622F"/>
    <w:rsid w:val="00646288"/>
    <w:rsid w:val="006462B9"/>
    <w:rsid w:val="006462E0"/>
    <w:rsid w:val="00646424"/>
    <w:rsid w:val="00646494"/>
    <w:rsid w:val="006464FA"/>
    <w:rsid w:val="00646641"/>
    <w:rsid w:val="00646655"/>
    <w:rsid w:val="0064678C"/>
    <w:rsid w:val="00646865"/>
    <w:rsid w:val="00646888"/>
    <w:rsid w:val="0064699B"/>
    <w:rsid w:val="00646A21"/>
    <w:rsid w:val="00646A3D"/>
    <w:rsid w:val="00646A41"/>
    <w:rsid w:val="00646ABB"/>
    <w:rsid w:val="00646BD3"/>
    <w:rsid w:val="00646BD9"/>
    <w:rsid w:val="00646BE2"/>
    <w:rsid w:val="00646BE8"/>
    <w:rsid w:val="00646C5F"/>
    <w:rsid w:val="00646D2B"/>
    <w:rsid w:val="00646D95"/>
    <w:rsid w:val="00646E24"/>
    <w:rsid w:val="00646F87"/>
    <w:rsid w:val="00646F89"/>
    <w:rsid w:val="00647150"/>
    <w:rsid w:val="00647218"/>
    <w:rsid w:val="0064721E"/>
    <w:rsid w:val="0064723B"/>
    <w:rsid w:val="00647284"/>
    <w:rsid w:val="006473A4"/>
    <w:rsid w:val="006473F3"/>
    <w:rsid w:val="00647430"/>
    <w:rsid w:val="0064745D"/>
    <w:rsid w:val="0064752F"/>
    <w:rsid w:val="00647582"/>
    <w:rsid w:val="0064759A"/>
    <w:rsid w:val="006475B1"/>
    <w:rsid w:val="006475B8"/>
    <w:rsid w:val="006475EA"/>
    <w:rsid w:val="00647686"/>
    <w:rsid w:val="00647704"/>
    <w:rsid w:val="006477B3"/>
    <w:rsid w:val="0064786A"/>
    <w:rsid w:val="006478D1"/>
    <w:rsid w:val="006479E7"/>
    <w:rsid w:val="00647A23"/>
    <w:rsid w:val="00647A2E"/>
    <w:rsid w:val="00647AB6"/>
    <w:rsid w:val="00647AD0"/>
    <w:rsid w:val="00647B8B"/>
    <w:rsid w:val="00647C4D"/>
    <w:rsid w:val="00647C50"/>
    <w:rsid w:val="00647C67"/>
    <w:rsid w:val="00647C86"/>
    <w:rsid w:val="00647CEF"/>
    <w:rsid w:val="00647D45"/>
    <w:rsid w:val="00647E75"/>
    <w:rsid w:val="00647F0D"/>
    <w:rsid w:val="00647F31"/>
    <w:rsid w:val="00647F76"/>
    <w:rsid w:val="00647F7B"/>
    <w:rsid w:val="0065008B"/>
    <w:rsid w:val="0065010B"/>
    <w:rsid w:val="006502CB"/>
    <w:rsid w:val="006502E1"/>
    <w:rsid w:val="006502EE"/>
    <w:rsid w:val="006503C9"/>
    <w:rsid w:val="006504B7"/>
    <w:rsid w:val="006504E0"/>
    <w:rsid w:val="00650508"/>
    <w:rsid w:val="00650532"/>
    <w:rsid w:val="00650793"/>
    <w:rsid w:val="0065085A"/>
    <w:rsid w:val="0065085D"/>
    <w:rsid w:val="006508A9"/>
    <w:rsid w:val="006508BC"/>
    <w:rsid w:val="006508FB"/>
    <w:rsid w:val="00650910"/>
    <w:rsid w:val="0065091F"/>
    <w:rsid w:val="006509BF"/>
    <w:rsid w:val="00650B13"/>
    <w:rsid w:val="00650B35"/>
    <w:rsid w:val="00650B70"/>
    <w:rsid w:val="00650BA7"/>
    <w:rsid w:val="00650C25"/>
    <w:rsid w:val="00650C8F"/>
    <w:rsid w:val="00650D15"/>
    <w:rsid w:val="00650DA5"/>
    <w:rsid w:val="00650E06"/>
    <w:rsid w:val="00650E16"/>
    <w:rsid w:val="00650E63"/>
    <w:rsid w:val="00650EB4"/>
    <w:rsid w:val="00650F04"/>
    <w:rsid w:val="00650F65"/>
    <w:rsid w:val="00651029"/>
    <w:rsid w:val="0065108D"/>
    <w:rsid w:val="006510B0"/>
    <w:rsid w:val="00651144"/>
    <w:rsid w:val="0065116D"/>
    <w:rsid w:val="0065118B"/>
    <w:rsid w:val="006512CB"/>
    <w:rsid w:val="006512F1"/>
    <w:rsid w:val="00651381"/>
    <w:rsid w:val="0065139F"/>
    <w:rsid w:val="00651456"/>
    <w:rsid w:val="0065150F"/>
    <w:rsid w:val="006515DD"/>
    <w:rsid w:val="006515DE"/>
    <w:rsid w:val="00651640"/>
    <w:rsid w:val="0065166F"/>
    <w:rsid w:val="00651861"/>
    <w:rsid w:val="00651A8C"/>
    <w:rsid w:val="00651AF1"/>
    <w:rsid w:val="00651B80"/>
    <w:rsid w:val="00651BB9"/>
    <w:rsid w:val="00651BC7"/>
    <w:rsid w:val="00651BE0"/>
    <w:rsid w:val="00651CCD"/>
    <w:rsid w:val="00651DFB"/>
    <w:rsid w:val="00651E31"/>
    <w:rsid w:val="00651E83"/>
    <w:rsid w:val="00651F13"/>
    <w:rsid w:val="00651F35"/>
    <w:rsid w:val="0065203C"/>
    <w:rsid w:val="00652094"/>
    <w:rsid w:val="0065209A"/>
    <w:rsid w:val="006520A4"/>
    <w:rsid w:val="006520B4"/>
    <w:rsid w:val="006520D0"/>
    <w:rsid w:val="00652124"/>
    <w:rsid w:val="0065219F"/>
    <w:rsid w:val="00652483"/>
    <w:rsid w:val="00652578"/>
    <w:rsid w:val="00652614"/>
    <w:rsid w:val="006526E4"/>
    <w:rsid w:val="00652779"/>
    <w:rsid w:val="00652836"/>
    <w:rsid w:val="0065286D"/>
    <w:rsid w:val="006528DA"/>
    <w:rsid w:val="0065293F"/>
    <w:rsid w:val="00652955"/>
    <w:rsid w:val="006529E7"/>
    <w:rsid w:val="00652A63"/>
    <w:rsid w:val="00652C5A"/>
    <w:rsid w:val="00652CFF"/>
    <w:rsid w:val="00652DCC"/>
    <w:rsid w:val="00652DDA"/>
    <w:rsid w:val="00652E6C"/>
    <w:rsid w:val="00652E72"/>
    <w:rsid w:val="00652E88"/>
    <w:rsid w:val="00652ED4"/>
    <w:rsid w:val="00652F44"/>
    <w:rsid w:val="00652F5C"/>
    <w:rsid w:val="00652F98"/>
    <w:rsid w:val="00653023"/>
    <w:rsid w:val="00653094"/>
    <w:rsid w:val="0065311E"/>
    <w:rsid w:val="00653175"/>
    <w:rsid w:val="00653191"/>
    <w:rsid w:val="006531A9"/>
    <w:rsid w:val="006531D4"/>
    <w:rsid w:val="00653269"/>
    <w:rsid w:val="006532CA"/>
    <w:rsid w:val="0065357A"/>
    <w:rsid w:val="006536F7"/>
    <w:rsid w:val="006537C0"/>
    <w:rsid w:val="006537C2"/>
    <w:rsid w:val="0065389C"/>
    <w:rsid w:val="006538D7"/>
    <w:rsid w:val="006539F8"/>
    <w:rsid w:val="00653A6E"/>
    <w:rsid w:val="00653ADF"/>
    <w:rsid w:val="00653AED"/>
    <w:rsid w:val="00653B19"/>
    <w:rsid w:val="00653B9E"/>
    <w:rsid w:val="00653BA4"/>
    <w:rsid w:val="00653C21"/>
    <w:rsid w:val="00653C89"/>
    <w:rsid w:val="00653CD2"/>
    <w:rsid w:val="00653D4B"/>
    <w:rsid w:val="00653D76"/>
    <w:rsid w:val="00653EC0"/>
    <w:rsid w:val="006540B4"/>
    <w:rsid w:val="0065412C"/>
    <w:rsid w:val="006541D9"/>
    <w:rsid w:val="0065423A"/>
    <w:rsid w:val="006542CC"/>
    <w:rsid w:val="006542FF"/>
    <w:rsid w:val="00654337"/>
    <w:rsid w:val="0065439B"/>
    <w:rsid w:val="006543E8"/>
    <w:rsid w:val="006545F1"/>
    <w:rsid w:val="006546B7"/>
    <w:rsid w:val="0065481C"/>
    <w:rsid w:val="006548BC"/>
    <w:rsid w:val="00654A02"/>
    <w:rsid w:val="00654B82"/>
    <w:rsid w:val="00654CEE"/>
    <w:rsid w:val="00654D68"/>
    <w:rsid w:val="00654DAF"/>
    <w:rsid w:val="00654E21"/>
    <w:rsid w:val="00654E32"/>
    <w:rsid w:val="00654E3D"/>
    <w:rsid w:val="00654E6B"/>
    <w:rsid w:val="00654E7D"/>
    <w:rsid w:val="00654EF3"/>
    <w:rsid w:val="0065503E"/>
    <w:rsid w:val="00655066"/>
    <w:rsid w:val="006550FF"/>
    <w:rsid w:val="00655154"/>
    <w:rsid w:val="0065515C"/>
    <w:rsid w:val="0065520F"/>
    <w:rsid w:val="00655222"/>
    <w:rsid w:val="006552B6"/>
    <w:rsid w:val="006552C9"/>
    <w:rsid w:val="006552F5"/>
    <w:rsid w:val="00655408"/>
    <w:rsid w:val="00655458"/>
    <w:rsid w:val="006554F2"/>
    <w:rsid w:val="00655566"/>
    <w:rsid w:val="00655577"/>
    <w:rsid w:val="006555E1"/>
    <w:rsid w:val="006555EA"/>
    <w:rsid w:val="00655704"/>
    <w:rsid w:val="0065587D"/>
    <w:rsid w:val="0065588F"/>
    <w:rsid w:val="006558E4"/>
    <w:rsid w:val="0065596B"/>
    <w:rsid w:val="006559D4"/>
    <w:rsid w:val="00655A14"/>
    <w:rsid w:val="00655B17"/>
    <w:rsid w:val="00655BD3"/>
    <w:rsid w:val="00655C61"/>
    <w:rsid w:val="00655EB1"/>
    <w:rsid w:val="00655EB9"/>
    <w:rsid w:val="00655F44"/>
    <w:rsid w:val="0065605D"/>
    <w:rsid w:val="00656237"/>
    <w:rsid w:val="0065631D"/>
    <w:rsid w:val="00656391"/>
    <w:rsid w:val="006563C7"/>
    <w:rsid w:val="006563D2"/>
    <w:rsid w:val="0065641A"/>
    <w:rsid w:val="00656471"/>
    <w:rsid w:val="00656498"/>
    <w:rsid w:val="006564B8"/>
    <w:rsid w:val="006564C5"/>
    <w:rsid w:val="00656538"/>
    <w:rsid w:val="00656564"/>
    <w:rsid w:val="006565E8"/>
    <w:rsid w:val="00656614"/>
    <w:rsid w:val="00656696"/>
    <w:rsid w:val="00656700"/>
    <w:rsid w:val="00656805"/>
    <w:rsid w:val="006568AF"/>
    <w:rsid w:val="0065693B"/>
    <w:rsid w:val="006569A5"/>
    <w:rsid w:val="00656B6D"/>
    <w:rsid w:val="00656C59"/>
    <w:rsid w:val="00656C6D"/>
    <w:rsid w:val="00656D35"/>
    <w:rsid w:val="00656D41"/>
    <w:rsid w:val="00656EF5"/>
    <w:rsid w:val="00656F32"/>
    <w:rsid w:val="00656FB2"/>
    <w:rsid w:val="00656FCE"/>
    <w:rsid w:val="00657021"/>
    <w:rsid w:val="00657034"/>
    <w:rsid w:val="006570E9"/>
    <w:rsid w:val="00657158"/>
    <w:rsid w:val="006571D3"/>
    <w:rsid w:val="0065724B"/>
    <w:rsid w:val="006573E9"/>
    <w:rsid w:val="0065742B"/>
    <w:rsid w:val="006574AE"/>
    <w:rsid w:val="006574D8"/>
    <w:rsid w:val="006576BF"/>
    <w:rsid w:val="00657717"/>
    <w:rsid w:val="006577E2"/>
    <w:rsid w:val="00657878"/>
    <w:rsid w:val="0065796B"/>
    <w:rsid w:val="006579F6"/>
    <w:rsid w:val="00657A6C"/>
    <w:rsid w:val="00657A7F"/>
    <w:rsid w:val="00657B72"/>
    <w:rsid w:val="00657B78"/>
    <w:rsid w:val="00657BD5"/>
    <w:rsid w:val="00657C9A"/>
    <w:rsid w:val="00657DCE"/>
    <w:rsid w:val="00657DFD"/>
    <w:rsid w:val="00657EF9"/>
    <w:rsid w:val="00657F4D"/>
    <w:rsid w:val="0066006B"/>
    <w:rsid w:val="00660123"/>
    <w:rsid w:val="00660165"/>
    <w:rsid w:val="00660213"/>
    <w:rsid w:val="00660263"/>
    <w:rsid w:val="006602E9"/>
    <w:rsid w:val="0066031E"/>
    <w:rsid w:val="0066035F"/>
    <w:rsid w:val="006603B5"/>
    <w:rsid w:val="00660538"/>
    <w:rsid w:val="0066057B"/>
    <w:rsid w:val="006606A0"/>
    <w:rsid w:val="006606DD"/>
    <w:rsid w:val="00660738"/>
    <w:rsid w:val="00660744"/>
    <w:rsid w:val="006607F1"/>
    <w:rsid w:val="0066085C"/>
    <w:rsid w:val="00660878"/>
    <w:rsid w:val="00660945"/>
    <w:rsid w:val="00660965"/>
    <w:rsid w:val="006609E7"/>
    <w:rsid w:val="00660A3E"/>
    <w:rsid w:val="00660A6C"/>
    <w:rsid w:val="00660A6D"/>
    <w:rsid w:val="00660AAF"/>
    <w:rsid w:val="00660BC3"/>
    <w:rsid w:val="00660BCC"/>
    <w:rsid w:val="00660BFA"/>
    <w:rsid w:val="00660C41"/>
    <w:rsid w:val="00660C89"/>
    <w:rsid w:val="00660CC0"/>
    <w:rsid w:val="00660D02"/>
    <w:rsid w:val="00660D0A"/>
    <w:rsid w:val="00660D22"/>
    <w:rsid w:val="00660DEC"/>
    <w:rsid w:val="00660E5F"/>
    <w:rsid w:val="00660EF6"/>
    <w:rsid w:val="00660F17"/>
    <w:rsid w:val="00660F74"/>
    <w:rsid w:val="00660F80"/>
    <w:rsid w:val="00660FAD"/>
    <w:rsid w:val="00661036"/>
    <w:rsid w:val="0066103F"/>
    <w:rsid w:val="006610CC"/>
    <w:rsid w:val="00661174"/>
    <w:rsid w:val="006611CF"/>
    <w:rsid w:val="0066137D"/>
    <w:rsid w:val="006613F7"/>
    <w:rsid w:val="00661446"/>
    <w:rsid w:val="006614AD"/>
    <w:rsid w:val="0066150E"/>
    <w:rsid w:val="00661519"/>
    <w:rsid w:val="00661606"/>
    <w:rsid w:val="006617E4"/>
    <w:rsid w:val="006617F8"/>
    <w:rsid w:val="00661854"/>
    <w:rsid w:val="0066189D"/>
    <w:rsid w:val="0066198A"/>
    <w:rsid w:val="006619BE"/>
    <w:rsid w:val="00661A63"/>
    <w:rsid w:val="00661A74"/>
    <w:rsid w:val="00661A9D"/>
    <w:rsid w:val="00661AC7"/>
    <w:rsid w:val="00661ACD"/>
    <w:rsid w:val="00661B1F"/>
    <w:rsid w:val="00661B93"/>
    <w:rsid w:val="00661BF3"/>
    <w:rsid w:val="00661D51"/>
    <w:rsid w:val="00661E79"/>
    <w:rsid w:val="00661FE0"/>
    <w:rsid w:val="0066200E"/>
    <w:rsid w:val="00662076"/>
    <w:rsid w:val="006620DF"/>
    <w:rsid w:val="00662181"/>
    <w:rsid w:val="00662284"/>
    <w:rsid w:val="0066233B"/>
    <w:rsid w:val="00662362"/>
    <w:rsid w:val="00662364"/>
    <w:rsid w:val="00662519"/>
    <w:rsid w:val="0066251C"/>
    <w:rsid w:val="00662538"/>
    <w:rsid w:val="0066256F"/>
    <w:rsid w:val="00662588"/>
    <w:rsid w:val="00662651"/>
    <w:rsid w:val="00662718"/>
    <w:rsid w:val="006628CE"/>
    <w:rsid w:val="006628EC"/>
    <w:rsid w:val="00662A72"/>
    <w:rsid w:val="00662ACF"/>
    <w:rsid w:val="00662B95"/>
    <w:rsid w:val="00662BE6"/>
    <w:rsid w:val="00662C56"/>
    <w:rsid w:val="00662D08"/>
    <w:rsid w:val="00662D7A"/>
    <w:rsid w:val="00662DC9"/>
    <w:rsid w:val="00663054"/>
    <w:rsid w:val="00663167"/>
    <w:rsid w:val="006631EF"/>
    <w:rsid w:val="0066327E"/>
    <w:rsid w:val="00663346"/>
    <w:rsid w:val="0066334D"/>
    <w:rsid w:val="00663376"/>
    <w:rsid w:val="006633A0"/>
    <w:rsid w:val="006633CA"/>
    <w:rsid w:val="006633E6"/>
    <w:rsid w:val="00663422"/>
    <w:rsid w:val="0066343B"/>
    <w:rsid w:val="0066359C"/>
    <w:rsid w:val="006636E1"/>
    <w:rsid w:val="006636F5"/>
    <w:rsid w:val="0066379F"/>
    <w:rsid w:val="0066384D"/>
    <w:rsid w:val="00663887"/>
    <w:rsid w:val="0066393A"/>
    <w:rsid w:val="00663950"/>
    <w:rsid w:val="0066396A"/>
    <w:rsid w:val="00663A36"/>
    <w:rsid w:val="00663B2F"/>
    <w:rsid w:val="00663B9B"/>
    <w:rsid w:val="00663BB2"/>
    <w:rsid w:val="00663C6D"/>
    <w:rsid w:val="00663E0A"/>
    <w:rsid w:val="00663EDB"/>
    <w:rsid w:val="00663EEC"/>
    <w:rsid w:val="006640A0"/>
    <w:rsid w:val="006640AB"/>
    <w:rsid w:val="006640B0"/>
    <w:rsid w:val="006640C9"/>
    <w:rsid w:val="006641E0"/>
    <w:rsid w:val="00664216"/>
    <w:rsid w:val="006642C6"/>
    <w:rsid w:val="0066439C"/>
    <w:rsid w:val="006643AC"/>
    <w:rsid w:val="00664442"/>
    <w:rsid w:val="00664473"/>
    <w:rsid w:val="00664522"/>
    <w:rsid w:val="00664587"/>
    <w:rsid w:val="006645AA"/>
    <w:rsid w:val="0066460E"/>
    <w:rsid w:val="006646B8"/>
    <w:rsid w:val="006646C0"/>
    <w:rsid w:val="006646E3"/>
    <w:rsid w:val="006646E6"/>
    <w:rsid w:val="00664709"/>
    <w:rsid w:val="006648CE"/>
    <w:rsid w:val="006648E7"/>
    <w:rsid w:val="00664A37"/>
    <w:rsid w:val="00664A5D"/>
    <w:rsid w:val="00664BA4"/>
    <w:rsid w:val="00664BD9"/>
    <w:rsid w:val="00664CFB"/>
    <w:rsid w:val="00664D22"/>
    <w:rsid w:val="00664DE8"/>
    <w:rsid w:val="00664DE9"/>
    <w:rsid w:val="00664E9A"/>
    <w:rsid w:val="00664F2B"/>
    <w:rsid w:val="00664F61"/>
    <w:rsid w:val="00664F90"/>
    <w:rsid w:val="00665015"/>
    <w:rsid w:val="006650B5"/>
    <w:rsid w:val="006650C5"/>
    <w:rsid w:val="006650FB"/>
    <w:rsid w:val="006651B6"/>
    <w:rsid w:val="0066527C"/>
    <w:rsid w:val="00665299"/>
    <w:rsid w:val="00665304"/>
    <w:rsid w:val="0066537D"/>
    <w:rsid w:val="0066538E"/>
    <w:rsid w:val="00665402"/>
    <w:rsid w:val="00665411"/>
    <w:rsid w:val="00665449"/>
    <w:rsid w:val="00665534"/>
    <w:rsid w:val="006655D5"/>
    <w:rsid w:val="0066568B"/>
    <w:rsid w:val="0066572F"/>
    <w:rsid w:val="0066583B"/>
    <w:rsid w:val="006658A3"/>
    <w:rsid w:val="006659D3"/>
    <w:rsid w:val="006659EB"/>
    <w:rsid w:val="00665B0A"/>
    <w:rsid w:val="00665B15"/>
    <w:rsid w:val="00665C08"/>
    <w:rsid w:val="00665CB7"/>
    <w:rsid w:val="00665CD9"/>
    <w:rsid w:val="00665CE1"/>
    <w:rsid w:val="00665CEB"/>
    <w:rsid w:val="00665D0A"/>
    <w:rsid w:val="00665DBC"/>
    <w:rsid w:val="00665EE1"/>
    <w:rsid w:val="00665EF5"/>
    <w:rsid w:val="00665FB7"/>
    <w:rsid w:val="00665FE1"/>
    <w:rsid w:val="00666013"/>
    <w:rsid w:val="00666043"/>
    <w:rsid w:val="006660F5"/>
    <w:rsid w:val="006661E4"/>
    <w:rsid w:val="006663CF"/>
    <w:rsid w:val="006663F0"/>
    <w:rsid w:val="00666408"/>
    <w:rsid w:val="00666484"/>
    <w:rsid w:val="006664EF"/>
    <w:rsid w:val="006665D5"/>
    <w:rsid w:val="0066663F"/>
    <w:rsid w:val="0066679B"/>
    <w:rsid w:val="006667E5"/>
    <w:rsid w:val="006668E6"/>
    <w:rsid w:val="006669B6"/>
    <w:rsid w:val="00666ADC"/>
    <w:rsid w:val="00666BE2"/>
    <w:rsid w:val="00666BE7"/>
    <w:rsid w:val="00666C04"/>
    <w:rsid w:val="00666E23"/>
    <w:rsid w:val="00666E39"/>
    <w:rsid w:val="00666E7E"/>
    <w:rsid w:val="00666EB0"/>
    <w:rsid w:val="00667205"/>
    <w:rsid w:val="0066724B"/>
    <w:rsid w:val="0066725D"/>
    <w:rsid w:val="00667287"/>
    <w:rsid w:val="0066732B"/>
    <w:rsid w:val="00667362"/>
    <w:rsid w:val="0066737B"/>
    <w:rsid w:val="00667459"/>
    <w:rsid w:val="0066749E"/>
    <w:rsid w:val="00667529"/>
    <w:rsid w:val="0066760C"/>
    <w:rsid w:val="0066767F"/>
    <w:rsid w:val="006676AB"/>
    <w:rsid w:val="006676BA"/>
    <w:rsid w:val="00667733"/>
    <w:rsid w:val="00667930"/>
    <w:rsid w:val="00667931"/>
    <w:rsid w:val="00667967"/>
    <w:rsid w:val="0066799B"/>
    <w:rsid w:val="006679B8"/>
    <w:rsid w:val="006679F3"/>
    <w:rsid w:val="00667A20"/>
    <w:rsid w:val="00667A49"/>
    <w:rsid w:val="00667ABE"/>
    <w:rsid w:val="00667B48"/>
    <w:rsid w:val="00667B6C"/>
    <w:rsid w:val="00667B70"/>
    <w:rsid w:val="00667C29"/>
    <w:rsid w:val="00667C7C"/>
    <w:rsid w:val="00667C8E"/>
    <w:rsid w:val="00667DE9"/>
    <w:rsid w:val="00667F1A"/>
    <w:rsid w:val="00667F22"/>
    <w:rsid w:val="00667F6E"/>
    <w:rsid w:val="00670052"/>
    <w:rsid w:val="00670169"/>
    <w:rsid w:val="0067018C"/>
    <w:rsid w:val="0067031D"/>
    <w:rsid w:val="00670331"/>
    <w:rsid w:val="00670347"/>
    <w:rsid w:val="00670419"/>
    <w:rsid w:val="00670477"/>
    <w:rsid w:val="0067048D"/>
    <w:rsid w:val="00670494"/>
    <w:rsid w:val="0067054E"/>
    <w:rsid w:val="00670565"/>
    <w:rsid w:val="0067059A"/>
    <w:rsid w:val="006706AE"/>
    <w:rsid w:val="00670776"/>
    <w:rsid w:val="006707A5"/>
    <w:rsid w:val="006707AD"/>
    <w:rsid w:val="006708E5"/>
    <w:rsid w:val="00670906"/>
    <w:rsid w:val="0067090E"/>
    <w:rsid w:val="00670A48"/>
    <w:rsid w:val="00670A90"/>
    <w:rsid w:val="00670ADE"/>
    <w:rsid w:val="00670BAF"/>
    <w:rsid w:val="00670BB2"/>
    <w:rsid w:val="00670C80"/>
    <w:rsid w:val="00670CCD"/>
    <w:rsid w:val="00670D93"/>
    <w:rsid w:val="00670D9F"/>
    <w:rsid w:val="00670DA9"/>
    <w:rsid w:val="00670F7B"/>
    <w:rsid w:val="00671038"/>
    <w:rsid w:val="00671114"/>
    <w:rsid w:val="00671276"/>
    <w:rsid w:val="006712D0"/>
    <w:rsid w:val="00671312"/>
    <w:rsid w:val="0067131E"/>
    <w:rsid w:val="00671428"/>
    <w:rsid w:val="006714A7"/>
    <w:rsid w:val="006714D0"/>
    <w:rsid w:val="006715FA"/>
    <w:rsid w:val="00671616"/>
    <w:rsid w:val="00671665"/>
    <w:rsid w:val="006716BB"/>
    <w:rsid w:val="00671704"/>
    <w:rsid w:val="006717A5"/>
    <w:rsid w:val="0067188F"/>
    <w:rsid w:val="0067193B"/>
    <w:rsid w:val="0067194A"/>
    <w:rsid w:val="00671977"/>
    <w:rsid w:val="006719B0"/>
    <w:rsid w:val="006719FC"/>
    <w:rsid w:val="00671AD3"/>
    <w:rsid w:val="00671B9D"/>
    <w:rsid w:val="00671C1E"/>
    <w:rsid w:val="00671CB2"/>
    <w:rsid w:val="00671CCD"/>
    <w:rsid w:val="00671D14"/>
    <w:rsid w:val="00671D93"/>
    <w:rsid w:val="00671FBB"/>
    <w:rsid w:val="00672019"/>
    <w:rsid w:val="0067204A"/>
    <w:rsid w:val="006720AA"/>
    <w:rsid w:val="006720D2"/>
    <w:rsid w:val="00672135"/>
    <w:rsid w:val="00672155"/>
    <w:rsid w:val="00672185"/>
    <w:rsid w:val="00672192"/>
    <w:rsid w:val="006721A5"/>
    <w:rsid w:val="006721C0"/>
    <w:rsid w:val="00672243"/>
    <w:rsid w:val="006723EA"/>
    <w:rsid w:val="00672418"/>
    <w:rsid w:val="0067242C"/>
    <w:rsid w:val="00672447"/>
    <w:rsid w:val="00672483"/>
    <w:rsid w:val="006724B6"/>
    <w:rsid w:val="006724D1"/>
    <w:rsid w:val="006724D8"/>
    <w:rsid w:val="006724F0"/>
    <w:rsid w:val="006724F5"/>
    <w:rsid w:val="006725C8"/>
    <w:rsid w:val="00672679"/>
    <w:rsid w:val="00672746"/>
    <w:rsid w:val="00672769"/>
    <w:rsid w:val="006727F3"/>
    <w:rsid w:val="00672A42"/>
    <w:rsid w:val="00672B38"/>
    <w:rsid w:val="00672C15"/>
    <w:rsid w:val="00672CA5"/>
    <w:rsid w:val="00672CF6"/>
    <w:rsid w:val="00672E91"/>
    <w:rsid w:val="00672F89"/>
    <w:rsid w:val="00672FF6"/>
    <w:rsid w:val="006730FA"/>
    <w:rsid w:val="00673105"/>
    <w:rsid w:val="0067311B"/>
    <w:rsid w:val="00673169"/>
    <w:rsid w:val="006731AD"/>
    <w:rsid w:val="006731B3"/>
    <w:rsid w:val="006731D2"/>
    <w:rsid w:val="00673237"/>
    <w:rsid w:val="0067323F"/>
    <w:rsid w:val="00673342"/>
    <w:rsid w:val="00673381"/>
    <w:rsid w:val="00673387"/>
    <w:rsid w:val="00673481"/>
    <w:rsid w:val="006734B7"/>
    <w:rsid w:val="006734D5"/>
    <w:rsid w:val="006734E8"/>
    <w:rsid w:val="006735ED"/>
    <w:rsid w:val="006736CB"/>
    <w:rsid w:val="00673811"/>
    <w:rsid w:val="0067389C"/>
    <w:rsid w:val="00673949"/>
    <w:rsid w:val="0067398B"/>
    <w:rsid w:val="006739F2"/>
    <w:rsid w:val="006739FA"/>
    <w:rsid w:val="006739FC"/>
    <w:rsid w:val="00673A47"/>
    <w:rsid w:val="00673A8B"/>
    <w:rsid w:val="00673A9A"/>
    <w:rsid w:val="00673AB1"/>
    <w:rsid w:val="00673B4F"/>
    <w:rsid w:val="00673C3B"/>
    <w:rsid w:val="00673C68"/>
    <w:rsid w:val="00673DAA"/>
    <w:rsid w:val="00673EA7"/>
    <w:rsid w:val="00674114"/>
    <w:rsid w:val="0067411C"/>
    <w:rsid w:val="006741AB"/>
    <w:rsid w:val="006741D8"/>
    <w:rsid w:val="0067430A"/>
    <w:rsid w:val="006743AD"/>
    <w:rsid w:val="00674469"/>
    <w:rsid w:val="006744E9"/>
    <w:rsid w:val="00674503"/>
    <w:rsid w:val="006745A1"/>
    <w:rsid w:val="006745AC"/>
    <w:rsid w:val="006746B0"/>
    <w:rsid w:val="0067472D"/>
    <w:rsid w:val="006747F3"/>
    <w:rsid w:val="00674865"/>
    <w:rsid w:val="0067491B"/>
    <w:rsid w:val="00674A2B"/>
    <w:rsid w:val="00674B3A"/>
    <w:rsid w:val="00674C1A"/>
    <w:rsid w:val="00674CB2"/>
    <w:rsid w:val="00674CEA"/>
    <w:rsid w:val="00674D59"/>
    <w:rsid w:val="00674EAE"/>
    <w:rsid w:val="00674F01"/>
    <w:rsid w:val="00674F78"/>
    <w:rsid w:val="006750A8"/>
    <w:rsid w:val="0067512A"/>
    <w:rsid w:val="00675134"/>
    <w:rsid w:val="00675177"/>
    <w:rsid w:val="00675206"/>
    <w:rsid w:val="0067525A"/>
    <w:rsid w:val="006752CD"/>
    <w:rsid w:val="00675375"/>
    <w:rsid w:val="00675406"/>
    <w:rsid w:val="0067545E"/>
    <w:rsid w:val="0067546D"/>
    <w:rsid w:val="006754E7"/>
    <w:rsid w:val="00675526"/>
    <w:rsid w:val="0067552D"/>
    <w:rsid w:val="006755EC"/>
    <w:rsid w:val="0067563C"/>
    <w:rsid w:val="006756EB"/>
    <w:rsid w:val="0067588A"/>
    <w:rsid w:val="0067588D"/>
    <w:rsid w:val="00675930"/>
    <w:rsid w:val="00675969"/>
    <w:rsid w:val="00675A65"/>
    <w:rsid w:val="00675AE1"/>
    <w:rsid w:val="00675C21"/>
    <w:rsid w:val="00675D9C"/>
    <w:rsid w:val="00675DDD"/>
    <w:rsid w:val="00675DDE"/>
    <w:rsid w:val="00676040"/>
    <w:rsid w:val="00676081"/>
    <w:rsid w:val="006761D9"/>
    <w:rsid w:val="00676404"/>
    <w:rsid w:val="00676417"/>
    <w:rsid w:val="0067644F"/>
    <w:rsid w:val="0067645F"/>
    <w:rsid w:val="0067665A"/>
    <w:rsid w:val="00676702"/>
    <w:rsid w:val="0067670C"/>
    <w:rsid w:val="006768C1"/>
    <w:rsid w:val="00676957"/>
    <w:rsid w:val="00676A5F"/>
    <w:rsid w:val="00676AAF"/>
    <w:rsid w:val="00676B5C"/>
    <w:rsid w:val="00676B65"/>
    <w:rsid w:val="00676B6C"/>
    <w:rsid w:val="00676D20"/>
    <w:rsid w:val="00676D95"/>
    <w:rsid w:val="00676DBC"/>
    <w:rsid w:val="00676EDD"/>
    <w:rsid w:val="00676FDB"/>
    <w:rsid w:val="00676FF9"/>
    <w:rsid w:val="0067700D"/>
    <w:rsid w:val="00677063"/>
    <w:rsid w:val="00677083"/>
    <w:rsid w:val="00677157"/>
    <w:rsid w:val="00677194"/>
    <w:rsid w:val="006771AC"/>
    <w:rsid w:val="0067729C"/>
    <w:rsid w:val="00677459"/>
    <w:rsid w:val="006774DE"/>
    <w:rsid w:val="006776EA"/>
    <w:rsid w:val="006776F1"/>
    <w:rsid w:val="0067771F"/>
    <w:rsid w:val="00677793"/>
    <w:rsid w:val="006777D4"/>
    <w:rsid w:val="006778CE"/>
    <w:rsid w:val="006778ED"/>
    <w:rsid w:val="00677923"/>
    <w:rsid w:val="00677970"/>
    <w:rsid w:val="0067798E"/>
    <w:rsid w:val="00677A45"/>
    <w:rsid w:val="00677B05"/>
    <w:rsid w:val="00677B4C"/>
    <w:rsid w:val="00677B5F"/>
    <w:rsid w:val="00677BA0"/>
    <w:rsid w:val="00677BCE"/>
    <w:rsid w:val="00677C05"/>
    <w:rsid w:val="00677C60"/>
    <w:rsid w:val="00677D36"/>
    <w:rsid w:val="00677E09"/>
    <w:rsid w:val="00677E5D"/>
    <w:rsid w:val="00677F74"/>
    <w:rsid w:val="0068005B"/>
    <w:rsid w:val="0068009A"/>
    <w:rsid w:val="00680125"/>
    <w:rsid w:val="00680174"/>
    <w:rsid w:val="00680327"/>
    <w:rsid w:val="006804F0"/>
    <w:rsid w:val="0068050E"/>
    <w:rsid w:val="00680617"/>
    <w:rsid w:val="0068062D"/>
    <w:rsid w:val="006806C5"/>
    <w:rsid w:val="006806E5"/>
    <w:rsid w:val="006806F4"/>
    <w:rsid w:val="0068070E"/>
    <w:rsid w:val="006807B5"/>
    <w:rsid w:val="006807CE"/>
    <w:rsid w:val="00680936"/>
    <w:rsid w:val="00680991"/>
    <w:rsid w:val="00680A3E"/>
    <w:rsid w:val="00680A64"/>
    <w:rsid w:val="00680AA0"/>
    <w:rsid w:val="00680B0C"/>
    <w:rsid w:val="00680B1A"/>
    <w:rsid w:val="00680BD3"/>
    <w:rsid w:val="00680BD6"/>
    <w:rsid w:val="00680D14"/>
    <w:rsid w:val="00680D38"/>
    <w:rsid w:val="00680EAD"/>
    <w:rsid w:val="00680EAF"/>
    <w:rsid w:val="00680EF2"/>
    <w:rsid w:val="00680F48"/>
    <w:rsid w:val="006810A0"/>
    <w:rsid w:val="0068123E"/>
    <w:rsid w:val="0068124A"/>
    <w:rsid w:val="006812A0"/>
    <w:rsid w:val="0068130D"/>
    <w:rsid w:val="006813B9"/>
    <w:rsid w:val="006814A4"/>
    <w:rsid w:val="00681533"/>
    <w:rsid w:val="00681553"/>
    <w:rsid w:val="00681572"/>
    <w:rsid w:val="0068168C"/>
    <w:rsid w:val="006817AE"/>
    <w:rsid w:val="006817D1"/>
    <w:rsid w:val="006817DF"/>
    <w:rsid w:val="0068183B"/>
    <w:rsid w:val="0068195B"/>
    <w:rsid w:val="00681AA9"/>
    <w:rsid w:val="00681ABC"/>
    <w:rsid w:val="00681B01"/>
    <w:rsid w:val="00681C78"/>
    <w:rsid w:val="00681C7D"/>
    <w:rsid w:val="00681D55"/>
    <w:rsid w:val="00681D59"/>
    <w:rsid w:val="00681D9E"/>
    <w:rsid w:val="00681DA5"/>
    <w:rsid w:val="00681DEE"/>
    <w:rsid w:val="00682006"/>
    <w:rsid w:val="00682022"/>
    <w:rsid w:val="006820F2"/>
    <w:rsid w:val="00682134"/>
    <w:rsid w:val="006821A7"/>
    <w:rsid w:val="006821BB"/>
    <w:rsid w:val="00682439"/>
    <w:rsid w:val="0068243F"/>
    <w:rsid w:val="00682448"/>
    <w:rsid w:val="00682468"/>
    <w:rsid w:val="0068247B"/>
    <w:rsid w:val="00682489"/>
    <w:rsid w:val="006824D1"/>
    <w:rsid w:val="006824E0"/>
    <w:rsid w:val="00682557"/>
    <w:rsid w:val="006825E7"/>
    <w:rsid w:val="0068262A"/>
    <w:rsid w:val="006826A0"/>
    <w:rsid w:val="0068275E"/>
    <w:rsid w:val="00682779"/>
    <w:rsid w:val="006827D7"/>
    <w:rsid w:val="006827D9"/>
    <w:rsid w:val="006827F2"/>
    <w:rsid w:val="0068280F"/>
    <w:rsid w:val="006829B6"/>
    <w:rsid w:val="00682A79"/>
    <w:rsid w:val="00682C2C"/>
    <w:rsid w:val="00682CCA"/>
    <w:rsid w:val="00682CEA"/>
    <w:rsid w:val="00682DBB"/>
    <w:rsid w:val="00682E5E"/>
    <w:rsid w:val="00682FB3"/>
    <w:rsid w:val="006830A8"/>
    <w:rsid w:val="006830C6"/>
    <w:rsid w:val="00683196"/>
    <w:rsid w:val="006831A5"/>
    <w:rsid w:val="0068326E"/>
    <w:rsid w:val="00683281"/>
    <w:rsid w:val="00683293"/>
    <w:rsid w:val="006832DD"/>
    <w:rsid w:val="00683371"/>
    <w:rsid w:val="006833C9"/>
    <w:rsid w:val="006834C1"/>
    <w:rsid w:val="00683507"/>
    <w:rsid w:val="0068354D"/>
    <w:rsid w:val="00683554"/>
    <w:rsid w:val="006835DB"/>
    <w:rsid w:val="006836A5"/>
    <w:rsid w:val="006836DF"/>
    <w:rsid w:val="0068377C"/>
    <w:rsid w:val="006837B1"/>
    <w:rsid w:val="006837D3"/>
    <w:rsid w:val="006837F2"/>
    <w:rsid w:val="00683844"/>
    <w:rsid w:val="006838A0"/>
    <w:rsid w:val="00683975"/>
    <w:rsid w:val="006839AD"/>
    <w:rsid w:val="006839D2"/>
    <w:rsid w:val="006839FA"/>
    <w:rsid w:val="00683AFB"/>
    <w:rsid w:val="00683B48"/>
    <w:rsid w:val="00683B53"/>
    <w:rsid w:val="00683BA0"/>
    <w:rsid w:val="00683BAB"/>
    <w:rsid w:val="00683CA6"/>
    <w:rsid w:val="00683CCD"/>
    <w:rsid w:val="00683D69"/>
    <w:rsid w:val="00683D7A"/>
    <w:rsid w:val="00683E99"/>
    <w:rsid w:val="00683EA7"/>
    <w:rsid w:val="00683EC8"/>
    <w:rsid w:val="00683F27"/>
    <w:rsid w:val="00683FAA"/>
    <w:rsid w:val="00684062"/>
    <w:rsid w:val="0068428C"/>
    <w:rsid w:val="00684322"/>
    <w:rsid w:val="00684324"/>
    <w:rsid w:val="00684465"/>
    <w:rsid w:val="006844C9"/>
    <w:rsid w:val="006845C4"/>
    <w:rsid w:val="00684686"/>
    <w:rsid w:val="006846D8"/>
    <w:rsid w:val="00684813"/>
    <w:rsid w:val="006848A9"/>
    <w:rsid w:val="006848DB"/>
    <w:rsid w:val="0068490B"/>
    <w:rsid w:val="00684943"/>
    <w:rsid w:val="006849D5"/>
    <w:rsid w:val="00684A54"/>
    <w:rsid w:val="00684A97"/>
    <w:rsid w:val="00684B2F"/>
    <w:rsid w:val="00684B32"/>
    <w:rsid w:val="00684BAA"/>
    <w:rsid w:val="00684C0D"/>
    <w:rsid w:val="00684C67"/>
    <w:rsid w:val="00684DE7"/>
    <w:rsid w:val="00684E31"/>
    <w:rsid w:val="00684F9C"/>
    <w:rsid w:val="0068510F"/>
    <w:rsid w:val="00685155"/>
    <w:rsid w:val="0068523D"/>
    <w:rsid w:val="00685247"/>
    <w:rsid w:val="00685262"/>
    <w:rsid w:val="006852B2"/>
    <w:rsid w:val="00685330"/>
    <w:rsid w:val="006853C3"/>
    <w:rsid w:val="006854D0"/>
    <w:rsid w:val="0068551C"/>
    <w:rsid w:val="006855AC"/>
    <w:rsid w:val="006855C5"/>
    <w:rsid w:val="00685639"/>
    <w:rsid w:val="006856A8"/>
    <w:rsid w:val="0068572D"/>
    <w:rsid w:val="00685736"/>
    <w:rsid w:val="00685762"/>
    <w:rsid w:val="006857BF"/>
    <w:rsid w:val="00685AA9"/>
    <w:rsid w:val="00685AE4"/>
    <w:rsid w:val="00685B58"/>
    <w:rsid w:val="00685B6C"/>
    <w:rsid w:val="00685C72"/>
    <w:rsid w:val="00685CAD"/>
    <w:rsid w:val="00685D65"/>
    <w:rsid w:val="00685DE8"/>
    <w:rsid w:val="00685E28"/>
    <w:rsid w:val="00685EDE"/>
    <w:rsid w:val="00685F63"/>
    <w:rsid w:val="00685F77"/>
    <w:rsid w:val="00686093"/>
    <w:rsid w:val="006860B4"/>
    <w:rsid w:val="006860FB"/>
    <w:rsid w:val="0068610F"/>
    <w:rsid w:val="00686127"/>
    <w:rsid w:val="0068612B"/>
    <w:rsid w:val="0068617E"/>
    <w:rsid w:val="006863BB"/>
    <w:rsid w:val="006863CD"/>
    <w:rsid w:val="00686408"/>
    <w:rsid w:val="006865DE"/>
    <w:rsid w:val="006865ED"/>
    <w:rsid w:val="0068663B"/>
    <w:rsid w:val="0068664F"/>
    <w:rsid w:val="00686674"/>
    <w:rsid w:val="006866A6"/>
    <w:rsid w:val="006867EC"/>
    <w:rsid w:val="006868B8"/>
    <w:rsid w:val="006868EA"/>
    <w:rsid w:val="006868F5"/>
    <w:rsid w:val="0068692F"/>
    <w:rsid w:val="0068698E"/>
    <w:rsid w:val="006869D0"/>
    <w:rsid w:val="00686A16"/>
    <w:rsid w:val="00686AB6"/>
    <w:rsid w:val="00686B49"/>
    <w:rsid w:val="00686BA3"/>
    <w:rsid w:val="00686BBD"/>
    <w:rsid w:val="00686C4B"/>
    <w:rsid w:val="00686C5B"/>
    <w:rsid w:val="00686CBB"/>
    <w:rsid w:val="00686E92"/>
    <w:rsid w:val="00686EBC"/>
    <w:rsid w:val="00687040"/>
    <w:rsid w:val="006870AA"/>
    <w:rsid w:val="00687247"/>
    <w:rsid w:val="00687288"/>
    <w:rsid w:val="0068728E"/>
    <w:rsid w:val="006872D8"/>
    <w:rsid w:val="00687324"/>
    <w:rsid w:val="00687488"/>
    <w:rsid w:val="006874BE"/>
    <w:rsid w:val="006875B1"/>
    <w:rsid w:val="00687629"/>
    <w:rsid w:val="0068766F"/>
    <w:rsid w:val="006877A3"/>
    <w:rsid w:val="00687804"/>
    <w:rsid w:val="0068782D"/>
    <w:rsid w:val="0068790B"/>
    <w:rsid w:val="006879E2"/>
    <w:rsid w:val="00687A46"/>
    <w:rsid w:val="00687AB2"/>
    <w:rsid w:val="00687B01"/>
    <w:rsid w:val="00687B19"/>
    <w:rsid w:val="00687B31"/>
    <w:rsid w:val="00687BE9"/>
    <w:rsid w:val="00687CCE"/>
    <w:rsid w:val="00687CF6"/>
    <w:rsid w:val="00687D31"/>
    <w:rsid w:val="00687DBF"/>
    <w:rsid w:val="00687DED"/>
    <w:rsid w:val="00687EB6"/>
    <w:rsid w:val="0069004B"/>
    <w:rsid w:val="006900FE"/>
    <w:rsid w:val="00690118"/>
    <w:rsid w:val="006901C0"/>
    <w:rsid w:val="006902CA"/>
    <w:rsid w:val="006902F6"/>
    <w:rsid w:val="0069033C"/>
    <w:rsid w:val="00690394"/>
    <w:rsid w:val="00690537"/>
    <w:rsid w:val="00690588"/>
    <w:rsid w:val="006906B3"/>
    <w:rsid w:val="006906B9"/>
    <w:rsid w:val="006908C9"/>
    <w:rsid w:val="00690A84"/>
    <w:rsid w:val="00690B51"/>
    <w:rsid w:val="00690C4D"/>
    <w:rsid w:val="00690C83"/>
    <w:rsid w:val="00690F36"/>
    <w:rsid w:val="006910D7"/>
    <w:rsid w:val="00691159"/>
    <w:rsid w:val="0069120D"/>
    <w:rsid w:val="00691263"/>
    <w:rsid w:val="00691267"/>
    <w:rsid w:val="00691322"/>
    <w:rsid w:val="00691434"/>
    <w:rsid w:val="0069144A"/>
    <w:rsid w:val="0069145C"/>
    <w:rsid w:val="00691505"/>
    <w:rsid w:val="0069153F"/>
    <w:rsid w:val="00691567"/>
    <w:rsid w:val="006915CB"/>
    <w:rsid w:val="006916EF"/>
    <w:rsid w:val="006916F3"/>
    <w:rsid w:val="0069176B"/>
    <w:rsid w:val="006917BA"/>
    <w:rsid w:val="00691836"/>
    <w:rsid w:val="00691895"/>
    <w:rsid w:val="006918A2"/>
    <w:rsid w:val="006918CE"/>
    <w:rsid w:val="006919A1"/>
    <w:rsid w:val="00691A5F"/>
    <w:rsid w:val="00691AEA"/>
    <w:rsid w:val="00691BAA"/>
    <w:rsid w:val="00691C33"/>
    <w:rsid w:val="00691C38"/>
    <w:rsid w:val="00691D98"/>
    <w:rsid w:val="00691FDC"/>
    <w:rsid w:val="00692044"/>
    <w:rsid w:val="006920A7"/>
    <w:rsid w:val="006920DB"/>
    <w:rsid w:val="0069219B"/>
    <w:rsid w:val="00692297"/>
    <w:rsid w:val="00692374"/>
    <w:rsid w:val="00692438"/>
    <w:rsid w:val="006924C1"/>
    <w:rsid w:val="006924D9"/>
    <w:rsid w:val="00692566"/>
    <w:rsid w:val="00692592"/>
    <w:rsid w:val="006925F0"/>
    <w:rsid w:val="0069265E"/>
    <w:rsid w:val="00692671"/>
    <w:rsid w:val="006926F7"/>
    <w:rsid w:val="00692798"/>
    <w:rsid w:val="006927FC"/>
    <w:rsid w:val="00692880"/>
    <w:rsid w:val="00692953"/>
    <w:rsid w:val="006929D6"/>
    <w:rsid w:val="00692ABB"/>
    <w:rsid w:val="00692AE7"/>
    <w:rsid w:val="00692B2B"/>
    <w:rsid w:val="00692B8A"/>
    <w:rsid w:val="00692BA4"/>
    <w:rsid w:val="00692CC5"/>
    <w:rsid w:val="00692CFF"/>
    <w:rsid w:val="00692D25"/>
    <w:rsid w:val="00692E0E"/>
    <w:rsid w:val="00692EB3"/>
    <w:rsid w:val="00692EE8"/>
    <w:rsid w:val="00692FD8"/>
    <w:rsid w:val="00692FE1"/>
    <w:rsid w:val="006930D0"/>
    <w:rsid w:val="00693136"/>
    <w:rsid w:val="00693247"/>
    <w:rsid w:val="00693285"/>
    <w:rsid w:val="00693336"/>
    <w:rsid w:val="0069342E"/>
    <w:rsid w:val="006934E0"/>
    <w:rsid w:val="00693505"/>
    <w:rsid w:val="00693520"/>
    <w:rsid w:val="0069369B"/>
    <w:rsid w:val="006936A6"/>
    <w:rsid w:val="006936B8"/>
    <w:rsid w:val="006937B7"/>
    <w:rsid w:val="006937BD"/>
    <w:rsid w:val="006938C4"/>
    <w:rsid w:val="00693926"/>
    <w:rsid w:val="00693A2B"/>
    <w:rsid w:val="00693A39"/>
    <w:rsid w:val="00693AB7"/>
    <w:rsid w:val="00693AD1"/>
    <w:rsid w:val="00693B53"/>
    <w:rsid w:val="00693B7C"/>
    <w:rsid w:val="00693BDC"/>
    <w:rsid w:val="00693C80"/>
    <w:rsid w:val="00693E5B"/>
    <w:rsid w:val="00693F5D"/>
    <w:rsid w:val="00694071"/>
    <w:rsid w:val="00694092"/>
    <w:rsid w:val="00694165"/>
    <w:rsid w:val="0069427C"/>
    <w:rsid w:val="00694296"/>
    <w:rsid w:val="00694366"/>
    <w:rsid w:val="0069437A"/>
    <w:rsid w:val="006943D5"/>
    <w:rsid w:val="006944A2"/>
    <w:rsid w:val="006944B4"/>
    <w:rsid w:val="006944B9"/>
    <w:rsid w:val="006944CC"/>
    <w:rsid w:val="006944E0"/>
    <w:rsid w:val="0069450E"/>
    <w:rsid w:val="00694527"/>
    <w:rsid w:val="00694528"/>
    <w:rsid w:val="006945CA"/>
    <w:rsid w:val="006945FC"/>
    <w:rsid w:val="006945FF"/>
    <w:rsid w:val="006946FD"/>
    <w:rsid w:val="006947C6"/>
    <w:rsid w:val="0069482D"/>
    <w:rsid w:val="006948FC"/>
    <w:rsid w:val="0069490F"/>
    <w:rsid w:val="0069497C"/>
    <w:rsid w:val="006949A7"/>
    <w:rsid w:val="006949A9"/>
    <w:rsid w:val="00694D84"/>
    <w:rsid w:val="00694DA2"/>
    <w:rsid w:val="00694E14"/>
    <w:rsid w:val="00694E72"/>
    <w:rsid w:val="00694E7E"/>
    <w:rsid w:val="00694FDD"/>
    <w:rsid w:val="00695038"/>
    <w:rsid w:val="0069509D"/>
    <w:rsid w:val="006950CC"/>
    <w:rsid w:val="006951C1"/>
    <w:rsid w:val="00695212"/>
    <w:rsid w:val="006952BE"/>
    <w:rsid w:val="00695306"/>
    <w:rsid w:val="0069531F"/>
    <w:rsid w:val="00695360"/>
    <w:rsid w:val="0069537E"/>
    <w:rsid w:val="006953C1"/>
    <w:rsid w:val="006954AC"/>
    <w:rsid w:val="0069552A"/>
    <w:rsid w:val="00695540"/>
    <w:rsid w:val="0069555C"/>
    <w:rsid w:val="0069559F"/>
    <w:rsid w:val="00695602"/>
    <w:rsid w:val="0069561C"/>
    <w:rsid w:val="00695623"/>
    <w:rsid w:val="00695654"/>
    <w:rsid w:val="0069578E"/>
    <w:rsid w:val="00695794"/>
    <w:rsid w:val="00695842"/>
    <w:rsid w:val="0069587F"/>
    <w:rsid w:val="006958E4"/>
    <w:rsid w:val="00695906"/>
    <w:rsid w:val="00695949"/>
    <w:rsid w:val="00695AAC"/>
    <w:rsid w:val="00695ACC"/>
    <w:rsid w:val="00695ACF"/>
    <w:rsid w:val="00695B4D"/>
    <w:rsid w:val="00695B56"/>
    <w:rsid w:val="00695C46"/>
    <w:rsid w:val="00695C91"/>
    <w:rsid w:val="00695CD4"/>
    <w:rsid w:val="00695D39"/>
    <w:rsid w:val="00695E0F"/>
    <w:rsid w:val="00695EC3"/>
    <w:rsid w:val="00695FFD"/>
    <w:rsid w:val="0069602C"/>
    <w:rsid w:val="006961B5"/>
    <w:rsid w:val="006961F3"/>
    <w:rsid w:val="00696200"/>
    <w:rsid w:val="0069623C"/>
    <w:rsid w:val="00696275"/>
    <w:rsid w:val="006962D2"/>
    <w:rsid w:val="006962E1"/>
    <w:rsid w:val="00696341"/>
    <w:rsid w:val="0069642D"/>
    <w:rsid w:val="0069645F"/>
    <w:rsid w:val="006964C7"/>
    <w:rsid w:val="0069674F"/>
    <w:rsid w:val="006967B4"/>
    <w:rsid w:val="006967D8"/>
    <w:rsid w:val="00696901"/>
    <w:rsid w:val="0069695A"/>
    <w:rsid w:val="00696A61"/>
    <w:rsid w:val="00696B6E"/>
    <w:rsid w:val="00696B80"/>
    <w:rsid w:val="00696BA6"/>
    <w:rsid w:val="00696BAF"/>
    <w:rsid w:val="00696C77"/>
    <w:rsid w:val="00696D0F"/>
    <w:rsid w:val="00696D3B"/>
    <w:rsid w:val="00696D86"/>
    <w:rsid w:val="00696DDD"/>
    <w:rsid w:val="00696E58"/>
    <w:rsid w:val="00696ED3"/>
    <w:rsid w:val="00696F9D"/>
    <w:rsid w:val="006970C8"/>
    <w:rsid w:val="00697106"/>
    <w:rsid w:val="00697115"/>
    <w:rsid w:val="0069713D"/>
    <w:rsid w:val="00697150"/>
    <w:rsid w:val="0069715C"/>
    <w:rsid w:val="006971AA"/>
    <w:rsid w:val="006971BF"/>
    <w:rsid w:val="00697266"/>
    <w:rsid w:val="006972BA"/>
    <w:rsid w:val="006972DD"/>
    <w:rsid w:val="00697303"/>
    <w:rsid w:val="00697353"/>
    <w:rsid w:val="00697372"/>
    <w:rsid w:val="0069739E"/>
    <w:rsid w:val="006973DC"/>
    <w:rsid w:val="0069749A"/>
    <w:rsid w:val="0069749E"/>
    <w:rsid w:val="00697579"/>
    <w:rsid w:val="00697584"/>
    <w:rsid w:val="00697636"/>
    <w:rsid w:val="0069768D"/>
    <w:rsid w:val="006976DF"/>
    <w:rsid w:val="006976F9"/>
    <w:rsid w:val="0069770F"/>
    <w:rsid w:val="006978AA"/>
    <w:rsid w:val="00697913"/>
    <w:rsid w:val="00697944"/>
    <w:rsid w:val="006979CD"/>
    <w:rsid w:val="00697A23"/>
    <w:rsid w:val="00697BA2"/>
    <w:rsid w:val="00697BB1"/>
    <w:rsid w:val="00697BF2"/>
    <w:rsid w:val="00697C2B"/>
    <w:rsid w:val="00697C35"/>
    <w:rsid w:val="00697CE4"/>
    <w:rsid w:val="00697DDB"/>
    <w:rsid w:val="00697E01"/>
    <w:rsid w:val="00697E06"/>
    <w:rsid w:val="00697E10"/>
    <w:rsid w:val="00697E63"/>
    <w:rsid w:val="00697EC8"/>
    <w:rsid w:val="00697F83"/>
    <w:rsid w:val="00697FA4"/>
    <w:rsid w:val="00697FF5"/>
    <w:rsid w:val="00697FFB"/>
    <w:rsid w:val="006A0056"/>
    <w:rsid w:val="006A00F4"/>
    <w:rsid w:val="006A0141"/>
    <w:rsid w:val="006A0178"/>
    <w:rsid w:val="006A02FE"/>
    <w:rsid w:val="006A036A"/>
    <w:rsid w:val="006A0451"/>
    <w:rsid w:val="006A04BB"/>
    <w:rsid w:val="006A0521"/>
    <w:rsid w:val="006A052E"/>
    <w:rsid w:val="006A056D"/>
    <w:rsid w:val="006A05F4"/>
    <w:rsid w:val="006A063B"/>
    <w:rsid w:val="006A064E"/>
    <w:rsid w:val="006A064F"/>
    <w:rsid w:val="006A0659"/>
    <w:rsid w:val="006A0687"/>
    <w:rsid w:val="006A0744"/>
    <w:rsid w:val="006A07AD"/>
    <w:rsid w:val="006A07E7"/>
    <w:rsid w:val="006A07EE"/>
    <w:rsid w:val="006A0890"/>
    <w:rsid w:val="006A08D4"/>
    <w:rsid w:val="006A0933"/>
    <w:rsid w:val="006A0996"/>
    <w:rsid w:val="006A09AD"/>
    <w:rsid w:val="006A0A36"/>
    <w:rsid w:val="006A0A65"/>
    <w:rsid w:val="006A0ACA"/>
    <w:rsid w:val="006A0C15"/>
    <w:rsid w:val="006A0D0E"/>
    <w:rsid w:val="006A0DEF"/>
    <w:rsid w:val="006A0E2C"/>
    <w:rsid w:val="006A0EC9"/>
    <w:rsid w:val="006A0F7C"/>
    <w:rsid w:val="006A0F9E"/>
    <w:rsid w:val="006A1026"/>
    <w:rsid w:val="006A105A"/>
    <w:rsid w:val="006A10F7"/>
    <w:rsid w:val="006A111B"/>
    <w:rsid w:val="006A1137"/>
    <w:rsid w:val="006A1186"/>
    <w:rsid w:val="006A1210"/>
    <w:rsid w:val="006A12A6"/>
    <w:rsid w:val="006A12D1"/>
    <w:rsid w:val="006A1338"/>
    <w:rsid w:val="006A1377"/>
    <w:rsid w:val="006A14AE"/>
    <w:rsid w:val="006A14C6"/>
    <w:rsid w:val="006A14E8"/>
    <w:rsid w:val="006A15F2"/>
    <w:rsid w:val="006A167F"/>
    <w:rsid w:val="006A16AA"/>
    <w:rsid w:val="006A16B6"/>
    <w:rsid w:val="006A191F"/>
    <w:rsid w:val="006A1999"/>
    <w:rsid w:val="006A19CA"/>
    <w:rsid w:val="006A19F7"/>
    <w:rsid w:val="006A1ADE"/>
    <w:rsid w:val="006A1B60"/>
    <w:rsid w:val="006A1C4A"/>
    <w:rsid w:val="006A1CF7"/>
    <w:rsid w:val="006A1D52"/>
    <w:rsid w:val="006A1D62"/>
    <w:rsid w:val="006A1D9E"/>
    <w:rsid w:val="006A1F60"/>
    <w:rsid w:val="006A1FA5"/>
    <w:rsid w:val="006A1FDE"/>
    <w:rsid w:val="006A2055"/>
    <w:rsid w:val="006A20D9"/>
    <w:rsid w:val="006A2111"/>
    <w:rsid w:val="006A2161"/>
    <w:rsid w:val="006A21DB"/>
    <w:rsid w:val="006A22C2"/>
    <w:rsid w:val="006A23D3"/>
    <w:rsid w:val="006A2463"/>
    <w:rsid w:val="006A2588"/>
    <w:rsid w:val="006A25AE"/>
    <w:rsid w:val="006A26A1"/>
    <w:rsid w:val="006A2748"/>
    <w:rsid w:val="006A294B"/>
    <w:rsid w:val="006A297A"/>
    <w:rsid w:val="006A2999"/>
    <w:rsid w:val="006A29B6"/>
    <w:rsid w:val="006A2AD6"/>
    <w:rsid w:val="006A2B36"/>
    <w:rsid w:val="006A2B66"/>
    <w:rsid w:val="006A2C86"/>
    <w:rsid w:val="006A2C9A"/>
    <w:rsid w:val="006A2CDE"/>
    <w:rsid w:val="006A2D0C"/>
    <w:rsid w:val="006A2E02"/>
    <w:rsid w:val="006A2F51"/>
    <w:rsid w:val="006A31AB"/>
    <w:rsid w:val="006A3277"/>
    <w:rsid w:val="006A351C"/>
    <w:rsid w:val="006A3556"/>
    <w:rsid w:val="006A358F"/>
    <w:rsid w:val="006A36B0"/>
    <w:rsid w:val="006A36F4"/>
    <w:rsid w:val="006A3822"/>
    <w:rsid w:val="006A383B"/>
    <w:rsid w:val="006A383D"/>
    <w:rsid w:val="006A3877"/>
    <w:rsid w:val="006A393A"/>
    <w:rsid w:val="006A39E0"/>
    <w:rsid w:val="006A3A34"/>
    <w:rsid w:val="006A3AA3"/>
    <w:rsid w:val="006A3ABD"/>
    <w:rsid w:val="006A3AFF"/>
    <w:rsid w:val="006A3BA8"/>
    <w:rsid w:val="006A3BC1"/>
    <w:rsid w:val="006A3C34"/>
    <w:rsid w:val="006A3C99"/>
    <w:rsid w:val="006A3DBD"/>
    <w:rsid w:val="006A3E18"/>
    <w:rsid w:val="006A3E1F"/>
    <w:rsid w:val="006A3E63"/>
    <w:rsid w:val="006A3E82"/>
    <w:rsid w:val="006A3F57"/>
    <w:rsid w:val="006A3FC3"/>
    <w:rsid w:val="006A3FF5"/>
    <w:rsid w:val="006A4022"/>
    <w:rsid w:val="006A4105"/>
    <w:rsid w:val="006A4199"/>
    <w:rsid w:val="006A4286"/>
    <w:rsid w:val="006A42EF"/>
    <w:rsid w:val="006A42F2"/>
    <w:rsid w:val="006A433D"/>
    <w:rsid w:val="006A435D"/>
    <w:rsid w:val="006A4406"/>
    <w:rsid w:val="006A440A"/>
    <w:rsid w:val="006A4481"/>
    <w:rsid w:val="006A44E7"/>
    <w:rsid w:val="006A463C"/>
    <w:rsid w:val="006A4666"/>
    <w:rsid w:val="006A47A7"/>
    <w:rsid w:val="006A47EE"/>
    <w:rsid w:val="006A47FB"/>
    <w:rsid w:val="006A485A"/>
    <w:rsid w:val="006A48A0"/>
    <w:rsid w:val="006A48CA"/>
    <w:rsid w:val="006A49EC"/>
    <w:rsid w:val="006A4A14"/>
    <w:rsid w:val="006A4A2E"/>
    <w:rsid w:val="006A4A33"/>
    <w:rsid w:val="006A4B27"/>
    <w:rsid w:val="006A4B32"/>
    <w:rsid w:val="006A4C26"/>
    <w:rsid w:val="006A4C7D"/>
    <w:rsid w:val="006A4D38"/>
    <w:rsid w:val="006A4D56"/>
    <w:rsid w:val="006A4DC4"/>
    <w:rsid w:val="006A4E49"/>
    <w:rsid w:val="006A4EA7"/>
    <w:rsid w:val="006A4F0E"/>
    <w:rsid w:val="006A4F22"/>
    <w:rsid w:val="006A4F2A"/>
    <w:rsid w:val="006A5041"/>
    <w:rsid w:val="006A5068"/>
    <w:rsid w:val="006A5072"/>
    <w:rsid w:val="006A50A9"/>
    <w:rsid w:val="006A5164"/>
    <w:rsid w:val="006A521B"/>
    <w:rsid w:val="006A5230"/>
    <w:rsid w:val="006A523F"/>
    <w:rsid w:val="006A5265"/>
    <w:rsid w:val="006A52A3"/>
    <w:rsid w:val="006A52B3"/>
    <w:rsid w:val="006A5303"/>
    <w:rsid w:val="006A532D"/>
    <w:rsid w:val="006A5387"/>
    <w:rsid w:val="006A539B"/>
    <w:rsid w:val="006A53AF"/>
    <w:rsid w:val="006A53B4"/>
    <w:rsid w:val="006A5450"/>
    <w:rsid w:val="006A5496"/>
    <w:rsid w:val="006A54F4"/>
    <w:rsid w:val="006A554C"/>
    <w:rsid w:val="006A563D"/>
    <w:rsid w:val="006A5654"/>
    <w:rsid w:val="006A575D"/>
    <w:rsid w:val="006A5804"/>
    <w:rsid w:val="006A595F"/>
    <w:rsid w:val="006A59EC"/>
    <w:rsid w:val="006A5A2B"/>
    <w:rsid w:val="006A5B39"/>
    <w:rsid w:val="006A5BAB"/>
    <w:rsid w:val="006A5C37"/>
    <w:rsid w:val="006A5C7A"/>
    <w:rsid w:val="006A5CD0"/>
    <w:rsid w:val="006A5D7A"/>
    <w:rsid w:val="006A5DC7"/>
    <w:rsid w:val="006A5E48"/>
    <w:rsid w:val="006A5ED6"/>
    <w:rsid w:val="006A5F7C"/>
    <w:rsid w:val="006A5F87"/>
    <w:rsid w:val="006A5FBB"/>
    <w:rsid w:val="006A5FC8"/>
    <w:rsid w:val="006A5FEC"/>
    <w:rsid w:val="006A6000"/>
    <w:rsid w:val="006A600F"/>
    <w:rsid w:val="006A611C"/>
    <w:rsid w:val="006A61DC"/>
    <w:rsid w:val="006A61DD"/>
    <w:rsid w:val="006A6206"/>
    <w:rsid w:val="006A626F"/>
    <w:rsid w:val="006A62C6"/>
    <w:rsid w:val="006A62E6"/>
    <w:rsid w:val="006A642C"/>
    <w:rsid w:val="006A6434"/>
    <w:rsid w:val="006A644A"/>
    <w:rsid w:val="006A6465"/>
    <w:rsid w:val="006A6497"/>
    <w:rsid w:val="006A64D4"/>
    <w:rsid w:val="006A6599"/>
    <w:rsid w:val="006A66DF"/>
    <w:rsid w:val="006A6804"/>
    <w:rsid w:val="006A6877"/>
    <w:rsid w:val="006A68BB"/>
    <w:rsid w:val="006A68DF"/>
    <w:rsid w:val="006A693B"/>
    <w:rsid w:val="006A6956"/>
    <w:rsid w:val="006A6962"/>
    <w:rsid w:val="006A6963"/>
    <w:rsid w:val="006A6AA9"/>
    <w:rsid w:val="006A6B4D"/>
    <w:rsid w:val="006A6BDB"/>
    <w:rsid w:val="006A6C91"/>
    <w:rsid w:val="006A6CD4"/>
    <w:rsid w:val="006A6D72"/>
    <w:rsid w:val="006A6E27"/>
    <w:rsid w:val="006A6E96"/>
    <w:rsid w:val="006A6FEE"/>
    <w:rsid w:val="006A7163"/>
    <w:rsid w:val="006A718D"/>
    <w:rsid w:val="006A71A8"/>
    <w:rsid w:val="006A728F"/>
    <w:rsid w:val="006A7360"/>
    <w:rsid w:val="006A73C0"/>
    <w:rsid w:val="006A7438"/>
    <w:rsid w:val="006A769B"/>
    <w:rsid w:val="006A77CB"/>
    <w:rsid w:val="006A77E4"/>
    <w:rsid w:val="006A7881"/>
    <w:rsid w:val="006A78CD"/>
    <w:rsid w:val="006A78DF"/>
    <w:rsid w:val="006A7A20"/>
    <w:rsid w:val="006A7AC8"/>
    <w:rsid w:val="006A7B1F"/>
    <w:rsid w:val="006A7BD6"/>
    <w:rsid w:val="006A7C16"/>
    <w:rsid w:val="006A7DAB"/>
    <w:rsid w:val="006A7EA3"/>
    <w:rsid w:val="006A7F38"/>
    <w:rsid w:val="006A7F42"/>
    <w:rsid w:val="006A7FA3"/>
    <w:rsid w:val="006AAE7D"/>
    <w:rsid w:val="006AFD62"/>
    <w:rsid w:val="006B0009"/>
    <w:rsid w:val="006B00C7"/>
    <w:rsid w:val="006B016A"/>
    <w:rsid w:val="006B01DF"/>
    <w:rsid w:val="006B01ED"/>
    <w:rsid w:val="006B0219"/>
    <w:rsid w:val="006B029C"/>
    <w:rsid w:val="006B02C0"/>
    <w:rsid w:val="006B02C2"/>
    <w:rsid w:val="006B036A"/>
    <w:rsid w:val="006B0444"/>
    <w:rsid w:val="006B0448"/>
    <w:rsid w:val="006B04D2"/>
    <w:rsid w:val="006B04DE"/>
    <w:rsid w:val="006B04DF"/>
    <w:rsid w:val="006B052B"/>
    <w:rsid w:val="006B05EE"/>
    <w:rsid w:val="006B0668"/>
    <w:rsid w:val="006B0672"/>
    <w:rsid w:val="006B087E"/>
    <w:rsid w:val="006B093F"/>
    <w:rsid w:val="006B0955"/>
    <w:rsid w:val="006B0AAC"/>
    <w:rsid w:val="006B0B57"/>
    <w:rsid w:val="006B0B81"/>
    <w:rsid w:val="006B0B9B"/>
    <w:rsid w:val="006B0C56"/>
    <w:rsid w:val="006B0C6D"/>
    <w:rsid w:val="006B0D91"/>
    <w:rsid w:val="006B0E90"/>
    <w:rsid w:val="006B0F12"/>
    <w:rsid w:val="006B0F26"/>
    <w:rsid w:val="006B0FEE"/>
    <w:rsid w:val="006B102C"/>
    <w:rsid w:val="006B1089"/>
    <w:rsid w:val="006B10AD"/>
    <w:rsid w:val="006B10D1"/>
    <w:rsid w:val="006B1209"/>
    <w:rsid w:val="006B127C"/>
    <w:rsid w:val="006B127E"/>
    <w:rsid w:val="006B12E1"/>
    <w:rsid w:val="006B12F1"/>
    <w:rsid w:val="006B137F"/>
    <w:rsid w:val="006B13D1"/>
    <w:rsid w:val="006B141E"/>
    <w:rsid w:val="006B141F"/>
    <w:rsid w:val="006B143A"/>
    <w:rsid w:val="006B152E"/>
    <w:rsid w:val="006B153F"/>
    <w:rsid w:val="006B15D4"/>
    <w:rsid w:val="006B15EB"/>
    <w:rsid w:val="006B1705"/>
    <w:rsid w:val="006B1751"/>
    <w:rsid w:val="006B1858"/>
    <w:rsid w:val="006B1A0D"/>
    <w:rsid w:val="006B1C3A"/>
    <w:rsid w:val="006B1C4B"/>
    <w:rsid w:val="006B1C6B"/>
    <w:rsid w:val="006B1C8D"/>
    <w:rsid w:val="006B1D41"/>
    <w:rsid w:val="006B1E3A"/>
    <w:rsid w:val="006B1EB7"/>
    <w:rsid w:val="006B1F6D"/>
    <w:rsid w:val="006B1F98"/>
    <w:rsid w:val="006B206A"/>
    <w:rsid w:val="006B2084"/>
    <w:rsid w:val="006B21D0"/>
    <w:rsid w:val="006B2243"/>
    <w:rsid w:val="006B22EB"/>
    <w:rsid w:val="006B2416"/>
    <w:rsid w:val="006B24B5"/>
    <w:rsid w:val="006B24D3"/>
    <w:rsid w:val="006B259D"/>
    <w:rsid w:val="006B25A2"/>
    <w:rsid w:val="006B25B7"/>
    <w:rsid w:val="006B2618"/>
    <w:rsid w:val="006B27B2"/>
    <w:rsid w:val="006B27F5"/>
    <w:rsid w:val="006B28E5"/>
    <w:rsid w:val="006B28F3"/>
    <w:rsid w:val="006B2932"/>
    <w:rsid w:val="006B2945"/>
    <w:rsid w:val="006B2990"/>
    <w:rsid w:val="006B2A07"/>
    <w:rsid w:val="006B2A1F"/>
    <w:rsid w:val="006B2A6B"/>
    <w:rsid w:val="006B2B11"/>
    <w:rsid w:val="006B2C25"/>
    <w:rsid w:val="006B2CBC"/>
    <w:rsid w:val="006B2CEB"/>
    <w:rsid w:val="006B2DA8"/>
    <w:rsid w:val="006B2E0B"/>
    <w:rsid w:val="006B2E49"/>
    <w:rsid w:val="006B2F71"/>
    <w:rsid w:val="006B2F88"/>
    <w:rsid w:val="006B2FEF"/>
    <w:rsid w:val="006B3014"/>
    <w:rsid w:val="006B3038"/>
    <w:rsid w:val="006B30D3"/>
    <w:rsid w:val="006B3152"/>
    <w:rsid w:val="006B3173"/>
    <w:rsid w:val="006B31CC"/>
    <w:rsid w:val="006B3223"/>
    <w:rsid w:val="006B32D3"/>
    <w:rsid w:val="006B32FA"/>
    <w:rsid w:val="006B3322"/>
    <w:rsid w:val="006B341C"/>
    <w:rsid w:val="006B3451"/>
    <w:rsid w:val="006B34A8"/>
    <w:rsid w:val="006B352D"/>
    <w:rsid w:val="006B35A3"/>
    <w:rsid w:val="006B364F"/>
    <w:rsid w:val="006B36C4"/>
    <w:rsid w:val="006B370B"/>
    <w:rsid w:val="006B3737"/>
    <w:rsid w:val="006B38AC"/>
    <w:rsid w:val="006B3946"/>
    <w:rsid w:val="006B396C"/>
    <w:rsid w:val="006B3A4E"/>
    <w:rsid w:val="006B3A6F"/>
    <w:rsid w:val="006B3B10"/>
    <w:rsid w:val="006B3B16"/>
    <w:rsid w:val="006B3B60"/>
    <w:rsid w:val="006B3C0D"/>
    <w:rsid w:val="006B3C77"/>
    <w:rsid w:val="006B3CAB"/>
    <w:rsid w:val="006B3CC4"/>
    <w:rsid w:val="006B3DA0"/>
    <w:rsid w:val="006B3DA6"/>
    <w:rsid w:val="006B3DEB"/>
    <w:rsid w:val="006B3E0A"/>
    <w:rsid w:val="006B3E0C"/>
    <w:rsid w:val="006B404F"/>
    <w:rsid w:val="006B4076"/>
    <w:rsid w:val="006B410B"/>
    <w:rsid w:val="006B4179"/>
    <w:rsid w:val="006B41A4"/>
    <w:rsid w:val="006B41A7"/>
    <w:rsid w:val="006B4260"/>
    <w:rsid w:val="006B429A"/>
    <w:rsid w:val="006B429E"/>
    <w:rsid w:val="006B42E6"/>
    <w:rsid w:val="006B4487"/>
    <w:rsid w:val="006B44C5"/>
    <w:rsid w:val="006B44F8"/>
    <w:rsid w:val="006B4555"/>
    <w:rsid w:val="006B45AE"/>
    <w:rsid w:val="006B45E8"/>
    <w:rsid w:val="006B461F"/>
    <w:rsid w:val="006B4649"/>
    <w:rsid w:val="006B466B"/>
    <w:rsid w:val="006B46D1"/>
    <w:rsid w:val="006B48DA"/>
    <w:rsid w:val="006B4909"/>
    <w:rsid w:val="006B49B3"/>
    <w:rsid w:val="006B4A6B"/>
    <w:rsid w:val="006B4AD2"/>
    <w:rsid w:val="006B4AE5"/>
    <w:rsid w:val="006B4B3B"/>
    <w:rsid w:val="006B4BCD"/>
    <w:rsid w:val="006B4BF3"/>
    <w:rsid w:val="006B4D1B"/>
    <w:rsid w:val="006B4E7B"/>
    <w:rsid w:val="006B4F3F"/>
    <w:rsid w:val="006B5107"/>
    <w:rsid w:val="006B51ED"/>
    <w:rsid w:val="006B52C0"/>
    <w:rsid w:val="006B533D"/>
    <w:rsid w:val="006B5413"/>
    <w:rsid w:val="006B545B"/>
    <w:rsid w:val="006B5498"/>
    <w:rsid w:val="006B552B"/>
    <w:rsid w:val="006B5553"/>
    <w:rsid w:val="006B55B3"/>
    <w:rsid w:val="006B562C"/>
    <w:rsid w:val="006B5654"/>
    <w:rsid w:val="006B5756"/>
    <w:rsid w:val="006B57FE"/>
    <w:rsid w:val="006B5888"/>
    <w:rsid w:val="006B58AD"/>
    <w:rsid w:val="006B59F1"/>
    <w:rsid w:val="006B5AD8"/>
    <w:rsid w:val="006B5B29"/>
    <w:rsid w:val="006B5B8D"/>
    <w:rsid w:val="006B5B93"/>
    <w:rsid w:val="006B5BA2"/>
    <w:rsid w:val="006B5C0B"/>
    <w:rsid w:val="006B5C24"/>
    <w:rsid w:val="006B5CA3"/>
    <w:rsid w:val="006B5D3B"/>
    <w:rsid w:val="006B5D58"/>
    <w:rsid w:val="006B5D74"/>
    <w:rsid w:val="006B5DBD"/>
    <w:rsid w:val="006B5E35"/>
    <w:rsid w:val="006B5EAF"/>
    <w:rsid w:val="006B5F3A"/>
    <w:rsid w:val="006B5F56"/>
    <w:rsid w:val="006B5F67"/>
    <w:rsid w:val="006B5FFF"/>
    <w:rsid w:val="006B60CC"/>
    <w:rsid w:val="006B61EA"/>
    <w:rsid w:val="006B62BB"/>
    <w:rsid w:val="006B6364"/>
    <w:rsid w:val="006B63BA"/>
    <w:rsid w:val="006B63E6"/>
    <w:rsid w:val="006B63FD"/>
    <w:rsid w:val="006B64BF"/>
    <w:rsid w:val="006B64FD"/>
    <w:rsid w:val="006B6598"/>
    <w:rsid w:val="006B66BC"/>
    <w:rsid w:val="006B6709"/>
    <w:rsid w:val="006B6761"/>
    <w:rsid w:val="006B67D8"/>
    <w:rsid w:val="006B6850"/>
    <w:rsid w:val="006B6891"/>
    <w:rsid w:val="006B69E1"/>
    <w:rsid w:val="006B6B83"/>
    <w:rsid w:val="006B6BA0"/>
    <w:rsid w:val="006B6BD1"/>
    <w:rsid w:val="006B6BD2"/>
    <w:rsid w:val="006B6BD6"/>
    <w:rsid w:val="006B6C7E"/>
    <w:rsid w:val="006B6CBA"/>
    <w:rsid w:val="006B6CF1"/>
    <w:rsid w:val="006B6D48"/>
    <w:rsid w:val="006B6D75"/>
    <w:rsid w:val="006B6DF8"/>
    <w:rsid w:val="006B6E09"/>
    <w:rsid w:val="006B6E74"/>
    <w:rsid w:val="006B6EED"/>
    <w:rsid w:val="006B6F54"/>
    <w:rsid w:val="006B6F59"/>
    <w:rsid w:val="006B6FAC"/>
    <w:rsid w:val="006B7033"/>
    <w:rsid w:val="006B71A7"/>
    <w:rsid w:val="006B7284"/>
    <w:rsid w:val="006B72A2"/>
    <w:rsid w:val="006B72CD"/>
    <w:rsid w:val="006B72DC"/>
    <w:rsid w:val="006B733B"/>
    <w:rsid w:val="006B736B"/>
    <w:rsid w:val="006B73EC"/>
    <w:rsid w:val="006B73F1"/>
    <w:rsid w:val="006B750A"/>
    <w:rsid w:val="006B7517"/>
    <w:rsid w:val="006B7634"/>
    <w:rsid w:val="006B7684"/>
    <w:rsid w:val="006B76A2"/>
    <w:rsid w:val="006B7772"/>
    <w:rsid w:val="006B7822"/>
    <w:rsid w:val="006B788D"/>
    <w:rsid w:val="006B79DB"/>
    <w:rsid w:val="006B7BDB"/>
    <w:rsid w:val="006B7C7E"/>
    <w:rsid w:val="006B7CA4"/>
    <w:rsid w:val="006B7DDE"/>
    <w:rsid w:val="006B7E04"/>
    <w:rsid w:val="006B7E1A"/>
    <w:rsid w:val="006B7F69"/>
    <w:rsid w:val="006B7FDA"/>
    <w:rsid w:val="006C0013"/>
    <w:rsid w:val="006C00D2"/>
    <w:rsid w:val="006C012B"/>
    <w:rsid w:val="006C0133"/>
    <w:rsid w:val="006C0160"/>
    <w:rsid w:val="006C020E"/>
    <w:rsid w:val="006C03D5"/>
    <w:rsid w:val="006C03DD"/>
    <w:rsid w:val="006C0422"/>
    <w:rsid w:val="006C0438"/>
    <w:rsid w:val="006C04CA"/>
    <w:rsid w:val="006C04E8"/>
    <w:rsid w:val="006C057B"/>
    <w:rsid w:val="006C0590"/>
    <w:rsid w:val="006C0661"/>
    <w:rsid w:val="006C0803"/>
    <w:rsid w:val="006C0861"/>
    <w:rsid w:val="006C08D1"/>
    <w:rsid w:val="006C091A"/>
    <w:rsid w:val="006C0965"/>
    <w:rsid w:val="006C096D"/>
    <w:rsid w:val="006C09B8"/>
    <w:rsid w:val="006C0AF9"/>
    <w:rsid w:val="006C0BA7"/>
    <w:rsid w:val="006C0BDC"/>
    <w:rsid w:val="006C0C7B"/>
    <w:rsid w:val="006C0E5B"/>
    <w:rsid w:val="006C0ED7"/>
    <w:rsid w:val="006C0F11"/>
    <w:rsid w:val="006C0F1D"/>
    <w:rsid w:val="006C0F2C"/>
    <w:rsid w:val="006C0F3E"/>
    <w:rsid w:val="006C106D"/>
    <w:rsid w:val="006C10C0"/>
    <w:rsid w:val="006C117C"/>
    <w:rsid w:val="006C1264"/>
    <w:rsid w:val="006C132E"/>
    <w:rsid w:val="006C13C2"/>
    <w:rsid w:val="006C13ED"/>
    <w:rsid w:val="006C13FC"/>
    <w:rsid w:val="006C142D"/>
    <w:rsid w:val="006C154E"/>
    <w:rsid w:val="006C15BA"/>
    <w:rsid w:val="006C15E8"/>
    <w:rsid w:val="006C1605"/>
    <w:rsid w:val="006C1636"/>
    <w:rsid w:val="006C16A2"/>
    <w:rsid w:val="006C16C9"/>
    <w:rsid w:val="006C16E2"/>
    <w:rsid w:val="006C185D"/>
    <w:rsid w:val="006C1A7F"/>
    <w:rsid w:val="006C1B2D"/>
    <w:rsid w:val="006C1B4A"/>
    <w:rsid w:val="006C1B6A"/>
    <w:rsid w:val="006C1CD6"/>
    <w:rsid w:val="006C1D09"/>
    <w:rsid w:val="006C1D7B"/>
    <w:rsid w:val="006C1E37"/>
    <w:rsid w:val="006C1EB7"/>
    <w:rsid w:val="006C1F95"/>
    <w:rsid w:val="006C2020"/>
    <w:rsid w:val="006C206E"/>
    <w:rsid w:val="006C2156"/>
    <w:rsid w:val="006C2203"/>
    <w:rsid w:val="006C226B"/>
    <w:rsid w:val="006C236D"/>
    <w:rsid w:val="006C23AB"/>
    <w:rsid w:val="006C255C"/>
    <w:rsid w:val="006C257D"/>
    <w:rsid w:val="006C2691"/>
    <w:rsid w:val="006C2723"/>
    <w:rsid w:val="006C2754"/>
    <w:rsid w:val="006C27A2"/>
    <w:rsid w:val="006C27D8"/>
    <w:rsid w:val="006C28A2"/>
    <w:rsid w:val="006C2921"/>
    <w:rsid w:val="006C2991"/>
    <w:rsid w:val="006C2B13"/>
    <w:rsid w:val="006C2BE8"/>
    <w:rsid w:val="006C2C01"/>
    <w:rsid w:val="006C2C37"/>
    <w:rsid w:val="006C2D5F"/>
    <w:rsid w:val="006C2D6C"/>
    <w:rsid w:val="006C2D85"/>
    <w:rsid w:val="006C2DA9"/>
    <w:rsid w:val="006C2EEB"/>
    <w:rsid w:val="006C2F47"/>
    <w:rsid w:val="006C2F7F"/>
    <w:rsid w:val="006C3035"/>
    <w:rsid w:val="006C30FB"/>
    <w:rsid w:val="006C3265"/>
    <w:rsid w:val="006C32E0"/>
    <w:rsid w:val="006C3333"/>
    <w:rsid w:val="006C3362"/>
    <w:rsid w:val="006C3367"/>
    <w:rsid w:val="006C33CB"/>
    <w:rsid w:val="006C33E0"/>
    <w:rsid w:val="006C34B9"/>
    <w:rsid w:val="006C34E1"/>
    <w:rsid w:val="006C36C7"/>
    <w:rsid w:val="006C3703"/>
    <w:rsid w:val="006C373B"/>
    <w:rsid w:val="006C37CF"/>
    <w:rsid w:val="006C380B"/>
    <w:rsid w:val="006C3B6A"/>
    <w:rsid w:val="006C3BAD"/>
    <w:rsid w:val="006C3BFE"/>
    <w:rsid w:val="006C3C03"/>
    <w:rsid w:val="006C3C0C"/>
    <w:rsid w:val="006C3CE3"/>
    <w:rsid w:val="006C3D8A"/>
    <w:rsid w:val="006C3D99"/>
    <w:rsid w:val="006C3D9C"/>
    <w:rsid w:val="006C3DCC"/>
    <w:rsid w:val="006C3DEC"/>
    <w:rsid w:val="006C3F44"/>
    <w:rsid w:val="006C4068"/>
    <w:rsid w:val="006C40E4"/>
    <w:rsid w:val="006C421A"/>
    <w:rsid w:val="006C43A5"/>
    <w:rsid w:val="006C43FF"/>
    <w:rsid w:val="006C440D"/>
    <w:rsid w:val="006C4500"/>
    <w:rsid w:val="006C457E"/>
    <w:rsid w:val="006C4591"/>
    <w:rsid w:val="006C45B7"/>
    <w:rsid w:val="006C4712"/>
    <w:rsid w:val="006C4865"/>
    <w:rsid w:val="006C498D"/>
    <w:rsid w:val="006C4B44"/>
    <w:rsid w:val="006C4B53"/>
    <w:rsid w:val="006C4D6F"/>
    <w:rsid w:val="006C4E7C"/>
    <w:rsid w:val="006C4EFE"/>
    <w:rsid w:val="006C4F0A"/>
    <w:rsid w:val="006C50FA"/>
    <w:rsid w:val="006C518A"/>
    <w:rsid w:val="006C5191"/>
    <w:rsid w:val="006C51EC"/>
    <w:rsid w:val="006C522B"/>
    <w:rsid w:val="006C5298"/>
    <w:rsid w:val="006C52B7"/>
    <w:rsid w:val="006C5388"/>
    <w:rsid w:val="006C53F0"/>
    <w:rsid w:val="006C5428"/>
    <w:rsid w:val="006C5504"/>
    <w:rsid w:val="006C5616"/>
    <w:rsid w:val="006C571B"/>
    <w:rsid w:val="006C5796"/>
    <w:rsid w:val="006C57C4"/>
    <w:rsid w:val="006C584F"/>
    <w:rsid w:val="006C5892"/>
    <w:rsid w:val="006C5909"/>
    <w:rsid w:val="006C59AC"/>
    <w:rsid w:val="006C59AD"/>
    <w:rsid w:val="006C5AD6"/>
    <w:rsid w:val="006C5BA6"/>
    <w:rsid w:val="006C5C69"/>
    <w:rsid w:val="006C5C90"/>
    <w:rsid w:val="006C5C9A"/>
    <w:rsid w:val="006C5D11"/>
    <w:rsid w:val="006C5E93"/>
    <w:rsid w:val="006C622E"/>
    <w:rsid w:val="006C6307"/>
    <w:rsid w:val="006C6379"/>
    <w:rsid w:val="006C63EE"/>
    <w:rsid w:val="006C64E5"/>
    <w:rsid w:val="006C654E"/>
    <w:rsid w:val="006C6570"/>
    <w:rsid w:val="006C6573"/>
    <w:rsid w:val="006C6598"/>
    <w:rsid w:val="006C66B2"/>
    <w:rsid w:val="006C66BE"/>
    <w:rsid w:val="006C66E5"/>
    <w:rsid w:val="006C6751"/>
    <w:rsid w:val="006C6904"/>
    <w:rsid w:val="006C6937"/>
    <w:rsid w:val="006C69B9"/>
    <w:rsid w:val="006C6A7E"/>
    <w:rsid w:val="006C6B3C"/>
    <w:rsid w:val="006C6C2B"/>
    <w:rsid w:val="006C6C6F"/>
    <w:rsid w:val="006C6CB4"/>
    <w:rsid w:val="006C6D04"/>
    <w:rsid w:val="006C6DE7"/>
    <w:rsid w:val="006C6E1F"/>
    <w:rsid w:val="006C6E5C"/>
    <w:rsid w:val="006C6E60"/>
    <w:rsid w:val="006C6FD7"/>
    <w:rsid w:val="006C704D"/>
    <w:rsid w:val="006C705E"/>
    <w:rsid w:val="006C7104"/>
    <w:rsid w:val="006C7122"/>
    <w:rsid w:val="006C7161"/>
    <w:rsid w:val="006C719D"/>
    <w:rsid w:val="006C721C"/>
    <w:rsid w:val="006C722A"/>
    <w:rsid w:val="006C7401"/>
    <w:rsid w:val="006C7460"/>
    <w:rsid w:val="006C746C"/>
    <w:rsid w:val="006C74B0"/>
    <w:rsid w:val="006C7563"/>
    <w:rsid w:val="006C7581"/>
    <w:rsid w:val="006C75AC"/>
    <w:rsid w:val="006C7633"/>
    <w:rsid w:val="006C764F"/>
    <w:rsid w:val="006C76CC"/>
    <w:rsid w:val="006C771E"/>
    <w:rsid w:val="006C774A"/>
    <w:rsid w:val="006C7774"/>
    <w:rsid w:val="006C7780"/>
    <w:rsid w:val="006C7B08"/>
    <w:rsid w:val="006C7C18"/>
    <w:rsid w:val="006C7C32"/>
    <w:rsid w:val="006C7D15"/>
    <w:rsid w:val="006C7D3C"/>
    <w:rsid w:val="006C7DE6"/>
    <w:rsid w:val="006C7F66"/>
    <w:rsid w:val="006C7FC0"/>
    <w:rsid w:val="006C7FD0"/>
    <w:rsid w:val="006C7FE5"/>
    <w:rsid w:val="006D000F"/>
    <w:rsid w:val="006D00A0"/>
    <w:rsid w:val="006D00F2"/>
    <w:rsid w:val="006D023C"/>
    <w:rsid w:val="006D0249"/>
    <w:rsid w:val="006D0261"/>
    <w:rsid w:val="006D03EA"/>
    <w:rsid w:val="006D043A"/>
    <w:rsid w:val="006D0473"/>
    <w:rsid w:val="006D04A1"/>
    <w:rsid w:val="006D04B1"/>
    <w:rsid w:val="006D04B3"/>
    <w:rsid w:val="006D0509"/>
    <w:rsid w:val="006D0519"/>
    <w:rsid w:val="006D05AB"/>
    <w:rsid w:val="006D05AE"/>
    <w:rsid w:val="006D05C2"/>
    <w:rsid w:val="006D05DD"/>
    <w:rsid w:val="006D05F2"/>
    <w:rsid w:val="006D061A"/>
    <w:rsid w:val="006D0651"/>
    <w:rsid w:val="006D06F6"/>
    <w:rsid w:val="006D0718"/>
    <w:rsid w:val="006D08D7"/>
    <w:rsid w:val="006D0961"/>
    <w:rsid w:val="006D09FD"/>
    <w:rsid w:val="006D0A12"/>
    <w:rsid w:val="006D0AA4"/>
    <w:rsid w:val="006D0ABF"/>
    <w:rsid w:val="006D0AFF"/>
    <w:rsid w:val="006D0B12"/>
    <w:rsid w:val="006D0BBB"/>
    <w:rsid w:val="006D0D32"/>
    <w:rsid w:val="006D0DD6"/>
    <w:rsid w:val="006D0E0C"/>
    <w:rsid w:val="006D0EAC"/>
    <w:rsid w:val="006D0F3D"/>
    <w:rsid w:val="006D0FE1"/>
    <w:rsid w:val="006D1042"/>
    <w:rsid w:val="006D109E"/>
    <w:rsid w:val="006D10FC"/>
    <w:rsid w:val="006D111F"/>
    <w:rsid w:val="006D11CF"/>
    <w:rsid w:val="006D128A"/>
    <w:rsid w:val="006D12CA"/>
    <w:rsid w:val="006D1327"/>
    <w:rsid w:val="006D1397"/>
    <w:rsid w:val="006D143A"/>
    <w:rsid w:val="006D143F"/>
    <w:rsid w:val="006D1463"/>
    <w:rsid w:val="006D158E"/>
    <w:rsid w:val="006D15E1"/>
    <w:rsid w:val="006D171A"/>
    <w:rsid w:val="006D180F"/>
    <w:rsid w:val="006D19BF"/>
    <w:rsid w:val="006D1AFC"/>
    <w:rsid w:val="006D1B45"/>
    <w:rsid w:val="006D1B59"/>
    <w:rsid w:val="006D1B6D"/>
    <w:rsid w:val="006D1C24"/>
    <w:rsid w:val="006D1C51"/>
    <w:rsid w:val="006D1D33"/>
    <w:rsid w:val="006D1E0B"/>
    <w:rsid w:val="006D1E9B"/>
    <w:rsid w:val="006D1EA8"/>
    <w:rsid w:val="006D1EE4"/>
    <w:rsid w:val="006D1EE8"/>
    <w:rsid w:val="006D1F12"/>
    <w:rsid w:val="006D2012"/>
    <w:rsid w:val="006D207A"/>
    <w:rsid w:val="006D20C9"/>
    <w:rsid w:val="006D214C"/>
    <w:rsid w:val="006D21A0"/>
    <w:rsid w:val="006D21C7"/>
    <w:rsid w:val="006D2238"/>
    <w:rsid w:val="006D2247"/>
    <w:rsid w:val="006D2390"/>
    <w:rsid w:val="006D2421"/>
    <w:rsid w:val="006D24E0"/>
    <w:rsid w:val="006D257E"/>
    <w:rsid w:val="006D25F7"/>
    <w:rsid w:val="006D260A"/>
    <w:rsid w:val="006D27EF"/>
    <w:rsid w:val="006D27FF"/>
    <w:rsid w:val="006D28FB"/>
    <w:rsid w:val="006D2905"/>
    <w:rsid w:val="006D2928"/>
    <w:rsid w:val="006D2971"/>
    <w:rsid w:val="006D2977"/>
    <w:rsid w:val="006D2991"/>
    <w:rsid w:val="006D29A3"/>
    <w:rsid w:val="006D2A17"/>
    <w:rsid w:val="006D2A54"/>
    <w:rsid w:val="006D2B0B"/>
    <w:rsid w:val="006D2B6B"/>
    <w:rsid w:val="006D2CB1"/>
    <w:rsid w:val="006D2CE3"/>
    <w:rsid w:val="006D2D84"/>
    <w:rsid w:val="006D2DA0"/>
    <w:rsid w:val="006D2DF0"/>
    <w:rsid w:val="006D2FB8"/>
    <w:rsid w:val="006D30CE"/>
    <w:rsid w:val="006D3290"/>
    <w:rsid w:val="006D3337"/>
    <w:rsid w:val="006D3342"/>
    <w:rsid w:val="006D338E"/>
    <w:rsid w:val="006D34C5"/>
    <w:rsid w:val="006D34E3"/>
    <w:rsid w:val="006D3505"/>
    <w:rsid w:val="006D361C"/>
    <w:rsid w:val="006D36CD"/>
    <w:rsid w:val="006D3701"/>
    <w:rsid w:val="006D3805"/>
    <w:rsid w:val="006D3808"/>
    <w:rsid w:val="006D380E"/>
    <w:rsid w:val="006D3871"/>
    <w:rsid w:val="006D38A7"/>
    <w:rsid w:val="006D39CB"/>
    <w:rsid w:val="006D3A24"/>
    <w:rsid w:val="006D3ABE"/>
    <w:rsid w:val="006D3B39"/>
    <w:rsid w:val="006D3B7B"/>
    <w:rsid w:val="006D3C6E"/>
    <w:rsid w:val="006D3D2B"/>
    <w:rsid w:val="006D3D48"/>
    <w:rsid w:val="006D3D51"/>
    <w:rsid w:val="006D3E81"/>
    <w:rsid w:val="006D3F1F"/>
    <w:rsid w:val="006D3F7C"/>
    <w:rsid w:val="006D3FAE"/>
    <w:rsid w:val="006D3FD0"/>
    <w:rsid w:val="006D4006"/>
    <w:rsid w:val="006D402E"/>
    <w:rsid w:val="006D409F"/>
    <w:rsid w:val="006D40F5"/>
    <w:rsid w:val="006D419F"/>
    <w:rsid w:val="006D41AC"/>
    <w:rsid w:val="006D4226"/>
    <w:rsid w:val="006D4319"/>
    <w:rsid w:val="006D4348"/>
    <w:rsid w:val="006D446A"/>
    <w:rsid w:val="006D446B"/>
    <w:rsid w:val="006D44CB"/>
    <w:rsid w:val="006D453D"/>
    <w:rsid w:val="006D455F"/>
    <w:rsid w:val="006D4578"/>
    <w:rsid w:val="006D45D0"/>
    <w:rsid w:val="006D474B"/>
    <w:rsid w:val="006D4765"/>
    <w:rsid w:val="006D47BC"/>
    <w:rsid w:val="006D49C8"/>
    <w:rsid w:val="006D4A4E"/>
    <w:rsid w:val="006D4A72"/>
    <w:rsid w:val="006D4AA2"/>
    <w:rsid w:val="006D4AFD"/>
    <w:rsid w:val="006D4B0F"/>
    <w:rsid w:val="006D4BAF"/>
    <w:rsid w:val="006D4C5D"/>
    <w:rsid w:val="006D4CBE"/>
    <w:rsid w:val="006D4DBA"/>
    <w:rsid w:val="006D4E08"/>
    <w:rsid w:val="006D4E58"/>
    <w:rsid w:val="006D4F09"/>
    <w:rsid w:val="006D4F48"/>
    <w:rsid w:val="006D50E6"/>
    <w:rsid w:val="006D50F8"/>
    <w:rsid w:val="006D5178"/>
    <w:rsid w:val="006D5235"/>
    <w:rsid w:val="006D526D"/>
    <w:rsid w:val="006D527E"/>
    <w:rsid w:val="006D5285"/>
    <w:rsid w:val="006D53A2"/>
    <w:rsid w:val="006D540A"/>
    <w:rsid w:val="006D552A"/>
    <w:rsid w:val="006D5541"/>
    <w:rsid w:val="006D55C3"/>
    <w:rsid w:val="006D5610"/>
    <w:rsid w:val="006D561B"/>
    <w:rsid w:val="006D562A"/>
    <w:rsid w:val="006D566C"/>
    <w:rsid w:val="006D566E"/>
    <w:rsid w:val="006D57EA"/>
    <w:rsid w:val="006D5829"/>
    <w:rsid w:val="006D585C"/>
    <w:rsid w:val="006D589D"/>
    <w:rsid w:val="006D591C"/>
    <w:rsid w:val="006D593E"/>
    <w:rsid w:val="006D597D"/>
    <w:rsid w:val="006D5986"/>
    <w:rsid w:val="006D5A29"/>
    <w:rsid w:val="006D5B1C"/>
    <w:rsid w:val="006D5B26"/>
    <w:rsid w:val="006D5BC8"/>
    <w:rsid w:val="006D5BFC"/>
    <w:rsid w:val="006D5C03"/>
    <w:rsid w:val="006D5C57"/>
    <w:rsid w:val="006D5CB7"/>
    <w:rsid w:val="006D5D43"/>
    <w:rsid w:val="006D5DBF"/>
    <w:rsid w:val="006D5F4E"/>
    <w:rsid w:val="006D5FFB"/>
    <w:rsid w:val="006D6029"/>
    <w:rsid w:val="006D6046"/>
    <w:rsid w:val="006D6349"/>
    <w:rsid w:val="006D635A"/>
    <w:rsid w:val="006D63C2"/>
    <w:rsid w:val="006D645D"/>
    <w:rsid w:val="006D6493"/>
    <w:rsid w:val="006D67FF"/>
    <w:rsid w:val="006D68ED"/>
    <w:rsid w:val="006D6911"/>
    <w:rsid w:val="006D6C7A"/>
    <w:rsid w:val="006D6CF3"/>
    <w:rsid w:val="006D6D6D"/>
    <w:rsid w:val="006D6E33"/>
    <w:rsid w:val="006D6E3D"/>
    <w:rsid w:val="006D6E91"/>
    <w:rsid w:val="006D6F14"/>
    <w:rsid w:val="006D6F46"/>
    <w:rsid w:val="006D704F"/>
    <w:rsid w:val="006D7123"/>
    <w:rsid w:val="006D7128"/>
    <w:rsid w:val="006D72E4"/>
    <w:rsid w:val="006D734E"/>
    <w:rsid w:val="006D7382"/>
    <w:rsid w:val="006D73C2"/>
    <w:rsid w:val="006D73E4"/>
    <w:rsid w:val="006D7476"/>
    <w:rsid w:val="006D7513"/>
    <w:rsid w:val="006D752C"/>
    <w:rsid w:val="006D758F"/>
    <w:rsid w:val="006D7629"/>
    <w:rsid w:val="006D7796"/>
    <w:rsid w:val="006D77F4"/>
    <w:rsid w:val="006D784A"/>
    <w:rsid w:val="006D78A9"/>
    <w:rsid w:val="006D796A"/>
    <w:rsid w:val="006D79AA"/>
    <w:rsid w:val="006D7A2C"/>
    <w:rsid w:val="006D7A6D"/>
    <w:rsid w:val="006D7B11"/>
    <w:rsid w:val="006D7B90"/>
    <w:rsid w:val="006D7BF6"/>
    <w:rsid w:val="006D7C3D"/>
    <w:rsid w:val="006D7DB2"/>
    <w:rsid w:val="006D7E44"/>
    <w:rsid w:val="006D7E77"/>
    <w:rsid w:val="006D7FA8"/>
    <w:rsid w:val="006D841E"/>
    <w:rsid w:val="006DA811"/>
    <w:rsid w:val="006E0027"/>
    <w:rsid w:val="006E0041"/>
    <w:rsid w:val="006E0068"/>
    <w:rsid w:val="006E0072"/>
    <w:rsid w:val="006E008B"/>
    <w:rsid w:val="006E00BE"/>
    <w:rsid w:val="006E01A2"/>
    <w:rsid w:val="006E01FA"/>
    <w:rsid w:val="006E02C1"/>
    <w:rsid w:val="006E02CA"/>
    <w:rsid w:val="006E02E5"/>
    <w:rsid w:val="006E043C"/>
    <w:rsid w:val="006E047A"/>
    <w:rsid w:val="006E049F"/>
    <w:rsid w:val="006E0535"/>
    <w:rsid w:val="006E0546"/>
    <w:rsid w:val="006E0582"/>
    <w:rsid w:val="006E0587"/>
    <w:rsid w:val="006E05A7"/>
    <w:rsid w:val="006E06A3"/>
    <w:rsid w:val="006E06CB"/>
    <w:rsid w:val="006E0715"/>
    <w:rsid w:val="006E07AA"/>
    <w:rsid w:val="006E07B0"/>
    <w:rsid w:val="006E09BB"/>
    <w:rsid w:val="006E0A04"/>
    <w:rsid w:val="006E0AAA"/>
    <w:rsid w:val="006E0C02"/>
    <w:rsid w:val="006E0C43"/>
    <w:rsid w:val="006E0C51"/>
    <w:rsid w:val="006E0D11"/>
    <w:rsid w:val="006E0D99"/>
    <w:rsid w:val="006E0E0A"/>
    <w:rsid w:val="006E1046"/>
    <w:rsid w:val="006E115C"/>
    <w:rsid w:val="006E13A1"/>
    <w:rsid w:val="006E13C3"/>
    <w:rsid w:val="006E13F0"/>
    <w:rsid w:val="006E14A5"/>
    <w:rsid w:val="006E15D1"/>
    <w:rsid w:val="006E16CB"/>
    <w:rsid w:val="006E16D2"/>
    <w:rsid w:val="006E16D5"/>
    <w:rsid w:val="006E172E"/>
    <w:rsid w:val="006E1743"/>
    <w:rsid w:val="006E1811"/>
    <w:rsid w:val="006E1978"/>
    <w:rsid w:val="006E1987"/>
    <w:rsid w:val="006E19A6"/>
    <w:rsid w:val="006E19E3"/>
    <w:rsid w:val="006E1A27"/>
    <w:rsid w:val="006E1A4D"/>
    <w:rsid w:val="006E1A6C"/>
    <w:rsid w:val="006E1A77"/>
    <w:rsid w:val="006E1B11"/>
    <w:rsid w:val="006E1B1E"/>
    <w:rsid w:val="006E1CAE"/>
    <w:rsid w:val="006E1D0E"/>
    <w:rsid w:val="006E1D8F"/>
    <w:rsid w:val="006E1DDD"/>
    <w:rsid w:val="006E1E78"/>
    <w:rsid w:val="006E1EBB"/>
    <w:rsid w:val="006E1F01"/>
    <w:rsid w:val="006E2024"/>
    <w:rsid w:val="006E20F7"/>
    <w:rsid w:val="006E21C5"/>
    <w:rsid w:val="006E24D5"/>
    <w:rsid w:val="006E24ED"/>
    <w:rsid w:val="006E251A"/>
    <w:rsid w:val="006E257F"/>
    <w:rsid w:val="006E25A7"/>
    <w:rsid w:val="006E25FA"/>
    <w:rsid w:val="006E25FE"/>
    <w:rsid w:val="006E260B"/>
    <w:rsid w:val="006E260F"/>
    <w:rsid w:val="006E2623"/>
    <w:rsid w:val="006E2630"/>
    <w:rsid w:val="006E2748"/>
    <w:rsid w:val="006E2760"/>
    <w:rsid w:val="006E279A"/>
    <w:rsid w:val="006E28AA"/>
    <w:rsid w:val="006E28C4"/>
    <w:rsid w:val="006E2909"/>
    <w:rsid w:val="006E292D"/>
    <w:rsid w:val="006E2A1B"/>
    <w:rsid w:val="006E2A24"/>
    <w:rsid w:val="006E2A73"/>
    <w:rsid w:val="006E2B48"/>
    <w:rsid w:val="006E2B79"/>
    <w:rsid w:val="006E2C08"/>
    <w:rsid w:val="006E2C44"/>
    <w:rsid w:val="006E2D1D"/>
    <w:rsid w:val="006E2D7C"/>
    <w:rsid w:val="006E2DE8"/>
    <w:rsid w:val="006E2DF8"/>
    <w:rsid w:val="006E2E1E"/>
    <w:rsid w:val="006E2F4D"/>
    <w:rsid w:val="006E2F94"/>
    <w:rsid w:val="006E2FA1"/>
    <w:rsid w:val="006E2FC2"/>
    <w:rsid w:val="006E2FF3"/>
    <w:rsid w:val="006E3097"/>
    <w:rsid w:val="006E30D7"/>
    <w:rsid w:val="006E30E9"/>
    <w:rsid w:val="006E30EA"/>
    <w:rsid w:val="006E3132"/>
    <w:rsid w:val="006E3155"/>
    <w:rsid w:val="006E3251"/>
    <w:rsid w:val="006E32C6"/>
    <w:rsid w:val="006E33A5"/>
    <w:rsid w:val="006E33DF"/>
    <w:rsid w:val="006E3488"/>
    <w:rsid w:val="006E34CB"/>
    <w:rsid w:val="006E350E"/>
    <w:rsid w:val="006E3650"/>
    <w:rsid w:val="006E367D"/>
    <w:rsid w:val="006E380C"/>
    <w:rsid w:val="006E3888"/>
    <w:rsid w:val="006E38CD"/>
    <w:rsid w:val="006E395C"/>
    <w:rsid w:val="006E3A5F"/>
    <w:rsid w:val="006E3B08"/>
    <w:rsid w:val="006E3E45"/>
    <w:rsid w:val="006E4034"/>
    <w:rsid w:val="006E409C"/>
    <w:rsid w:val="006E40C4"/>
    <w:rsid w:val="006E4174"/>
    <w:rsid w:val="006E41D8"/>
    <w:rsid w:val="006E4313"/>
    <w:rsid w:val="006E43C3"/>
    <w:rsid w:val="006E44E9"/>
    <w:rsid w:val="006E45AF"/>
    <w:rsid w:val="006E462C"/>
    <w:rsid w:val="006E46A3"/>
    <w:rsid w:val="006E4725"/>
    <w:rsid w:val="006E4769"/>
    <w:rsid w:val="006E47A6"/>
    <w:rsid w:val="006E4838"/>
    <w:rsid w:val="006E484F"/>
    <w:rsid w:val="006E4866"/>
    <w:rsid w:val="006E4876"/>
    <w:rsid w:val="006E488A"/>
    <w:rsid w:val="006E489F"/>
    <w:rsid w:val="006E4963"/>
    <w:rsid w:val="006E4A69"/>
    <w:rsid w:val="006E4AD5"/>
    <w:rsid w:val="006E4AFE"/>
    <w:rsid w:val="006E4B30"/>
    <w:rsid w:val="006E4BB0"/>
    <w:rsid w:val="006E4C23"/>
    <w:rsid w:val="006E4C5D"/>
    <w:rsid w:val="006E4CAC"/>
    <w:rsid w:val="006E4D1E"/>
    <w:rsid w:val="006E4D8F"/>
    <w:rsid w:val="006E4DA3"/>
    <w:rsid w:val="006E4E39"/>
    <w:rsid w:val="006E4E3C"/>
    <w:rsid w:val="006E4F10"/>
    <w:rsid w:val="006E5092"/>
    <w:rsid w:val="006E509D"/>
    <w:rsid w:val="006E50CF"/>
    <w:rsid w:val="006E50D4"/>
    <w:rsid w:val="006E50FE"/>
    <w:rsid w:val="006E5128"/>
    <w:rsid w:val="006E51B5"/>
    <w:rsid w:val="006E51EF"/>
    <w:rsid w:val="006E534B"/>
    <w:rsid w:val="006E53AC"/>
    <w:rsid w:val="006E5477"/>
    <w:rsid w:val="006E54DC"/>
    <w:rsid w:val="006E554D"/>
    <w:rsid w:val="006E56C2"/>
    <w:rsid w:val="006E5746"/>
    <w:rsid w:val="006E587E"/>
    <w:rsid w:val="006E58DD"/>
    <w:rsid w:val="006E5A46"/>
    <w:rsid w:val="006E5A7B"/>
    <w:rsid w:val="006E5B92"/>
    <w:rsid w:val="006E5BF3"/>
    <w:rsid w:val="006E5D16"/>
    <w:rsid w:val="006E5D21"/>
    <w:rsid w:val="006E5D85"/>
    <w:rsid w:val="006E5E1C"/>
    <w:rsid w:val="006E5E34"/>
    <w:rsid w:val="006E5E4D"/>
    <w:rsid w:val="006E5EB1"/>
    <w:rsid w:val="006E5FC1"/>
    <w:rsid w:val="006E606E"/>
    <w:rsid w:val="006E61C4"/>
    <w:rsid w:val="006E6323"/>
    <w:rsid w:val="006E6364"/>
    <w:rsid w:val="006E63FF"/>
    <w:rsid w:val="006E646D"/>
    <w:rsid w:val="006E64CB"/>
    <w:rsid w:val="006E6517"/>
    <w:rsid w:val="006E66B3"/>
    <w:rsid w:val="006E672A"/>
    <w:rsid w:val="006E6745"/>
    <w:rsid w:val="006E6799"/>
    <w:rsid w:val="006E6828"/>
    <w:rsid w:val="006E6831"/>
    <w:rsid w:val="006E6837"/>
    <w:rsid w:val="006E683B"/>
    <w:rsid w:val="006E6891"/>
    <w:rsid w:val="006E68A4"/>
    <w:rsid w:val="006E691D"/>
    <w:rsid w:val="006E6A3B"/>
    <w:rsid w:val="006E6A46"/>
    <w:rsid w:val="006E6A7E"/>
    <w:rsid w:val="006E6AC1"/>
    <w:rsid w:val="006E6BA2"/>
    <w:rsid w:val="006E6C36"/>
    <w:rsid w:val="006E6C83"/>
    <w:rsid w:val="006E6D6A"/>
    <w:rsid w:val="006E6DB0"/>
    <w:rsid w:val="006E6DF5"/>
    <w:rsid w:val="006E6F8B"/>
    <w:rsid w:val="006E6FAE"/>
    <w:rsid w:val="006E6FCF"/>
    <w:rsid w:val="006E70B7"/>
    <w:rsid w:val="006E7273"/>
    <w:rsid w:val="006E72E3"/>
    <w:rsid w:val="006E72E5"/>
    <w:rsid w:val="006E72E6"/>
    <w:rsid w:val="006E72FA"/>
    <w:rsid w:val="006E7358"/>
    <w:rsid w:val="006E74D0"/>
    <w:rsid w:val="006E7527"/>
    <w:rsid w:val="006E7534"/>
    <w:rsid w:val="006E75E2"/>
    <w:rsid w:val="006E7763"/>
    <w:rsid w:val="006E77BC"/>
    <w:rsid w:val="006E781E"/>
    <w:rsid w:val="006E79C4"/>
    <w:rsid w:val="006E79C8"/>
    <w:rsid w:val="006E7A3E"/>
    <w:rsid w:val="006E7B32"/>
    <w:rsid w:val="006E7B5D"/>
    <w:rsid w:val="006E7BAD"/>
    <w:rsid w:val="006E7BF7"/>
    <w:rsid w:val="006E7C22"/>
    <w:rsid w:val="006E7C5D"/>
    <w:rsid w:val="006E7D5B"/>
    <w:rsid w:val="006E7DAF"/>
    <w:rsid w:val="006E7DE2"/>
    <w:rsid w:val="006E7E4B"/>
    <w:rsid w:val="006E7E9D"/>
    <w:rsid w:val="006E7EC7"/>
    <w:rsid w:val="006E7F1E"/>
    <w:rsid w:val="006E7F36"/>
    <w:rsid w:val="006E7F8E"/>
    <w:rsid w:val="006EE372"/>
    <w:rsid w:val="006F00FE"/>
    <w:rsid w:val="006F00FF"/>
    <w:rsid w:val="006F011A"/>
    <w:rsid w:val="006F0197"/>
    <w:rsid w:val="006F01B4"/>
    <w:rsid w:val="006F01BB"/>
    <w:rsid w:val="006F0242"/>
    <w:rsid w:val="006F028B"/>
    <w:rsid w:val="006F02A6"/>
    <w:rsid w:val="006F0343"/>
    <w:rsid w:val="006F0446"/>
    <w:rsid w:val="006F0576"/>
    <w:rsid w:val="006F0716"/>
    <w:rsid w:val="006F0785"/>
    <w:rsid w:val="006F07D6"/>
    <w:rsid w:val="006F0956"/>
    <w:rsid w:val="006F09C8"/>
    <w:rsid w:val="006F0A32"/>
    <w:rsid w:val="006F0A90"/>
    <w:rsid w:val="006F0BF0"/>
    <w:rsid w:val="006F0CB5"/>
    <w:rsid w:val="006F0D6C"/>
    <w:rsid w:val="006F0E3F"/>
    <w:rsid w:val="006F0EEB"/>
    <w:rsid w:val="006F0F39"/>
    <w:rsid w:val="006F0F5A"/>
    <w:rsid w:val="006F0FCB"/>
    <w:rsid w:val="006F1139"/>
    <w:rsid w:val="006F115A"/>
    <w:rsid w:val="006F1162"/>
    <w:rsid w:val="006F1239"/>
    <w:rsid w:val="006F1261"/>
    <w:rsid w:val="006F1310"/>
    <w:rsid w:val="006F13C2"/>
    <w:rsid w:val="006F14BD"/>
    <w:rsid w:val="006F1525"/>
    <w:rsid w:val="006F1554"/>
    <w:rsid w:val="006F15CD"/>
    <w:rsid w:val="006F179C"/>
    <w:rsid w:val="006F1866"/>
    <w:rsid w:val="006F1944"/>
    <w:rsid w:val="006F19AC"/>
    <w:rsid w:val="006F1A18"/>
    <w:rsid w:val="006F1A47"/>
    <w:rsid w:val="006F1CB9"/>
    <w:rsid w:val="006F1D2E"/>
    <w:rsid w:val="006F1D50"/>
    <w:rsid w:val="006F1DB2"/>
    <w:rsid w:val="006F1DFE"/>
    <w:rsid w:val="006F1E60"/>
    <w:rsid w:val="006F1F60"/>
    <w:rsid w:val="006F20E0"/>
    <w:rsid w:val="006F21F9"/>
    <w:rsid w:val="006F2212"/>
    <w:rsid w:val="006F2227"/>
    <w:rsid w:val="006F227E"/>
    <w:rsid w:val="006F228C"/>
    <w:rsid w:val="006F22BE"/>
    <w:rsid w:val="006F23AF"/>
    <w:rsid w:val="006F23D6"/>
    <w:rsid w:val="006F256C"/>
    <w:rsid w:val="006F25FF"/>
    <w:rsid w:val="006F2612"/>
    <w:rsid w:val="006F2662"/>
    <w:rsid w:val="006F266E"/>
    <w:rsid w:val="006F2724"/>
    <w:rsid w:val="006F2729"/>
    <w:rsid w:val="006F2776"/>
    <w:rsid w:val="006F2997"/>
    <w:rsid w:val="006F29A0"/>
    <w:rsid w:val="006F2A6F"/>
    <w:rsid w:val="006F2C3D"/>
    <w:rsid w:val="006F2C81"/>
    <w:rsid w:val="006F2CD6"/>
    <w:rsid w:val="006F2D10"/>
    <w:rsid w:val="006F2D77"/>
    <w:rsid w:val="006F2EA7"/>
    <w:rsid w:val="006F30D8"/>
    <w:rsid w:val="006F31C1"/>
    <w:rsid w:val="006F31FE"/>
    <w:rsid w:val="006F3329"/>
    <w:rsid w:val="006F33A8"/>
    <w:rsid w:val="006F3465"/>
    <w:rsid w:val="006F3471"/>
    <w:rsid w:val="006F34C8"/>
    <w:rsid w:val="006F34D1"/>
    <w:rsid w:val="006F34DA"/>
    <w:rsid w:val="006F3519"/>
    <w:rsid w:val="006F357D"/>
    <w:rsid w:val="006F3635"/>
    <w:rsid w:val="006F363A"/>
    <w:rsid w:val="006F367B"/>
    <w:rsid w:val="006F382B"/>
    <w:rsid w:val="006F38A9"/>
    <w:rsid w:val="006F395E"/>
    <w:rsid w:val="006F396C"/>
    <w:rsid w:val="006F3ADA"/>
    <w:rsid w:val="006F3BB5"/>
    <w:rsid w:val="006F3C42"/>
    <w:rsid w:val="006F3C5A"/>
    <w:rsid w:val="006F3C73"/>
    <w:rsid w:val="006F3C7B"/>
    <w:rsid w:val="006F3CBD"/>
    <w:rsid w:val="006F3E45"/>
    <w:rsid w:val="006F3E4A"/>
    <w:rsid w:val="006F4134"/>
    <w:rsid w:val="006F41B3"/>
    <w:rsid w:val="006F420D"/>
    <w:rsid w:val="006F421D"/>
    <w:rsid w:val="006F4286"/>
    <w:rsid w:val="006F42A3"/>
    <w:rsid w:val="006F42B2"/>
    <w:rsid w:val="006F4313"/>
    <w:rsid w:val="006F43C2"/>
    <w:rsid w:val="006F4532"/>
    <w:rsid w:val="006F45C8"/>
    <w:rsid w:val="006F4704"/>
    <w:rsid w:val="006F479E"/>
    <w:rsid w:val="006F47B3"/>
    <w:rsid w:val="006F4838"/>
    <w:rsid w:val="006F485D"/>
    <w:rsid w:val="006F486D"/>
    <w:rsid w:val="006F491C"/>
    <w:rsid w:val="006F4923"/>
    <w:rsid w:val="006F49EC"/>
    <w:rsid w:val="006F4A36"/>
    <w:rsid w:val="006F4B3A"/>
    <w:rsid w:val="006F4BFB"/>
    <w:rsid w:val="006F4CC6"/>
    <w:rsid w:val="006F4CE3"/>
    <w:rsid w:val="006F4D1E"/>
    <w:rsid w:val="006F4F16"/>
    <w:rsid w:val="006F4FA9"/>
    <w:rsid w:val="006F4FC3"/>
    <w:rsid w:val="006F501B"/>
    <w:rsid w:val="006F5039"/>
    <w:rsid w:val="006F5082"/>
    <w:rsid w:val="006F5122"/>
    <w:rsid w:val="006F512F"/>
    <w:rsid w:val="006F51A3"/>
    <w:rsid w:val="006F51A9"/>
    <w:rsid w:val="006F51F3"/>
    <w:rsid w:val="006F520F"/>
    <w:rsid w:val="006F522E"/>
    <w:rsid w:val="006F52CA"/>
    <w:rsid w:val="006F5308"/>
    <w:rsid w:val="006F5317"/>
    <w:rsid w:val="006F53F1"/>
    <w:rsid w:val="006F54EA"/>
    <w:rsid w:val="006F558A"/>
    <w:rsid w:val="006F5594"/>
    <w:rsid w:val="006F55FF"/>
    <w:rsid w:val="006F563D"/>
    <w:rsid w:val="006F57FB"/>
    <w:rsid w:val="006F580F"/>
    <w:rsid w:val="006F5908"/>
    <w:rsid w:val="006F5B08"/>
    <w:rsid w:val="006F5CBF"/>
    <w:rsid w:val="006F5D2E"/>
    <w:rsid w:val="006F5DDA"/>
    <w:rsid w:val="006F5EE2"/>
    <w:rsid w:val="006F5F18"/>
    <w:rsid w:val="006F5FE6"/>
    <w:rsid w:val="006F6090"/>
    <w:rsid w:val="006F60CA"/>
    <w:rsid w:val="006F61A7"/>
    <w:rsid w:val="006F624F"/>
    <w:rsid w:val="006F627D"/>
    <w:rsid w:val="006F62AC"/>
    <w:rsid w:val="006F62FE"/>
    <w:rsid w:val="006F633B"/>
    <w:rsid w:val="006F641F"/>
    <w:rsid w:val="006F666F"/>
    <w:rsid w:val="006F669F"/>
    <w:rsid w:val="006F67B4"/>
    <w:rsid w:val="006F6800"/>
    <w:rsid w:val="006F684D"/>
    <w:rsid w:val="006F688B"/>
    <w:rsid w:val="006F689F"/>
    <w:rsid w:val="006F68AC"/>
    <w:rsid w:val="006F6939"/>
    <w:rsid w:val="006F6993"/>
    <w:rsid w:val="006F69F1"/>
    <w:rsid w:val="006F69FF"/>
    <w:rsid w:val="006F6A53"/>
    <w:rsid w:val="006F6A67"/>
    <w:rsid w:val="006F6A8D"/>
    <w:rsid w:val="006F6AC6"/>
    <w:rsid w:val="006F6C8F"/>
    <w:rsid w:val="006F6D07"/>
    <w:rsid w:val="006F6D30"/>
    <w:rsid w:val="006F6D6C"/>
    <w:rsid w:val="006F6ED0"/>
    <w:rsid w:val="006F6F09"/>
    <w:rsid w:val="006F6F3B"/>
    <w:rsid w:val="006F70FD"/>
    <w:rsid w:val="006F7163"/>
    <w:rsid w:val="006F7171"/>
    <w:rsid w:val="006F717B"/>
    <w:rsid w:val="006F71EC"/>
    <w:rsid w:val="006F72D4"/>
    <w:rsid w:val="006F73FD"/>
    <w:rsid w:val="006F7473"/>
    <w:rsid w:val="006F74A4"/>
    <w:rsid w:val="006F74EB"/>
    <w:rsid w:val="006F7505"/>
    <w:rsid w:val="006F7597"/>
    <w:rsid w:val="006F7804"/>
    <w:rsid w:val="006F78EE"/>
    <w:rsid w:val="006F793E"/>
    <w:rsid w:val="006F79A7"/>
    <w:rsid w:val="006F7AFA"/>
    <w:rsid w:val="006F7B13"/>
    <w:rsid w:val="006F7BC7"/>
    <w:rsid w:val="006F7BFD"/>
    <w:rsid w:val="006F7CCD"/>
    <w:rsid w:val="006F7D21"/>
    <w:rsid w:val="006F7E7B"/>
    <w:rsid w:val="006F7ED6"/>
    <w:rsid w:val="006F7EE4"/>
    <w:rsid w:val="006F7F2D"/>
    <w:rsid w:val="006F7F5D"/>
    <w:rsid w:val="006F7FE0"/>
    <w:rsid w:val="00700024"/>
    <w:rsid w:val="00700363"/>
    <w:rsid w:val="00700378"/>
    <w:rsid w:val="00700390"/>
    <w:rsid w:val="007003B1"/>
    <w:rsid w:val="00700405"/>
    <w:rsid w:val="00700423"/>
    <w:rsid w:val="0070045B"/>
    <w:rsid w:val="00700559"/>
    <w:rsid w:val="00700642"/>
    <w:rsid w:val="00700652"/>
    <w:rsid w:val="00700669"/>
    <w:rsid w:val="007006ED"/>
    <w:rsid w:val="0070073C"/>
    <w:rsid w:val="0070083E"/>
    <w:rsid w:val="0070085C"/>
    <w:rsid w:val="007008DF"/>
    <w:rsid w:val="007008F2"/>
    <w:rsid w:val="00700944"/>
    <w:rsid w:val="0070094A"/>
    <w:rsid w:val="0070096E"/>
    <w:rsid w:val="0070099B"/>
    <w:rsid w:val="00700A69"/>
    <w:rsid w:val="00700AD9"/>
    <w:rsid w:val="00700B42"/>
    <w:rsid w:val="00700BBC"/>
    <w:rsid w:val="00700C00"/>
    <w:rsid w:val="00700C04"/>
    <w:rsid w:val="00700C6E"/>
    <w:rsid w:val="00700CC9"/>
    <w:rsid w:val="00700DBC"/>
    <w:rsid w:val="00700F03"/>
    <w:rsid w:val="00700F50"/>
    <w:rsid w:val="00700FAD"/>
    <w:rsid w:val="0070108A"/>
    <w:rsid w:val="007010D9"/>
    <w:rsid w:val="007010E7"/>
    <w:rsid w:val="00701141"/>
    <w:rsid w:val="00701209"/>
    <w:rsid w:val="0070124F"/>
    <w:rsid w:val="00701256"/>
    <w:rsid w:val="007012AF"/>
    <w:rsid w:val="0070130C"/>
    <w:rsid w:val="00701353"/>
    <w:rsid w:val="0070139C"/>
    <w:rsid w:val="00701695"/>
    <w:rsid w:val="007016AC"/>
    <w:rsid w:val="007016BE"/>
    <w:rsid w:val="007016E5"/>
    <w:rsid w:val="00701752"/>
    <w:rsid w:val="007017E8"/>
    <w:rsid w:val="007017F2"/>
    <w:rsid w:val="0070190C"/>
    <w:rsid w:val="00701989"/>
    <w:rsid w:val="007019CB"/>
    <w:rsid w:val="00701AD8"/>
    <w:rsid w:val="00701B5C"/>
    <w:rsid w:val="00701B62"/>
    <w:rsid w:val="00701BA5"/>
    <w:rsid w:val="00701C25"/>
    <w:rsid w:val="00701CCA"/>
    <w:rsid w:val="00701D1F"/>
    <w:rsid w:val="00701E55"/>
    <w:rsid w:val="00701ED4"/>
    <w:rsid w:val="00701EFB"/>
    <w:rsid w:val="00701F34"/>
    <w:rsid w:val="00701F59"/>
    <w:rsid w:val="00701F76"/>
    <w:rsid w:val="00702067"/>
    <w:rsid w:val="00702093"/>
    <w:rsid w:val="007020D5"/>
    <w:rsid w:val="007020F8"/>
    <w:rsid w:val="00702119"/>
    <w:rsid w:val="00702219"/>
    <w:rsid w:val="0070221D"/>
    <w:rsid w:val="007022DE"/>
    <w:rsid w:val="00702377"/>
    <w:rsid w:val="00702400"/>
    <w:rsid w:val="0070248D"/>
    <w:rsid w:val="007024C3"/>
    <w:rsid w:val="007024DA"/>
    <w:rsid w:val="0070250D"/>
    <w:rsid w:val="007026BB"/>
    <w:rsid w:val="00702785"/>
    <w:rsid w:val="00702832"/>
    <w:rsid w:val="00702844"/>
    <w:rsid w:val="00702A7F"/>
    <w:rsid w:val="00702BC9"/>
    <w:rsid w:val="00702BD4"/>
    <w:rsid w:val="00702C27"/>
    <w:rsid w:val="00702D30"/>
    <w:rsid w:val="00702D52"/>
    <w:rsid w:val="00702D53"/>
    <w:rsid w:val="00702D9A"/>
    <w:rsid w:val="00702F0C"/>
    <w:rsid w:val="00702F84"/>
    <w:rsid w:val="00703014"/>
    <w:rsid w:val="00703074"/>
    <w:rsid w:val="00703136"/>
    <w:rsid w:val="007031CC"/>
    <w:rsid w:val="0070330F"/>
    <w:rsid w:val="00703328"/>
    <w:rsid w:val="0070342F"/>
    <w:rsid w:val="0070353D"/>
    <w:rsid w:val="0070366F"/>
    <w:rsid w:val="0070375E"/>
    <w:rsid w:val="007037DE"/>
    <w:rsid w:val="007037DF"/>
    <w:rsid w:val="00703816"/>
    <w:rsid w:val="00703847"/>
    <w:rsid w:val="0070388B"/>
    <w:rsid w:val="00703890"/>
    <w:rsid w:val="00703921"/>
    <w:rsid w:val="00703998"/>
    <w:rsid w:val="00703A2A"/>
    <w:rsid w:val="00703A4A"/>
    <w:rsid w:val="00703BDE"/>
    <w:rsid w:val="00703C1F"/>
    <w:rsid w:val="00703C71"/>
    <w:rsid w:val="00703E29"/>
    <w:rsid w:val="00703E85"/>
    <w:rsid w:val="00703EAA"/>
    <w:rsid w:val="00703EF4"/>
    <w:rsid w:val="00703F8C"/>
    <w:rsid w:val="00704010"/>
    <w:rsid w:val="007040AC"/>
    <w:rsid w:val="00704183"/>
    <w:rsid w:val="007041BF"/>
    <w:rsid w:val="0070433B"/>
    <w:rsid w:val="0070443A"/>
    <w:rsid w:val="00704542"/>
    <w:rsid w:val="0070457E"/>
    <w:rsid w:val="007045D6"/>
    <w:rsid w:val="00704612"/>
    <w:rsid w:val="00704694"/>
    <w:rsid w:val="007046F3"/>
    <w:rsid w:val="00704708"/>
    <w:rsid w:val="00704920"/>
    <w:rsid w:val="00704969"/>
    <w:rsid w:val="0070496A"/>
    <w:rsid w:val="00704982"/>
    <w:rsid w:val="00704991"/>
    <w:rsid w:val="00704A39"/>
    <w:rsid w:val="00704A55"/>
    <w:rsid w:val="00704A7E"/>
    <w:rsid w:val="00704A81"/>
    <w:rsid w:val="00704A97"/>
    <w:rsid w:val="00704B9A"/>
    <w:rsid w:val="00704BA6"/>
    <w:rsid w:val="00704BB1"/>
    <w:rsid w:val="00704BD8"/>
    <w:rsid w:val="00704D78"/>
    <w:rsid w:val="00704DAA"/>
    <w:rsid w:val="00704DBC"/>
    <w:rsid w:val="00704DC5"/>
    <w:rsid w:val="00704DF7"/>
    <w:rsid w:val="00704E34"/>
    <w:rsid w:val="00704EED"/>
    <w:rsid w:val="007050B7"/>
    <w:rsid w:val="007050F4"/>
    <w:rsid w:val="00705105"/>
    <w:rsid w:val="00705115"/>
    <w:rsid w:val="0070511C"/>
    <w:rsid w:val="0070513A"/>
    <w:rsid w:val="00705153"/>
    <w:rsid w:val="007051BE"/>
    <w:rsid w:val="0070529C"/>
    <w:rsid w:val="0070537F"/>
    <w:rsid w:val="007053D2"/>
    <w:rsid w:val="00705467"/>
    <w:rsid w:val="007054A7"/>
    <w:rsid w:val="0070551F"/>
    <w:rsid w:val="0070559E"/>
    <w:rsid w:val="0070565D"/>
    <w:rsid w:val="007056FA"/>
    <w:rsid w:val="0070577A"/>
    <w:rsid w:val="0070589E"/>
    <w:rsid w:val="007058DC"/>
    <w:rsid w:val="00705976"/>
    <w:rsid w:val="007059BF"/>
    <w:rsid w:val="007059FB"/>
    <w:rsid w:val="00705A35"/>
    <w:rsid w:val="00705A50"/>
    <w:rsid w:val="00705B20"/>
    <w:rsid w:val="00705C28"/>
    <w:rsid w:val="00705C2E"/>
    <w:rsid w:val="00705C90"/>
    <w:rsid w:val="00705D13"/>
    <w:rsid w:val="00705D19"/>
    <w:rsid w:val="00705DC5"/>
    <w:rsid w:val="00705E79"/>
    <w:rsid w:val="00705EAD"/>
    <w:rsid w:val="00705EB7"/>
    <w:rsid w:val="00705EBA"/>
    <w:rsid w:val="00705F04"/>
    <w:rsid w:val="00705FA3"/>
    <w:rsid w:val="00705FA8"/>
    <w:rsid w:val="00706018"/>
    <w:rsid w:val="007060A8"/>
    <w:rsid w:val="00706104"/>
    <w:rsid w:val="0070617C"/>
    <w:rsid w:val="007061DD"/>
    <w:rsid w:val="007061F2"/>
    <w:rsid w:val="007062E1"/>
    <w:rsid w:val="0070631C"/>
    <w:rsid w:val="0070634E"/>
    <w:rsid w:val="00706357"/>
    <w:rsid w:val="0070657F"/>
    <w:rsid w:val="007065C7"/>
    <w:rsid w:val="007065F2"/>
    <w:rsid w:val="00706695"/>
    <w:rsid w:val="007066F0"/>
    <w:rsid w:val="00706719"/>
    <w:rsid w:val="0070682D"/>
    <w:rsid w:val="00706A2D"/>
    <w:rsid w:val="00706A83"/>
    <w:rsid w:val="00706AE5"/>
    <w:rsid w:val="00706B2D"/>
    <w:rsid w:val="00706BD3"/>
    <w:rsid w:val="00706BE9"/>
    <w:rsid w:val="00706C4D"/>
    <w:rsid w:val="00706CD9"/>
    <w:rsid w:val="00706D4C"/>
    <w:rsid w:val="00706E04"/>
    <w:rsid w:val="00706E74"/>
    <w:rsid w:val="00706FD6"/>
    <w:rsid w:val="0070700E"/>
    <w:rsid w:val="007070A7"/>
    <w:rsid w:val="0070710D"/>
    <w:rsid w:val="00707128"/>
    <w:rsid w:val="00707136"/>
    <w:rsid w:val="00707160"/>
    <w:rsid w:val="00707253"/>
    <w:rsid w:val="00707303"/>
    <w:rsid w:val="00707331"/>
    <w:rsid w:val="00707389"/>
    <w:rsid w:val="007073CB"/>
    <w:rsid w:val="0070743F"/>
    <w:rsid w:val="00707501"/>
    <w:rsid w:val="0070771B"/>
    <w:rsid w:val="0070776C"/>
    <w:rsid w:val="007078DD"/>
    <w:rsid w:val="00707927"/>
    <w:rsid w:val="00707995"/>
    <w:rsid w:val="007079E0"/>
    <w:rsid w:val="00707A49"/>
    <w:rsid w:val="00707AA9"/>
    <w:rsid w:val="00707C27"/>
    <w:rsid w:val="00707C61"/>
    <w:rsid w:val="00707C67"/>
    <w:rsid w:val="00707C88"/>
    <w:rsid w:val="00707CB3"/>
    <w:rsid w:val="00707CEC"/>
    <w:rsid w:val="00707D0B"/>
    <w:rsid w:val="00707E81"/>
    <w:rsid w:val="00707E94"/>
    <w:rsid w:val="00707EBE"/>
    <w:rsid w:val="00707F8A"/>
    <w:rsid w:val="00707FD4"/>
    <w:rsid w:val="0071005F"/>
    <w:rsid w:val="00710106"/>
    <w:rsid w:val="007101E4"/>
    <w:rsid w:val="007101EE"/>
    <w:rsid w:val="0071027D"/>
    <w:rsid w:val="007102A5"/>
    <w:rsid w:val="007102E1"/>
    <w:rsid w:val="00710331"/>
    <w:rsid w:val="00710362"/>
    <w:rsid w:val="007105A4"/>
    <w:rsid w:val="007105CC"/>
    <w:rsid w:val="007105EF"/>
    <w:rsid w:val="0071079D"/>
    <w:rsid w:val="0071090F"/>
    <w:rsid w:val="007109BB"/>
    <w:rsid w:val="007109F3"/>
    <w:rsid w:val="00710A65"/>
    <w:rsid w:val="00710A98"/>
    <w:rsid w:val="00710AB9"/>
    <w:rsid w:val="00710ACC"/>
    <w:rsid w:val="00710ACE"/>
    <w:rsid w:val="00710B10"/>
    <w:rsid w:val="00710C74"/>
    <w:rsid w:val="00710F2E"/>
    <w:rsid w:val="00710F48"/>
    <w:rsid w:val="00710FDA"/>
    <w:rsid w:val="00711008"/>
    <w:rsid w:val="0071101D"/>
    <w:rsid w:val="00711023"/>
    <w:rsid w:val="00711166"/>
    <w:rsid w:val="007111D5"/>
    <w:rsid w:val="00711241"/>
    <w:rsid w:val="0071126E"/>
    <w:rsid w:val="00711322"/>
    <w:rsid w:val="00711341"/>
    <w:rsid w:val="00711378"/>
    <w:rsid w:val="007113B1"/>
    <w:rsid w:val="007113D7"/>
    <w:rsid w:val="00711421"/>
    <w:rsid w:val="0071146A"/>
    <w:rsid w:val="00711498"/>
    <w:rsid w:val="007114B5"/>
    <w:rsid w:val="0071167D"/>
    <w:rsid w:val="00711691"/>
    <w:rsid w:val="00711695"/>
    <w:rsid w:val="007116D4"/>
    <w:rsid w:val="0071171B"/>
    <w:rsid w:val="007117A7"/>
    <w:rsid w:val="0071197D"/>
    <w:rsid w:val="0071199D"/>
    <w:rsid w:val="00711A0F"/>
    <w:rsid w:val="00711A38"/>
    <w:rsid w:val="00711B1D"/>
    <w:rsid w:val="00711B46"/>
    <w:rsid w:val="00711B80"/>
    <w:rsid w:val="00711C04"/>
    <w:rsid w:val="00711CE9"/>
    <w:rsid w:val="00711CF9"/>
    <w:rsid w:val="00711DED"/>
    <w:rsid w:val="00711EB4"/>
    <w:rsid w:val="00711F44"/>
    <w:rsid w:val="00711F5A"/>
    <w:rsid w:val="0071200A"/>
    <w:rsid w:val="0071203A"/>
    <w:rsid w:val="00712148"/>
    <w:rsid w:val="0071227A"/>
    <w:rsid w:val="0071227C"/>
    <w:rsid w:val="007122A1"/>
    <w:rsid w:val="007122EF"/>
    <w:rsid w:val="00712460"/>
    <w:rsid w:val="007124A6"/>
    <w:rsid w:val="00712556"/>
    <w:rsid w:val="00712566"/>
    <w:rsid w:val="00712785"/>
    <w:rsid w:val="0071278E"/>
    <w:rsid w:val="00712850"/>
    <w:rsid w:val="007129F7"/>
    <w:rsid w:val="00712A15"/>
    <w:rsid w:val="00712A5D"/>
    <w:rsid w:val="00712A73"/>
    <w:rsid w:val="00712B29"/>
    <w:rsid w:val="00712B2F"/>
    <w:rsid w:val="00712C38"/>
    <w:rsid w:val="00712C56"/>
    <w:rsid w:val="00712C5D"/>
    <w:rsid w:val="00712CA7"/>
    <w:rsid w:val="00712CE0"/>
    <w:rsid w:val="00712CFD"/>
    <w:rsid w:val="00712D24"/>
    <w:rsid w:val="00712E01"/>
    <w:rsid w:val="00712E2B"/>
    <w:rsid w:val="00712F66"/>
    <w:rsid w:val="00712F69"/>
    <w:rsid w:val="00712F7A"/>
    <w:rsid w:val="00712FCD"/>
    <w:rsid w:val="00712FED"/>
    <w:rsid w:val="007130D7"/>
    <w:rsid w:val="007131CB"/>
    <w:rsid w:val="007132A8"/>
    <w:rsid w:val="00713378"/>
    <w:rsid w:val="007133E3"/>
    <w:rsid w:val="007133F7"/>
    <w:rsid w:val="00713553"/>
    <w:rsid w:val="007136D0"/>
    <w:rsid w:val="00713706"/>
    <w:rsid w:val="00713710"/>
    <w:rsid w:val="00713713"/>
    <w:rsid w:val="00713727"/>
    <w:rsid w:val="0071382A"/>
    <w:rsid w:val="007138E2"/>
    <w:rsid w:val="00713996"/>
    <w:rsid w:val="00713B27"/>
    <w:rsid w:val="00713CBF"/>
    <w:rsid w:val="00713DF5"/>
    <w:rsid w:val="00713EDB"/>
    <w:rsid w:val="00713F2C"/>
    <w:rsid w:val="00713F3D"/>
    <w:rsid w:val="007140DE"/>
    <w:rsid w:val="00714188"/>
    <w:rsid w:val="007141C9"/>
    <w:rsid w:val="00714305"/>
    <w:rsid w:val="0071436B"/>
    <w:rsid w:val="00714379"/>
    <w:rsid w:val="00714396"/>
    <w:rsid w:val="0071447A"/>
    <w:rsid w:val="007144F3"/>
    <w:rsid w:val="0071457E"/>
    <w:rsid w:val="0071458D"/>
    <w:rsid w:val="007145D0"/>
    <w:rsid w:val="007146A4"/>
    <w:rsid w:val="007146FE"/>
    <w:rsid w:val="00714817"/>
    <w:rsid w:val="0071483A"/>
    <w:rsid w:val="0071489F"/>
    <w:rsid w:val="007148EA"/>
    <w:rsid w:val="007148F0"/>
    <w:rsid w:val="0071494A"/>
    <w:rsid w:val="007149A3"/>
    <w:rsid w:val="00714AA3"/>
    <w:rsid w:val="00714B14"/>
    <w:rsid w:val="00714B31"/>
    <w:rsid w:val="00714BBE"/>
    <w:rsid w:val="00714D2B"/>
    <w:rsid w:val="00714DB1"/>
    <w:rsid w:val="00714E40"/>
    <w:rsid w:val="00714E66"/>
    <w:rsid w:val="00714F1F"/>
    <w:rsid w:val="00714F34"/>
    <w:rsid w:val="00714F3E"/>
    <w:rsid w:val="00715001"/>
    <w:rsid w:val="00715004"/>
    <w:rsid w:val="007150A1"/>
    <w:rsid w:val="007150C6"/>
    <w:rsid w:val="00715121"/>
    <w:rsid w:val="0071524B"/>
    <w:rsid w:val="00715274"/>
    <w:rsid w:val="007152BA"/>
    <w:rsid w:val="007152D8"/>
    <w:rsid w:val="007152EF"/>
    <w:rsid w:val="0071531F"/>
    <w:rsid w:val="0071544F"/>
    <w:rsid w:val="00715507"/>
    <w:rsid w:val="00715547"/>
    <w:rsid w:val="0071554D"/>
    <w:rsid w:val="007155CF"/>
    <w:rsid w:val="007156F7"/>
    <w:rsid w:val="0071577D"/>
    <w:rsid w:val="00715783"/>
    <w:rsid w:val="00715833"/>
    <w:rsid w:val="0071588E"/>
    <w:rsid w:val="0071595A"/>
    <w:rsid w:val="0071599C"/>
    <w:rsid w:val="007159C9"/>
    <w:rsid w:val="00715ACF"/>
    <w:rsid w:val="00715AD1"/>
    <w:rsid w:val="00715B22"/>
    <w:rsid w:val="00715BA0"/>
    <w:rsid w:val="00715BB3"/>
    <w:rsid w:val="00715BF5"/>
    <w:rsid w:val="00715CE0"/>
    <w:rsid w:val="00715D8F"/>
    <w:rsid w:val="00715E21"/>
    <w:rsid w:val="00715E31"/>
    <w:rsid w:val="00715ED4"/>
    <w:rsid w:val="00715FD8"/>
    <w:rsid w:val="00716018"/>
    <w:rsid w:val="00716077"/>
    <w:rsid w:val="00716154"/>
    <w:rsid w:val="007161A3"/>
    <w:rsid w:val="007161F4"/>
    <w:rsid w:val="007161F9"/>
    <w:rsid w:val="00716260"/>
    <w:rsid w:val="007162C6"/>
    <w:rsid w:val="007162C9"/>
    <w:rsid w:val="007165F0"/>
    <w:rsid w:val="007166AA"/>
    <w:rsid w:val="007166C5"/>
    <w:rsid w:val="00716756"/>
    <w:rsid w:val="007167AD"/>
    <w:rsid w:val="007167C4"/>
    <w:rsid w:val="0071682B"/>
    <w:rsid w:val="00716868"/>
    <w:rsid w:val="007168A9"/>
    <w:rsid w:val="007168C9"/>
    <w:rsid w:val="00716938"/>
    <w:rsid w:val="00716969"/>
    <w:rsid w:val="007169B8"/>
    <w:rsid w:val="00716A6C"/>
    <w:rsid w:val="00716B11"/>
    <w:rsid w:val="00716C1C"/>
    <w:rsid w:val="00716C36"/>
    <w:rsid w:val="00716C7E"/>
    <w:rsid w:val="00716D35"/>
    <w:rsid w:val="00716E91"/>
    <w:rsid w:val="00716EB3"/>
    <w:rsid w:val="00716ED9"/>
    <w:rsid w:val="00716EF7"/>
    <w:rsid w:val="00716FB7"/>
    <w:rsid w:val="00716FD5"/>
    <w:rsid w:val="0071704E"/>
    <w:rsid w:val="0071705C"/>
    <w:rsid w:val="00717195"/>
    <w:rsid w:val="0071724C"/>
    <w:rsid w:val="00717294"/>
    <w:rsid w:val="007172A6"/>
    <w:rsid w:val="007172D4"/>
    <w:rsid w:val="00717317"/>
    <w:rsid w:val="00717357"/>
    <w:rsid w:val="007173DF"/>
    <w:rsid w:val="0071747B"/>
    <w:rsid w:val="007174A1"/>
    <w:rsid w:val="00717632"/>
    <w:rsid w:val="00717674"/>
    <w:rsid w:val="0071767C"/>
    <w:rsid w:val="00717681"/>
    <w:rsid w:val="007176BA"/>
    <w:rsid w:val="0071770C"/>
    <w:rsid w:val="00717742"/>
    <w:rsid w:val="00717751"/>
    <w:rsid w:val="0071777C"/>
    <w:rsid w:val="007177E8"/>
    <w:rsid w:val="007178AF"/>
    <w:rsid w:val="0071791B"/>
    <w:rsid w:val="00717980"/>
    <w:rsid w:val="007179A2"/>
    <w:rsid w:val="007179B8"/>
    <w:rsid w:val="00717A7E"/>
    <w:rsid w:val="00717AF1"/>
    <w:rsid w:val="00717EE0"/>
    <w:rsid w:val="00717F66"/>
    <w:rsid w:val="0072001C"/>
    <w:rsid w:val="0072001E"/>
    <w:rsid w:val="0072002D"/>
    <w:rsid w:val="0072002E"/>
    <w:rsid w:val="00720158"/>
    <w:rsid w:val="0072023C"/>
    <w:rsid w:val="007202AA"/>
    <w:rsid w:val="00720359"/>
    <w:rsid w:val="00720410"/>
    <w:rsid w:val="0072041E"/>
    <w:rsid w:val="007204A5"/>
    <w:rsid w:val="007206FB"/>
    <w:rsid w:val="00720757"/>
    <w:rsid w:val="007207DE"/>
    <w:rsid w:val="007207EE"/>
    <w:rsid w:val="0072085B"/>
    <w:rsid w:val="00720909"/>
    <w:rsid w:val="007209A7"/>
    <w:rsid w:val="00720A62"/>
    <w:rsid w:val="00720A6B"/>
    <w:rsid w:val="00720B96"/>
    <w:rsid w:val="00720D5D"/>
    <w:rsid w:val="00720DB1"/>
    <w:rsid w:val="00720E2D"/>
    <w:rsid w:val="0072105C"/>
    <w:rsid w:val="00721070"/>
    <w:rsid w:val="007210A4"/>
    <w:rsid w:val="007211DA"/>
    <w:rsid w:val="007211EE"/>
    <w:rsid w:val="0072137E"/>
    <w:rsid w:val="0072138F"/>
    <w:rsid w:val="00721404"/>
    <w:rsid w:val="00721486"/>
    <w:rsid w:val="00721539"/>
    <w:rsid w:val="0072154E"/>
    <w:rsid w:val="0072166D"/>
    <w:rsid w:val="00721730"/>
    <w:rsid w:val="007217CA"/>
    <w:rsid w:val="00721804"/>
    <w:rsid w:val="00721886"/>
    <w:rsid w:val="00721930"/>
    <w:rsid w:val="0072193E"/>
    <w:rsid w:val="00721992"/>
    <w:rsid w:val="007219D3"/>
    <w:rsid w:val="00721B46"/>
    <w:rsid w:val="00721C7B"/>
    <w:rsid w:val="00721D84"/>
    <w:rsid w:val="00721DA4"/>
    <w:rsid w:val="00721DC8"/>
    <w:rsid w:val="00721EDB"/>
    <w:rsid w:val="00721F0B"/>
    <w:rsid w:val="00721F3F"/>
    <w:rsid w:val="00722087"/>
    <w:rsid w:val="0072208C"/>
    <w:rsid w:val="0072209D"/>
    <w:rsid w:val="007221DC"/>
    <w:rsid w:val="00722209"/>
    <w:rsid w:val="00722242"/>
    <w:rsid w:val="00722492"/>
    <w:rsid w:val="007225B6"/>
    <w:rsid w:val="007225C2"/>
    <w:rsid w:val="007225FB"/>
    <w:rsid w:val="007227FB"/>
    <w:rsid w:val="0072280A"/>
    <w:rsid w:val="00722895"/>
    <w:rsid w:val="0072296F"/>
    <w:rsid w:val="00722B08"/>
    <w:rsid w:val="00722B4C"/>
    <w:rsid w:val="00722BED"/>
    <w:rsid w:val="00722BF8"/>
    <w:rsid w:val="00722C37"/>
    <w:rsid w:val="00722CBF"/>
    <w:rsid w:val="00722CEC"/>
    <w:rsid w:val="00722D00"/>
    <w:rsid w:val="00722D4E"/>
    <w:rsid w:val="00722E95"/>
    <w:rsid w:val="00722EC9"/>
    <w:rsid w:val="00722FC3"/>
    <w:rsid w:val="00722FDD"/>
    <w:rsid w:val="0072306B"/>
    <w:rsid w:val="00723233"/>
    <w:rsid w:val="0072327E"/>
    <w:rsid w:val="00723326"/>
    <w:rsid w:val="007233B6"/>
    <w:rsid w:val="00723431"/>
    <w:rsid w:val="0072347C"/>
    <w:rsid w:val="007234C4"/>
    <w:rsid w:val="00723512"/>
    <w:rsid w:val="00723548"/>
    <w:rsid w:val="00723566"/>
    <w:rsid w:val="007235C8"/>
    <w:rsid w:val="00723672"/>
    <w:rsid w:val="007236A4"/>
    <w:rsid w:val="00723708"/>
    <w:rsid w:val="007238BC"/>
    <w:rsid w:val="007238F5"/>
    <w:rsid w:val="00723925"/>
    <w:rsid w:val="007239CC"/>
    <w:rsid w:val="007239DC"/>
    <w:rsid w:val="007239F8"/>
    <w:rsid w:val="00723B41"/>
    <w:rsid w:val="00723B56"/>
    <w:rsid w:val="00723B64"/>
    <w:rsid w:val="00723B79"/>
    <w:rsid w:val="00723B84"/>
    <w:rsid w:val="00723D14"/>
    <w:rsid w:val="00723D8E"/>
    <w:rsid w:val="00723E32"/>
    <w:rsid w:val="00723EF2"/>
    <w:rsid w:val="00723F95"/>
    <w:rsid w:val="0072401B"/>
    <w:rsid w:val="00724203"/>
    <w:rsid w:val="007243F3"/>
    <w:rsid w:val="00724442"/>
    <w:rsid w:val="007244C9"/>
    <w:rsid w:val="007245E3"/>
    <w:rsid w:val="0072464A"/>
    <w:rsid w:val="00724668"/>
    <w:rsid w:val="007246C6"/>
    <w:rsid w:val="0072485C"/>
    <w:rsid w:val="007248F6"/>
    <w:rsid w:val="00724A71"/>
    <w:rsid w:val="00724A73"/>
    <w:rsid w:val="00724B8C"/>
    <w:rsid w:val="00724BBA"/>
    <w:rsid w:val="00724BC1"/>
    <w:rsid w:val="00724BFA"/>
    <w:rsid w:val="00724D17"/>
    <w:rsid w:val="00724D88"/>
    <w:rsid w:val="00724E4E"/>
    <w:rsid w:val="00724ED5"/>
    <w:rsid w:val="00724F88"/>
    <w:rsid w:val="00724FAA"/>
    <w:rsid w:val="0072503E"/>
    <w:rsid w:val="007251CC"/>
    <w:rsid w:val="00725220"/>
    <w:rsid w:val="007253EF"/>
    <w:rsid w:val="0072541C"/>
    <w:rsid w:val="00725515"/>
    <w:rsid w:val="007256A7"/>
    <w:rsid w:val="00725859"/>
    <w:rsid w:val="007258DE"/>
    <w:rsid w:val="007258E2"/>
    <w:rsid w:val="00725931"/>
    <w:rsid w:val="00725987"/>
    <w:rsid w:val="007259A4"/>
    <w:rsid w:val="007259A9"/>
    <w:rsid w:val="007259C6"/>
    <w:rsid w:val="00725C49"/>
    <w:rsid w:val="00725CAD"/>
    <w:rsid w:val="00725DCE"/>
    <w:rsid w:val="00725DD7"/>
    <w:rsid w:val="00725E2D"/>
    <w:rsid w:val="00725E84"/>
    <w:rsid w:val="00725E94"/>
    <w:rsid w:val="00725F1D"/>
    <w:rsid w:val="0072602B"/>
    <w:rsid w:val="0072604F"/>
    <w:rsid w:val="007260BD"/>
    <w:rsid w:val="007260D8"/>
    <w:rsid w:val="00726145"/>
    <w:rsid w:val="00726161"/>
    <w:rsid w:val="007261E0"/>
    <w:rsid w:val="00726359"/>
    <w:rsid w:val="0072637E"/>
    <w:rsid w:val="00726421"/>
    <w:rsid w:val="00726492"/>
    <w:rsid w:val="00726535"/>
    <w:rsid w:val="00726573"/>
    <w:rsid w:val="007265DF"/>
    <w:rsid w:val="00726874"/>
    <w:rsid w:val="0072696B"/>
    <w:rsid w:val="0072697D"/>
    <w:rsid w:val="007269DB"/>
    <w:rsid w:val="00726A78"/>
    <w:rsid w:val="00726AAC"/>
    <w:rsid w:val="00726AFC"/>
    <w:rsid w:val="00726BAC"/>
    <w:rsid w:val="00726BDE"/>
    <w:rsid w:val="00726CAD"/>
    <w:rsid w:val="00726D4E"/>
    <w:rsid w:val="00726D6F"/>
    <w:rsid w:val="00726E10"/>
    <w:rsid w:val="00726EDE"/>
    <w:rsid w:val="00726F1C"/>
    <w:rsid w:val="00726FF1"/>
    <w:rsid w:val="00727092"/>
    <w:rsid w:val="00727123"/>
    <w:rsid w:val="007271AF"/>
    <w:rsid w:val="007271EC"/>
    <w:rsid w:val="00727302"/>
    <w:rsid w:val="00727352"/>
    <w:rsid w:val="0072745F"/>
    <w:rsid w:val="007275F9"/>
    <w:rsid w:val="0072766F"/>
    <w:rsid w:val="007276CB"/>
    <w:rsid w:val="0072770C"/>
    <w:rsid w:val="0072776F"/>
    <w:rsid w:val="007277B8"/>
    <w:rsid w:val="0072783B"/>
    <w:rsid w:val="00727842"/>
    <w:rsid w:val="00727A12"/>
    <w:rsid w:val="00727A5D"/>
    <w:rsid w:val="00727A6A"/>
    <w:rsid w:val="00727AAA"/>
    <w:rsid w:val="00727AB9"/>
    <w:rsid w:val="00727B01"/>
    <w:rsid w:val="00727BAD"/>
    <w:rsid w:val="00727C39"/>
    <w:rsid w:val="00727F06"/>
    <w:rsid w:val="00727F1F"/>
    <w:rsid w:val="00727FA7"/>
    <w:rsid w:val="00727FCB"/>
    <w:rsid w:val="00727FCD"/>
    <w:rsid w:val="0072FC51"/>
    <w:rsid w:val="00730165"/>
    <w:rsid w:val="00730206"/>
    <w:rsid w:val="0073020D"/>
    <w:rsid w:val="00730261"/>
    <w:rsid w:val="0073028E"/>
    <w:rsid w:val="00730297"/>
    <w:rsid w:val="007302E6"/>
    <w:rsid w:val="00730311"/>
    <w:rsid w:val="00730483"/>
    <w:rsid w:val="00730494"/>
    <w:rsid w:val="00730499"/>
    <w:rsid w:val="007304D9"/>
    <w:rsid w:val="0073050C"/>
    <w:rsid w:val="00730525"/>
    <w:rsid w:val="00730578"/>
    <w:rsid w:val="0073064E"/>
    <w:rsid w:val="00730699"/>
    <w:rsid w:val="007306C5"/>
    <w:rsid w:val="007306ED"/>
    <w:rsid w:val="007307BA"/>
    <w:rsid w:val="007308D8"/>
    <w:rsid w:val="00730940"/>
    <w:rsid w:val="00730972"/>
    <w:rsid w:val="007309C2"/>
    <w:rsid w:val="00730AB1"/>
    <w:rsid w:val="00730C25"/>
    <w:rsid w:val="00730D29"/>
    <w:rsid w:val="00730F7F"/>
    <w:rsid w:val="00730F92"/>
    <w:rsid w:val="00730FE9"/>
    <w:rsid w:val="007310F6"/>
    <w:rsid w:val="007311C9"/>
    <w:rsid w:val="00731285"/>
    <w:rsid w:val="00731362"/>
    <w:rsid w:val="0073148D"/>
    <w:rsid w:val="0073159A"/>
    <w:rsid w:val="0073164F"/>
    <w:rsid w:val="0073166A"/>
    <w:rsid w:val="0073171E"/>
    <w:rsid w:val="00731724"/>
    <w:rsid w:val="00731824"/>
    <w:rsid w:val="007318B5"/>
    <w:rsid w:val="007318D7"/>
    <w:rsid w:val="007318F1"/>
    <w:rsid w:val="00731911"/>
    <w:rsid w:val="0073198E"/>
    <w:rsid w:val="007319A2"/>
    <w:rsid w:val="007319C7"/>
    <w:rsid w:val="007319C8"/>
    <w:rsid w:val="00731B38"/>
    <w:rsid w:val="00731BEF"/>
    <w:rsid w:val="00731C60"/>
    <w:rsid w:val="00731D56"/>
    <w:rsid w:val="00731D7E"/>
    <w:rsid w:val="00731DB7"/>
    <w:rsid w:val="00731DDE"/>
    <w:rsid w:val="00731E06"/>
    <w:rsid w:val="00731E2C"/>
    <w:rsid w:val="00731E96"/>
    <w:rsid w:val="00731EC2"/>
    <w:rsid w:val="00731ECB"/>
    <w:rsid w:val="00731FFD"/>
    <w:rsid w:val="0073212D"/>
    <w:rsid w:val="00732214"/>
    <w:rsid w:val="007322A3"/>
    <w:rsid w:val="007322F8"/>
    <w:rsid w:val="007323B7"/>
    <w:rsid w:val="0073242D"/>
    <w:rsid w:val="007324B5"/>
    <w:rsid w:val="007325A9"/>
    <w:rsid w:val="0073274F"/>
    <w:rsid w:val="007327E3"/>
    <w:rsid w:val="00732886"/>
    <w:rsid w:val="007328AE"/>
    <w:rsid w:val="00732A3B"/>
    <w:rsid w:val="00732A65"/>
    <w:rsid w:val="00732AC0"/>
    <w:rsid w:val="00732B47"/>
    <w:rsid w:val="00732C60"/>
    <w:rsid w:val="00732C84"/>
    <w:rsid w:val="00732D45"/>
    <w:rsid w:val="00732D49"/>
    <w:rsid w:val="00732F28"/>
    <w:rsid w:val="00732FBC"/>
    <w:rsid w:val="007330D8"/>
    <w:rsid w:val="007331C6"/>
    <w:rsid w:val="00733209"/>
    <w:rsid w:val="007332A1"/>
    <w:rsid w:val="007332B3"/>
    <w:rsid w:val="007333D2"/>
    <w:rsid w:val="00733529"/>
    <w:rsid w:val="00733533"/>
    <w:rsid w:val="007335CF"/>
    <w:rsid w:val="00733617"/>
    <w:rsid w:val="007336ED"/>
    <w:rsid w:val="007337D0"/>
    <w:rsid w:val="00733A11"/>
    <w:rsid w:val="00733A7D"/>
    <w:rsid w:val="00733B03"/>
    <w:rsid w:val="00733B3D"/>
    <w:rsid w:val="00733BB1"/>
    <w:rsid w:val="00733BF3"/>
    <w:rsid w:val="00733CA1"/>
    <w:rsid w:val="00733CD2"/>
    <w:rsid w:val="00733D93"/>
    <w:rsid w:val="00733E9C"/>
    <w:rsid w:val="00733F19"/>
    <w:rsid w:val="00733F52"/>
    <w:rsid w:val="00733F65"/>
    <w:rsid w:val="00733F6C"/>
    <w:rsid w:val="00733FB1"/>
    <w:rsid w:val="00734022"/>
    <w:rsid w:val="00734079"/>
    <w:rsid w:val="007341D0"/>
    <w:rsid w:val="007341D3"/>
    <w:rsid w:val="007341E5"/>
    <w:rsid w:val="00734334"/>
    <w:rsid w:val="007343CD"/>
    <w:rsid w:val="007344C7"/>
    <w:rsid w:val="007345CB"/>
    <w:rsid w:val="007346B1"/>
    <w:rsid w:val="0073475A"/>
    <w:rsid w:val="007347DE"/>
    <w:rsid w:val="00734834"/>
    <w:rsid w:val="00734837"/>
    <w:rsid w:val="0073493F"/>
    <w:rsid w:val="0073494B"/>
    <w:rsid w:val="007349AE"/>
    <w:rsid w:val="00734A1C"/>
    <w:rsid w:val="00734A2F"/>
    <w:rsid w:val="00734B03"/>
    <w:rsid w:val="00734B19"/>
    <w:rsid w:val="00734BC2"/>
    <w:rsid w:val="00734C2C"/>
    <w:rsid w:val="00734E78"/>
    <w:rsid w:val="00734FE3"/>
    <w:rsid w:val="00735022"/>
    <w:rsid w:val="00735050"/>
    <w:rsid w:val="0073508B"/>
    <w:rsid w:val="007350BC"/>
    <w:rsid w:val="00735117"/>
    <w:rsid w:val="007351D2"/>
    <w:rsid w:val="0073529F"/>
    <w:rsid w:val="007352B3"/>
    <w:rsid w:val="00735371"/>
    <w:rsid w:val="00735405"/>
    <w:rsid w:val="00735491"/>
    <w:rsid w:val="0073549B"/>
    <w:rsid w:val="007355E4"/>
    <w:rsid w:val="007355F9"/>
    <w:rsid w:val="007357AE"/>
    <w:rsid w:val="00735907"/>
    <w:rsid w:val="00735939"/>
    <w:rsid w:val="00735979"/>
    <w:rsid w:val="00735A61"/>
    <w:rsid w:val="00735AAB"/>
    <w:rsid w:val="00735B20"/>
    <w:rsid w:val="00735B50"/>
    <w:rsid w:val="00735C71"/>
    <w:rsid w:val="00735C77"/>
    <w:rsid w:val="00735C78"/>
    <w:rsid w:val="00735D46"/>
    <w:rsid w:val="00735E33"/>
    <w:rsid w:val="00735E8C"/>
    <w:rsid w:val="00735EC1"/>
    <w:rsid w:val="00735EC8"/>
    <w:rsid w:val="00735F4D"/>
    <w:rsid w:val="00735F9C"/>
    <w:rsid w:val="00735FB8"/>
    <w:rsid w:val="00736110"/>
    <w:rsid w:val="0073618B"/>
    <w:rsid w:val="007361B9"/>
    <w:rsid w:val="007361C6"/>
    <w:rsid w:val="007362A2"/>
    <w:rsid w:val="0073645A"/>
    <w:rsid w:val="0073659E"/>
    <w:rsid w:val="00736679"/>
    <w:rsid w:val="00736848"/>
    <w:rsid w:val="00736858"/>
    <w:rsid w:val="007368F7"/>
    <w:rsid w:val="0073695F"/>
    <w:rsid w:val="007369F2"/>
    <w:rsid w:val="00736A75"/>
    <w:rsid w:val="00736B11"/>
    <w:rsid w:val="00736B60"/>
    <w:rsid w:val="00736BB5"/>
    <w:rsid w:val="00736BE4"/>
    <w:rsid w:val="00736CD9"/>
    <w:rsid w:val="00736CEE"/>
    <w:rsid w:val="00736CF5"/>
    <w:rsid w:val="00736DFB"/>
    <w:rsid w:val="00736EE6"/>
    <w:rsid w:val="00736F7A"/>
    <w:rsid w:val="00736FC0"/>
    <w:rsid w:val="007370B2"/>
    <w:rsid w:val="007370E7"/>
    <w:rsid w:val="007371C4"/>
    <w:rsid w:val="007371D7"/>
    <w:rsid w:val="00737227"/>
    <w:rsid w:val="0073725C"/>
    <w:rsid w:val="007372B2"/>
    <w:rsid w:val="0073752D"/>
    <w:rsid w:val="00737633"/>
    <w:rsid w:val="007376F1"/>
    <w:rsid w:val="0073770C"/>
    <w:rsid w:val="00737726"/>
    <w:rsid w:val="0073772B"/>
    <w:rsid w:val="0073777B"/>
    <w:rsid w:val="007377E0"/>
    <w:rsid w:val="007378F5"/>
    <w:rsid w:val="00737992"/>
    <w:rsid w:val="007379F0"/>
    <w:rsid w:val="00737A27"/>
    <w:rsid w:val="00737A5E"/>
    <w:rsid w:val="00737A61"/>
    <w:rsid w:val="00737B10"/>
    <w:rsid w:val="00737B45"/>
    <w:rsid w:val="00737BB0"/>
    <w:rsid w:val="00737BF3"/>
    <w:rsid w:val="00737C7D"/>
    <w:rsid w:val="00737D30"/>
    <w:rsid w:val="00737D86"/>
    <w:rsid w:val="00737DCD"/>
    <w:rsid w:val="00737DE0"/>
    <w:rsid w:val="00737DE4"/>
    <w:rsid w:val="00737F2A"/>
    <w:rsid w:val="00737F46"/>
    <w:rsid w:val="00737F80"/>
    <w:rsid w:val="00737FD7"/>
    <w:rsid w:val="00737FDD"/>
    <w:rsid w:val="00740042"/>
    <w:rsid w:val="0074021F"/>
    <w:rsid w:val="00740355"/>
    <w:rsid w:val="007403B9"/>
    <w:rsid w:val="00740411"/>
    <w:rsid w:val="00740442"/>
    <w:rsid w:val="0074046C"/>
    <w:rsid w:val="00740504"/>
    <w:rsid w:val="00740550"/>
    <w:rsid w:val="0074059D"/>
    <w:rsid w:val="0074067D"/>
    <w:rsid w:val="00740784"/>
    <w:rsid w:val="007407EB"/>
    <w:rsid w:val="0074080E"/>
    <w:rsid w:val="00740812"/>
    <w:rsid w:val="00740917"/>
    <w:rsid w:val="007409C4"/>
    <w:rsid w:val="007409C9"/>
    <w:rsid w:val="00740A26"/>
    <w:rsid w:val="00740AC7"/>
    <w:rsid w:val="00740B1C"/>
    <w:rsid w:val="00740CA5"/>
    <w:rsid w:val="00740D13"/>
    <w:rsid w:val="00740D42"/>
    <w:rsid w:val="00740D4D"/>
    <w:rsid w:val="00740EB4"/>
    <w:rsid w:val="00740EB6"/>
    <w:rsid w:val="00740ED0"/>
    <w:rsid w:val="00740EDB"/>
    <w:rsid w:val="00740F02"/>
    <w:rsid w:val="00740F0E"/>
    <w:rsid w:val="00740F40"/>
    <w:rsid w:val="00740FF5"/>
    <w:rsid w:val="007410E3"/>
    <w:rsid w:val="007411BF"/>
    <w:rsid w:val="007411CB"/>
    <w:rsid w:val="00741215"/>
    <w:rsid w:val="00741273"/>
    <w:rsid w:val="007412F9"/>
    <w:rsid w:val="00741324"/>
    <w:rsid w:val="007413C5"/>
    <w:rsid w:val="007413D6"/>
    <w:rsid w:val="007413EA"/>
    <w:rsid w:val="0074144B"/>
    <w:rsid w:val="007414BA"/>
    <w:rsid w:val="00741604"/>
    <w:rsid w:val="00741627"/>
    <w:rsid w:val="0074165C"/>
    <w:rsid w:val="00741670"/>
    <w:rsid w:val="00741822"/>
    <w:rsid w:val="0074183C"/>
    <w:rsid w:val="00741878"/>
    <w:rsid w:val="007419AC"/>
    <w:rsid w:val="00741A84"/>
    <w:rsid w:val="00741AE7"/>
    <w:rsid w:val="00741AF7"/>
    <w:rsid w:val="00741AFC"/>
    <w:rsid w:val="00741B01"/>
    <w:rsid w:val="00741B5A"/>
    <w:rsid w:val="00741BC2"/>
    <w:rsid w:val="00741BEF"/>
    <w:rsid w:val="00741D05"/>
    <w:rsid w:val="00741D57"/>
    <w:rsid w:val="00741D60"/>
    <w:rsid w:val="00742019"/>
    <w:rsid w:val="00742109"/>
    <w:rsid w:val="00742138"/>
    <w:rsid w:val="00742224"/>
    <w:rsid w:val="00742390"/>
    <w:rsid w:val="007424A6"/>
    <w:rsid w:val="00742620"/>
    <w:rsid w:val="007426C9"/>
    <w:rsid w:val="00742869"/>
    <w:rsid w:val="00742975"/>
    <w:rsid w:val="007429AC"/>
    <w:rsid w:val="007429E0"/>
    <w:rsid w:val="007429E3"/>
    <w:rsid w:val="007429ED"/>
    <w:rsid w:val="00742B25"/>
    <w:rsid w:val="00742BA6"/>
    <w:rsid w:val="00742C82"/>
    <w:rsid w:val="00742CB1"/>
    <w:rsid w:val="00742D3D"/>
    <w:rsid w:val="00742D53"/>
    <w:rsid w:val="00742DDC"/>
    <w:rsid w:val="00742E54"/>
    <w:rsid w:val="00742E83"/>
    <w:rsid w:val="00742F1E"/>
    <w:rsid w:val="00742F80"/>
    <w:rsid w:val="00743009"/>
    <w:rsid w:val="00743039"/>
    <w:rsid w:val="00743118"/>
    <w:rsid w:val="00743135"/>
    <w:rsid w:val="00743201"/>
    <w:rsid w:val="00743265"/>
    <w:rsid w:val="007432BF"/>
    <w:rsid w:val="007432E4"/>
    <w:rsid w:val="007433C5"/>
    <w:rsid w:val="007433E4"/>
    <w:rsid w:val="007434C2"/>
    <w:rsid w:val="0074350C"/>
    <w:rsid w:val="00743540"/>
    <w:rsid w:val="00743599"/>
    <w:rsid w:val="007435B6"/>
    <w:rsid w:val="00743633"/>
    <w:rsid w:val="00743681"/>
    <w:rsid w:val="007436D7"/>
    <w:rsid w:val="007437AC"/>
    <w:rsid w:val="00743800"/>
    <w:rsid w:val="0074381F"/>
    <w:rsid w:val="007438E0"/>
    <w:rsid w:val="0074393A"/>
    <w:rsid w:val="00743957"/>
    <w:rsid w:val="00743967"/>
    <w:rsid w:val="00743A27"/>
    <w:rsid w:val="00743A84"/>
    <w:rsid w:val="00743ABF"/>
    <w:rsid w:val="00743AF7"/>
    <w:rsid w:val="00743AFD"/>
    <w:rsid w:val="00743B18"/>
    <w:rsid w:val="00743CAD"/>
    <w:rsid w:val="00743CD1"/>
    <w:rsid w:val="00743D25"/>
    <w:rsid w:val="00743D37"/>
    <w:rsid w:val="00743D3A"/>
    <w:rsid w:val="00743D4D"/>
    <w:rsid w:val="00743DA3"/>
    <w:rsid w:val="0074402A"/>
    <w:rsid w:val="007440A5"/>
    <w:rsid w:val="007440A7"/>
    <w:rsid w:val="007442F7"/>
    <w:rsid w:val="0074438D"/>
    <w:rsid w:val="007443BB"/>
    <w:rsid w:val="00744439"/>
    <w:rsid w:val="007444C5"/>
    <w:rsid w:val="00744610"/>
    <w:rsid w:val="00744682"/>
    <w:rsid w:val="00744687"/>
    <w:rsid w:val="007446AC"/>
    <w:rsid w:val="00744908"/>
    <w:rsid w:val="00744909"/>
    <w:rsid w:val="007449DA"/>
    <w:rsid w:val="00744A3C"/>
    <w:rsid w:val="00744B07"/>
    <w:rsid w:val="00744B15"/>
    <w:rsid w:val="00744C28"/>
    <w:rsid w:val="00744C52"/>
    <w:rsid w:val="00744C61"/>
    <w:rsid w:val="00744C67"/>
    <w:rsid w:val="00744C9C"/>
    <w:rsid w:val="00744D07"/>
    <w:rsid w:val="00744D45"/>
    <w:rsid w:val="00744DA2"/>
    <w:rsid w:val="00744E12"/>
    <w:rsid w:val="00744F7E"/>
    <w:rsid w:val="00744FF8"/>
    <w:rsid w:val="0074506B"/>
    <w:rsid w:val="00745199"/>
    <w:rsid w:val="007453DB"/>
    <w:rsid w:val="00745425"/>
    <w:rsid w:val="00745428"/>
    <w:rsid w:val="007455C7"/>
    <w:rsid w:val="007456AE"/>
    <w:rsid w:val="00745745"/>
    <w:rsid w:val="00745802"/>
    <w:rsid w:val="00745877"/>
    <w:rsid w:val="0074596A"/>
    <w:rsid w:val="00745982"/>
    <w:rsid w:val="00745A94"/>
    <w:rsid w:val="00745ACE"/>
    <w:rsid w:val="00745B13"/>
    <w:rsid w:val="00745B62"/>
    <w:rsid w:val="00745B9E"/>
    <w:rsid w:val="00745C5C"/>
    <w:rsid w:val="00745C66"/>
    <w:rsid w:val="00745C86"/>
    <w:rsid w:val="00745C98"/>
    <w:rsid w:val="00745CE6"/>
    <w:rsid w:val="00745D3E"/>
    <w:rsid w:val="00745E6E"/>
    <w:rsid w:val="00745F9E"/>
    <w:rsid w:val="00745FBA"/>
    <w:rsid w:val="00746018"/>
    <w:rsid w:val="0074603B"/>
    <w:rsid w:val="0074610B"/>
    <w:rsid w:val="0074617A"/>
    <w:rsid w:val="007462E1"/>
    <w:rsid w:val="007464AD"/>
    <w:rsid w:val="007464B1"/>
    <w:rsid w:val="007464BF"/>
    <w:rsid w:val="00746573"/>
    <w:rsid w:val="00746582"/>
    <w:rsid w:val="00746620"/>
    <w:rsid w:val="00746646"/>
    <w:rsid w:val="007466FD"/>
    <w:rsid w:val="007467A4"/>
    <w:rsid w:val="007467CA"/>
    <w:rsid w:val="0074687F"/>
    <w:rsid w:val="00746880"/>
    <w:rsid w:val="007468F2"/>
    <w:rsid w:val="007468FD"/>
    <w:rsid w:val="00746910"/>
    <w:rsid w:val="00746916"/>
    <w:rsid w:val="0074692A"/>
    <w:rsid w:val="0074693B"/>
    <w:rsid w:val="00746A89"/>
    <w:rsid w:val="00746AD7"/>
    <w:rsid w:val="00746BFF"/>
    <w:rsid w:val="00746C09"/>
    <w:rsid w:val="00746C59"/>
    <w:rsid w:val="00746D7A"/>
    <w:rsid w:val="00746E62"/>
    <w:rsid w:val="00746F1B"/>
    <w:rsid w:val="00746FB0"/>
    <w:rsid w:val="00746FB1"/>
    <w:rsid w:val="00746FD7"/>
    <w:rsid w:val="007470BC"/>
    <w:rsid w:val="007470E4"/>
    <w:rsid w:val="007470F2"/>
    <w:rsid w:val="00747193"/>
    <w:rsid w:val="00747283"/>
    <w:rsid w:val="00747310"/>
    <w:rsid w:val="007473AF"/>
    <w:rsid w:val="007473D3"/>
    <w:rsid w:val="00747405"/>
    <w:rsid w:val="00747459"/>
    <w:rsid w:val="00747535"/>
    <w:rsid w:val="00747633"/>
    <w:rsid w:val="00747659"/>
    <w:rsid w:val="007476C1"/>
    <w:rsid w:val="00747725"/>
    <w:rsid w:val="00747809"/>
    <w:rsid w:val="0074783B"/>
    <w:rsid w:val="00747860"/>
    <w:rsid w:val="007478EE"/>
    <w:rsid w:val="00747902"/>
    <w:rsid w:val="00747946"/>
    <w:rsid w:val="00747957"/>
    <w:rsid w:val="00747971"/>
    <w:rsid w:val="007479AF"/>
    <w:rsid w:val="007479F5"/>
    <w:rsid w:val="00747A1D"/>
    <w:rsid w:val="00747AE9"/>
    <w:rsid w:val="00747B6D"/>
    <w:rsid w:val="00747C07"/>
    <w:rsid w:val="00747C73"/>
    <w:rsid w:val="00747DB5"/>
    <w:rsid w:val="00747E0F"/>
    <w:rsid w:val="00747E2D"/>
    <w:rsid w:val="00747F8F"/>
    <w:rsid w:val="0074A8D9"/>
    <w:rsid w:val="0075020E"/>
    <w:rsid w:val="00750348"/>
    <w:rsid w:val="007503E3"/>
    <w:rsid w:val="00750437"/>
    <w:rsid w:val="0075056E"/>
    <w:rsid w:val="00750572"/>
    <w:rsid w:val="007505C9"/>
    <w:rsid w:val="007505D7"/>
    <w:rsid w:val="00750604"/>
    <w:rsid w:val="00750712"/>
    <w:rsid w:val="00750792"/>
    <w:rsid w:val="00750819"/>
    <w:rsid w:val="007508B7"/>
    <w:rsid w:val="00750B8A"/>
    <w:rsid w:val="00750BB0"/>
    <w:rsid w:val="00750C9C"/>
    <w:rsid w:val="00750CEE"/>
    <w:rsid w:val="00750D00"/>
    <w:rsid w:val="00750D12"/>
    <w:rsid w:val="00750E05"/>
    <w:rsid w:val="00750F9C"/>
    <w:rsid w:val="00750FC3"/>
    <w:rsid w:val="00751140"/>
    <w:rsid w:val="00751199"/>
    <w:rsid w:val="00751302"/>
    <w:rsid w:val="0075137D"/>
    <w:rsid w:val="0075144F"/>
    <w:rsid w:val="007514CF"/>
    <w:rsid w:val="007514D4"/>
    <w:rsid w:val="0075154B"/>
    <w:rsid w:val="007516C5"/>
    <w:rsid w:val="007516FE"/>
    <w:rsid w:val="00751734"/>
    <w:rsid w:val="00751757"/>
    <w:rsid w:val="00751799"/>
    <w:rsid w:val="00751891"/>
    <w:rsid w:val="007518D4"/>
    <w:rsid w:val="007519B3"/>
    <w:rsid w:val="00751A0E"/>
    <w:rsid w:val="00751C07"/>
    <w:rsid w:val="00751C18"/>
    <w:rsid w:val="00751CE7"/>
    <w:rsid w:val="00751DCC"/>
    <w:rsid w:val="00751E04"/>
    <w:rsid w:val="00751ED3"/>
    <w:rsid w:val="0075206E"/>
    <w:rsid w:val="007521DB"/>
    <w:rsid w:val="00752231"/>
    <w:rsid w:val="00752255"/>
    <w:rsid w:val="00752271"/>
    <w:rsid w:val="00752276"/>
    <w:rsid w:val="007522BA"/>
    <w:rsid w:val="00752309"/>
    <w:rsid w:val="00752389"/>
    <w:rsid w:val="0075239A"/>
    <w:rsid w:val="00752429"/>
    <w:rsid w:val="00752432"/>
    <w:rsid w:val="00752504"/>
    <w:rsid w:val="0075262D"/>
    <w:rsid w:val="00752671"/>
    <w:rsid w:val="007526B7"/>
    <w:rsid w:val="00752780"/>
    <w:rsid w:val="00752929"/>
    <w:rsid w:val="00752963"/>
    <w:rsid w:val="00752A38"/>
    <w:rsid w:val="00752AD7"/>
    <w:rsid w:val="00752BFD"/>
    <w:rsid w:val="00752C40"/>
    <w:rsid w:val="00752C45"/>
    <w:rsid w:val="00752D1B"/>
    <w:rsid w:val="00752D90"/>
    <w:rsid w:val="00752DC8"/>
    <w:rsid w:val="00752E39"/>
    <w:rsid w:val="00753034"/>
    <w:rsid w:val="00753078"/>
    <w:rsid w:val="007530A0"/>
    <w:rsid w:val="00753131"/>
    <w:rsid w:val="00753180"/>
    <w:rsid w:val="00753319"/>
    <w:rsid w:val="007533BC"/>
    <w:rsid w:val="0075349B"/>
    <w:rsid w:val="00753672"/>
    <w:rsid w:val="007536C3"/>
    <w:rsid w:val="007536E1"/>
    <w:rsid w:val="00753739"/>
    <w:rsid w:val="0075373B"/>
    <w:rsid w:val="00753773"/>
    <w:rsid w:val="007538B9"/>
    <w:rsid w:val="00753902"/>
    <w:rsid w:val="0075392D"/>
    <w:rsid w:val="007539A9"/>
    <w:rsid w:val="00753B42"/>
    <w:rsid w:val="00753B4A"/>
    <w:rsid w:val="00753B99"/>
    <w:rsid w:val="00753BB8"/>
    <w:rsid w:val="00753BDA"/>
    <w:rsid w:val="00753C76"/>
    <w:rsid w:val="00753CC3"/>
    <w:rsid w:val="00753D62"/>
    <w:rsid w:val="00753E03"/>
    <w:rsid w:val="00753E3D"/>
    <w:rsid w:val="00753E5D"/>
    <w:rsid w:val="00753EAD"/>
    <w:rsid w:val="00753EF3"/>
    <w:rsid w:val="00753FD2"/>
    <w:rsid w:val="0075401E"/>
    <w:rsid w:val="0075406F"/>
    <w:rsid w:val="007541BF"/>
    <w:rsid w:val="00754444"/>
    <w:rsid w:val="00754463"/>
    <w:rsid w:val="00754533"/>
    <w:rsid w:val="00754578"/>
    <w:rsid w:val="007545D8"/>
    <w:rsid w:val="007545FD"/>
    <w:rsid w:val="0075461D"/>
    <w:rsid w:val="00754661"/>
    <w:rsid w:val="00754665"/>
    <w:rsid w:val="00754676"/>
    <w:rsid w:val="00754891"/>
    <w:rsid w:val="0075490F"/>
    <w:rsid w:val="0075491B"/>
    <w:rsid w:val="0075491D"/>
    <w:rsid w:val="007549FB"/>
    <w:rsid w:val="00754A00"/>
    <w:rsid w:val="00754A7B"/>
    <w:rsid w:val="00754CBE"/>
    <w:rsid w:val="00754CD5"/>
    <w:rsid w:val="00754CE1"/>
    <w:rsid w:val="00754CFD"/>
    <w:rsid w:val="00754E50"/>
    <w:rsid w:val="00754EA5"/>
    <w:rsid w:val="00754ED3"/>
    <w:rsid w:val="00754EF4"/>
    <w:rsid w:val="00754F85"/>
    <w:rsid w:val="00754F9C"/>
    <w:rsid w:val="00754FCC"/>
    <w:rsid w:val="00754FFF"/>
    <w:rsid w:val="00755080"/>
    <w:rsid w:val="007550C6"/>
    <w:rsid w:val="007550F8"/>
    <w:rsid w:val="0075517D"/>
    <w:rsid w:val="00755248"/>
    <w:rsid w:val="007552BE"/>
    <w:rsid w:val="0075532E"/>
    <w:rsid w:val="0075546C"/>
    <w:rsid w:val="007554C9"/>
    <w:rsid w:val="007555B8"/>
    <w:rsid w:val="00755681"/>
    <w:rsid w:val="007556EA"/>
    <w:rsid w:val="0075576C"/>
    <w:rsid w:val="00755887"/>
    <w:rsid w:val="007558D2"/>
    <w:rsid w:val="007559CA"/>
    <w:rsid w:val="00755A45"/>
    <w:rsid w:val="00755AAC"/>
    <w:rsid w:val="00755BD7"/>
    <w:rsid w:val="00755C74"/>
    <w:rsid w:val="00755D26"/>
    <w:rsid w:val="00755F6B"/>
    <w:rsid w:val="00755F73"/>
    <w:rsid w:val="00755F8B"/>
    <w:rsid w:val="00755F95"/>
    <w:rsid w:val="00756041"/>
    <w:rsid w:val="00756111"/>
    <w:rsid w:val="007561A8"/>
    <w:rsid w:val="00756302"/>
    <w:rsid w:val="00756309"/>
    <w:rsid w:val="0075630F"/>
    <w:rsid w:val="00756323"/>
    <w:rsid w:val="00756368"/>
    <w:rsid w:val="007563FF"/>
    <w:rsid w:val="00756414"/>
    <w:rsid w:val="00756464"/>
    <w:rsid w:val="00756513"/>
    <w:rsid w:val="00756573"/>
    <w:rsid w:val="0075670B"/>
    <w:rsid w:val="00756746"/>
    <w:rsid w:val="00756751"/>
    <w:rsid w:val="0075679A"/>
    <w:rsid w:val="007567EE"/>
    <w:rsid w:val="00756815"/>
    <w:rsid w:val="00756A2B"/>
    <w:rsid w:val="00756A57"/>
    <w:rsid w:val="00756A5E"/>
    <w:rsid w:val="00756A6B"/>
    <w:rsid w:val="00756B1A"/>
    <w:rsid w:val="00756B32"/>
    <w:rsid w:val="00756B47"/>
    <w:rsid w:val="00756B90"/>
    <w:rsid w:val="00756C3D"/>
    <w:rsid w:val="00756C7E"/>
    <w:rsid w:val="00756E86"/>
    <w:rsid w:val="00756EC4"/>
    <w:rsid w:val="00756ECC"/>
    <w:rsid w:val="00756ECE"/>
    <w:rsid w:val="00756ED4"/>
    <w:rsid w:val="00756EFD"/>
    <w:rsid w:val="00756F40"/>
    <w:rsid w:val="00756F66"/>
    <w:rsid w:val="00756F7A"/>
    <w:rsid w:val="00757081"/>
    <w:rsid w:val="00757144"/>
    <w:rsid w:val="0075716D"/>
    <w:rsid w:val="007571AF"/>
    <w:rsid w:val="007571F6"/>
    <w:rsid w:val="007574FC"/>
    <w:rsid w:val="00757682"/>
    <w:rsid w:val="007576B3"/>
    <w:rsid w:val="007578D0"/>
    <w:rsid w:val="00757911"/>
    <w:rsid w:val="007579E5"/>
    <w:rsid w:val="00757A1F"/>
    <w:rsid w:val="00757B0D"/>
    <w:rsid w:val="00757BAA"/>
    <w:rsid w:val="00757C38"/>
    <w:rsid w:val="00757CD9"/>
    <w:rsid w:val="00757D7B"/>
    <w:rsid w:val="00757DD2"/>
    <w:rsid w:val="00757DE1"/>
    <w:rsid w:val="00757E25"/>
    <w:rsid w:val="00757EC5"/>
    <w:rsid w:val="00757F4F"/>
    <w:rsid w:val="00757FA0"/>
    <w:rsid w:val="0076000A"/>
    <w:rsid w:val="00760078"/>
    <w:rsid w:val="007600F5"/>
    <w:rsid w:val="0076010A"/>
    <w:rsid w:val="00760127"/>
    <w:rsid w:val="0076012A"/>
    <w:rsid w:val="007601FB"/>
    <w:rsid w:val="00760304"/>
    <w:rsid w:val="00760359"/>
    <w:rsid w:val="0076036B"/>
    <w:rsid w:val="007603CC"/>
    <w:rsid w:val="0076040D"/>
    <w:rsid w:val="00760443"/>
    <w:rsid w:val="00760469"/>
    <w:rsid w:val="007604BA"/>
    <w:rsid w:val="00760502"/>
    <w:rsid w:val="00760559"/>
    <w:rsid w:val="00760768"/>
    <w:rsid w:val="00760860"/>
    <w:rsid w:val="00760968"/>
    <w:rsid w:val="007609A4"/>
    <w:rsid w:val="007609ED"/>
    <w:rsid w:val="00760AED"/>
    <w:rsid w:val="00760B28"/>
    <w:rsid w:val="00760B88"/>
    <w:rsid w:val="00760D7D"/>
    <w:rsid w:val="00760DEA"/>
    <w:rsid w:val="00760F4F"/>
    <w:rsid w:val="00760F5D"/>
    <w:rsid w:val="00760F7A"/>
    <w:rsid w:val="00760FD8"/>
    <w:rsid w:val="0076106D"/>
    <w:rsid w:val="00761177"/>
    <w:rsid w:val="00761211"/>
    <w:rsid w:val="00761375"/>
    <w:rsid w:val="0076139A"/>
    <w:rsid w:val="007613DF"/>
    <w:rsid w:val="0076145F"/>
    <w:rsid w:val="007615A1"/>
    <w:rsid w:val="00761681"/>
    <w:rsid w:val="00761808"/>
    <w:rsid w:val="007618BC"/>
    <w:rsid w:val="007618D7"/>
    <w:rsid w:val="007618F7"/>
    <w:rsid w:val="00761AB5"/>
    <w:rsid w:val="00761B70"/>
    <w:rsid w:val="00761B8F"/>
    <w:rsid w:val="00761BEB"/>
    <w:rsid w:val="00761C8D"/>
    <w:rsid w:val="00761CBC"/>
    <w:rsid w:val="00761D13"/>
    <w:rsid w:val="00761D47"/>
    <w:rsid w:val="00761D49"/>
    <w:rsid w:val="00761D9D"/>
    <w:rsid w:val="00761DD0"/>
    <w:rsid w:val="00761E21"/>
    <w:rsid w:val="00761FA9"/>
    <w:rsid w:val="00761FAC"/>
    <w:rsid w:val="00762079"/>
    <w:rsid w:val="007620C0"/>
    <w:rsid w:val="007620DA"/>
    <w:rsid w:val="00762187"/>
    <w:rsid w:val="007621BD"/>
    <w:rsid w:val="007621D1"/>
    <w:rsid w:val="00762241"/>
    <w:rsid w:val="00762327"/>
    <w:rsid w:val="0076232E"/>
    <w:rsid w:val="00762393"/>
    <w:rsid w:val="007623B5"/>
    <w:rsid w:val="00762697"/>
    <w:rsid w:val="00762843"/>
    <w:rsid w:val="007628A6"/>
    <w:rsid w:val="007628B9"/>
    <w:rsid w:val="00762987"/>
    <w:rsid w:val="007629D8"/>
    <w:rsid w:val="007629D9"/>
    <w:rsid w:val="00762A11"/>
    <w:rsid w:val="00762C58"/>
    <w:rsid w:val="00762D39"/>
    <w:rsid w:val="00762D83"/>
    <w:rsid w:val="00762D94"/>
    <w:rsid w:val="00762DDC"/>
    <w:rsid w:val="00762E55"/>
    <w:rsid w:val="00762EB2"/>
    <w:rsid w:val="00762EC8"/>
    <w:rsid w:val="00762EEB"/>
    <w:rsid w:val="00762EF8"/>
    <w:rsid w:val="00762F61"/>
    <w:rsid w:val="00762FA5"/>
    <w:rsid w:val="00762FA6"/>
    <w:rsid w:val="00763110"/>
    <w:rsid w:val="00763151"/>
    <w:rsid w:val="007631C4"/>
    <w:rsid w:val="0076331A"/>
    <w:rsid w:val="0076335D"/>
    <w:rsid w:val="0076349E"/>
    <w:rsid w:val="0076351F"/>
    <w:rsid w:val="00763599"/>
    <w:rsid w:val="0076359E"/>
    <w:rsid w:val="007635D6"/>
    <w:rsid w:val="007636CB"/>
    <w:rsid w:val="007636EB"/>
    <w:rsid w:val="0076382B"/>
    <w:rsid w:val="007638AA"/>
    <w:rsid w:val="00763900"/>
    <w:rsid w:val="00763915"/>
    <w:rsid w:val="00763995"/>
    <w:rsid w:val="007639FF"/>
    <w:rsid w:val="00763C54"/>
    <w:rsid w:val="00763CB2"/>
    <w:rsid w:val="00763DC6"/>
    <w:rsid w:val="00763DE1"/>
    <w:rsid w:val="00763E35"/>
    <w:rsid w:val="00763E8C"/>
    <w:rsid w:val="00763FDF"/>
    <w:rsid w:val="0076408C"/>
    <w:rsid w:val="007640BC"/>
    <w:rsid w:val="007640F3"/>
    <w:rsid w:val="00764192"/>
    <w:rsid w:val="007641B9"/>
    <w:rsid w:val="007641C4"/>
    <w:rsid w:val="007641CB"/>
    <w:rsid w:val="00764314"/>
    <w:rsid w:val="00764327"/>
    <w:rsid w:val="00764345"/>
    <w:rsid w:val="00764368"/>
    <w:rsid w:val="007643FB"/>
    <w:rsid w:val="0076448F"/>
    <w:rsid w:val="00764526"/>
    <w:rsid w:val="0076463E"/>
    <w:rsid w:val="007646AA"/>
    <w:rsid w:val="007646DF"/>
    <w:rsid w:val="007647F7"/>
    <w:rsid w:val="00764903"/>
    <w:rsid w:val="007649EB"/>
    <w:rsid w:val="00764B70"/>
    <w:rsid w:val="00764BB3"/>
    <w:rsid w:val="00764BF7"/>
    <w:rsid w:val="00764C41"/>
    <w:rsid w:val="00764CBD"/>
    <w:rsid w:val="00764E27"/>
    <w:rsid w:val="00764E7B"/>
    <w:rsid w:val="00764FC2"/>
    <w:rsid w:val="0076507B"/>
    <w:rsid w:val="00765190"/>
    <w:rsid w:val="007651F6"/>
    <w:rsid w:val="00765214"/>
    <w:rsid w:val="007652E7"/>
    <w:rsid w:val="0076531B"/>
    <w:rsid w:val="0076557B"/>
    <w:rsid w:val="0076559C"/>
    <w:rsid w:val="007655F3"/>
    <w:rsid w:val="00765705"/>
    <w:rsid w:val="00765789"/>
    <w:rsid w:val="0076588F"/>
    <w:rsid w:val="007658F0"/>
    <w:rsid w:val="0076593D"/>
    <w:rsid w:val="00765947"/>
    <w:rsid w:val="00765A1D"/>
    <w:rsid w:val="00765A70"/>
    <w:rsid w:val="00765A86"/>
    <w:rsid w:val="00765B7F"/>
    <w:rsid w:val="00765BD5"/>
    <w:rsid w:val="00765BF8"/>
    <w:rsid w:val="00765C0E"/>
    <w:rsid w:val="00765C86"/>
    <w:rsid w:val="00765D03"/>
    <w:rsid w:val="00765D08"/>
    <w:rsid w:val="00765E31"/>
    <w:rsid w:val="00765EEC"/>
    <w:rsid w:val="00765F05"/>
    <w:rsid w:val="00765F14"/>
    <w:rsid w:val="00765F19"/>
    <w:rsid w:val="00766035"/>
    <w:rsid w:val="007660ED"/>
    <w:rsid w:val="007662D2"/>
    <w:rsid w:val="00766337"/>
    <w:rsid w:val="00766354"/>
    <w:rsid w:val="00766356"/>
    <w:rsid w:val="0076638B"/>
    <w:rsid w:val="007663C7"/>
    <w:rsid w:val="007663ED"/>
    <w:rsid w:val="0076647F"/>
    <w:rsid w:val="00766491"/>
    <w:rsid w:val="00766521"/>
    <w:rsid w:val="00766577"/>
    <w:rsid w:val="007665F5"/>
    <w:rsid w:val="0076664B"/>
    <w:rsid w:val="00766689"/>
    <w:rsid w:val="00766740"/>
    <w:rsid w:val="0076675D"/>
    <w:rsid w:val="00766769"/>
    <w:rsid w:val="007667CF"/>
    <w:rsid w:val="00766858"/>
    <w:rsid w:val="00766861"/>
    <w:rsid w:val="00766959"/>
    <w:rsid w:val="0076699F"/>
    <w:rsid w:val="00766A8D"/>
    <w:rsid w:val="00766C0D"/>
    <w:rsid w:val="00766C10"/>
    <w:rsid w:val="00766C23"/>
    <w:rsid w:val="00766D1B"/>
    <w:rsid w:val="00766DD8"/>
    <w:rsid w:val="00766DF6"/>
    <w:rsid w:val="00766EEE"/>
    <w:rsid w:val="00766EF7"/>
    <w:rsid w:val="00766F36"/>
    <w:rsid w:val="00766F97"/>
    <w:rsid w:val="00767026"/>
    <w:rsid w:val="007670D9"/>
    <w:rsid w:val="007670EB"/>
    <w:rsid w:val="007671D6"/>
    <w:rsid w:val="007672D6"/>
    <w:rsid w:val="007672E7"/>
    <w:rsid w:val="00767313"/>
    <w:rsid w:val="00767415"/>
    <w:rsid w:val="00767478"/>
    <w:rsid w:val="007674F0"/>
    <w:rsid w:val="007675E4"/>
    <w:rsid w:val="00767630"/>
    <w:rsid w:val="00767762"/>
    <w:rsid w:val="00767775"/>
    <w:rsid w:val="007677D4"/>
    <w:rsid w:val="007677EB"/>
    <w:rsid w:val="0076784E"/>
    <w:rsid w:val="0076790D"/>
    <w:rsid w:val="0076790E"/>
    <w:rsid w:val="00767941"/>
    <w:rsid w:val="007679B4"/>
    <w:rsid w:val="00767AE2"/>
    <w:rsid w:val="00767BC4"/>
    <w:rsid w:val="00767C0E"/>
    <w:rsid w:val="00767C3B"/>
    <w:rsid w:val="00767C5D"/>
    <w:rsid w:val="00767CFF"/>
    <w:rsid w:val="00767D0C"/>
    <w:rsid w:val="00767DB4"/>
    <w:rsid w:val="00767DDC"/>
    <w:rsid w:val="00767DF6"/>
    <w:rsid w:val="00767E09"/>
    <w:rsid w:val="00767E6C"/>
    <w:rsid w:val="00767EC8"/>
    <w:rsid w:val="00767ED9"/>
    <w:rsid w:val="00769AD4"/>
    <w:rsid w:val="0076E155"/>
    <w:rsid w:val="007700A9"/>
    <w:rsid w:val="007701D6"/>
    <w:rsid w:val="007701FB"/>
    <w:rsid w:val="00770219"/>
    <w:rsid w:val="00770258"/>
    <w:rsid w:val="00770272"/>
    <w:rsid w:val="007702A6"/>
    <w:rsid w:val="00770339"/>
    <w:rsid w:val="007703B3"/>
    <w:rsid w:val="00770439"/>
    <w:rsid w:val="0077045B"/>
    <w:rsid w:val="007704EA"/>
    <w:rsid w:val="0077057B"/>
    <w:rsid w:val="007706ED"/>
    <w:rsid w:val="00770705"/>
    <w:rsid w:val="007707EC"/>
    <w:rsid w:val="00770A03"/>
    <w:rsid w:val="00770A05"/>
    <w:rsid w:val="00770AD9"/>
    <w:rsid w:val="00770B56"/>
    <w:rsid w:val="00770BC1"/>
    <w:rsid w:val="00770BE8"/>
    <w:rsid w:val="00770BF0"/>
    <w:rsid w:val="00770C38"/>
    <w:rsid w:val="00770C6E"/>
    <w:rsid w:val="00770D9F"/>
    <w:rsid w:val="00770DE3"/>
    <w:rsid w:val="00770E12"/>
    <w:rsid w:val="00770F39"/>
    <w:rsid w:val="00771022"/>
    <w:rsid w:val="007710CD"/>
    <w:rsid w:val="00771181"/>
    <w:rsid w:val="007711F4"/>
    <w:rsid w:val="00771284"/>
    <w:rsid w:val="007712F1"/>
    <w:rsid w:val="0077132C"/>
    <w:rsid w:val="0077135D"/>
    <w:rsid w:val="007713C8"/>
    <w:rsid w:val="0077141A"/>
    <w:rsid w:val="00771461"/>
    <w:rsid w:val="007714C4"/>
    <w:rsid w:val="007714FD"/>
    <w:rsid w:val="0077155D"/>
    <w:rsid w:val="007715BA"/>
    <w:rsid w:val="00771721"/>
    <w:rsid w:val="007717A6"/>
    <w:rsid w:val="00771858"/>
    <w:rsid w:val="0077186C"/>
    <w:rsid w:val="007718E7"/>
    <w:rsid w:val="007718F9"/>
    <w:rsid w:val="00771923"/>
    <w:rsid w:val="00771929"/>
    <w:rsid w:val="0077194D"/>
    <w:rsid w:val="0077197E"/>
    <w:rsid w:val="00771A51"/>
    <w:rsid w:val="00771AF6"/>
    <w:rsid w:val="00771B86"/>
    <w:rsid w:val="00771BA8"/>
    <w:rsid w:val="00771C06"/>
    <w:rsid w:val="00771CD8"/>
    <w:rsid w:val="00771E4C"/>
    <w:rsid w:val="00771E55"/>
    <w:rsid w:val="00771E74"/>
    <w:rsid w:val="00771EEC"/>
    <w:rsid w:val="00771F4C"/>
    <w:rsid w:val="00771FE1"/>
    <w:rsid w:val="007720DB"/>
    <w:rsid w:val="00772188"/>
    <w:rsid w:val="0077219C"/>
    <w:rsid w:val="0077219E"/>
    <w:rsid w:val="00772219"/>
    <w:rsid w:val="00772221"/>
    <w:rsid w:val="0077226D"/>
    <w:rsid w:val="007722D3"/>
    <w:rsid w:val="0077230B"/>
    <w:rsid w:val="00772498"/>
    <w:rsid w:val="00772545"/>
    <w:rsid w:val="007725E1"/>
    <w:rsid w:val="007725E9"/>
    <w:rsid w:val="0077273B"/>
    <w:rsid w:val="00772815"/>
    <w:rsid w:val="0077290B"/>
    <w:rsid w:val="00772A8F"/>
    <w:rsid w:val="00772ABF"/>
    <w:rsid w:val="00772AED"/>
    <w:rsid w:val="00772B39"/>
    <w:rsid w:val="00772CFD"/>
    <w:rsid w:val="00772D1C"/>
    <w:rsid w:val="00772DFF"/>
    <w:rsid w:val="00772E39"/>
    <w:rsid w:val="00772E49"/>
    <w:rsid w:val="00772EAD"/>
    <w:rsid w:val="00772EBC"/>
    <w:rsid w:val="00772EE7"/>
    <w:rsid w:val="00772EEE"/>
    <w:rsid w:val="00772F0A"/>
    <w:rsid w:val="00772F86"/>
    <w:rsid w:val="00772FB5"/>
    <w:rsid w:val="0077301A"/>
    <w:rsid w:val="00773024"/>
    <w:rsid w:val="007730B0"/>
    <w:rsid w:val="0077312F"/>
    <w:rsid w:val="007732CD"/>
    <w:rsid w:val="007732FA"/>
    <w:rsid w:val="00773379"/>
    <w:rsid w:val="007734B0"/>
    <w:rsid w:val="00773549"/>
    <w:rsid w:val="007736B1"/>
    <w:rsid w:val="00773711"/>
    <w:rsid w:val="0077378B"/>
    <w:rsid w:val="007737E8"/>
    <w:rsid w:val="007738E0"/>
    <w:rsid w:val="00773922"/>
    <w:rsid w:val="007739A5"/>
    <w:rsid w:val="00773A99"/>
    <w:rsid w:val="00773AF7"/>
    <w:rsid w:val="00773B7D"/>
    <w:rsid w:val="00773C0D"/>
    <w:rsid w:val="00773CA8"/>
    <w:rsid w:val="00773CF0"/>
    <w:rsid w:val="00773D0D"/>
    <w:rsid w:val="00773D75"/>
    <w:rsid w:val="00773E22"/>
    <w:rsid w:val="00773F28"/>
    <w:rsid w:val="00773FD6"/>
    <w:rsid w:val="0077403A"/>
    <w:rsid w:val="00774106"/>
    <w:rsid w:val="00774176"/>
    <w:rsid w:val="00774279"/>
    <w:rsid w:val="00774297"/>
    <w:rsid w:val="0077430B"/>
    <w:rsid w:val="00774324"/>
    <w:rsid w:val="00774344"/>
    <w:rsid w:val="00774382"/>
    <w:rsid w:val="0077438A"/>
    <w:rsid w:val="007744BD"/>
    <w:rsid w:val="00774516"/>
    <w:rsid w:val="00774586"/>
    <w:rsid w:val="00774634"/>
    <w:rsid w:val="0077467A"/>
    <w:rsid w:val="00774693"/>
    <w:rsid w:val="007746B0"/>
    <w:rsid w:val="007746CA"/>
    <w:rsid w:val="007746F2"/>
    <w:rsid w:val="00774701"/>
    <w:rsid w:val="00774720"/>
    <w:rsid w:val="00774744"/>
    <w:rsid w:val="00774809"/>
    <w:rsid w:val="00774866"/>
    <w:rsid w:val="007748BB"/>
    <w:rsid w:val="007748F4"/>
    <w:rsid w:val="00774978"/>
    <w:rsid w:val="00774979"/>
    <w:rsid w:val="00774A9A"/>
    <w:rsid w:val="00774BF7"/>
    <w:rsid w:val="00774BFB"/>
    <w:rsid w:val="00774C84"/>
    <w:rsid w:val="00774D07"/>
    <w:rsid w:val="00774D17"/>
    <w:rsid w:val="00774DF9"/>
    <w:rsid w:val="00774DFB"/>
    <w:rsid w:val="00774E35"/>
    <w:rsid w:val="00774E8E"/>
    <w:rsid w:val="00774EDA"/>
    <w:rsid w:val="0077533C"/>
    <w:rsid w:val="00775449"/>
    <w:rsid w:val="0077546B"/>
    <w:rsid w:val="00775479"/>
    <w:rsid w:val="007754E1"/>
    <w:rsid w:val="007754EE"/>
    <w:rsid w:val="007755B5"/>
    <w:rsid w:val="007755EA"/>
    <w:rsid w:val="007756A6"/>
    <w:rsid w:val="0077570D"/>
    <w:rsid w:val="00775808"/>
    <w:rsid w:val="00775820"/>
    <w:rsid w:val="00775858"/>
    <w:rsid w:val="00775A34"/>
    <w:rsid w:val="00775A8E"/>
    <w:rsid w:val="00775BAF"/>
    <w:rsid w:val="00775BE4"/>
    <w:rsid w:val="00775CC7"/>
    <w:rsid w:val="00775D4A"/>
    <w:rsid w:val="00775DEF"/>
    <w:rsid w:val="00775E5F"/>
    <w:rsid w:val="00775EA7"/>
    <w:rsid w:val="00776048"/>
    <w:rsid w:val="00776097"/>
    <w:rsid w:val="007760F2"/>
    <w:rsid w:val="007761FE"/>
    <w:rsid w:val="00776317"/>
    <w:rsid w:val="00776322"/>
    <w:rsid w:val="00776391"/>
    <w:rsid w:val="007763AA"/>
    <w:rsid w:val="007763B6"/>
    <w:rsid w:val="0077647D"/>
    <w:rsid w:val="007765DF"/>
    <w:rsid w:val="0077660B"/>
    <w:rsid w:val="00776616"/>
    <w:rsid w:val="00776674"/>
    <w:rsid w:val="0077670E"/>
    <w:rsid w:val="0077676E"/>
    <w:rsid w:val="00776809"/>
    <w:rsid w:val="0077683E"/>
    <w:rsid w:val="00776964"/>
    <w:rsid w:val="00776A4C"/>
    <w:rsid w:val="00776A71"/>
    <w:rsid w:val="00776AF6"/>
    <w:rsid w:val="00776B71"/>
    <w:rsid w:val="00776C0F"/>
    <w:rsid w:val="00776C96"/>
    <w:rsid w:val="00776C99"/>
    <w:rsid w:val="00776D18"/>
    <w:rsid w:val="00776DD1"/>
    <w:rsid w:val="00776DFD"/>
    <w:rsid w:val="00776E60"/>
    <w:rsid w:val="00776F34"/>
    <w:rsid w:val="00776F99"/>
    <w:rsid w:val="00777043"/>
    <w:rsid w:val="00777178"/>
    <w:rsid w:val="007771FF"/>
    <w:rsid w:val="0077722B"/>
    <w:rsid w:val="00777242"/>
    <w:rsid w:val="007772B8"/>
    <w:rsid w:val="00777354"/>
    <w:rsid w:val="00777494"/>
    <w:rsid w:val="00777497"/>
    <w:rsid w:val="007774FF"/>
    <w:rsid w:val="00777546"/>
    <w:rsid w:val="007775B3"/>
    <w:rsid w:val="0077777A"/>
    <w:rsid w:val="0077786C"/>
    <w:rsid w:val="007778B0"/>
    <w:rsid w:val="007778BA"/>
    <w:rsid w:val="0077790B"/>
    <w:rsid w:val="0077796E"/>
    <w:rsid w:val="007779CC"/>
    <w:rsid w:val="00777A94"/>
    <w:rsid w:val="00777AAC"/>
    <w:rsid w:val="00777AC8"/>
    <w:rsid w:val="00777B04"/>
    <w:rsid w:val="00777B23"/>
    <w:rsid w:val="00777C03"/>
    <w:rsid w:val="00777C47"/>
    <w:rsid w:val="00777C76"/>
    <w:rsid w:val="00777D6A"/>
    <w:rsid w:val="00777E0D"/>
    <w:rsid w:val="00777E8D"/>
    <w:rsid w:val="00777E97"/>
    <w:rsid w:val="00777E9F"/>
    <w:rsid w:val="007801E3"/>
    <w:rsid w:val="007801EF"/>
    <w:rsid w:val="00780291"/>
    <w:rsid w:val="00780296"/>
    <w:rsid w:val="007802ED"/>
    <w:rsid w:val="00780364"/>
    <w:rsid w:val="00780388"/>
    <w:rsid w:val="007804AB"/>
    <w:rsid w:val="00780507"/>
    <w:rsid w:val="007805AB"/>
    <w:rsid w:val="007805D4"/>
    <w:rsid w:val="007805DA"/>
    <w:rsid w:val="007805EB"/>
    <w:rsid w:val="00780663"/>
    <w:rsid w:val="007806B5"/>
    <w:rsid w:val="00780740"/>
    <w:rsid w:val="007807AA"/>
    <w:rsid w:val="007807EC"/>
    <w:rsid w:val="00780809"/>
    <w:rsid w:val="00780825"/>
    <w:rsid w:val="00780880"/>
    <w:rsid w:val="00780A6A"/>
    <w:rsid w:val="00780ACE"/>
    <w:rsid w:val="00780B08"/>
    <w:rsid w:val="00780B0C"/>
    <w:rsid w:val="00780B76"/>
    <w:rsid w:val="00780BD8"/>
    <w:rsid w:val="00780C7E"/>
    <w:rsid w:val="00780CD5"/>
    <w:rsid w:val="00780D42"/>
    <w:rsid w:val="00780D70"/>
    <w:rsid w:val="00780DD4"/>
    <w:rsid w:val="00780E7A"/>
    <w:rsid w:val="00780ECD"/>
    <w:rsid w:val="00780F40"/>
    <w:rsid w:val="007810D4"/>
    <w:rsid w:val="0078121F"/>
    <w:rsid w:val="00781287"/>
    <w:rsid w:val="0078128A"/>
    <w:rsid w:val="00781335"/>
    <w:rsid w:val="00781460"/>
    <w:rsid w:val="007814A7"/>
    <w:rsid w:val="007814E0"/>
    <w:rsid w:val="00781587"/>
    <w:rsid w:val="007815C7"/>
    <w:rsid w:val="007815ED"/>
    <w:rsid w:val="0078164D"/>
    <w:rsid w:val="007817C9"/>
    <w:rsid w:val="00781869"/>
    <w:rsid w:val="0078186F"/>
    <w:rsid w:val="007818B0"/>
    <w:rsid w:val="007819F6"/>
    <w:rsid w:val="00781A3F"/>
    <w:rsid w:val="00781B4A"/>
    <w:rsid w:val="00781BAE"/>
    <w:rsid w:val="00781BB0"/>
    <w:rsid w:val="00781BCA"/>
    <w:rsid w:val="00781C21"/>
    <w:rsid w:val="00781C36"/>
    <w:rsid w:val="00781D0B"/>
    <w:rsid w:val="00781F57"/>
    <w:rsid w:val="00782039"/>
    <w:rsid w:val="0078203C"/>
    <w:rsid w:val="00782072"/>
    <w:rsid w:val="0078215D"/>
    <w:rsid w:val="0078219E"/>
    <w:rsid w:val="007822E2"/>
    <w:rsid w:val="007822EC"/>
    <w:rsid w:val="00782327"/>
    <w:rsid w:val="0078232E"/>
    <w:rsid w:val="00782336"/>
    <w:rsid w:val="007823D0"/>
    <w:rsid w:val="00782462"/>
    <w:rsid w:val="007824B4"/>
    <w:rsid w:val="0078250A"/>
    <w:rsid w:val="00782524"/>
    <w:rsid w:val="0078262C"/>
    <w:rsid w:val="007826CC"/>
    <w:rsid w:val="00782706"/>
    <w:rsid w:val="00782719"/>
    <w:rsid w:val="00782794"/>
    <w:rsid w:val="00782839"/>
    <w:rsid w:val="00782843"/>
    <w:rsid w:val="00782884"/>
    <w:rsid w:val="00782889"/>
    <w:rsid w:val="007828BD"/>
    <w:rsid w:val="007828FF"/>
    <w:rsid w:val="00782953"/>
    <w:rsid w:val="00782A73"/>
    <w:rsid w:val="00782B73"/>
    <w:rsid w:val="00782BD0"/>
    <w:rsid w:val="00782CE5"/>
    <w:rsid w:val="00782D5E"/>
    <w:rsid w:val="00782EAD"/>
    <w:rsid w:val="00782F7B"/>
    <w:rsid w:val="00782FF9"/>
    <w:rsid w:val="00783031"/>
    <w:rsid w:val="00783083"/>
    <w:rsid w:val="00783152"/>
    <w:rsid w:val="007832AF"/>
    <w:rsid w:val="00783330"/>
    <w:rsid w:val="0078333E"/>
    <w:rsid w:val="00783347"/>
    <w:rsid w:val="0078334A"/>
    <w:rsid w:val="0078337C"/>
    <w:rsid w:val="00783437"/>
    <w:rsid w:val="0078353B"/>
    <w:rsid w:val="0078354A"/>
    <w:rsid w:val="0078354F"/>
    <w:rsid w:val="007835CF"/>
    <w:rsid w:val="00783626"/>
    <w:rsid w:val="0078366A"/>
    <w:rsid w:val="007836F4"/>
    <w:rsid w:val="00783704"/>
    <w:rsid w:val="00783715"/>
    <w:rsid w:val="00783768"/>
    <w:rsid w:val="0078377B"/>
    <w:rsid w:val="007837B7"/>
    <w:rsid w:val="007837FD"/>
    <w:rsid w:val="0078392D"/>
    <w:rsid w:val="00783955"/>
    <w:rsid w:val="00783999"/>
    <w:rsid w:val="00783A76"/>
    <w:rsid w:val="00783BF6"/>
    <w:rsid w:val="00783D9D"/>
    <w:rsid w:val="00783EB6"/>
    <w:rsid w:val="00783FA7"/>
    <w:rsid w:val="00783FD2"/>
    <w:rsid w:val="00783FE3"/>
    <w:rsid w:val="00784052"/>
    <w:rsid w:val="007840CE"/>
    <w:rsid w:val="0078418C"/>
    <w:rsid w:val="007841D3"/>
    <w:rsid w:val="007841E6"/>
    <w:rsid w:val="007841F1"/>
    <w:rsid w:val="0078426E"/>
    <w:rsid w:val="00784298"/>
    <w:rsid w:val="007842D6"/>
    <w:rsid w:val="0078430F"/>
    <w:rsid w:val="007843B6"/>
    <w:rsid w:val="007843B9"/>
    <w:rsid w:val="0078445F"/>
    <w:rsid w:val="00784489"/>
    <w:rsid w:val="0078455E"/>
    <w:rsid w:val="007845AB"/>
    <w:rsid w:val="007845DE"/>
    <w:rsid w:val="007845F7"/>
    <w:rsid w:val="007847AB"/>
    <w:rsid w:val="007847C4"/>
    <w:rsid w:val="007847CD"/>
    <w:rsid w:val="007848D3"/>
    <w:rsid w:val="00784BB1"/>
    <w:rsid w:val="00784C25"/>
    <w:rsid w:val="00784D05"/>
    <w:rsid w:val="00784E04"/>
    <w:rsid w:val="00784E5C"/>
    <w:rsid w:val="00784EB6"/>
    <w:rsid w:val="00784EF8"/>
    <w:rsid w:val="00784F20"/>
    <w:rsid w:val="00784F5E"/>
    <w:rsid w:val="0078504C"/>
    <w:rsid w:val="0078508A"/>
    <w:rsid w:val="00785093"/>
    <w:rsid w:val="007850AE"/>
    <w:rsid w:val="007850B9"/>
    <w:rsid w:val="007850F6"/>
    <w:rsid w:val="00785143"/>
    <w:rsid w:val="007851C6"/>
    <w:rsid w:val="00785205"/>
    <w:rsid w:val="00785551"/>
    <w:rsid w:val="00785553"/>
    <w:rsid w:val="00785597"/>
    <w:rsid w:val="007855E3"/>
    <w:rsid w:val="00785735"/>
    <w:rsid w:val="00785796"/>
    <w:rsid w:val="00785880"/>
    <w:rsid w:val="007859CC"/>
    <w:rsid w:val="007859F5"/>
    <w:rsid w:val="00785A43"/>
    <w:rsid w:val="00785BE2"/>
    <w:rsid w:val="00785BFA"/>
    <w:rsid w:val="00785C88"/>
    <w:rsid w:val="00785CA9"/>
    <w:rsid w:val="00785D73"/>
    <w:rsid w:val="00785DC7"/>
    <w:rsid w:val="00785E38"/>
    <w:rsid w:val="00785E48"/>
    <w:rsid w:val="00785F1A"/>
    <w:rsid w:val="00785FC2"/>
    <w:rsid w:val="00786028"/>
    <w:rsid w:val="007860AA"/>
    <w:rsid w:val="007861CC"/>
    <w:rsid w:val="007861EF"/>
    <w:rsid w:val="00786373"/>
    <w:rsid w:val="00786390"/>
    <w:rsid w:val="0078641B"/>
    <w:rsid w:val="0078641F"/>
    <w:rsid w:val="0078644E"/>
    <w:rsid w:val="007864CB"/>
    <w:rsid w:val="00786631"/>
    <w:rsid w:val="00786689"/>
    <w:rsid w:val="00786709"/>
    <w:rsid w:val="0078679F"/>
    <w:rsid w:val="007867D2"/>
    <w:rsid w:val="007867F5"/>
    <w:rsid w:val="00786A32"/>
    <w:rsid w:val="00786AD0"/>
    <w:rsid w:val="00786B4F"/>
    <w:rsid w:val="00786B66"/>
    <w:rsid w:val="00786BD1"/>
    <w:rsid w:val="00786CA2"/>
    <w:rsid w:val="00786CC6"/>
    <w:rsid w:val="00786CC9"/>
    <w:rsid w:val="00786CE7"/>
    <w:rsid w:val="00786D18"/>
    <w:rsid w:val="00786D20"/>
    <w:rsid w:val="00786D79"/>
    <w:rsid w:val="00786E4C"/>
    <w:rsid w:val="00786EC5"/>
    <w:rsid w:val="00786F54"/>
    <w:rsid w:val="00787017"/>
    <w:rsid w:val="00787030"/>
    <w:rsid w:val="0078704E"/>
    <w:rsid w:val="007870BB"/>
    <w:rsid w:val="00787118"/>
    <w:rsid w:val="00787307"/>
    <w:rsid w:val="00787353"/>
    <w:rsid w:val="0078737E"/>
    <w:rsid w:val="007873A4"/>
    <w:rsid w:val="007873B0"/>
    <w:rsid w:val="0078744C"/>
    <w:rsid w:val="00787487"/>
    <w:rsid w:val="00787549"/>
    <w:rsid w:val="0078758A"/>
    <w:rsid w:val="007875C2"/>
    <w:rsid w:val="007875EE"/>
    <w:rsid w:val="00787661"/>
    <w:rsid w:val="0078779C"/>
    <w:rsid w:val="007878A0"/>
    <w:rsid w:val="0078792E"/>
    <w:rsid w:val="007879AC"/>
    <w:rsid w:val="00787A47"/>
    <w:rsid w:val="00787B20"/>
    <w:rsid w:val="00787BF9"/>
    <w:rsid w:val="00787C41"/>
    <w:rsid w:val="00787CE1"/>
    <w:rsid w:val="00787D3F"/>
    <w:rsid w:val="00787D52"/>
    <w:rsid w:val="00787DCE"/>
    <w:rsid w:val="00787DF2"/>
    <w:rsid w:val="00787EB7"/>
    <w:rsid w:val="00787ED3"/>
    <w:rsid w:val="00787EFA"/>
    <w:rsid w:val="00787F9D"/>
    <w:rsid w:val="00787FB7"/>
    <w:rsid w:val="00790029"/>
    <w:rsid w:val="0079012C"/>
    <w:rsid w:val="0079014A"/>
    <w:rsid w:val="0079022E"/>
    <w:rsid w:val="00790241"/>
    <w:rsid w:val="0079024E"/>
    <w:rsid w:val="0079030C"/>
    <w:rsid w:val="00790350"/>
    <w:rsid w:val="007903B8"/>
    <w:rsid w:val="00790504"/>
    <w:rsid w:val="00790581"/>
    <w:rsid w:val="00790620"/>
    <w:rsid w:val="00790670"/>
    <w:rsid w:val="00790696"/>
    <w:rsid w:val="007906E4"/>
    <w:rsid w:val="00790998"/>
    <w:rsid w:val="007909D3"/>
    <w:rsid w:val="007909E1"/>
    <w:rsid w:val="00790A08"/>
    <w:rsid w:val="00790B70"/>
    <w:rsid w:val="00790BC2"/>
    <w:rsid w:val="00790BF3"/>
    <w:rsid w:val="00790C2F"/>
    <w:rsid w:val="00790C3D"/>
    <w:rsid w:val="00790CA4"/>
    <w:rsid w:val="00790CB0"/>
    <w:rsid w:val="00790DAD"/>
    <w:rsid w:val="00790DD8"/>
    <w:rsid w:val="00790DE1"/>
    <w:rsid w:val="00790E8D"/>
    <w:rsid w:val="00790F10"/>
    <w:rsid w:val="00790F20"/>
    <w:rsid w:val="00790F61"/>
    <w:rsid w:val="00790FDD"/>
    <w:rsid w:val="00790FFA"/>
    <w:rsid w:val="00791027"/>
    <w:rsid w:val="00791028"/>
    <w:rsid w:val="007910D5"/>
    <w:rsid w:val="0079134D"/>
    <w:rsid w:val="00791443"/>
    <w:rsid w:val="007916B2"/>
    <w:rsid w:val="007916BA"/>
    <w:rsid w:val="0079171C"/>
    <w:rsid w:val="00791827"/>
    <w:rsid w:val="0079188B"/>
    <w:rsid w:val="007918D5"/>
    <w:rsid w:val="00791A1D"/>
    <w:rsid w:val="00791A70"/>
    <w:rsid w:val="00791A95"/>
    <w:rsid w:val="00791AF9"/>
    <w:rsid w:val="00791B5A"/>
    <w:rsid w:val="00791B8D"/>
    <w:rsid w:val="00791B97"/>
    <w:rsid w:val="00791B9E"/>
    <w:rsid w:val="00791BAD"/>
    <w:rsid w:val="00791BD7"/>
    <w:rsid w:val="00791C1B"/>
    <w:rsid w:val="00791C25"/>
    <w:rsid w:val="00791C54"/>
    <w:rsid w:val="00791C6C"/>
    <w:rsid w:val="00791C77"/>
    <w:rsid w:val="00791C85"/>
    <w:rsid w:val="00791C8B"/>
    <w:rsid w:val="00791CB1"/>
    <w:rsid w:val="00791D9F"/>
    <w:rsid w:val="00791DAC"/>
    <w:rsid w:val="00791E28"/>
    <w:rsid w:val="00791E5D"/>
    <w:rsid w:val="007920D3"/>
    <w:rsid w:val="0079210F"/>
    <w:rsid w:val="00792398"/>
    <w:rsid w:val="007924FF"/>
    <w:rsid w:val="007925DD"/>
    <w:rsid w:val="0079263E"/>
    <w:rsid w:val="0079264E"/>
    <w:rsid w:val="007926A2"/>
    <w:rsid w:val="007926B5"/>
    <w:rsid w:val="00792703"/>
    <w:rsid w:val="0079270A"/>
    <w:rsid w:val="0079277B"/>
    <w:rsid w:val="007927C0"/>
    <w:rsid w:val="007927F0"/>
    <w:rsid w:val="00792889"/>
    <w:rsid w:val="007928A1"/>
    <w:rsid w:val="007928D8"/>
    <w:rsid w:val="0079297A"/>
    <w:rsid w:val="00792991"/>
    <w:rsid w:val="00792AE4"/>
    <w:rsid w:val="00792BA2"/>
    <w:rsid w:val="00792C87"/>
    <w:rsid w:val="00792DCA"/>
    <w:rsid w:val="00792E0C"/>
    <w:rsid w:val="00792E13"/>
    <w:rsid w:val="00792E18"/>
    <w:rsid w:val="00792EBF"/>
    <w:rsid w:val="00792EF5"/>
    <w:rsid w:val="00792FB2"/>
    <w:rsid w:val="00792FD9"/>
    <w:rsid w:val="00793020"/>
    <w:rsid w:val="007930B2"/>
    <w:rsid w:val="007931AC"/>
    <w:rsid w:val="00793245"/>
    <w:rsid w:val="007932BC"/>
    <w:rsid w:val="007932E5"/>
    <w:rsid w:val="007932EE"/>
    <w:rsid w:val="00793389"/>
    <w:rsid w:val="0079339A"/>
    <w:rsid w:val="007934C8"/>
    <w:rsid w:val="0079356F"/>
    <w:rsid w:val="0079359D"/>
    <w:rsid w:val="007935E0"/>
    <w:rsid w:val="0079362F"/>
    <w:rsid w:val="0079373C"/>
    <w:rsid w:val="007937ED"/>
    <w:rsid w:val="00793801"/>
    <w:rsid w:val="00793814"/>
    <w:rsid w:val="0079389E"/>
    <w:rsid w:val="007939DF"/>
    <w:rsid w:val="00793B05"/>
    <w:rsid w:val="00793B99"/>
    <w:rsid w:val="00793BDB"/>
    <w:rsid w:val="00793CA9"/>
    <w:rsid w:val="00793CC9"/>
    <w:rsid w:val="00793E79"/>
    <w:rsid w:val="00793EAD"/>
    <w:rsid w:val="00794077"/>
    <w:rsid w:val="00794249"/>
    <w:rsid w:val="00794334"/>
    <w:rsid w:val="0079435A"/>
    <w:rsid w:val="007944DC"/>
    <w:rsid w:val="0079458B"/>
    <w:rsid w:val="0079459E"/>
    <w:rsid w:val="00794614"/>
    <w:rsid w:val="0079467E"/>
    <w:rsid w:val="0079469F"/>
    <w:rsid w:val="007946D1"/>
    <w:rsid w:val="0079486B"/>
    <w:rsid w:val="007948DF"/>
    <w:rsid w:val="00794975"/>
    <w:rsid w:val="007949F3"/>
    <w:rsid w:val="00794A17"/>
    <w:rsid w:val="00794ACE"/>
    <w:rsid w:val="00794AEC"/>
    <w:rsid w:val="00794AFF"/>
    <w:rsid w:val="00794B0E"/>
    <w:rsid w:val="00794B64"/>
    <w:rsid w:val="00794B72"/>
    <w:rsid w:val="00794BE3"/>
    <w:rsid w:val="00794C6D"/>
    <w:rsid w:val="00794DA5"/>
    <w:rsid w:val="00794E1B"/>
    <w:rsid w:val="00794E31"/>
    <w:rsid w:val="00794FC3"/>
    <w:rsid w:val="00794FD5"/>
    <w:rsid w:val="00794FDA"/>
    <w:rsid w:val="00795024"/>
    <w:rsid w:val="0079505F"/>
    <w:rsid w:val="0079514A"/>
    <w:rsid w:val="00795277"/>
    <w:rsid w:val="00795285"/>
    <w:rsid w:val="00795337"/>
    <w:rsid w:val="00795399"/>
    <w:rsid w:val="00795624"/>
    <w:rsid w:val="0079570F"/>
    <w:rsid w:val="007957B5"/>
    <w:rsid w:val="007957C2"/>
    <w:rsid w:val="007957C7"/>
    <w:rsid w:val="00795835"/>
    <w:rsid w:val="007958D7"/>
    <w:rsid w:val="0079592F"/>
    <w:rsid w:val="00795A87"/>
    <w:rsid w:val="00795AC7"/>
    <w:rsid w:val="00795AF2"/>
    <w:rsid w:val="00795B46"/>
    <w:rsid w:val="00795B4D"/>
    <w:rsid w:val="00795B8D"/>
    <w:rsid w:val="00795C1B"/>
    <w:rsid w:val="00795C4F"/>
    <w:rsid w:val="00795CDF"/>
    <w:rsid w:val="00795D1D"/>
    <w:rsid w:val="00795D78"/>
    <w:rsid w:val="00795DA8"/>
    <w:rsid w:val="00795E0A"/>
    <w:rsid w:val="00795E1F"/>
    <w:rsid w:val="00795E30"/>
    <w:rsid w:val="00795E96"/>
    <w:rsid w:val="00795EC9"/>
    <w:rsid w:val="00795F49"/>
    <w:rsid w:val="00795F4C"/>
    <w:rsid w:val="00795F9F"/>
    <w:rsid w:val="00795FB9"/>
    <w:rsid w:val="0079603D"/>
    <w:rsid w:val="00796104"/>
    <w:rsid w:val="00796119"/>
    <w:rsid w:val="00796141"/>
    <w:rsid w:val="00796156"/>
    <w:rsid w:val="00796170"/>
    <w:rsid w:val="007961A4"/>
    <w:rsid w:val="00796203"/>
    <w:rsid w:val="00796317"/>
    <w:rsid w:val="00796360"/>
    <w:rsid w:val="007963EB"/>
    <w:rsid w:val="00796403"/>
    <w:rsid w:val="007964A0"/>
    <w:rsid w:val="00796525"/>
    <w:rsid w:val="00796530"/>
    <w:rsid w:val="00796709"/>
    <w:rsid w:val="00796712"/>
    <w:rsid w:val="00796760"/>
    <w:rsid w:val="007967DA"/>
    <w:rsid w:val="00796897"/>
    <w:rsid w:val="007968A8"/>
    <w:rsid w:val="00796930"/>
    <w:rsid w:val="007969B3"/>
    <w:rsid w:val="007969DC"/>
    <w:rsid w:val="00796A1F"/>
    <w:rsid w:val="00796A33"/>
    <w:rsid w:val="00796B2E"/>
    <w:rsid w:val="00796B42"/>
    <w:rsid w:val="00796B7F"/>
    <w:rsid w:val="00796B80"/>
    <w:rsid w:val="00796B90"/>
    <w:rsid w:val="00796C48"/>
    <w:rsid w:val="00796CDE"/>
    <w:rsid w:val="00796DCE"/>
    <w:rsid w:val="00796DFA"/>
    <w:rsid w:val="00796E16"/>
    <w:rsid w:val="00796EA7"/>
    <w:rsid w:val="00796F6D"/>
    <w:rsid w:val="00796F9F"/>
    <w:rsid w:val="00797040"/>
    <w:rsid w:val="00797075"/>
    <w:rsid w:val="00797110"/>
    <w:rsid w:val="0079717B"/>
    <w:rsid w:val="00797196"/>
    <w:rsid w:val="007971DB"/>
    <w:rsid w:val="007971DC"/>
    <w:rsid w:val="00797226"/>
    <w:rsid w:val="00797462"/>
    <w:rsid w:val="007974B5"/>
    <w:rsid w:val="0079753E"/>
    <w:rsid w:val="00797598"/>
    <w:rsid w:val="007975C7"/>
    <w:rsid w:val="00797668"/>
    <w:rsid w:val="00797696"/>
    <w:rsid w:val="007976C1"/>
    <w:rsid w:val="00797848"/>
    <w:rsid w:val="0079784B"/>
    <w:rsid w:val="0079789C"/>
    <w:rsid w:val="007978CF"/>
    <w:rsid w:val="007978DD"/>
    <w:rsid w:val="007979F3"/>
    <w:rsid w:val="00797A3D"/>
    <w:rsid w:val="00797B08"/>
    <w:rsid w:val="00797B2B"/>
    <w:rsid w:val="00797B54"/>
    <w:rsid w:val="00797BA4"/>
    <w:rsid w:val="00797BCD"/>
    <w:rsid w:val="00797BDD"/>
    <w:rsid w:val="00797C37"/>
    <w:rsid w:val="00797C4B"/>
    <w:rsid w:val="00797C56"/>
    <w:rsid w:val="00797CBD"/>
    <w:rsid w:val="00797D7D"/>
    <w:rsid w:val="00797E2F"/>
    <w:rsid w:val="00797F15"/>
    <w:rsid w:val="00797F65"/>
    <w:rsid w:val="00797F7F"/>
    <w:rsid w:val="00797FE4"/>
    <w:rsid w:val="007A008C"/>
    <w:rsid w:val="007A00BE"/>
    <w:rsid w:val="007A00F9"/>
    <w:rsid w:val="007A0117"/>
    <w:rsid w:val="007A02BB"/>
    <w:rsid w:val="007A0303"/>
    <w:rsid w:val="007A036E"/>
    <w:rsid w:val="007A03FE"/>
    <w:rsid w:val="007A04AA"/>
    <w:rsid w:val="007A0510"/>
    <w:rsid w:val="007A0512"/>
    <w:rsid w:val="007A057E"/>
    <w:rsid w:val="007A0621"/>
    <w:rsid w:val="007A06E8"/>
    <w:rsid w:val="007A0872"/>
    <w:rsid w:val="007A0938"/>
    <w:rsid w:val="007A09E7"/>
    <w:rsid w:val="007A0ADB"/>
    <w:rsid w:val="007A0AFD"/>
    <w:rsid w:val="007A0B31"/>
    <w:rsid w:val="007A0B53"/>
    <w:rsid w:val="007A0D11"/>
    <w:rsid w:val="007A0DCC"/>
    <w:rsid w:val="007A0E52"/>
    <w:rsid w:val="007A0ECB"/>
    <w:rsid w:val="007A1019"/>
    <w:rsid w:val="007A105C"/>
    <w:rsid w:val="007A10C9"/>
    <w:rsid w:val="007A1119"/>
    <w:rsid w:val="007A11DF"/>
    <w:rsid w:val="007A129C"/>
    <w:rsid w:val="007A1452"/>
    <w:rsid w:val="007A1502"/>
    <w:rsid w:val="007A1580"/>
    <w:rsid w:val="007A1586"/>
    <w:rsid w:val="007A1591"/>
    <w:rsid w:val="007A15D0"/>
    <w:rsid w:val="007A1624"/>
    <w:rsid w:val="007A1669"/>
    <w:rsid w:val="007A167B"/>
    <w:rsid w:val="007A16B3"/>
    <w:rsid w:val="007A17A2"/>
    <w:rsid w:val="007A1811"/>
    <w:rsid w:val="007A1844"/>
    <w:rsid w:val="007A1993"/>
    <w:rsid w:val="007A1B01"/>
    <w:rsid w:val="007A1BDC"/>
    <w:rsid w:val="007A1C2F"/>
    <w:rsid w:val="007A1CC5"/>
    <w:rsid w:val="007A1D69"/>
    <w:rsid w:val="007A1E0E"/>
    <w:rsid w:val="007A1E79"/>
    <w:rsid w:val="007A1ED8"/>
    <w:rsid w:val="007A1F5B"/>
    <w:rsid w:val="007A1FD9"/>
    <w:rsid w:val="007A1FEA"/>
    <w:rsid w:val="007A2046"/>
    <w:rsid w:val="007A20D6"/>
    <w:rsid w:val="007A2276"/>
    <w:rsid w:val="007A2298"/>
    <w:rsid w:val="007A2314"/>
    <w:rsid w:val="007A232E"/>
    <w:rsid w:val="007A2346"/>
    <w:rsid w:val="007A2454"/>
    <w:rsid w:val="007A24E7"/>
    <w:rsid w:val="007A250F"/>
    <w:rsid w:val="007A25B9"/>
    <w:rsid w:val="007A25E4"/>
    <w:rsid w:val="007A268C"/>
    <w:rsid w:val="007A26D1"/>
    <w:rsid w:val="007A27CC"/>
    <w:rsid w:val="007A27D4"/>
    <w:rsid w:val="007A2861"/>
    <w:rsid w:val="007A29B6"/>
    <w:rsid w:val="007A29F3"/>
    <w:rsid w:val="007A2CBE"/>
    <w:rsid w:val="007A2CF8"/>
    <w:rsid w:val="007A2E08"/>
    <w:rsid w:val="007A2EEB"/>
    <w:rsid w:val="007A2FB1"/>
    <w:rsid w:val="007A301C"/>
    <w:rsid w:val="007A304B"/>
    <w:rsid w:val="007A30A2"/>
    <w:rsid w:val="007A313B"/>
    <w:rsid w:val="007A3231"/>
    <w:rsid w:val="007A3260"/>
    <w:rsid w:val="007A33BE"/>
    <w:rsid w:val="007A340A"/>
    <w:rsid w:val="007A3422"/>
    <w:rsid w:val="007A34BB"/>
    <w:rsid w:val="007A3546"/>
    <w:rsid w:val="007A3597"/>
    <w:rsid w:val="007A35A1"/>
    <w:rsid w:val="007A35D5"/>
    <w:rsid w:val="007A3665"/>
    <w:rsid w:val="007A3691"/>
    <w:rsid w:val="007A3715"/>
    <w:rsid w:val="007A37AC"/>
    <w:rsid w:val="007A3812"/>
    <w:rsid w:val="007A3864"/>
    <w:rsid w:val="007A3898"/>
    <w:rsid w:val="007A3971"/>
    <w:rsid w:val="007A3AB1"/>
    <w:rsid w:val="007A3ACF"/>
    <w:rsid w:val="007A3B6F"/>
    <w:rsid w:val="007A3CB7"/>
    <w:rsid w:val="007A3CD7"/>
    <w:rsid w:val="007A3D10"/>
    <w:rsid w:val="007A3D5D"/>
    <w:rsid w:val="007A3D70"/>
    <w:rsid w:val="007A3DC3"/>
    <w:rsid w:val="007A3E46"/>
    <w:rsid w:val="007A3E6F"/>
    <w:rsid w:val="007A3F31"/>
    <w:rsid w:val="007A3F5C"/>
    <w:rsid w:val="007A410A"/>
    <w:rsid w:val="007A411A"/>
    <w:rsid w:val="007A41B0"/>
    <w:rsid w:val="007A41D8"/>
    <w:rsid w:val="007A4204"/>
    <w:rsid w:val="007A4226"/>
    <w:rsid w:val="007A4234"/>
    <w:rsid w:val="007A426D"/>
    <w:rsid w:val="007A42EF"/>
    <w:rsid w:val="007A432F"/>
    <w:rsid w:val="007A4366"/>
    <w:rsid w:val="007A43F0"/>
    <w:rsid w:val="007A43F6"/>
    <w:rsid w:val="007A4497"/>
    <w:rsid w:val="007A44DD"/>
    <w:rsid w:val="007A453B"/>
    <w:rsid w:val="007A4619"/>
    <w:rsid w:val="007A4674"/>
    <w:rsid w:val="007A46DC"/>
    <w:rsid w:val="007A47AC"/>
    <w:rsid w:val="007A47ED"/>
    <w:rsid w:val="007A4883"/>
    <w:rsid w:val="007A48BC"/>
    <w:rsid w:val="007A4905"/>
    <w:rsid w:val="007A4976"/>
    <w:rsid w:val="007A4A27"/>
    <w:rsid w:val="007A4A54"/>
    <w:rsid w:val="007A4B28"/>
    <w:rsid w:val="007A4B49"/>
    <w:rsid w:val="007A4C50"/>
    <w:rsid w:val="007A4C98"/>
    <w:rsid w:val="007A4CEE"/>
    <w:rsid w:val="007A4CF9"/>
    <w:rsid w:val="007A4D33"/>
    <w:rsid w:val="007A4D71"/>
    <w:rsid w:val="007A4E25"/>
    <w:rsid w:val="007A4E93"/>
    <w:rsid w:val="007A4EE6"/>
    <w:rsid w:val="007A4F8E"/>
    <w:rsid w:val="007A5068"/>
    <w:rsid w:val="007A5124"/>
    <w:rsid w:val="007A5203"/>
    <w:rsid w:val="007A525A"/>
    <w:rsid w:val="007A529E"/>
    <w:rsid w:val="007A5310"/>
    <w:rsid w:val="007A533F"/>
    <w:rsid w:val="007A53F8"/>
    <w:rsid w:val="007A54B0"/>
    <w:rsid w:val="007A54B4"/>
    <w:rsid w:val="007A54E1"/>
    <w:rsid w:val="007A54FF"/>
    <w:rsid w:val="007A56B5"/>
    <w:rsid w:val="007A5802"/>
    <w:rsid w:val="007A5847"/>
    <w:rsid w:val="007A5853"/>
    <w:rsid w:val="007A5866"/>
    <w:rsid w:val="007A5873"/>
    <w:rsid w:val="007A58E4"/>
    <w:rsid w:val="007A59D2"/>
    <w:rsid w:val="007A5A05"/>
    <w:rsid w:val="007A5A3E"/>
    <w:rsid w:val="007A5C07"/>
    <w:rsid w:val="007A5CEB"/>
    <w:rsid w:val="007A5DA4"/>
    <w:rsid w:val="007A5DC2"/>
    <w:rsid w:val="007A5DF9"/>
    <w:rsid w:val="007A5E7D"/>
    <w:rsid w:val="007A5FBB"/>
    <w:rsid w:val="007A6032"/>
    <w:rsid w:val="007A6053"/>
    <w:rsid w:val="007A60EE"/>
    <w:rsid w:val="007A613C"/>
    <w:rsid w:val="007A61E1"/>
    <w:rsid w:val="007A628D"/>
    <w:rsid w:val="007A6312"/>
    <w:rsid w:val="007A632F"/>
    <w:rsid w:val="007A6373"/>
    <w:rsid w:val="007A639F"/>
    <w:rsid w:val="007A63C1"/>
    <w:rsid w:val="007A63C9"/>
    <w:rsid w:val="007A64B7"/>
    <w:rsid w:val="007A6572"/>
    <w:rsid w:val="007A65F2"/>
    <w:rsid w:val="007A66CB"/>
    <w:rsid w:val="007A671C"/>
    <w:rsid w:val="007A673A"/>
    <w:rsid w:val="007A6759"/>
    <w:rsid w:val="007A67D0"/>
    <w:rsid w:val="007A6823"/>
    <w:rsid w:val="007A6B66"/>
    <w:rsid w:val="007A6BB3"/>
    <w:rsid w:val="007A6BB9"/>
    <w:rsid w:val="007A6BDD"/>
    <w:rsid w:val="007A6BFF"/>
    <w:rsid w:val="007A6C2A"/>
    <w:rsid w:val="007A6D3D"/>
    <w:rsid w:val="007A6D72"/>
    <w:rsid w:val="007A6E99"/>
    <w:rsid w:val="007A6FAD"/>
    <w:rsid w:val="007A707F"/>
    <w:rsid w:val="007A708C"/>
    <w:rsid w:val="007A709F"/>
    <w:rsid w:val="007A70B3"/>
    <w:rsid w:val="007A711D"/>
    <w:rsid w:val="007A714A"/>
    <w:rsid w:val="007A716A"/>
    <w:rsid w:val="007A72A0"/>
    <w:rsid w:val="007A72C1"/>
    <w:rsid w:val="007A72CD"/>
    <w:rsid w:val="007A72DE"/>
    <w:rsid w:val="007A7375"/>
    <w:rsid w:val="007A7487"/>
    <w:rsid w:val="007A7524"/>
    <w:rsid w:val="007A75E9"/>
    <w:rsid w:val="007A76C7"/>
    <w:rsid w:val="007A7763"/>
    <w:rsid w:val="007A77C5"/>
    <w:rsid w:val="007A77CD"/>
    <w:rsid w:val="007A781D"/>
    <w:rsid w:val="007A784A"/>
    <w:rsid w:val="007A78E0"/>
    <w:rsid w:val="007A79AA"/>
    <w:rsid w:val="007A79CB"/>
    <w:rsid w:val="007A7A8A"/>
    <w:rsid w:val="007A7AE3"/>
    <w:rsid w:val="007A7AF5"/>
    <w:rsid w:val="007A7B7C"/>
    <w:rsid w:val="007A7C4A"/>
    <w:rsid w:val="007A7CC0"/>
    <w:rsid w:val="007A7D68"/>
    <w:rsid w:val="007A7D89"/>
    <w:rsid w:val="007A7EC4"/>
    <w:rsid w:val="007A7F5A"/>
    <w:rsid w:val="007A7FB7"/>
    <w:rsid w:val="007B002F"/>
    <w:rsid w:val="007B0080"/>
    <w:rsid w:val="007B00E8"/>
    <w:rsid w:val="007B00F0"/>
    <w:rsid w:val="007B010B"/>
    <w:rsid w:val="007B01E1"/>
    <w:rsid w:val="007B0253"/>
    <w:rsid w:val="007B0288"/>
    <w:rsid w:val="007B02BB"/>
    <w:rsid w:val="007B0361"/>
    <w:rsid w:val="007B03CF"/>
    <w:rsid w:val="007B04A9"/>
    <w:rsid w:val="007B0507"/>
    <w:rsid w:val="007B053A"/>
    <w:rsid w:val="007B059B"/>
    <w:rsid w:val="007B05FA"/>
    <w:rsid w:val="007B06C6"/>
    <w:rsid w:val="007B079D"/>
    <w:rsid w:val="007B0870"/>
    <w:rsid w:val="007B08F5"/>
    <w:rsid w:val="007B0951"/>
    <w:rsid w:val="007B0AAF"/>
    <w:rsid w:val="007B0ADF"/>
    <w:rsid w:val="007B0B05"/>
    <w:rsid w:val="007B0B86"/>
    <w:rsid w:val="007B0CE7"/>
    <w:rsid w:val="007B0D6E"/>
    <w:rsid w:val="007B0DF2"/>
    <w:rsid w:val="007B0EC5"/>
    <w:rsid w:val="007B0EF5"/>
    <w:rsid w:val="007B0F07"/>
    <w:rsid w:val="007B0F0E"/>
    <w:rsid w:val="007B0F34"/>
    <w:rsid w:val="007B0F36"/>
    <w:rsid w:val="007B10AE"/>
    <w:rsid w:val="007B1183"/>
    <w:rsid w:val="007B1215"/>
    <w:rsid w:val="007B133C"/>
    <w:rsid w:val="007B135E"/>
    <w:rsid w:val="007B13E8"/>
    <w:rsid w:val="007B1424"/>
    <w:rsid w:val="007B142F"/>
    <w:rsid w:val="007B14C8"/>
    <w:rsid w:val="007B1541"/>
    <w:rsid w:val="007B1587"/>
    <w:rsid w:val="007B1594"/>
    <w:rsid w:val="007B15B8"/>
    <w:rsid w:val="007B1673"/>
    <w:rsid w:val="007B17A2"/>
    <w:rsid w:val="007B17DC"/>
    <w:rsid w:val="007B17F5"/>
    <w:rsid w:val="007B186C"/>
    <w:rsid w:val="007B18A9"/>
    <w:rsid w:val="007B19AC"/>
    <w:rsid w:val="007B1A20"/>
    <w:rsid w:val="007B1A37"/>
    <w:rsid w:val="007B1A5F"/>
    <w:rsid w:val="007B1C17"/>
    <w:rsid w:val="007B1C1B"/>
    <w:rsid w:val="007B1C78"/>
    <w:rsid w:val="007B1E61"/>
    <w:rsid w:val="007B1FAF"/>
    <w:rsid w:val="007B20A3"/>
    <w:rsid w:val="007B20B0"/>
    <w:rsid w:val="007B233E"/>
    <w:rsid w:val="007B2342"/>
    <w:rsid w:val="007B236D"/>
    <w:rsid w:val="007B236F"/>
    <w:rsid w:val="007B23FA"/>
    <w:rsid w:val="007B2448"/>
    <w:rsid w:val="007B25EE"/>
    <w:rsid w:val="007B260E"/>
    <w:rsid w:val="007B261F"/>
    <w:rsid w:val="007B27B4"/>
    <w:rsid w:val="007B282C"/>
    <w:rsid w:val="007B282D"/>
    <w:rsid w:val="007B28F5"/>
    <w:rsid w:val="007B291F"/>
    <w:rsid w:val="007B2927"/>
    <w:rsid w:val="007B2932"/>
    <w:rsid w:val="007B29A1"/>
    <w:rsid w:val="007B29A6"/>
    <w:rsid w:val="007B2AF5"/>
    <w:rsid w:val="007B2C1F"/>
    <w:rsid w:val="007B2C78"/>
    <w:rsid w:val="007B2CAD"/>
    <w:rsid w:val="007B2E1D"/>
    <w:rsid w:val="007B2E7B"/>
    <w:rsid w:val="007B2E88"/>
    <w:rsid w:val="007B2EC8"/>
    <w:rsid w:val="007B2FAF"/>
    <w:rsid w:val="007B2FB3"/>
    <w:rsid w:val="007B3031"/>
    <w:rsid w:val="007B30C6"/>
    <w:rsid w:val="007B30D6"/>
    <w:rsid w:val="007B3149"/>
    <w:rsid w:val="007B328E"/>
    <w:rsid w:val="007B3333"/>
    <w:rsid w:val="007B3375"/>
    <w:rsid w:val="007B33B5"/>
    <w:rsid w:val="007B33BD"/>
    <w:rsid w:val="007B3437"/>
    <w:rsid w:val="007B3489"/>
    <w:rsid w:val="007B34BF"/>
    <w:rsid w:val="007B3529"/>
    <w:rsid w:val="007B352A"/>
    <w:rsid w:val="007B35D4"/>
    <w:rsid w:val="007B3605"/>
    <w:rsid w:val="007B367E"/>
    <w:rsid w:val="007B3684"/>
    <w:rsid w:val="007B36ED"/>
    <w:rsid w:val="007B375D"/>
    <w:rsid w:val="007B383A"/>
    <w:rsid w:val="007B3914"/>
    <w:rsid w:val="007B399B"/>
    <w:rsid w:val="007B3A08"/>
    <w:rsid w:val="007B3ADE"/>
    <w:rsid w:val="007B3AEA"/>
    <w:rsid w:val="007B3B0B"/>
    <w:rsid w:val="007B3B3C"/>
    <w:rsid w:val="007B3CC6"/>
    <w:rsid w:val="007B3D46"/>
    <w:rsid w:val="007B3DF8"/>
    <w:rsid w:val="007B3E28"/>
    <w:rsid w:val="007B3ED0"/>
    <w:rsid w:val="007B3F47"/>
    <w:rsid w:val="007B3F8D"/>
    <w:rsid w:val="007B4184"/>
    <w:rsid w:val="007B4218"/>
    <w:rsid w:val="007B438C"/>
    <w:rsid w:val="007B447B"/>
    <w:rsid w:val="007B455C"/>
    <w:rsid w:val="007B4600"/>
    <w:rsid w:val="007B466C"/>
    <w:rsid w:val="007B4734"/>
    <w:rsid w:val="007B4779"/>
    <w:rsid w:val="007B47C9"/>
    <w:rsid w:val="007B47EF"/>
    <w:rsid w:val="007B48D7"/>
    <w:rsid w:val="007B496C"/>
    <w:rsid w:val="007B496D"/>
    <w:rsid w:val="007B4A09"/>
    <w:rsid w:val="007B4A3C"/>
    <w:rsid w:val="007B4AB9"/>
    <w:rsid w:val="007B4B5A"/>
    <w:rsid w:val="007B4BAA"/>
    <w:rsid w:val="007B4BEA"/>
    <w:rsid w:val="007B4C6E"/>
    <w:rsid w:val="007B4D3E"/>
    <w:rsid w:val="007B4D7C"/>
    <w:rsid w:val="007B4DBF"/>
    <w:rsid w:val="007B4E57"/>
    <w:rsid w:val="007B4E8D"/>
    <w:rsid w:val="007B4FA2"/>
    <w:rsid w:val="007B4FAB"/>
    <w:rsid w:val="007B4FFF"/>
    <w:rsid w:val="007B500B"/>
    <w:rsid w:val="007B5054"/>
    <w:rsid w:val="007B50F3"/>
    <w:rsid w:val="007B51BC"/>
    <w:rsid w:val="007B51C5"/>
    <w:rsid w:val="007B5241"/>
    <w:rsid w:val="007B5276"/>
    <w:rsid w:val="007B52C3"/>
    <w:rsid w:val="007B52D0"/>
    <w:rsid w:val="007B533F"/>
    <w:rsid w:val="007B5376"/>
    <w:rsid w:val="007B5428"/>
    <w:rsid w:val="007B5456"/>
    <w:rsid w:val="007B5519"/>
    <w:rsid w:val="007B5688"/>
    <w:rsid w:val="007B56DE"/>
    <w:rsid w:val="007B57A2"/>
    <w:rsid w:val="007B58C3"/>
    <w:rsid w:val="007B590C"/>
    <w:rsid w:val="007B5937"/>
    <w:rsid w:val="007B5993"/>
    <w:rsid w:val="007B59AC"/>
    <w:rsid w:val="007B5A18"/>
    <w:rsid w:val="007B5A8B"/>
    <w:rsid w:val="007B5AF4"/>
    <w:rsid w:val="007B5CF8"/>
    <w:rsid w:val="007B5D47"/>
    <w:rsid w:val="007B5D5B"/>
    <w:rsid w:val="007B5E2E"/>
    <w:rsid w:val="007B5E6C"/>
    <w:rsid w:val="007B5EB5"/>
    <w:rsid w:val="007B5EB8"/>
    <w:rsid w:val="007B5FA0"/>
    <w:rsid w:val="007B600F"/>
    <w:rsid w:val="007B602F"/>
    <w:rsid w:val="007B6073"/>
    <w:rsid w:val="007B60E8"/>
    <w:rsid w:val="007B613E"/>
    <w:rsid w:val="007B614F"/>
    <w:rsid w:val="007B61EC"/>
    <w:rsid w:val="007B6250"/>
    <w:rsid w:val="007B62FE"/>
    <w:rsid w:val="007B6696"/>
    <w:rsid w:val="007B66BF"/>
    <w:rsid w:val="007B66D8"/>
    <w:rsid w:val="007B682E"/>
    <w:rsid w:val="007B6861"/>
    <w:rsid w:val="007B68C7"/>
    <w:rsid w:val="007B6938"/>
    <w:rsid w:val="007B694F"/>
    <w:rsid w:val="007B69F6"/>
    <w:rsid w:val="007B6A4F"/>
    <w:rsid w:val="007B6B34"/>
    <w:rsid w:val="007B6B4F"/>
    <w:rsid w:val="007B6BAA"/>
    <w:rsid w:val="007B6BCC"/>
    <w:rsid w:val="007B6BDC"/>
    <w:rsid w:val="007B6C30"/>
    <w:rsid w:val="007B6D2A"/>
    <w:rsid w:val="007B6DE8"/>
    <w:rsid w:val="007B6DFA"/>
    <w:rsid w:val="007B6EF5"/>
    <w:rsid w:val="007B7054"/>
    <w:rsid w:val="007B7084"/>
    <w:rsid w:val="007B727F"/>
    <w:rsid w:val="007B728D"/>
    <w:rsid w:val="007B72C2"/>
    <w:rsid w:val="007B738C"/>
    <w:rsid w:val="007B7473"/>
    <w:rsid w:val="007B752F"/>
    <w:rsid w:val="007B7599"/>
    <w:rsid w:val="007B76A9"/>
    <w:rsid w:val="007B7708"/>
    <w:rsid w:val="007B7753"/>
    <w:rsid w:val="007B7823"/>
    <w:rsid w:val="007B78E2"/>
    <w:rsid w:val="007B791E"/>
    <w:rsid w:val="007B7968"/>
    <w:rsid w:val="007B79B7"/>
    <w:rsid w:val="007B79C3"/>
    <w:rsid w:val="007B79F5"/>
    <w:rsid w:val="007B7A87"/>
    <w:rsid w:val="007B7B2C"/>
    <w:rsid w:val="007B7B8E"/>
    <w:rsid w:val="007B7BFE"/>
    <w:rsid w:val="007B7C75"/>
    <w:rsid w:val="007B7D5B"/>
    <w:rsid w:val="007B7D74"/>
    <w:rsid w:val="007B7D83"/>
    <w:rsid w:val="007B7DD5"/>
    <w:rsid w:val="007B7E79"/>
    <w:rsid w:val="007B7EEC"/>
    <w:rsid w:val="007B7F65"/>
    <w:rsid w:val="007B7F78"/>
    <w:rsid w:val="007B7FB8"/>
    <w:rsid w:val="007BD167"/>
    <w:rsid w:val="007C0011"/>
    <w:rsid w:val="007C0169"/>
    <w:rsid w:val="007C01BC"/>
    <w:rsid w:val="007C030A"/>
    <w:rsid w:val="007C0317"/>
    <w:rsid w:val="007C035A"/>
    <w:rsid w:val="007C035B"/>
    <w:rsid w:val="007C03BC"/>
    <w:rsid w:val="007C048D"/>
    <w:rsid w:val="007C051D"/>
    <w:rsid w:val="007C052D"/>
    <w:rsid w:val="007C05B9"/>
    <w:rsid w:val="007C0685"/>
    <w:rsid w:val="007C071A"/>
    <w:rsid w:val="007C0815"/>
    <w:rsid w:val="007C0A82"/>
    <w:rsid w:val="007C0AE1"/>
    <w:rsid w:val="007C0AEF"/>
    <w:rsid w:val="007C0B91"/>
    <w:rsid w:val="007C0BE7"/>
    <w:rsid w:val="007C0C97"/>
    <w:rsid w:val="007C0CE8"/>
    <w:rsid w:val="007C0D1F"/>
    <w:rsid w:val="007C0D21"/>
    <w:rsid w:val="007C0DC0"/>
    <w:rsid w:val="007C0E0C"/>
    <w:rsid w:val="007C0EBB"/>
    <w:rsid w:val="007C1067"/>
    <w:rsid w:val="007C10D2"/>
    <w:rsid w:val="007C11F4"/>
    <w:rsid w:val="007C12BA"/>
    <w:rsid w:val="007C13E8"/>
    <w:rsid w:val="007C1516"/>
    <w:rsid w:val="007C1535"/>
    <w:rsid w:val="007C15F2"/>
    <w:rsid w:val="007C15F3"/>
    <w:rsid w:val="007C1623"/>
    <w:rsid w:val="007C16F0"/>
    <w:rsid w:val="007C1782"/>
    <w:rsid w:val="007C17EA"/>
    <w:rsid w:val="007C182A"/>
    <w:rsid w:val="007C18D5"/>
    <w:rsid w:val="007C1929"/>
    <w:rsid w:val="007C198B"/>
    <w:rsid w:val="007C19AA"/>
    <w:rsid w:val="007C1CE2"/>
    <w:rsid w:val="007C1CF1"/>
    <w:rsid w:val="007C1D8C"/>
    <w:rsid w:val="007C1DBC"/>
    <w:rsid w:val="007C1E79"/>
    <w:rsid w:val="007C1F17"/>
    <w:rsid w:val="007C1F30"/>
    <w:rsid w:val="007C1F44"/>
    <w:rsid w:val="007C2083"/>
    <w:rsid w:val="007C2127"/>
    <w:rsid w:val="007C21F7"/>
    <w:rsid w:val="007C221C"/>
    <w:rsid w:val="007C228E"/>
    <w:rsid w:val="007C22CD"/>
    <w:rsid w:val="007C2339"/>
    <w:rsid w:val="007C23B1"/>
    <w:rsid w:val="007C254C"/>
    <w:rsid w:val="007C2588"/>
    <w:rsid w:val="007C259E"/>
    <w:rsid w:val="007C266A"/>
    <w:rsid w:val="007C26BC"/>
    <w:rsid w:val="007C26F5"/>
    <w:rsid w:val="007C2708"/>
    <w:rsid w:val="007C275C"/>
    <w:rsid w:val="007C277B"/>
    <w:rsid w:val="007C277E"/>
    <w:rsid w:val="007C27A5"/>
    <w:rsid w:val="007C2852"/>
    <w:rsid w:val="007C289C"/>
    <w:rsid w:val="007C28C8"/>
    <w:rsid w:val="007C28CF"/>
    <w:rsid w:val="007C29A6"/>
    <w:rsid w:val="007C2A65"/>
    <w:rsid w:val="007C2A98"/>
    <w:rsid w:val="007C2AAA"/>
    <w:rsid w:val="007C2AAD"/>
    <w:rsid w:val="007C2B9E"/>
    <w:rsid w:val="007C2BE7"/>
    <w:rsid w:val="007C2CB2"/>
    <w:rsid w:val="007C2DA6"/>
    <w:rsid w:val="007C2DDC"/>
    <w:rsid w:val="007C2DF5"/>
    <w:rsid w:val="007C2E4E"/>
    <w:rsid w:val="007C2F07"/>
    <w:rsid w:val="007C2F25"/>
    <w:rsid w:val="007C2F32"/>
    <w:rsid w:val="007C2FDA"/>
    <w:rsid w:val="007C3088"/>
    <w:rsid w:val="007C310B"/>
    <w:rsid w:val="007C3147"/>
    <w:rsid w:val="007C3211"/>
    <w:rsid w:val="007C321A"/>
    <w:rsid w:val="007C3220"/>
    <w:rsid w:val="007C3274"/>
    <w:rsid w:val="007C32EF"/>
    <w:rsid w:val="007C33A4"/>
    <w:rsid w:val="007C33C1"/>
    <w:rsid w:val="007C342F"/>
    <w:rsid w:val="007C3452"/>
    <w:rsid w:val="007C3454"/>
    <w:rsid w:val="007C348A"/>
    <w:rsid w:val="007C372C"/>
    <w:rsid w:val="007C37A8"/>
    <w:rsid w:val="007C39C0"/>
    <w:rsid w:val="007C3C73"/>
    <w:rsid w:val="007C3C87"/>
    <w:rsid w:val="007C3D07"/>
    <w:rsid w:val="007C3DB8"/>
    <w:rsid w:val="007C3E53"/>
    <w:rsid w:val="007C3E69"/>
    <w:rsid w:val="007C3EC2"/>
    <w:rsid w:val="007C3F23"/>
    <w:rsid w:val="007C3F3D"/>
    <w:rsid w:val="007C3F63"/>
    <w:rsid w:val="007C4020"/>
    <w:rsid w:val="007C4035"/>
    <w:rsid w:val="007C4158"/>
    <w:rsid w:val="007C41A2"/>
    <w:rsid w:val="007C41D6"/>
    <w:rsid w:val="007C4335"/>
    <w:rsid w:val="007C43FE"/>
    <w:rsid w:val="007C4484"/>
    <w:rsid w:val="007C4492"/>
    <w:rsid w:val="007C44F3"/>
    <w:rsid w:val="007C462F"/>
    <w:rsid w:val="007C46B3"/>
    <w:rsid w:val="007C474B"/>
    <w:rsid w:val="007C4777"/>
    <w:rsid w:val="007C47A2"/>
    <w:rsid w:val="007C482D"/>
    <w:rsid w:val="007C4B07"/>
    <w:rsid w:val="007C4B57"/>
    <w:rsid w:val="007C4BC8"/>
    <w:rsid w:val="007C4C23"/>
    <w:rsid w:val="007C4C56"/>
    <w:rsid w:val="007C4C91"/>
    <w:rsid w:val="007C4D0B"/>
    <w:rsid w:val="007C4E2A"/>
    <w:rsid w:val="007C4F76"/>
    <w:rsid w:val="007C5044"/>
    <w:rsid w:val="007C508C"/>
    <w:rsid w:val="007C50E2"/>
    <w:rsid w:val="007C50E4"/>
    <w:rsid w:val="007C50EE"/>
    <w:rsid w:val="007C51CE"/>
    <w:rsid w:val="007C531A"/>
    <w:rsid w:val="007C53C6"/>
    <w:rsid w:val="007C5415"/>
    <w:rsid w:val="007C5475"/>
    <w:rsid w:val="007C54CA"/>
    <w:rsid w:val="007C55B8"/>
    <w:rsid w:val="007C562A"/>
    <w:rsid w:val="007C5661"/>
    <w:rsid w:val="007C5678"/>
    <w:rsid w:val="007C56CB"/>
    <w:rsid w:val="007C574F"/>
    <w:rsid w:val="007C58EA"/>
    <w:rsid w:val="007C590F"/>
    <w:rsid w:val="007C5923"/>
    <w:rsid w:val="007C594C"/>
    <w:rsid w:val="007C59A1"/>
    <w:rsid w:val="007C5A10"/>
    <w:rsid w:val="007C5A5C"/>
    <w:rsid w:val="007C5C63"/>
    <w:rsid w:val="007C5C79"/>
    <w:rsid w:val="007C5C7D"/>
    <w:rsid w:val="007C5CB7"/>
    <w:rsid w:val="007C5CBF"/>
    <w:rsid w:val="007C5CDD"/>
    <w:rsid w:val="007C5D1D"/>
    <w:rsid w:val="007C5E9A"/>
    <w:rsid w:val="007C5ED1"/>
    <w:rsid w:val="007C5F47"/>
    <w:rsid w:val="007C5F82"/>
    <w:rsid w:val="007C5FC5"/>
    <w:rsid w:val="007C61AD"/>
    <w:rsid w:val="007C62AC"/>
    <w:rsid w:val="007C62AE"/>
    <w:rsid w:val="007C62EB"/>
    <w:rsid w:val="007C6302"/>
    <w:rsid w:val="007C635A"/>
    <w:rsid w:val="007C6377"/>
    <w:rsid w:val="007C6475"/>
    <w:rsid w:val="007C6575"/>
    <w:rsid w:val="007C6681"/>
    <w:rsid w:val="007C668D"/>
    <w:rsid w:val="007C690A"/>
    <w:rsid w:val="007C69B3"/>
    <w:rsid w:val="007C69B6"/>
    <w:rsid w:val="007C6A0F"/>
    <w:rsid w:val="007C6B7E"/>
    <w:rsid w:val="007C6B93"/>
    <w:rsid w:val="007C6C75"/>
    <w:rsid w:val="007C6D28"/>
    <w:rsid w:val="007C6D56"/>
    <w:rsid w:val="007C6DAD"/>
    <w:rsid w:val="007C6E1D"/>
    <w:rsid w:val="007C6E39"/>
    <w:rsid w:val="007C6E79"/>
    <w:rsid w:val="007C6F6E"/>
    <w:rsid w:val="007C6F71"/>
    <w:rsid w:val="007C6FAC"/>
    <w:rsid w:val="007C6FBC"/>
    <w:rsid w:val="007C7048"/>
    <w:rsid w:val="007C70C4"/>
    <w:rsid w:val="007C712B"/>
    <w:rsid w:val="007C712C"/>
    <w:rsid w:val="007C714A"/>
    <w:rsid w:val="007C727D"/>
    <w:rsid w:val="007C730B"/>
    <w:rsid w:val="007C74DF"/>
    <w:rsid w:val="007C753F"/>
    <w:rsid w:val="007C758B"/>
    <w:rsid w:val="007C75C8"/>
    <w:rsid w:val="007C75ED"/>
    <w:rsid w:val="007C77B8"/>
    <w:rsid w:val="007C78B1"/>
    <w:rsid w:val="007C796D"/>
    <w:rsid w:val="007C7A89"/>
    <w:rsid w:val="007C7B18"/>
    <w:rsid w:val="007C7B7B"/>
    <w:rsid w:val="007C7BC7"/>
    <w:rsid w:val="007C7BDF"/>
    <w:rsid w:val="007C7C45"/>
    <w:rsid w:val="007C7C7C"/>
    <w:rsid w:val="007C7C9A"/>
    <w:rsid w:val="007C7CEB"/>
    <w:rsid w:val="007C7D33"/>
    <w:rsid w:val="007C7E5F"/>
    <w:rsid w:val="007C7E6E"/>
    <w:rsid w:val="007C7FAA"/>
    <w:rsid w:val="007C7FBA"/>
    <w:rsid w:val="007C9B0A"/>
    <w:rsid w:val="007D0035"/>
    <w:rsid w:val="007D0037"/>
    <w:rsid w:val="007D0466"/>
    <w:rsid w:val="007D0618"/>
    <w:rsid w:val="007D0633"/>
    <w:rsid w:val="007D064C"/>
    <w:rsid w:val="007D076F"/>
    <w:rsid w:val="007D07C5"/>
    <w:rsid w:val="007D0803"/>
    <w:rsid w:val="007D08A1"/>
    <w:rsid w:val="007D096A"/>
    <w:rsid w:val="007D0980"/>
    <w:rsid w:val="007D09C1"/>
    <w:rsid w:val="007D09D4"/>
    <w:rsid w:val="007D0AEE"/>
    <w:rsid w:val="007D0B5A"/>
    <w:rsid w:val="007D0B69"/>
    <w:rsid w:val="007D0BE8"/>
    <w:rsid w:val="007D0D55"/>
    <w:rsid w:val="007D0F25"/>
    <w:rsid w:val="007D100A"/>
    <w:rsid w:val="007D103E"/>
    <w:rsid w:val="007D1055"/>
    <w:rsid w:val="007D10FD"/>
    <w:rsid w:val="007D1318"/>
    <w:rsid w:val="007D13B7"/>
    <w:rsid w:val="007D1416"/>
    <w:rsid w:val="007D1439"/>
    <w:rsid w:val="007D144D"/>
    <w:rsid w:val="007D14A3"/>
    <w:rsid w:val="007D151B"/>
    <w:rsid w:val="007D1578"/>
    <w:rsid w:val="007D158C"/>
    <w:rsid w:val="007D15AB"/>
    <w:rsid w:val="007D1617"/>
    <w:rsid w:val="007D1645"/>
    <w:rsid w:val="007D16BE"/>
    <w:rsid w:val="007D16F8"/>
    <w:rsid w:val="007D17C8"/>
    <w:rsid w:val="007D187B"/>
    <w:rsid w:val="007D1883"/>
    <w:rsid w:val="007D193D"/>
    <w:rsid w:val="007D1967"/>
    <w:rsid w:val="007D19C6"/>
    <w:rsid w:val="007D19F1"/>
    <w:rsid w:val="007D1AC0"/>
    <w:rsid w:val="007D1B83"/>
    <w:rsid w:val="007D1BA7"/>
    <w:rsid w:val="007D1BAA"/>
    <w:rsid w:val="007D1BBC"/>
    <w:rsid w:val="007D1BFB"/>
    <w:rsid w:val="007D1CBE"/>
    <w:rsid w:val="007D1DEA"/>
    <w:rsid w:val="007D1EB3"/>
    <w:rsid w:val="007D1ED8"/>
    <w:rsid w:val="007D1EF1"/>
    <w:rsid w:val="007D1FDC"/>
    <w:rsid w:val="007D1FFE"/>
    <w:rsid w:val="007D2013"/>
    <w:rsid w:val="007D2050"/>
    <w:rsid w:val="007D20B8"/>
    <w:rsid w:val="007D210D"/>
    <w:rsid w:val="007D214B"/>
    <w:rsid w:val="007D2241"/>
    <w:rsid w:val="007D2491"/>
    <w:rsid w:val="007D24A2"/>
    <w:rsid w:val="007D24DD"/>
    <w:rsid w:val="007D24FC"/>
    <w:rsid w:val="007D256A"/>
    <w:rsid w:val="007D2588"/>
    <w:rsid w:val="007D2670"/>
    <w:rsid w:val="007D26F3"/>
    <w:rsid w:val="007D28D4"/>
    <w:rsid w:val="007D2987"/>
    <w:rsid w:val="007D2A93"/>
    <w:rsid w:val="007D2B90"/>
    <w:rsid w:val="007D2D78"/>
    <w:rsid w:val="007D2D94"/>
    <w:rsid w:val="007D2E4D"/>
    <w:rsid w:val="007D2E67"/>
    <w:rsid w:val="007D2EFF"/>
    <w:rsid w:val="007D2F38"/>
    <w:rsid w:val="007D2F44"/>
    <w:rsid w:val="007D2F81"/>
    <w:rsid w:val="007D300E"/>
    <w:rsid w:val="007D3152"/>
    <w:rsid w:val="007D3164"/>
    <w:rsid w:val="007D3166"/>
    <w:rsid w:val="007D324B"/>
    <w:rsid w:val="007D3251"/>
    <w:rsid w:val="007D32DB"/>
    <w:rsid w:val="007D34D4"/>
    <w:rsid w:val="007D35F9"/>
    <w:rsid w:val="007D3601"/>
    <w:rsid w:val="007D3614"/>
    <w:rsid w:val="007D368A"/>
    <w:rsid w:val="007D36C2"/>
    <w:rsid w:val="007D3727"/>
    <w:rsid w:val="007D3742"/>
    <w:rsid w:val="007D37F5"/>
    <w:rsid w:val="007D3802"/>
    <w:rsid w:val="007D3903"/>
    <w:rsid w:val="007D3909"/>
    <w:rsid w:val="007D3913"/>
    <w:rsid w:val="007D3941"/>
    <w:rsid w:val="007D3AA3"/>
    <w:rsid w:val="007D3ADB"/>
    <w:rsid w:val="007D3B8D"/>
    <w:rsid w:val="007D3D41"/>
    <w:rsid w:val="007D3D46"/>
    <w:rsid w:val="007D3DC0"/>
    <w:rsid w:val="007D3E35"/>
    <w:rsid w:val="007D3E4B"/>
    <w:rsid w:val="007D3E50"/>
    <w:rsid w:val="007D4091"/>
    <w:rsid w:val="007D411D"/>
    <w:rsid w:val="007D4126"/>
    <w:rsid w:val="007D43A1"/>
    <w:rsid w:val="007D442E"/>
    <w:rsid w:val="007D4487"/>
    <w:rsid w:val="007D449D"/>
    <w:rsid w:val="007D44A7"/>
    <w:rsid w:val="007D4562"/>
    <w:rsid w:val="007D4632"/>
    <w:rsid w:val="007D466F"/>
    <w:rsid w:val="007D4770"/>
    <w:rsid w:val="007D47A0"/>
    <w:rsid w:val="007D47B9"/>
    <w:rsid w:val="007D47DE"/>
    <w:rsid w:val="007D4828"/>
    <w:rsid w:val="007D48B0"/>
    <w:rsid w:val="007D490F"/>
    <w:rsid w:val="007D49E3"/>
    <w:rsid w:val="007D49E6"/>
    <w:rsid w:val="007D4A13"/>
    <w:rsid w:val="007D4AC4"/>
    <w:rsid w:val="007D4BA1"/>
    <w:rsid w:val="007D4CB0"/>
    <w:rsid w:val="007D4DA1"/>
    <w:rsid w:val="007D4E91"/>
    <w:rsid w:val="007D4EA2"/>
    <w:rsid w:val="007D5098"/>
    <w:rsid w:val="007D50E3"/>
    <w:rsid w:val="007D5175"/>
    <w:rsid w:val="007D5200"/>
    <w:rsid w:val="007D520B"/>
    <w:rsid w:val="007D5280"/>
    <w:rsid w:val="007D528D"/>
    <w:rsid w:val="007D531F"/>
    <w:rsid w:val="007D5505"/>
    <w:rsid w:val="007D5533"/>
    <w:rsid w:val="007D5647"/>
    <w:rsid w:val="007D5713"/>
    <w:rsid w:val="007D5749"/>
    <w:rsid w:val="007D5782"/>
    <w:rsid w:val="007D5825"/>
    <w:rsid w:val="007D587A"/>
    <w:rsid w:val="007D5887"/>
    <w:rsid w:val="007D5B06"/>
    <w:rsid w:val="007D5B54"/>
    <w:rsid w:val="007D5C6E"/>
    <w:rsid w:val="007D5DBE"/>
    <w:rsid w:val="007D5E02"/>
    <w:rsid w:val="007D5E9A"/>
    <w:rsid w:val="007D5ED6"/>
    <w:rsid w:val="007D5F0D"/>
    <w:rsid w:val="007D5F73"/>
    <w:rsid w:val="007D5F88"/>
    <w:rsid w:val="007D6002"/>
    <w:rsid w:val="007D608A"/>
    <w:rsid w:val="007D60AB"/>
    <w:rsid w:val="007D614D"/>
    <w:rsid w:val="007D6231"/>
    <w:rsid w:val="007D63F1"/>
    <w:rsid w:val="007D63FB"/>
    <w:rsid w:val="007D641F"/>
    <w:rsid w:val="007D6472"/>
    <w:rsid w:val="007D6498"/>
    <w:rsid w:val="007D64B3"/>
    <w:rsid w:val="007D65BF"/>
    <w:rsid w:val="007D65CD"/>
    <w:rsid w:val="007D679E"/>
    <w:rsid w:val="007D6891"/>
    <w:rsid w:val="007D6901"/>
    <w:rsid w:val="007D6984"/>
    <w:rsid w:val="007D69D1"/>
    <w:rsid w:val="007D6A93"/>
    <w:rsid w:val="007D6AB7"/>
    <w:rsid w:val="007D6B29"/>
    <w:rsid w:val="007D6B48"/>
    <w:rsid w:val="007D6B6B"/>
    <w:rsid w:val="007D6C40"/>
    <w:rsid w:val="007D6CB1"/>
    <w:rsid w:val="007D6DB6"/>
    <w:rsid w:val="007D6E38"/>
    <w:rsid w:val="007D6E39"/>
    <w:rsid w:val="007D6E3A"/>
    <w:rsid w:val="007D6E62"/>
    <w:rsid w:val="007D6EAD"/>
    <w:rsid w:val="007D6F03"/>
    <w:rsid w:val="007D7062"/>
    <w:rsid w:val="007D7210"/>
    <w:rsid w:val="007D72AE"/>
    <w:rsid w:val="007D72B8"/>
    <w:rsid w:val="007D72BE"/>
    <w:rsid w:val="007D73A2"/>
    <w:rsid w:val="007D7433"/>
    <w:rsid w:val="007D753B"/>
    <w:rsid w:val="007D7568"/>
    <w:rsid w:val="007D75BD"/>
    <w:rsid w:val="007D75C8"/>
    <w:rsid w:val="007D760D"/>
    <w:rsid w:val="007D77D8"/>
    <w:rsid w:val="007D79A6"/>
    <w:rsid w:val="007D79C3"/>
    <w:rsid w:val="007D79CC"/>
    <w:rsid w:val="007D79E0"/>
    <w:rsid w:val="007D7A57"/>
    <w:rsid w:val="007D7AB3"/>
    <w:rsid w:val="007D7AFF"/>
    <w:rsid w:val="007D7B4C"/>
    <w:rsid w:val="007D7B51"/>
    <w:rsid w:val="007D7B67"/>
    <w:rsid w:val="007D7BBB"/>
    <w:rsid w:val="007D7C7C"/>
    <w:rsid w:val="007D7C9E"/>
    <w:rsid w:val="007D7D0B"/>
    <w:rsid w:val="007D7E49"/>
    <w:rsid w:val="007D7E84"/>
    <w:rsid w:val="007D7E88"/>
    <w:rsid w:val="007D7EEE"/>
    <w:rsid w:val="007D7F38"/>
    <w:rsid w:val="007D7F99"/>
    <w:rsid w:val="007D7F9A"/>
    <w:rsid w:val="007E0052"/>
    <w:rsid w:val="007E0099"/>
    <w:rsid w:val="007E00CB"/>
    <w:rsid w:val="007E01F9"/>
    <w:rsid w:val="007E0253"/>
    <w:rsid w:val="007E0263"/>
    <w:rsid w:val="007E02E3"/>
    <w:rsid w:val="007E03BE"/>
    <w:rsid w:val="007E03C5"/>
    <w:rsid w:val="007E03DE"/>
    <w:rsid w:val="007E0410"/>
    <w:rsid w:val="007E0429"/>
    <w:rsid w:val="007E047A"/>
    <w:rsid w:val="007E0515"/>
    <w:rsid w:val="007E058C"/>
    <w:rsid w:val="007E05A2"/>
    <w:rsid w:val="007E06CF"/>
    <w:rsid w:val="007E0726"/>
    <w:rsid w:val="007E0737"/>
    <w:rsid w:val="007E075D"/>
    <w:rsid w:val="007E0778"/>
    <w:rsid w:val="007E07FD"/>
    <w:rsid w:val="007E0833"/>
    <w:rsid w:val="007E087B"/>
    <w:rsid w:val="007E08E4"/>
    <w:rsid w:val="007E08EA"/>
    <w:rsid w:val="007E0968"/>
    <w:rsid w:val="007E0987"/>
    <w:rsid w:val="007E0A10"/>
    <w:rsid w:val="007E0C37"/>
    <w:rsid w:val="007E0CB5"/>
    <w:rsid w:val="007E0D14"/>
    <w:rsid w:val="007E0DB0"/>
    <w:rsid w:val="007E0E22"/>
    <w:rsid w:val="007E0E5B"/>
    <w:rsid w:val="007E0EE3"/>
    <w:rsid w:val="007E0F71"/>
    <w:rsid w:val="007E1042"/>
    <w:rsid w:val="007E1083"/>
    <w:rsid w:val="007E10AB"/>
    <w:rsid w:val="007E110C"/>
    <w:rsid w:val="007E1129"/>
    <w:rsid w:val="007E1144"/>
    <w:rsid w:val="007E1190"/>
    <w:rsid w:val="007E11FB"/>
    <w:rsid w:val="007E124D"/>
    <w:rsid w:val="007E1294"/>
    <w:rsid w:val="007E12A5"/>
    <w:rsid w:val="007E133B"/>
    <w:rsid w:val="007E1394"/>
    <w:rsid w:val="007E13D2"/>
    <w:rsid w:val="007E1480"/>
    <w:rsid w:val="007E14BF"/>
    <w:rsid w:val="007E1665"/>
    <w:rsid w:val="007E169A"/>
    <w:rsid w:val="007E1705"/>
    <w:rsid w:val="007E17DF"/>
    <w:rsid w:val="007E17E4"/>
    <w:rsid w:val="007E188E"/>
    <w:rsid w:val="007E1892"/>
    <w:rsid w:val="007E18AB"/>
    <w:rsid w:val="007E191D"/>
    <w:rsid w:val="007E1937"/>
    <w:rsid w:val="007E19BD"/>
    <w:rsid w:val="007E1A01"/>
    <w:rsid w:val="007E1A15"/>
    <w:rsid w:val="007E1A22"/>
    <w:rsid w:val="007E1A44"/>
    <w:rsid w:val="007E1AC1"/>
    <w:rsid w:val="007E1AEC"/>
    <w:rsid w:val="007E1CAC"/>
    <w:rsid w:val="007E1D27"/>
    <w:rsid w:val="007E1D32"/>
    <w:rsid w:val="007E1DDD"/>
    <w:rsid w:val="007E1E13"/>
    <w:rsid w:val="007E1E26"/>
    <w:rsid w:val="007E1E68"/>
    <w:rsid w:val="007E1F58"/>
    <w:rsid w:val="007E1FA3"/>
    <w:rsid w:val="007E2085"/>
    <w:rsid w:val="007E20CD"/>
    <w:rsid w:val="007E2192"/>
    <w:rsid w:val="007E2275"/>
    <w:rsid w:val="007E2287"/>
    <w:rsid w:val="007E2297"/>
    <w:rsid w:val="007E22CF"/>
    <w:rsid w:val="007E231B"/>
    <w:rsid w:val="007E2468"/>
    <w:rsid w:val="007E25DA"/>
    <w:rsid w:val="007E268C"/>
    <w:rsid w:val="007E26EE"/>
    <w:rsid w:val="007E2715"/>
    <w:rsid w:val="007E2799"/>
    <w:rsid w:val="007E27E2"/>
    <w:rsid w:val="007E29D4"/>
    <w:rsid w:val="007E29F2"/>
    <w:rsid w:val="007E2B94"/>
    <w:rsid w:val="007E2BBF"/>
    <w:rsid w:val="007E2EEF"/>
    <w:rsid w:val="007E2F7E"/>
    <w:rsid w:val="007E3006"/>
    <w:rsid w:val="007E310E"/>
    <w:rsid w:val="007E314B"/>
    <w:rsid w:val="007E31C9"/>
    <w:rsid w:val="007E31CC"/>
    <w:rsid w:val="007E3209"/>
    <w:rsid w:val="007E3217"/>
    <w:rsid w:val="007E3234"/>
    <w:rsid w:val="007E339D"/>
    <w:rsid w:val="007E33B2"/>
    <w:rsid w:val="007E33CD"/>
    <w:rsid w:val="007E33FD"/>
    <w:rsid w:val="007E340D"/>
    <w:rsid w:val="007E341E"/>
    <w:rsid w:val="007E3510"/>
    <w:rsid w:val="007E352B"/>
    <w:rsid w:val="007E356F"/>
    <w:rsid w:val="007E35BE"/>
    <w:rsid w:val="007E35D4"/>
    <w:rsid w:val="007E3654"/>
    <w:rsid w:val="007E36C4"/>
    <w:rsid w:val="007E373F"/>
    <w:rsid w:val="007E381D"/>
    <w:rsid w:val="007E38EA"/>
    <w:rsid w:val="007E3953"/>
    <w:rsid w:val="007E3A29"/>
    <w:rsid w:val="007E3A6A"/>
    <w:rsid w:val="007E3ACE"/>
    <w:rsid w:val="007E3AED"/>
    <w:rsid w:val="007E3C7F"/>
    <w:rsid w:val="007E3D04"/>
    <w:rsid w:val="007E3D47"/>
    <w:rsid w:val="007E3E40"/>
    <w:rsid w:val="007E3F18"/>
    <w:rsid w:val="007E3F4D"/>
    <w:rsid w:val="007E3F92"/>
    <w:rsid w:val="007E3FB5"/>
    <w:rsid w:val="007E4046"/>
    <w:rsid w:val="007E40A6"/>
    <w:rsid w:val="007E40AB"/>
    <w:rsid w:val="007E411F"/>
    <w:rsid w:val="007E4123"/>
    <w:rsid w:val="007E42CF"/>
    <w:rsid w:val="007E42E3"/>
    <w:rsid w:val="007E441A"/>
    <w:rsid w:val="007E44E7"/>
    <w:rsid w:val="007E456E"/>
    <w:rsid w:val="007E4576"/>
    <w:rsid w:val="007E45B1"/>
    <w:rsid w:val="007E45E9"/>
    <w:rsid w:val="007E4603"/>
    <w:rsid w:val="007E46ED"/>
    <w:rsid w:val="007E47DF"/>
    <w:rsid w:val="007E4853"/>
    <w:rsid w:val="007E4874"/>
    <w:rsid w:val="007E4904"/>
    <w:rsid w:val="007E4946"/>
    <w:rsid w:val="007E49A4"/>
    <w:rsid w:val="007E4A91"/>
    <w:rsid w:val="007E4B38"/>
    <w:rsid w:val="007E4BF1"/>
    <w:rsid w:val="007E4D45"/>
    <w:rsid w:val="007E4D70"/>
    <w:rsid w:val="007E4E47"/>
    <w:rsid w:val="007E4E4E"/>
    <w:rsid w:val="007E4EAC"/>
    <w:rsid w:val="007E4ECC"/>
    <w:rsid w:val="007E4F01"/>
    <w:rsid w:val="007E4F66"/>
    <w:rsid w:val="007E4F74"/>
    <w:rsid w:val="007E4F99"/>
    <w:rsid w:val="007E4FAE"/>
    <w:rsid w:val="007E501A"/>
    <w:rsid w:val="007E5039"/>
    <w:rsid w:val="007E5067"/>
    <w:rsid w:val="007E5193"/>
    <w:rsid w:val="007E520F"/>
    <w:rsid w:val="007E5211"/>
    <w:rsid w:val="007E5243"/>
    <w:rsid w:val="007E5344"/>
    <w:rsid w:val="007E5411"/>
    <w:rsid w:val="007E543F"/>
    <w:rsid w:val="007E54B5"/>
    <w:rsid w:val="007E54D6"/>
    <w:rsid w:val="007E5585"/>
    <w:rsid w:val="007E5596"/>
    <w:rsid w:val="007E55EE"/>
    <w:rsid w:val="007E5673"/>
    <w:rsid w:val="007E56C5"/>
    <w:rsid w:val="007E5781"/>
    <w:rsid w:val="007E5795"/>
    <w:rsid w:val="007E57C1"/>
    <w:rsid w:val="007E5840"/>
    <w:rsid w:val="007E58AA"/>
    <w:rsid w:val="007E5A1E"/>
    <w:rsid w:val="007E5A3A"/>
    <w:rsid w:val="007E5A82"/>
    <w:rsid w:val="007E5AE7"/>
    <w:rsid w:val="007E5B8F"/>
    <w:rsid w:val="007E5BC5"/>
    <w:rsid w:val="007E5DCE"/>
    <w:rsid w:val="007E5ED1"/>
    <w:rsid w:val="007E5EF3"/>
    <w:rsid w:val="007E5FA2"/>
    <w:rsid w:val="007E604B"/>
    <w:rsid w:val="007E60A8"/>
    <w:rsid w:val="007E60FD"/>
    <w:rsid w:val="007E6143"/>
    <w:rsid w:val="007E61A9"/>
    <w:rsid w:val="007E621A"/>
    <w:rsid w:val="007E622F"/>
    <w:rsid w:val="007E62C1"/>
    <w:rsid w:val="007E6379"/>
    <w:rsid w:val="007E6382"/>
    <w:rsid w:val="007E63DC"/>
    <w:rsid w:val="007E63F8"/>
    <w:rsid w:val="007E64DF"/>
    <w:rsid w:val="007E66CD"/>
    <w:rsid w:val="007E66F3"/>
    <w:rsid w:val="007E675A"/>
    <w:rsid w:val="007E6899"/>
    <w:rsid w:val="007E68B0"/>
    <w:rsid w:val="007E68BB"/>
    <w:rsid w:val="007E69B0"/>
    <w:rsid w:val="007E69E4"/>
    <w:rsid w:val="007E6A47"/>
    <w:rsid w:val="007E6A8A"/>
    <w:rsid w:val="007E6C8D"/>
    <w:rsid w:val="007E6CCC"/>
    <w:rsid w:val="007E6D8E"/>
    <w:rsid w:val="007E6DC5"/>
    <w:rsid w:val="007E6DFF"/>
    <w:rsid w:val="007E6EDF"/>
    <w:rsid w:val="007E6FEE"/>
    <w:rsid w:val="007E7329"/>
    <w:rsid w:val="007E736F"/>
    <w:rsid w:val="007E7524"/>
    <w:rsid w:val="007E7530"/>
    <w:rsid w:val="007E7549"/>
    <w:rsid w:val="007E7555"/>
    <w:rsid w:val="007E7634"/>
    <w:rsid w:val="007E769F"/>
    <w:rsid w:val="007E782F"/>
    <w:rsid w:val="007E7865"/>
    <w:rsid w:val="007E7894"/>
    <w:rsid w:val="007E79A6"/>
    <w:rsid w:val="007E79F9"/>
    <w:rsid w:val="007E7A8B"/>
    <w:rsid w:val="007E7A9E"/>
    <w:rsid w:val="007E7EBD"/>
    <w:rsid w:val="007F015D"/>
    <w:rsid w:val="007F02C2"/>
    <w:rsid w:val="007F0367"/>
    <w:rsid w:val="007F0384"/>
    <w:rsid w:val="007F0396"/>
    <w:rsid w:val="007F042E"/>
    <w:rsid w:val="007F04AE"/>
    <w:rsid w:val="007F04C0"/>
    <w:rsid w:val="007F0508"/>
    <w:rsid w:val="007F062E"/>
    <w:rsid w:val="007F067A"/>
    <w:rsid w:val="007F0706"/>
    <w:rsid w:val="007F077D"/>
    <w:rsid w:val="007F07AA"/>
    <w:rsid w:val="007F089F"/>
    <w:rsid w:val="007F0A43"/>
    <w:rsid w:val="007F0AD0"/>
    <w:rsid w:val="007F0AD6"/>
    <w:rsid w:val="007F0B24"/>
    <w:rsid w:val="007F0BEE"/>
    <w:rsid w:val="007F0CD2"/>
    <w:rsid w:val="007F0CED"/>
    <w:rsid w:val="007F0D95"/>
    <w:rsid w:val="007F0DFA"/>
    <w:rsid w:val="007F0E6C"/>
    <w:rsid w:val="007F0F67"/>
    <w:rsid w:val="007F1120"/>
    <w:rsid w:val="007F115D"/>
    <w:rsid w:val="007F11CF"/>
    <w:rsid w:val="007F1254"/>
    <w:rsid w:val="007F1255"/>
    <w:rsid w:val="007F1352"/>
    <w:rsid w:val="007F1356"/>
    <w:rsid w:val="007F13E9"/>
    <w:rsid w:val="007F15A7"/>
    <w:rsid w:val="007F1648"/>
    <w:rsid w:val="007F168A"/>
    <w:rsid w:val="007F16F7"/>
    <w:rsid w:val="007F16F9"/>
    <w:rsid w:val="007F1708"/>
    <w:rsid w:val="007F1714"/>
    <w:rsid w:val="007F1795"/>
    <w:rsid w:val="007F17D2"/>
    <w:rsid w:val="007F1831"/>
    <w:rsid w:val="007F18AB"/>
    <w:rsid w:val="007F18DF"/>
    <w:rsid w:val="007F191D"/>
    <w:rsid w:val="007F1960"/>
    <w:rsid w:val="007F19DC"/>
    <w:rsid w:val="007F19E4"/>
    <w:rsid w:val="007F1A7D"/>
    <w:rsid w:val="007F1ABB"/>
    <w:rsid w:val="007F1AE0"/>
    <w:rsid w:val="007F1B16"/>
    <w:rsid w:val="007F1C33"/>
    <w:rsid w:val="007F1DD8"/>
    <w:rsid w:val="007F1E6A"/>
    <w:rsid w:val="007F1F72"/>
    <w:rsid w:val="007F1FCB"/>
    <w:rsid w:val="007F1FE3"/>
    <w:rsid w:val="007F1FE7"/>
    <w:rsid w:val="007F2069"/>
    <w:rsid w:val="007F21A1"/>
    <w:rsid w:val="007F2370"/>
    <w:rsid w:val="007F2372"/>
    <w:rsid w:val="007F23AC"/>
    <w:rsid w:val="007F246F"/>
    <w:rsid w:val="007F247A"/>
    <w:rsid w:val="007F2497"/>
    <w:rsid w:val="007F24DF"/>
    <w:rsid w:val="007F2516"/>
    <w:rsid w:val="007F25FC"/>
    <w:rsid w:val="007F261D"/>
    <w:rsid w:val="007F26B5"/>
    <w:rsid w:val="007F26EF"/>
    <w:rsid w:val="007F2779"/>
    <w:rsid w:val="007F2790"/>
    <w:rsid w:val="007F27E3"/>
    <w:rsid w:val="007F2809"/>
    <w:rsid w:val="007F2854"/>
    <w:rsid w:val="007F286A"/>
    <w:rsid w:val="007F2921"/>
    <w:rsid w:val="007F2923"/>
    <w:rsid w:val="007F2931"/>
    <w:rsid w:val="007F29D1"/>
    <w:rsid w:val="007F2A0C"/>
    <w:rsid w:val="007F2A2F"/>
    <w:rsid w:val="007F2A91"/>
    <w:rsid w:val="007F2AD8"/>
    <w:rsid w:val="007F2AF1"/>
    <w:rsid w:val="007F2BE9"/>
    <w:rsid w:val="007F2C06"/>
    <w:rsid w:val="007F2C55"/>
    <w:rsid w:val="007F2D03"/>
    <w:rsid w:val="007F2D0A"/>
    <w:rsid w:val="007F2D30"/>
    <w:rsid w:val="007F2D88"/>
    <w:rsid w:val="007F2E21"/>
    <w:rsid w:val="007F2E40"/>
    <w:rsid w:val="007F2F3E"/>
    <w:rsid w:val="007F2F92"/>
    <w:rsid w:val="007F2FD4"/>
    <w:rsid w:val="007F3027"/>
    <w:rsid w:val="007F3040"/>
    <w:rsid w:val="007F309C"/>
    <w:rsid w:val="007F3158"/>
    <w:rsid w:val="007F32AB"/>
    <w:rsid w:val="007F32BA"/>
    <w:rsid w:val="007F32E5"/>
    <w:rsid w:val="007F32F5"/>
    <w:rsid w:val="007F32F8"/>
    <w:rsid w:val="007F333F"/>
    <w:rsid w:val="007F33E6"/>
    <w:rsid w:val="007F3488"/>
    <w:rsid w:val="007F34D0"/>
    <w:rsid w:val="007F35A1"/>
    <w:rsid w:val="007F364B"/>
    <w:rsid w:val="007F3708"/>
    <w:rsid w:val="007F3807"/>
    <w:rsid w:val="007F382C"/>
    <w:rsid w:val="007F3890"/>
    <w:rsid w:val="007F38BC"/>
    <w:rsid w:val="007F38CE"/>
    <w:rsid w:val="007F3948"/>
    <w:rsid w:val="007F3952"/>
    <w:rsid w:val="007F3AA3"/>
    <w:rsid w:val="007F3BFB"/>
    <w:rsid w:val="007F3C64"/>
    <w:rsid w:val="007F3CB7"/>
    <w:rsid w:val="007F3D4F"/>
    <w:rsid w:val="007F3D5D"/>
    <w:rsid w:val="007F3E09"/>
    <w:rsid w:val="007F3EA2"/>
    <w:rsid w:val="007F3EEA"/>
    <w:rsid w:val="007F3FEB"/>
    <w:rsid w:val="007F401C"/>
    <w:rsid w:val="007F40B2"/>
    <w:rsid w:val="007F40C8"/>
    <w:rsid w:val="007F40EF"/>
    <w:rsid w:val="007F4146"/>
    <w:rsid w:val="007F419B"/>
    <w:rsid w:val="007F41AD"/>
    <w:rsid w:val="007F41E2"/>
    <w:rsid w:val="007F425A"/>
    <w:rsid w:val="007F4452"/>
    <w:rsid w:val="007F446E"/>
    <w:rsid w:val="007F4491"/>
    <w:rsid w:val="007F4575"/>
    <w:rsid w:val="007F4694"/>
    <w:rsid w:val="007F470B"/>
    <w:rsid w:val="007F4749"/>
    <w:rsid w:val="007F4792"/>
    <w:rsid w:val="007F47DF"/>
    <w:rsid w:val="007F482D"/>
    <w:rsid w:val="007F492E"/>
    <w:rsid w:val="007F4A71"/>
    <w:rsid w:val="007F4A7F"/>
    <w:rsid w:val="007F4A95"/>
    <w:rsid w:val="007F4C3C"/>
    <w:rsid w:val="007F4C88"/>
    <w:rsid w:val="007F4CDA"/>
    <w:rsid w:val="007F4D10"/>
    <w:rsid w:val="007F4D5A"/>
    <w:rsid w:val="007F4D66"/>
    <w:rsid w:val="007F4D6A"/>
    <w:rsid w:val="007F4E3D"/>
    <w:rsid w:val="007F5017"/>
    <w:rsid w:val="007F509E"/>
    <w:rsid w:val="007F523F"/>
    <w:rsid w:val="007F5380"/>
    <w:rsid w:val="007F5395"/>
    <w:rsid w:val="007F54E8"/>
    <w:rsid w:val="007F5510"/>
    <w:rsid w:val="007F55DE"/>
    <w:rsid w:val="007F5611"/>
    <w:rsid w:val="007F5805"/>
    <w:rsid w:val="007F58C7"/>
    <w:rsid w:val="007F593A"/>
    <w:rsid w:val="007F59EC"/>
    <w:rsid w:val="007F59F5"/>
    <w:rsid w:val="007F5A40"/>
    <w:rsid w:val="007F5A9B"/>
    <w:rsid w:val="007F5AFE"/>
    <w:rsid w:val="007F5CA4"/>
    <w:rsid w:val="007F5DCF"/>
    <w:rsid w:val="007F5E35"/>
    <w:rsid w:val="007F5E59"/>
    <w:rsid w:val="007F5E6B"/>
    <w:rsid w:val="007F5E9F"/>
    <w:rsid w:val="007F5EF2"/>
    <w:rsid w:val="007F604F"/>
    <w:rsid w:val="007F607F"/>
    <w:rsid w:val="007F6177"/>
    <w:rsid w:val="007F61D6"/>
    <w:rsid w:val="007F61E9"/>
    <w:rsid w:val="007F6246"/>
    <w:rsid w:val="007F6260"/>
    <w:rsid w:val="007F62D4"/>
    <w:rsid w:val="007F62E3"/>
    <w:rsid w:val="007F632D"/>
    <w:rsid w:val="007F63D9"/>
    <w:rsid w:val="007F6487"/>
    <w:rsid w:val="007F6490"/>
    <w:rsid w:val="007F6498"/>
    <w:rsid w:val="007F64AE"/>
    <w:rsid w:val="007F662F"/>
    <w:rsid w:val="007F6742"/>
    <w:rsid w:val="007F6768"/>
    <w:rsid w:val="007F678A"/>
    <w:rsid w:val="007F688E"/>
    <w:rsid w:val="007F6916"/>
    <w:rsid w:val="007F6933"/>
    <w:rsid w:val="007F69B7"/>
    <w:rsid w:val="007F6A40"/>
    <w:rsid w:val="007F6A7C"/>
    <w:rsid w:val="007F6AEC"/>
    <w:rsid w:val="007F6BEC"/>
    <w:rsid w:val="007F6C26"/>
    <w:rsid w:val="007F6CCB"/>
    <w:rsid w:val="007F6CEA"/>
    <w:rsid w:val="007F6D1F"/>
    <w:rsid w:val="007F6D25"/>
    <w:rsid w:val="007F6E33"/>
    <w:rsid w:val="007F6F0F"/>
    <w:rsid w:val="007F70BA"/>
    <w:rsid w:val="007F70C9"/>
    <w:rsid w:val="007F7125"/>
    <w:rsid w:val="007F71BB"/>
    <w:rsid w:val="007F72C4"/>
    <w:rsid w:val="007F72FF"/>
    <w:rsid w:val="007F7390"/>
    <w:rsid w:val="007F7398"/>
    <w:rsid w:val="007F7437"/>
    <w:rsid w:val="007F745D"/>
    <w:rsid w:val="007F757F"/>
    <w:rsid w:val="007F759E"/>
    <w:rsid w:val="007F767D"/>
    <w:rsid w:val="007F771B"/>
    <w:rsid w:val="007F77BB"/>
    <w:rsid w:val="007F77ED"/>
    <w:rsid w:val="007F78AD"/>
    <w:rsid w:val="007F7906"/>
    <w:rsid w:val="007F7B1A"/>
    <w:rsid w:val="007F7B57"/>
    <w:rsid w:val="007F7B8E"/>
    <w:rsid w:val="007F7CE4"/>
    <w:rsid w:val="007F7D0F"/>
    <w:rsid w:val="007F7D2C"/>
    <w:rsid w:val="007F7D8C"/>
    <w:rsid w:val="007F7E74"/>
    <w:rsid w:val="007F7EFD"/>
    <w:rsid w:val="0080004F"/>
    <w:rsid w:val="00800243"/>
    <w:rsid w:val="0080027A"/>
    <w:rsid w:val="008002CA"/>
    <w:rsid w:val="008002E7"/>
    <w:rsid w:val="0080037A"/>
    <w:rsid w:val="008005B2"/>
    <w:rsid w:val="0080065B"/>
    <w:rsid w:val="00800715"/>
    <w:rsid w:val="0080074D"/>
    <w:rsid w:val="00800782"/>
    <w:rsid w:val="00800825"/>
    <w:rsid w:val="0080084E"/>
    <w:rsid w:val="00800887"/>
    <w:rsid w:val="008009CA"/>
    <w:rsid w:val="008009E5"/>
    <w:rsid w:val="008009F9"/>
    <w:rsid w:val="00800A31"/>
    <w:rsid w:val="00800A68"/>
    <w:rsid w:val="00800A8E"/>
    <w:rsid w:val="00800B1C"/>
    <w:rsid w:val="00800B64"/>
    <w:rsid w:val="00800BA5"/>
    <w:rsid w:val="00800C23"/>
    <w:rsid w:val="00800C31"/>
    <w:rsid w:val="00800C43"/>
    <w:rsid w:val="00800CA7"/>
    <w:rsid w:val="00800CFB"/>
    <w:rsid w:val="00800DAB"/>
    <w:rsid w:val="00800EB5"/>
    <w:rsid w:val="00800F1A"/>
    <w:rsid w:val="00800FED"/>
    <w:rsid w:val="008010B3"/>
    <w:rsid w:val="00801103"/>
    <w:rsid w:val="00801122"/>
    <w:rsid w:val="0080116F"/>
    <w:rsid w:val="00801221"/>
    <w:rsid w:val="00801238"/>
    <w:rsid w:val="00801256"/>
    <w:rsid w:val="00801268"/>
    <w:rsid w:val="0080134B"/>
    <w:rsid w:val="00801358"/>
    <w:rsid w:val="00801399"/>
    <w:rsid w:val="0080143E"/>
    <w:rsid w:val="00801473"/>
    <w:rsid w:val="008014CB"/>
    <w:rsid w:val="008015EA"/>
    <w:rsid w:val="0080163D"/>
    <w:rsid w:val="00801747"/>
    <w:rsid w:val="008017EC"/>
    <w:rsid w:val="00801850"/>
    <w:rsid w:val="00801892"/>
    <w:rsid w:val="00801902"/>
    <w:rsid w:val="00801A80"/>
    <w:rsid w:val="00801BCE"/>
    <w:rsid w:val="00801BDF"/>
    <w:rsid w:val="00801D0A"/>
    <w:rsid w:val="00801D16"/>
    <w:rsid w:val="00801D5B"/>
    <w:rsid w:val="00801DA4"/>
    <w:rsid w:val="00801DB8"/>
    <w:rsid w:val="00801E17"/>
    <w:rsid w:val="00801E85"/>
    <w:rsid w:val="00801F7D"/>
    <w:rsid w:val="00801F8A"/>
    <w:rsid w:val="00802011"/>
    <w:rsid w:val="0080201C"/>
    <w:rsid w:val="0080203A"/>
    <w:rsid w:val="0080204B"/>
    <w:rsid w:val="00802116"/>
    <w:rsid w:val="00802135"/>
    <w:rsid w:val="008021C9"/>
    <w:rsid w:val="00802208"/>
    <w:rsid w:val="00802258"/>
    <w:rsid w:val="008022A3"/>
    <w:rsid w:val="0080239B"/>
    <w:rsid w:val="008023B3"/>
    <w:rsid w:val="0080241F"/>
    <w:rsid w:val="008024A2"/>
    <w:rsid w:val="008024CE"/>
    <w:rsid w:val="00802582"/>
    <w:rsid w:val="00802687"/>
    <w:rsid w:val="008026A7"/>
    <w:rsid w:val="00802739"/>
    <w:rsid w:val="008027F5"/>
    <w:rsid w:val="0080283B"/>
    <w:rsid w:val="00802AB5"/>
    <w:rsid w:val="00802C81"/>
    <w:rsid w:val="00802D4A"/>
    <w:rsid w:val="00802DD2"/>
    <w:rsid w:val="00802DE7"/>
    <w:rsid w:val="00802E50"/>
    <w:rsid w:val="00802E89"/>
    <w:rsid w:val="00802FA0"/>
    <w:rsid w:val="0080307A"/>
    <w:rsid w:val="00803090"/>
    <w:rsid w:val="00803115"/>
    <w:rsid w:val="00803233"/>
    <w:rsid w:val="00803379"/>
    <w:rsid w:val="00803548"/>
    <w:rsid w:val="0080358A"/>
    <w:rsid w:val="008036C7"/>
    <w:rsid w:val="00803811"/>
    <w:rsid w:val="008038F0"/>
    <w:rsid w:val="00803A15"/>
    <w:rsid w:val="00803B15"/>
    <w:rsid w:val="00803B36"/>
    <w:rsid w:val="00803BB7"/>
    <w:rsid w:val="00803C01"/>
    <w:rsid w:val="00803C2B"/>
    <w:rsid w:val="00803CED"/>
    <w:rsid w:val="00803D41"/>
    <w:rsid w:val="00803D43"/>
    <w:rsid w:val="00803DCC"/>
    <w:rsid w:val="00803E3D"/>
    <w:rsid w:val="00803F39"/>
    <w:rsid w:val="0080400C"/>
    <w:rsid w:val="00804053"/>
    <w:rsid w:val="008040BA"/>
    <w:rsid w:val="00804314"/>
    <w:rsid w:val="008043D8"/>
    <w:rsid w:val="00804436"/>
    <w:rsid w:val="00804544"/>
    <w:rsid w:val="0080455C"/>
    <w:rsid w:val="0080457D"/>
    <w:rsid w:val="008045C2"/>
    <w:rsid w:val="008046A3"/>
    <w:rsid w:val="0080488E"/>
    <w:rsid w:val="0080489F"/>
    <w:rsid w:val="0080490F"/>
    <w:rsid w:val="00804967"/>
    <w:rsid w:val="00804ACE"/>
    <w:rsid w:val="00804ADF"/>
    <w:rsid w:val="00804B35"/>
    <w:rsid w:val="00804B43"/>
    <w:rsid w:val="00804B55"/>
    <w:rsid w:val="00804B77"/>
    <w:rsid w:val="00804B83"/>
    <w:rsid w:val="00804BDE"/>
    <w:rsid w:val="00804C15"/>
    <w:rsid w:val="00804C21"/>
    <w:rsid w:val="00804C57"/>
    <w:rsid w:val="00804D91"/>
    <w:rsid w:val="00804E06"/>
    <w:rsid w:val="00804EC9"/>
    <w:rsid w:val="00804F59"/>
    <w:rsid w:val="00804FE9"/>
    <w:rsid w:val="00804FF6"/>
    <w:rsid w:val="0080501E"/>
    <w:rsid w:val="00805064"/>
    <w:rsid w:val="00805084"/>
    <w:rsid w:val="008050B4"/>
    <w:rsid w:val="008051D4"/>
    <w:rsid w:val="008051FF"/>
    <w:rsid w:val="0080521A"/>
    <w:rsid w:val="00805220"/>
    <w:rsid w:val="00805248"/>
    <w:rsid w:val="0080525D"/>
    <w:rsid w:val="00805363"/>
    <w:rsid w:val="00805392"/>
    <w:rsid w:val="008053FD"/>
    <w:rsid w:val="0080541F"/>
    <w:rsid w:val="008055A9"/>
    <w:rsid w:val="008055F5"/>
    <w:rsid w:val="0080560D"/>
    <w:rsid w:val="008057BD"/>
    <w:rsid w:val="00805865"/>
    <w:rsid w:val="00805ADB"/>
    <w:rsid w:val="00805AE6"/>
    <w:rsid w:val="00805B36"/>
    <w:rsid w:val="00805B98"/>
    <w:rsid w:val="00805C22"/>
    <w:rsid w:val="00805C57"/>
    <w:rsid w:val="00805C61"/>
    <w:rsid w:val="00805C7E"/>
    <w:rsid w:val="00805D84"/>
    <w:rsid w:val="00805E09"/>
    <w:rsid w:val="00805E8C"/>
    <w:rsid w:val="00805FF7"/>
    <w:rsid w:val="0080600C"/>
    <w:rsid w:val="00806019"/>
    <w:rsid w:val="00806042"/>
    <w:rsid w:val="008060CC"/>
    <w:rsid w:val="00806125"/>
    <w:rsid w:val="0080618F"/>
    <w:rsid w:val="008062E0"/>
    <w:rsid w:val="00806304"/>
    <w:rsid w:val="0080642B"/>
    <w:rsid w:val="0080644D"/>
    <w:rsid w:val="0080647E"/>
    <w:rsid w:val="0080653F"/>
    <w:rsid w:val="00806588"/>
    <w:rsid w:val="008065B3"/>
    <w:rsid w:val="0080660B"/>
    <w:rsid w:val="008066D1"/>
    <w:rsid w:val="00806768"/>
    <w:rsid w:val="00806955"/>
    <w:rsid w:val="00806959"/>
    <w:rsid w:val="00806ACC"/>
    <w:rsid w:val="00806C03"/>
    <w:rsid w:val="00806C36"/>
    <w:rsid w:val="00806C4C"/>
    <w:rsid w:val="00806CEA"/>
    <w:rsid w:val="00806D2A"/>
    <w:rsid w:val="00806DE1"/>
    <w:rsid w:val="00806EB0"/>
    <w:rsid w:val="00806F1E"/>
    <w:rsid w:val="00806F76"/>
    <w:rsid w:val="0080701B"/>
    <w:rsid w:val="00807088"/>
    <w:rsid w:val="008072B9"/>
    <w:rsid w:val="00807446"/>
    <w:rsid w:val="0080746B"/>
    <w:rsid w:val="00807579"/>
    <w:rsid w:val="0080758F"/>
    <w:rsid w:val="0080759A"/>
    <w:rsid w:val="00807673"/>
    <w:rsid w:val="00807686"/>
    <w:rsid w:val="0080774D"/>
    <w:rsid w:val="00807A6F"/>
    <w:rsid w:val="00807A8E"/>
    <w:rsid w:val="00807BFB"/>
    <w:rsid w:val="00807C56"/>
    <w:rsid w:val="00807D3C"/>
    <w:rsid w:val="00807E5D"/>
    <w:rsid w:val="00807E64"/>
    <w:rsid w:val="00807FCB"/>
    <w:rsid w:val="00810069"/>
    <w:rsid w:val="00810104"/>
    <w:rsid w:val="00810163"/>
    <w:rsid w:val="008101E9"/>
    <w:rsid w:val="00810254"/>
    <w:rsid w:val="008102D5"/>
    <w:rsid w:val="00810383"/>
    <w:rsid w:val="00810396"/>
    <w:rsid w:val="008103E9"/>
    <w:rsid w:val="008103F0"/>
    <w:rsid w:val="00810657"/>
    <w:rsid w:val="008106B8"/>
    <w:rsid w:val="00810744"/>
    <w:rsid w:val="00810778"/>
    <w:rsid w:val="008107DA"/>
    <w:rsid w:val="00810853"/>
    <w:rsid w:val="0081085E"/>
    <w:rsid w:val="008108CF"/>
    <w:rsid w:val="008108D0"/>
    <w:rsid w:val="0081096F"/>
    <w:rsid w:val="00810AD2"/>
    <w:rsid w:val="00810AE8"/>
    <w:rsid w:val="00810C3F"/>
    <w:rsid w:val="00810CF2"/>
    <w:rsid w:val="00810CFF"/>
    <w:rsid w:val="00810D12"/>
    <w:rsid w:val="00810D78"/>
    <w:rsid w:val="00810E49"/>
    <w:rsid w:val="00810F31"/>
    <w:rsid w:val="00810F33"/>
    <w:rsid w:val="00810F3F"/>
    <w:rsid w:val="00810FA5"/>
    <w:rsid w:val="00811042"/>
    <w:rsid w:val="0081115A"/>
    <w:rsid w:val="008111A5"/>
    <w:rsid w:val="00811261"/>
    <w:rsid w:val="00811325"/>
    <w:rsid w:val="00811339"/>
    <w:rsid w:val="00811413"/>
    <w:rsid w:val="00811495"/>
    <w:rsid w:val="008116A9"/>
    <w:rsid w:val="00811701"/>
    <w:rsid w:val="00811730"/>
    <w:rsid w:val="008117E7"/>
    <w:rsid w:val="00811807"/>
    <w:rsid w:val="00811886"/>
    <w:rsid w:val="00811932"/>
    <w:rsid w:val="00811941"/>
    <w:rsid w:val="008119D8"/>
    <w:rsid w:val="00811A73"/>
    <w:rsid w:val="00811AE7"/>
    <w:rsid w:val="00811B24"/>
    <w:rsid w:val="00811BD0"/>
    <w:rsid w:val="00811CFE"/>
    <w:rsid w:val="00811D59"/>
    <w:rsid w:val="00811DA1"/>
    <w:rsid w:val="00811E73"/>
    <w:rsid w:val="00811E7A"/>
    <w:rsid w:val="00811EC7"/>
    <w:rsid w:val="00811ED6"/>
    <w:rsid w:val="00811EE3"/>
    <w:rsid w:val="00811F4A"/>
    <w:rsid w:val="00811F67"/>
    <w:rsid w:val="00811FA1"/>
    <w:rsid w:val="00811FF1"/>
    <w:rsid w:val="00812001"/>
    <w:rsid w:val="008120CA"/>
    <w:rsid w:val="00812152"/>
    <w:rsid w:val="00812348"/>
    <w:rsid w:val="008123CF"/>
    <w:rsid w:val="0081242A"/>
    <w:rsid w:val="00812437"/>
    <w:rsid w:val="00812448"/>
    <w:rsid w:val="0081260C"/>
    <w:rsid w:val="0081263C"/>
    <w:rsid w:val="008126B8"/>
    <w:rsid w:val="00812879"/>
    <w:rsid w:val="008128CA"/>
    <w:rsid w:val="00812907"/>
    <w:rsid w:val="00812921"/>
    <w:rsid w:val="0081295F"/>
    <w:rsid w:val="00812984"/>
    <w:rsid w:val="00812A8C"/>
    <w:rsid w:val="00812A98"/>
    <w:rsid w:val="00812A9C"/>
    <w:rsid w:val="00812AB1"/>
    <w:rsid w:val="00812B8B"/>
    <w:rsid w:val="00812BC5"/>
    <w:rsid w:val="00812D0D"/>
    <w:rsid w:val="00812DF4"/>
    <w:rsid w:val="00812E76"/>
    <w:rsid w:val="00812EA4"/>
    <w:rsid w:val="00812EEE"/>
    <w:rsid w:val="00813013"/>
    <w:rsid w:val="00813047"/>
    <w:rsid w:val="00813059"/>
    <w:rsid w:val="00813093"/>
    <w:rsid w:val="00813145"/>
    <w:rsid w:val="00813152"/>
    <w:rsid w:val="008131E9"/>
    <w:rsid w:val="00813289"/>
    <w:rsid w:val="008133A3"/>
    <w:rsid w:val="008133FF"/>
    <w:rsid w:val="00813536"/>
    <w:rsid w:val="00813910"/>
    <w:rsid w:val="00813912"/>
    <w:rsid w:val="00813956"/>
    <w:rsid w:val="00813AA6"/>
    <w:rsid w:val="00813AAF"/>
    <w:rsid w:val="00813AB8"/>
    <w:rsid w:val="00813B24"/>
    <w:rsid w:val="00813B5B"/>
    <w:rsid w:val="00813C51"/>
    <w:rsid w:val="00813D4A"/>
    <w:rsid w:val="00813D87"/>
    <w:rsid w:val="00813DB5"/>
    <w:rsid w:val="00813F08"/>
    <w:rsid w:val="00813F0B"/>
    <w:rsid w:val="00813FA2"/>
    <w:rsid w:val="00814106"/>
    <w:rsid w:val="0081411F"/>
    <w:rsid w:val="00814177"/>
    <w:rsid w:val="008141DA"/>
    <w:rsid w:val="00814228"/>
    <w:rsid w:val="0081423B"/>
    <w:rsid w:val="00814394"/>
    <w:rsid w:val="008143DB"/>
    <w:rsid w:val="00814417"/>
    <w:rsid w:val="00814462"/>
    <w:rsid w:val="00814483"/>
    <w:rsid w:val="0081462D"/>
    <w:rsid w:val="008146F7"/>
    <w:rsid w:val="00814723"/>
    <w:rsid w:val="00814790"/>
    <w:rsid w:val="0081488D"/>
    <w:rsid w:val="008148EF"/>
    <w:rsid w:val="00814A78"/>
    <w:rsid w:val="00814B48"/>
    <w:rsid w:val="00814B80"/>
    <w:rsid w:val="00814BBC"/>
    <w:rsid w:val="00814BD5"/>
    <w:rsid w:val="00814C25"/>
    <w:rsid w:val="00814C78"/>
    <w:rsid w:val="00814D6F"/>
    <w:rsid w:val="00814DE6"/>
    <w:rsid w:val="00814FF3"/>
    <w:rsid w:val="008150DA"/>
    <w:rsid w:val="008150E9"/>
    <w:rsid w:val="008151C2"/>
    <w:rsid w:val="00815279"/>
    <w:rsid w:val="008152CC"/>
    <w:rsid w:val="00815379"/>
    <w:rsid w:val="008153D1"/>
    <w:rsid w:val="00815441"/>
    <w:rsid w:val="00815566"/>
    <w:rsid w:val="0081558C"/>
    <w:rsid w:val="008155A3"/>
    <w:rsid w:val="0081564E"/>
    <w:rsid w:val="0081568C"/>
    <w:rsid w:val="008156FD"/>
    <w:rsid w:val="00815732"/>
    <w:rsid w:val="00815749"/>
    <w:rsid w:val="00815793"/>
    <w:rsid w:val="00815857"/>
    <w:rsid w:val="008158EF"/>
    <w:rsid w:val="00815901"/>
    <w:rsid w:val="008159FC"/>
    <w:rsid w:val="00815A02"/>
    <w:rsid w:val="00815A2C"/>
    <w:rsid w:val="00815A70"/>
    <w:rsid w:val="00815AC3"/>
    <w:rsid w:val="00815B1B"/>
    <w:rsid w:val="00815BB4"/>
    <w:rsid w:val="00815C65"/>
    <w:rsid w:val="00815C7E"/>
    <w:rsid w:val="00815CF3"/>
    <w:rsid w:val="00815DF4"/>
    <w:rsid w:val="00815F93"/>
    <w:rsid w:val="00815FA8"/>
    <w:rsid w:val="00815FEE"/>
    <w:rsid w:val="0081603A"/>
    <w:rsid w:val="008160BA"/>
    <w:rsid w:val="0081610B"/>
    <w:rsid w:val="0081622E"/>
    <w:rsid w:val="008162F7"/>
    <w:rsid w:val="00816380"/>
    <w:rsid w:val="008163BF"/>
    <w:rsid w:val="00816409"/>
    <w:rsid w:val="0081649B"/>
    <w:rsid w:val="008164C4"/>
    <w:rsid w:val="00816541"/>
    <w:rsid w:val="00816602"/>
    <w:rsid w:val="00816649"/>
    <w:rsid w:val="008166A5"/>
    <w:rsid w:val="008166E8"/>
    <w:rsid w:val="008166ED"/>
    <w:rsid w:val="00816710"/>
    <w:rsid w:val="00816875"/>
    <w:rsid w:val="00816B37"/>
    <w:rsid w:val="00816E65"/>
    <w:rsid w:val="00817042"/>
    <w:rsid w:val="0081707B"/>
    <w:rsid w:val="0081718A"/>
    <w:rsid w:val="00817387"/>
    <w:rsid w:val="008174FF"/>
    <w:rsid w:val="00817500"/>
    <w:rsid w:val="008177C8"/>
    <w:rsid w:val="00817865"/>
    <w:rsid w:val="008178C2"/>
    <w:rsid w:val="008178ED"/>
    <w:rsid w:val="008178FB"/>
    <w:rsid w:val="00817938"/>
    <w:rsid w:val="00817939"/>
    <w:rsid w:val="008179E3"/>
    <w:rsid w:val="00817A2E"/>
    <w:rsid w:val="00817A9D"/>
    <w:rsid w:val="00817AAA"/>
    <w:rsid w:val="00817AF3"/>
    <w:rsid w:val="00817B32"/>
    <w:rsid w:val="00817B89"/>
    <w:rsid w:val="00817BB5"/>
    <w:rsid w:val="00817BD8"/>
    <w:rsid w:val="00817D57"/>
    <w:rsid w:val="00817D87"/>
    <w:rsid w:val="00817DFE"/>
    <w:rsid w:val="00817E02"/>
    <w:rsid w:val="00817E15"/>
    <w:rsid w:val="00817EFD"/>
    <w:rsid w:val="00820098"/>
    <w:rsid w:val="008200A0"/>
    <w:rsid w:val="008200BD"/>
    <w:rsid w:val="00820124"/>
    <w:rsid w:val="0082015D"/>
    <w:rsid w:val="008201AA"/>
    <w:rsid w:val="00820279"/>
    <w:rsid w:val="008203DE"/>
    <w:rsid w:val="008203E5"/>
    <w:rsid w:val="0082044C"/>
    <w:rsid w:val="00820556"/>
    <w:rsid w:val="00820616"/>
    <w:rsid w:val="0082063E"/>
    <w:rsid w:val="0082065E"/>
    <w:rsid w:val="0082070D"/>
    <w:rsid w:val="0082072F"/>
    <w:rsid w:val="00820796"/>
    <w:rsid w:val="008207CB"/>
    <w:rsid w:val="008207FA"/>
    <w:rsid w:val="00820907"/>
    <w:rsid w:val="00820AC1"/>
    <w:rsid w:val="00820AD6"/>
    <w:rsid w:val="00820B4B"/>
    <w:rsid w:val="00820BC3"/>
    <w:rsid w:val="00820C43"/>
    <w:rsid w:val="00820C58"/>
    <w:rsid w:val="00820CEF"/>
    <w:rsid w:val="00820DDE"/>
    <w:rsid w:val="00820DF1"/>
    <w:rsid w:val="00820EA4"/>
    <w:rsid w:val="00820EDF"/>
    <w:rsid w:val="00820EEF"/>
    <w:rsid w:val="0082104E"/>
    <w:rsid w:val="008210E3"/>
    <w:rsid w:val="008211FD"/>
    <w:rsid w:val="0082120B"/>
    <w:rsid w:val="00821248"/>
    <w:rsid w:val="008212BC"/>
    <w:rsid w:val="008212E1"/>
    <w:rsid w:val="0082138B"/>
    <w:rsid w:val="00821392"/>
    <w:rsid w:val="008213E0"/>
    <w:rsid w:val="00821452"/>
    <w:rsid w:val="00821466"/>
    <w:rsid w:val="008214D6"/>
    <w:rsid w:val="008215C1"/>
    <w:rsid w:val="008215F9"/>
    <w:rsid w:val="00821613"/>
    <w:rsid w:val="0082163A"/>
    <w:rsid w:val="00821660"/>
    <w:rsid w:val="00821770"/>
    <w:rsid w:val="0082186D"/>
    <w:rsid w:val="008218D3"/>
    <w:rsid w:val="00821919"/>
    <w:rsid w:val="008219AD"/>
    <w:rsid w:val="00821A05"/>
    <w:rsid w:val="00821A51"/>
    <w:rsid w:val="00821A85"/>
    <w:rsid w:val="00821ADD"/>
    <w:rsid w:val="00821B28"/>
    <w:rsid w:val="00821B56"/>
    <w:rsid w:val="00821BAF"/>
    <w:rsid w:val="00821CEC"/>
    <w:rsid w:val="00821CED"/>
    <w:rsid w:val="00821E0C"/>
    <w:rsid w:val="00821F3E"/>
    <w:rsid w:val="00822078"/>
    <w:rsid w:val="008220A8"/>
    <w:rsid w:val="008220CC"/>
    <w:rsid w:val="008220D3"/>
    <w:rsid w:val="00822225"/>
    <w:rsid w:val="00822229"/>
    <w:rsid w:val="008222D1"/>
    <w:rsid w:val="00822315"/>
    <w:rsid w:val="00822321"/>
    <w:rsid w:val="0082238C"/>
    <w:rsid w:val="008224AD"/>
    <w:rsid w:val="00822581"/>
    <w:rsid w:val="00822597"/>
    <w:rsid w:val="0082262C"/>
    <w:rsid w:val="0082267A"/>
    <w:rsid w:val="00822746"/>
    <w:rsid w:val="00822770"/>
    <w:rsid w:val="0082278B"/>
    <w:rsid w:val="008227DD"/>
    <w:rsid w:val="008228EE"/>
    <w:rsid w:val="00822939"/>
    <w:rsid w:val="00822943"/>
    <w:rsid w:val="00822974"/>
    <w:rsid w:val="008229AD"/>
    <w:rsid w:val="00822A26"/>
    <w:rsid w:val="00822A28"/>
    <w:rsid w:val="00822B2D"/>
    <w:rsid w:val="00822B90"/>
    <w:rsid w:val="00822BB6"/>
    <w:rsid w:val="00822C98"/>
    <w:rsid w:val="00822CAD"/>
    <w:rsid w:val="00822D86"/>
    <w:rsid w:val="00822E29"/>
    <w:rsid w:val="00822E3F"/>
    <w:rsid w:val="00822F64"/>
    <w:rsid w:val="00823015"/>
    <w:rsid w:val="00823038"/>
    <w:rsid w:val="00823075"/>
    <w:rsid w:val="008230E0"/>
    <w:rsid w:val="0082325C"/>
    <w:rsid w:val="008232A5"/>
    <w:rsid w:val="0082333C"/>
    <w:rsid w:val="008233DD"/>
    <w:rsid w:val="008233EE"/>
    <w:rsid w:val="00823505"/>
    <w:rsid w:val="00823577"/>
    <w:rsid w:val="00823750"/>
    <w:rsid w:val="008237EF"/>
    <w:rsid w:val="00823850"/>
    <w:rsid w:val="0082393A"/>
    <w:rsid w:val="00823A05"/>
    <w:rsid w:val="00823B73"/>
    <w:rsid w:val="00823B7A"/>
    <w:rsid w:val="00823C61"/>
    <w:rsid w:val="00823C80"/>
    <w:rsid w:val="00823CCC"/>
    <w:rsid w:val="00823D09"/>
    <w:rsid w:val="00823D20"/>
    <w:rsid w:val="00823D2B"/>
    <w:rsid w:val="00823D6A"/>
    <w:rsid w:val="00823DCF"/>
    <w:rsid w:val="00823F16"/>
    <w:rsid w:val="00823F17"/>
    <w:rsid w:val="00823F92"/>
    <w:rsid w:val="00824175"/>
    <w:rsid w:val="0082417B"/>
    <w:rsid w:val="00824259"/>
    <w:rsid w:val="008242E3"/>
    <w:rsid w:val="00824396"/>
    <w:rsid w:val="008243DA"/>
    <w:rsid w:val="008243F8"/>
    <w:rsid w:val="00824442"/>
    <w:rsid w:val="00824493"/>
    <w:rsid w:val="00824508"/>
    <w:rsid w:val="0082457C"/>
    <w:rsid w:val="008245D5"/>
    <w:rsid w:val="00824639"/>
    <w:rsid w:val="00824671"/>
    <w:rsid w:val="008247C0"/>
    <w:rsid w:val="0082487D"/>
    <w:rsid w:val="00824986"/>
    <w:rsid w:val="00824999"/>
    <w:rsid w:val="008249EB"/>
    <w:rsid w:val="00824A74"/>
    <w:rsid w:val="00824A83"/>
    <w:rsid w:val="00824B17"/>
    <w:rsid w:val="00824B23"/>
    <w:rsid w:val="00824C2D"/>
    <w:rsid w:val="00824C51"/>
    <w:rsid w:val="00824CB9"/>
    <w:rsid w:val="00824ED6"/>
    <w:rsid w:val="00824EEA"/>
    <w:rsid w:val="00824F80"/>
    <w:rsid w:val="00825006"/>
    <w:rsid w:val="0082509D"/>
    <w:rsid w:val="008250A4"/>
    <w:rsid w:val="0082523B"/>
    <w:rsid w:val="0082525A"/>
    <w:rsid w:val="0082534B"/>
    <w:rsid w:val="0082536E"/>
    <w:rsid w:val="0082541B"/>
    <w:rsid w:val="008254A9"/>
    <w:rsid w:val="008254B3"/>
    <w:rsid w:val="00825537"/>
    <w:rsid w:val="0082558F"/>
    <w:rsid w:val="008255C6"/>
    <w:rsid w:val="0082566C"/>
    <w:rsid w:val="008256EB"/>
    <w:rsid w:val="00825717"/>
    <w:rsid w:val="0082576D"/>
    <w:rsid w:val="008258AF"/>
    <w:rsid w:val="00825967"/>
    <w:rsid w:val="0082596D"/>
    <w:rsid w:val="008259BD"/>
    <w:rsid w:val="008259FE"/>
    <w:rsid w:val="00825A67"/>
    <w:rsid w:val="00825A75"/>
    <w:rsid w:val="00825ABF"/>
    <w:rsid w:val="00825CD8"/>
    <w:rsid w:val="00825CF7"/>
    <w:rsid w:val="00825D2B"/>
    <w:rsid w:val="00825D6D"/>
    <w:rsid w:val="00825E24"/>
    <w:rsid w:val="00825E2C"/>
    <w:rsid w:val="00825F30"/>
    <w:rsid w:val="00825F78"/>
    <w:rsid w:val="00825F84"/>
    <w:rsid w:val="00825F93"/>
    <w:rsid w:val="00825FBA"/>
    <w:rsid w:val="00826005"/>
    <w:rsid w:val="00826064"/>
    <w:rsid w:val="0082608A"/>
    <w:rsid w:val="008260DF"/>
    <w:rsid w:val="0082612E"/>
    <w:rsid w:val="00826130"/>
    <w:rsid w:val="00826142"/>
    <w:rsid w:val="008261F4"/>
    <w:rsid w:val="008262B1"/>
    <w:rsid w:val="0082633F"/>
    <w:rsid w:val="00826356"/>
    <w:rsid w:val="00826363"/>
    <w:rsid w:val="008263F9"/>
    <w:rsid w:val="00826445"/>
    <w:rsid w:val="00826476"/>
    <w:rsid w:val="008264AF"/>
    <w:rsid w:val="0082658B"/>
    <w:rsid w:val="0082660A"/>
    <w:rsid w:val="00826639"/>
    <w:rsid w:val="00826656"/>
    <w:rsid w:val="008266A8"/>
    <w:rsid w:val="00826756"/>
    <w:rsid w:val="008267C2"/>
    <w:rsid w:val="008267DC"/>
    <w:rsid w:val="00826807"/>
    <w:rsid w:val="0082681B"/>
    <w:rsid w:val="0082681F"/>
    <w:rsid w:val="0082683E"/>
    <w:rsid w:val="008268AF"/>
    <w:rsid w:val="0082691C"/>
    <w:rsid w:val="008269FD"/>
    <w:rsid w:val="00826A5E"/>
    <w:rsid w:val="00826A72"/>
    <w:rsid w:val="00826C23"/>
    <w:rsid w:val="00826CA2"/>
    <w:rsid w:val="00826D0F"/>
    <w:rsid w:val="00826E7D"/>
    <w:rsid w:val="00826EB4"/>
    <w:rsid w:val="00826EC4"/>
    <w:rsid w:val="00826EED"/>
    <w:rsid w:val="00826F62"/>
    <w:rsid w:val="00826F98"/>
    <w:rsid w:val="00827063"/>
    <w:rsid w:val="008270A5"/>
    <w:rsid w:val="008271B5"/>
    <w:rsid w:val="008271C3"/>
    <w:rsid w:val="0082725C"/>
    <w:rsid w:val="00827272"/>
    <w:rsid w:val="00827361"/>
    <w:rsid w:val="008273BE"/>
    <w:rsid w:val="00827455"/>
    <w:rsid w:val="008274FC"/>
    <w:rsid w:val="00827640"/>
    <w:rsid w:val="00827645"/>
    <w:rsid w:val="00827694"/>
    <w:rsid w:val="008276A0"/>
    <w:rsid w:val="008276DB"/>
    <w:rsid w:val="008276F8"/>
    <w:rsid w:val="00827789"/>
    <w:rsid w:val="0082792B"/>
    <w:rsid w:val="00827938"/>
    <w:rsid w:val="00827943"/>
    <w:rsid w:val="00827BAE"/>
    <w:rsid w:val="00827C3D"/>
    <w:rsid w:val="00827C42"/>
    <w:rsid w:val="00827CBF"/>
    <w:rsid w:val="00827E18"/>
    <w:rsid w:val="00827E42"/>
    <w:rsid w:val="00830014"/>
    <w:rsid w:val="00830087"/>
    <w:rsid w:val="00830106"/>
    <w:rsid w:val="00830258"/>
    <w:rsid w:val="0083030D"/>
    <w:rsid w:val="008303D4"/>
    <w:rsid w:val="008303DC"/>
    <w:rsid w:val="008303ED"/>
    <w:rsid w:val="00830426"/>
    <w:rsid w:val="0083044F"/>
    <w:rsid w:val="0083045F"/>
    <w:rsid w:val="008304C7"/>
    <w:rsid w:val="008305C2"/>
    <w:rsid w:val="008305D1"/>
    <w:rsid w:val="0083074E"/>
    <w:rsid w:val="0083082C"/>
    <w:rsid w:val="00830873"/>
    <w:rsid w:val="008308DA"/>
    <w:rsid w:val="00830961"/>
    <w:rsid w:val="0083096B"/>
    <w:rsid w:val="00830973"/>
    <w:rsid w:val="008309A3"/>
    <w:rsid w:val="00830A67"/>
    <w:rsid w:val="00830A81"/>
    <w:rsid w:val="00830A88"/>
    <w:rsid w:val="00830A94"/>
    <w:rsid w:val="00830B8E"/>
    <w:rsid w:val="00830C64"/>
    <w:rsid w:val="00830CA3"/>
    <w:rsid w:val="00830CBA"/>
    <w:rsid w:val="00830EE8"/>
    <w:rsid w:val="00830F95"/>
    <w:rsid w:val="00830FB0"/>
    <w:rsid w:val="00830FBE"/>
    <w:rsid w:val="008310E9"/>
    <w:rsid w:val="008310F0"/>
    <w:rsid w:val="00831230"/>
    <w:rsid w:val="0083127C"/>
    <w:rsid w:val="008312F9"/>
    <w:rsid w:val="00831404"/>
    <w:rsid w:val="00831406"/>
    <w:rsid w:val="00831434"/>
    <w:rsid w:val="008316DE"/>
    <w:rsid w:val="00831714"/>
    <w:rsid w:val="0083176D"/>
    <w:rsid w:val="00831893"/>
    <w:rsid w:val="008318FE"/>
    <w:rsid w:val="00831A73"/>
    <w:rsid w:val="00831EE0"/>
    <w:rsid w:val="00832176"/>
    <w:rsid w:val="00832188"/>
    <w:rsid w:val="008321F1"/>
    <w:rsid w:val="008322A1"/>
    <w:rsid w:val="008322D9"/>
    <w:rsid w:val="00832340"/>
    <w:rsid w:val="008325E9"/>
    <w:rsid w:val="00832625"/>
    <w:rsid w:val="0083281D"/>
    <w:rsid w:val="00832917"/>
    <w:rsid w:val="008329C9"/>
    <w:rsid w:val="00832A4B"/>
    <w:rsid w:val="00832A7D"/>
    <w:rsid w:val="00832BDF"/>
    <w:rsid w:val="00832BE6"/>
    <w:rsid w:val="00832C3A"/>
    <w:rsid w:val="00832EA8"/>
    <w:rsid w:val="00832EDD"/>
    <w:rsid w:val="00832F3F"/>
    <w:rsid w:val="00833006"/>
    <w:rsid w:val="00833076"/>
    <w:rsid w:val="0083308A"/>
    <w:rsid w:val="00833090"/>
    <w:rsid w:val="008330BF"/>
    <w:rsid w:val="00833100"/>
    <w:rsid w:val="00833191"/>
    <w:rsid w:val="00833234"/>
    <w:rsid w:val="0083325E"/>
    <w:rsid w:val="00833271"/>
    <w:rsid w:val="008332A7"/>
    <w:rsid w:val="008332E9"/>
    <w:rsid w:val="00833323"/>
    <w:rsid w:val="008335D2"/>
    <w:rsid w:val="0083367E"/>
    <w:rsid w:val="0083373C"/>
    <w:rsid w:val="00833744"/>
    <w:rsid w:val="00833759"/>
    <w:rsid w:val="008337FB"/>
    <w:rsid w:val="00833800"/>
    <w:rsid w:val="00833809"/>
    <w:rsid w:val="008338BA"/>
    <w:rsid w:val="00833954"/>
    <w:rsid w:val="008339B5"/>
    <w:rsid w:val="00833C48"/>
    <w:rsid w:val="00833CA7"/>
    <w:rsid w:val="00833D55"/>
    <w:rsid w:val="00833E00"/>
    <w:rsid w:val="00833E09"/>
    <w:rsid w:val="00833E49"/>
    <w:rsid w:val="00833E4A"/>
    <w:rsid w:val="00833E74"/>
    <w:rsid w:val="00833EB6"/>
    <w:rsid w:val="00833EC0"/>
    <w:rsid w:val="0083403B"/>
    <w:rsid w:val="00834074"/>
    <w:rsid w:val="008342AC"/>
    <w:rsid w:val="008342B3"/>
    <w:rsid w:val="008342C2"/>
    <w:rsid w:val="00834352"/>
    <w:rsid w:val="00834528"/>
    <w:rsid w:val="00834558"/>
    <w:rsid w:val="008345A1"/>
    <w:rsid w:val="008345A6"/>
    <w:rsid w:val="00834656"/>
    <w:rsid w:val="00834883"/>
    <w:rsid w:val="0083488C"/>
    <w:rsid w:val="00834900"/>
    <w:rsid w:val="0083494C"/>
    <w:rsid w:val="00834960"/>
    <w:rsid w:val="008349E4"/>
    <w:rsid w:val="00834A2F"/>
    <w:rsid w:val="00834AE1"/>
    <w:rsid w:val="00834B37"/>
    <w:rsid w:val="00834BAE"/>
    <w:rsid w:val="00834BDB"/>
    <w:rsid w:val="00834C18"/>
    <w:rsid w:val="00834CD8"/>
    <w:rsid w:val="00834CE6"/>
    <w:rsid w:val="00834F0B"/>
    <w:rsid w:val="00834F4D"/>
    <w:rsid w:val="00835226"/>
    <w:rsid w:val="00835256"/>
    <w:rsid w:val="00835283"/>
    <w:rsid w:val="00835372"/>
    <w:rsid w:val="00835374"/>
    <w:rsid w:val="008354CE"/>
    <w:rsid w:val="0083553F"/>
    <w:rsid w:val="00835588"/>
    <w:rsid w:val="008355D0"/>
    <w:rsid w:val="008356FC"/>
    <w:rsid w:val="0083580A"/>
    <w:rsid w:val="00835826"/>
    <w:rsid w:val="008358F6"/>
    <w:rsid w:val="008359CA"/>
    <w:rsid w:val="008359EC"/>
    <w:rsid w:val="00835A13"/>
    <w:rsid w:val="00835A19"/>
    <w:rsid w:val="00835A4D"/>
    <w:rsid w:val="00835A7B"/>
    <w:rsid w:val="00835A96"/>
    <w:rsid w:val="00835AC8"/>
    <w:rsid w:val="00835B9B"/>
    <w:rsid w:val="00835C60"/>
    <w:rsid w:val="00835CA6"/>
    <w:rsid w:val="00835E60"/>
    <w:rsid w:val="00835E86"/>
    <w:rsid w:val="00835E8F"/>
    <w:rsid w:val="00836013"/>
    <w:rsid w:val="0083602C"/>
    <w:rsid w:val="0083604A"/>
    <w:rsid w:val="008360F5"/>
    <w:rsid w:val="00836185"/>
    <w:rsid w:val="008361DF"/>
    <w:rsid w:val="008362A3"/>
    <w:rsid w:val="008362D2"/>
    <w:rsid w:val="008364E6"/>
    <w:rsid w:val="00836529"/>
    <w:rsid w:val="0083659C"/>
    <w:rsid w:val="00836755"/>
    <w:rsid w:val="00836942"/>
    <w:rsid w:val="008369BA"/>
    <w:rsid w:val="00836A07"/>
    <w:rsid w:val="00836A23"/>
    <w:rsid w:val="00836A5D"/>
    <w:rsid w:val="00836A7A"/>
    <w:rsid w:val="00836ABE"/>
    <w:rsid w:val="00836B45"/>
    <w:rsid w:val="00836BD0"/>
    <w:rsid w:val="00836C19"/>
    <w:rsid w:val="00836C71"/>
    <w:rsid w:val="00836C8E"/>
    <w:rsid w:val="00836CCC"/>
    <w:rsid w:val="00836D5A"/>
    <w:rsid w:val="00836E08"/>
    <w:rsid w:val="00836E42"/>
    <w:rsid w:val="00836E6E"/>
    <w:rsid w:val="00836FB6"/>
    <w:rsid w:val="00836FFF"/>
    <w:rsid w:val="0083705E"/>
    <w:rsid w:val="008371BD"/>
    <w:rsid w:val="00837285"/>
    <w:rsid w:val="008373CB"/>
    <w:rsid w:val="0083749F"/>
    <w:rsid w:val="00837589"/>
    <w:rsid w:val="00837687"/>
    <w:rsid w:val="008376EB"/>
    <w:rsid w:val="00837743"/>
    <w:rsid w:val="00837788"/>
    <w:rsid w:val="008377A7"/>
    <w:rsid w:val="008377DD"/>
    <w:rsid w:val="00837800"/>
    <w:rsid w:val="00837919"/>
    <w:rsid w:val="008379FD"/>
    <w:rsid w:val="00837A79"/>
    <w:rsid w:val="00837B29"/>
    <w:rsid w:val="00837C17"/>
    <w:rsid w:val="00837C84"/>
    <w:rsid w:val="00837CB6"/>
    <w:rsid w:val="00837D16"/>
    <w:rsid w:val="00837D60"/>
    <w:rsid w:val="00837DA9"/>
    <w:rsid w:val="00837EF1"/>
    <w:rsid w:val="00837F18"/>
    <w:rsid w:val="00837FC6"/>
    <w:rsid w:val="00840065"/>
    <w:rsid w:val="008400F9"/>
    <w:rsid w:val="00840109"/>
    <w:rsid w:val="0084010B"/>
    <w:rsid w:val="0084012F"/>
    <w:rsid w:val="00840139"/>
    <w:rsid w:val="00840176"/>
    <w:rsid w:val="0084023E"/>
    <w:rsid w:val="00840336"/>
    <w:rsid w:val="008404F6"/>
    <w:rsid w:val="0084051B"/>
    <w:rsid w:val="0084058D"/>
    <w:rsid w:val="008409B2"/>
    <w:rsid w:val="00840A78"/>
    <w:rsid w:val="00840A9D"/>
    <w:rsid w:val="00840B3C"/>
    <w:rsid w:val="00840B63"/>
    <w:rsid w:val="00840BA3"/>
    <w:rsid w:val="00840BDD"/>
    <w:rsid w:val="00840E71"/>
    <w:rsid w:val="00841002"/>
    <w:rsid w:val="00841240"/>
    <w:rsid w:val="0084124F"/>
    <w:rsid w:val="008412A1"/>
    <w:rsid w:val="008412E5"/>
    <w:rsid w:val="00841311"/>
    <w:rsid w:val="00841393"/>
    <w:rsid w:val="008413B6"/>
    <w:rsid w:val="00841486"/>
    <w:rsid w:val="008414C2"/>
    <w:rsid w:val="008414E5"/>
    <w:rsid w:val="008414F7"/>
    <w:rsid w:val="00841528"/>
    <w:rsid w:val="008415B4"/>
    <w:rsid w:val="008415EE"/>
    <w:rsid w:val="008415F4"/>
    <w:rsid w:val="0084165F"/>
    <w:rsid w:val="0084175B"/>
    <w:rsid w:val="0084175F"/>
    <w:rsid w:val="008418D6"/>
    <w:rsid w:val="008419E1"/>
    <w:rsid w:val="00841A6F"/>
    <w:rsid w:val="00841AC6"/>
    <w:rsid w:val="00841B30"/>
    <w:rsid w:val="00841B97"/>
    <w:rsid w:val="00841C05"/>
    <w:rsid w:val="00841C0B"/>
    <w:rsid w:val="00841C19"/>
    <w:rsid w:val="00841D13"/>
    <w:rsid w:val="00841D84"/>
    <w:rsid w:val="00841D8D"/>
    <w:rsid w:val="00841DA5"/>
    <w:rsid w:val="00841E00"/>
    <w:rsid w:val="00841EA8"/>
    <w:rsid w:val="00841F8E"/>
    <w:rsid w:val="00841F9B"/>
    <w:rsid w:val="00841FB3"/>
    <w:rsid w:val="00842177"/>
    <w:rsid w:val="008421A9"/>
    <w:rsid w:val="008421C0"/>
    <w:rsid w:val="008421D1"/>
    <w:rsid w:val="008421F5"/>
    <w:rsid w:val="008422E5"/>
    <w:rsid w:val="008423F6"/>
    <w:rsid w:val="0084243A"/>
    <w:rsid w:val="0084248C"/>
    <w:rsid w:val="008424AF"/>
    <w:rsid w:val="00842568"/>
    <w:rsid w:val="008425D9"/>
    <w:rsid w:val="008425E9"/>
    <w:rsid w:val="008425F1"/>
    <w:rsid w:val="0084271F"/>
    <w:rsid w:val="00842810"/>
    <w:rsid w:val="008428CA"/>
    <w:rsid w:val="008428D8"/>
    <w:rsid w:val="008428E3"/>
    <w:rsid w:val="008429CA"/>
    <w:rsid w:val="008429DC"/>
    <w:rsid w:val="00842A1B"/>
    <w:rsid w:val="00842A51"/>
    <w:rsid w:val="00842A7C"/>
    <w:rsid w:val="00842B06"/>
    <w:rsid w:val="00842B27"/>
    <w:rsid w:val="00842CB5"/>
    <w:rsid w:val="00842CFE"/>
    <w:rsid w:val="00842E12"/>
    <w:rsid w:val="00842E26"/>
    <w:rsid w:val="00842E76"/>
    <w:rsid w:val="00842E8E"/>
    <w:rsid w:val="00842EA9"/>
    <w:rsid w:val="00842EB7"/>
    <w:rsid w:val="00842F3D"/>
    <w:rsid w:val="00842F54"/>
    <w:rsid w:val="00842F62"/>
    <w:rsid w:val="00843082"/>
    <w:rsid w:val="008430F2"/>
    <w:rsid w:val="0084310B"/>
    <w:rsid w:val="0084312D"/>
    <w:rsid w:val="0084319F"/>
    <w:rsid w:val="0084320C"/>
    <w:rsid w:val="008432E9"/>
    <w:rsid w:val="00843485"/>
    <w:rsid w:val="008434E2"/>
    <w:rsid w:val="008434F0"/>
    <w:rsid w:val="008435C2"/>
    <w:rsid w:val="00843638"/>
    <w:rsid w:val="008436AA"/>
    <w:rsid w:val="008436AC"/>
    <w:rsid w:val="00843761"/>
    <w:rsid w:val="00843903"/>
    <w:rsid w:val="00843952"/>
    <w:rsid w:val="00843A51"/>
    <w:rsid w:val="00843A56"/>
    <w:rsid w:val="00843ABE"/>
    <w:rsid w:val="00843B1E"/>
    <w:rsid w:val="00843BB7"/>
    <w:rsid w:val="00843D4B"/>
    <w:rsid w:val="00843DB3"/>
    <w:rsid w:val="00843EC5"/>
    <w:rsid w:val="00843F7E"/>
    <w:rsid w:val="00843FD6"/>
    <w:rsid w:val="00844037"/>
    <w:rsid w:val="008441A5"/>
    <w:rsid w:val="00844369"/>
    <w:rsid w:val="00844386"/>
    <w:rsid w:val="00844387"/>
    <w:rsid w:val="008443FC"/>
    <w:rsid w:val="00844477"/>
    <w:rsid w:val="008444D3"/>
    <w:rsid w:val="00844558"/>
    <w:rsid w:val="00844560"/>
    <w:rsid w:val="0084456A"/>
    <w:rsid w:val="00844604"/>
    <w:rsid w:val="00844612"/>
    <w:rsid w:val="00844647"/>
    <w:rsid w:val="00844654"/>
    <w:rsid w:val="0084496C"/>
    <w:rsid w:val="008449C2"/>
    <w:rsid w:val="00844A5D"/>
    <w:rsid w:val="00844ABA"/>
    <w:rsid w:val="00844C3F"/>
    <w:rsid w:val="00844D08"/>
    <w:rsid w:val="00844D2A"/>
    <w:rsid w:val="00844E2B"/>
    <w:rsid w:val="00844FA0"/>
    <w:rsid w:val="00844FBE"/>
    <w:rsid w:val="00844FE5"/>
    <w:rsid w:val="00844FF5"/>
    <w:rsid w:val="0084500D"/>
    <w:rsid w:val="0084501D"/>
    <w:rsid w:val="0084508F"/>
    <w:rsid w:val="008450BE"/>
    <w:rsid w:val="0084531D"/>
    <w:rsid w:val="008453C1"/>
    <w:rsid w:val="0084543D"/>
    <w:rsid w:val="008454DA"/>
    <w:rsid w:val="008454E9"/>
    <w:rsid w:val="008454F5"/>
    <w:rsid w:val="00845527"/>
    <w:rsid w:val="0084556C"/>
    <w:rsid w:val="00845667"/>
    <w:rsid w:val="0084566B"/>
    <w:rsid w:val="008457E4"/>
    <w:rsid w:val="00845891"/>
    <w:rsid w:val="008458A2"/>
    <w:rsid w:val="008458F7"/>
    <w:rsid w:val="008459E0"/>
    <w:rsid w:val="008459F7"/>
    <w:rsid w:val="00845A1F"/>
    <w:rsid w:val="00845A26"/>
    <w:rsid w:val="00845A89"/>
    <w:rsid w:val="00845ADB"/>
    <w:rsid w:val="00845BEA"/>
    <w:rsid w:val="00845C2B"/>
    <w:rsid w:val="00845C9E"/>
    <w:rsid w:val="00845D57"/>
    <w:rsid w:val="00845D79"/>
    <w:rsid w:val="00845DF3"/>
    <w:rsid w:val="00845E39"/>
    <w:rsid w:val="00845EE5"/>
    <w:rsid w:val="00845F5E"/>
    <w:rsid w:val="00845FAF"/>
    <w:rsid w:val="008460D5"/>
    <w:rsid w:val="0084622A"/>
    <w:rsid w:val="00846332"/>
    <w:rsid w:val="00846346"/>
    <w:rsid w:val="008463DE"/>
    <w:rsid w:val="0084645F"/>
    <w:rsid w:val="00846471"/>
    <w:rsid w:val="008464AA"/>
    <w:rsid w:val="008464BD"/>
    <w:rsid w:val="008464FF"/>
    <w:rsid w:val="0084650D"/>
    <w:rsid w:val="00846520"/>
    <w:rsid w:val="00846530"/>
    <w:rsid w:val="008465E7"/>
    <w:rsid w:val="0084662A"/>
    <w:rsid w:val="0084664E"/>
    <w:rsid w:val="00846650"/>
    <w:rsid w:val="00846654"/>
    <w:rsid w:val="00846679"/>
    <w:rsid w:val="008466D1"/>
    <w:rsid w:val="008466D7"/>
    <w:rsid w:val="008467F3"/>
    <w:rsid w:val="00846855"/>
    <w:rsid w:val="0084688A"/>
    <w:rsid w:val="00846AF1"/>
    <w:rsid w:val="00846BCE"/>
    <w:rsid w:val="00846C0E"/>
    <w:rsid w:val="00846D2D"/>
    <w:rsid w:val="00846E44"/>
    <w:rsid w:val="00846E49"/>
    <w:rsid w:val="00846F0C"/>
    <w:rsid w:val="00846F23"/>
    <w:rsid w:val="00846F28"/>
    <w:rsid w:val="00846F7D"/>
    <w:rsid w:val="00846F96"/>
    <w:rsid w:val="00847137"/>
    <w:rsid w:val="008471B1"/>
    <w:rsid w:val="008471B6"/>
    <w:rsid w:val="00847227"/>
    <w:rsid w:val="008472F0"/>
    <w:rsid w:val="0084733E"/>
    <w:rsid w:val="0084739D"/>
    <w:rsid w:val="00847411"/>
    <w:rsid w:val="00847558"/>
    <w:rsid w:val="00847610"/>
    <w:rsid w:val="00847672"/>
    <w:rsid w:val="00847693"/>
    <w:rsid w:val="0084769C"/>
    <w:rsid w:val="008476D1"/>
    <w:rsid w:val="0084776A"/>
    <w:rsid w:val="0084782E"/>
    <w:rsid w:val="0084787C"/>
    <w:rsid w:val="00847910"/>
    <w:rsid w:val="00847988"/>
    <w:rsid w:val="008479E6"/>
    <w:rsid w:val="00847A68"/>
    <w:rsid w:val="00847A93"/>
    <w:rsid w:val="00847AF3"/>
    <w:rsid w:val="00847BAC"/>
    <w:rsid w:val="00847BC5"/>
    <w:rsid w:val="00847CE1"/>
    <w:rsid w:val="00847F78"/>
    <w:rsid w:val="00850014"/>
    <w:rsid w:val="0085005C"/>
    <w:rsid w:val="008500BC"/>
    <w:rsid w:val="008500EF"/>
    <w:rsid w:val="0085017B"/>
    <w:rsid w:val="00850280"/>
    <w:rsid w:val="00850287"/>
    <w:rsid w:val="008502AA"/>
    <w:rsid w:val="008502CC"/>
    <w:rsid w:val="0085034E"/>
    <w:rsid w:val="0085045E"/>
    <w:rsid w:val="0085051F"/>
    <w:rsid w:val="00850527"/>
    <w:rsid w:val="0085055B"/>
    <w:rsid w:val="008505B4"/>
    <w:rsid w:val="008505BE"/>
    <w:rsid w:val="00850659"/>
    <w:rsid w:val="00850680"/>
    <w:rsid w:val="00850735"/>
    <w:rsid w:val="0085078E"/>
    <w:rsid w:val="008509BC"/>
    <w:rsid w:val="00850A24"/>
    <w:rsid w:val="00850A6E"/>
    <w:rsid w:val="00850B5B"/>
    <w:rsid w:val="00850C07"/>
    <w:rsid w:val="00850C37"/>
    <w:rsid w:val="00850C7D"/>
    <w:rsid w:val="00850CE6"/>
    <w:rsid w:val="00850D26"/>
    <w:rsid w:val="00850D34"/>
    <w:rsid w:val="00850D78"/>
    <w:rsid w:val="00850DFF"/>
    <w:rsid w:val="00850E5D"/>
    <w:rsid w:val="00850E7C"/>
    <w:rsid w:val="00850E83"/>
    <w:rsid w:val="00850E99"/>
    <w:rsid w:val="00850EDE"/>
    <w:rsid w:val="0085113A"/>
    <w:rsid w:val="00851188"/>
    <w:rsid w:val="008511C8"/>
    <w:rsid w:val="00851245"/>
    <w:rsid w:val="00851295"/>
    <w:rsid w:val="0085135E"/>
    <w:rsid w:val="00851378"/>
    <w:rsid w:val="008514DF"/>
    <w:rsid w:val="00851555"/>
    <w:rsid w:val="008517A9"/>
    <w:rsid w:val="0085185F"/>
    <w:rsid w:val="008518BC"/>
    <w:rsid w:val="00851906"/>
    <w:rsid w:val="0085193E"/>
    <w:rsid w:val="008519CF"/>
    <w:rsid w:val="008519E0"/>
    <w:rsid w:val="00851A4F"/>
    <w:rsid w:val="00851B78"/>
    <w:rsid w:val="00851B7F"/>
    <w:rsid w:val="00851C73"/>
    <w:rsid w:val="00851DB2"/>
    <w:rsid w:val="00851DDD"/>
    <w:rsid w:val="00851E52"/>
    <w:rsid w:val="0085211F"/>
    <w:rsid w:val="0085214F"/>
    <w:rsid w:val="00852166"/>
    <w:rsid w:val="008521BB"/>
    <w:rsid w:val="0085222A"/>
    <w:rsid w:val="008522AC"/>
    <w:rsid w:val="008523D8"/>
    <w:rsid w:val="008524C7"/>
    <w:rsid w:val="00852568"/>
    <w:rsid w:val="008525D5"/>
    <w:rsid w:val="00852721"/>
    <w:rsid w:val="0085277B"/>
    <w:rsid w:val="008527A4"/>
    <w:rsid w:val="008527CD"/>
    <w:rsid w:val="008527E9"/>
    <w:rsid w:val="00852836"/>
    <w:rsid w:val="00852889"/>
    <w:rsid w:val="008528A2"/>
    <w:rsid w:val="008528D9"/>
    <w:rsid w:val="0085297F"/>
    <w:rsid w:val="00852992"/>
    <w:rsid w:val="008529D8"/>
    <w:rsid w:val="00852A10"/>
    <w:rsid w:val="00852A47"/>
    <w:rsid w:val="00852A65"/>
    <w:rsid w:val="00852B23"/>
    <w:rsid w:val="00852B2A"/>
    <w:rsid w:val="00852B2F"/>
    <w:rsid w:val="00852BDF"/>
    <w:rsid w:val="00852C5B"/>
    <w:rsid w:val="00852C6E"/>
    <w:rsid w:val="00852C74"/>
    <w:rsid w:val="00852CB7"/>
    <w:rsid w:val="00852DAC"/>
    <w:rsid w:val="00852DE7"/>
    <w:rsid w:val="00852E6D"/>
    <w:rsid w:val="00853007"/>
    <w:rsid w:val="008530A7"/>
    <w:rsid w:val="008530DD"/>
    <w:rsid w:val="0085312A"/>
    <w:rsid w:val="00853142"/>
    <w:rsid w:val="008533D2"/>
    <w:rsid w:val="00853426"/>
    <w:rsid w:val="008535D4"/>
    <w:rsid w:val="008535F0"/>
    <w:rsid w:val="00853612"/>
    <w:rsid w:val="00853653"/>
    <w:rsid w:val="0085367D"/>
    <w:rsid w:val="008536DE"/>
    <w:rsid w:val="008536EB"/>
    <w:rsid w:val="0085382C"/>
    <w:rsid w:val="0085384C"/>
    <w:rsid w:val="00853951"/>
    <w:rsid w:val="00853A22"/>
    <w:rsid w:val="00853B46"/>
    <w:rsid w:val="00853B4A"/>
    <w:rsid w:val="00853C10"/>
    <w:rsid w:val="00853C4A"/>
    <w:rsid w:val="00853CBF"/>
    <w:rsid w:val="00853EA0"/>
    <w:rsid w:val="00853F9F"/>
    <w:rsid w:val="00854170"/>
    <w:rsid w:val="008541C7"/>
    <w:rsid w:val="008541F2"/>
    <w:rsid w:val="008542EC"/>
    <w:rsid w:val="0085433B"/>
    <w:rsid w:val="008543DC"/>
    <w:rsid w:val="00854414"/>
    <w:rsid w:val="008544B8"/>
    <w:rsid w:val="008544C6"/>
    <w:rsid w:val="0085450C"/>
    <w:rsid w:val="008545A2"/>
    <w:rsid w:val="008545AC"/>
    <w:rsid w:val="00854646"/>
    <w:rsid w:val="00854657"/>
    <w:rsid w:val="0085475D"/>
    <w:rsid w:val="00854878"/>
    <w:rsid w:val="008548A2"/>
    <w:rsid w:val="008548F5"/>
    <w:rsid w:val="00854A04"/>
    <w:rsid w:val="00854AAA"/>
    <w:rsid w:val="00854BCE"/>
    <w:rsid w:val="00854C1C"/>
    <w:rsid w:val="00854C25"/>
    <w:rsid w:val="00854CAC"/>
    <w:rsid w:val="00854CDF"/>
    <w:rsid w:val="00854D65"/>
    <w:rsid w:val="00854D99"/>
    <w:rsid w:val="00854D9C"/>
    <w:rsid w:val="00854DD8"/>
    <w:rsid w:val="00854FC3"/>
    <w:rsid w:val="00855078"/>
    <w:rsid w:val="00855088"/>
    <w:rsid w:val="0085514B"/>
    <w:rsid w:val="0085522F"/>
    <w:rsid w:val="00855239"/>
    <w:rsid w:val="008552F6"/>
    <w:rsid w:val="008552FD"/>
    <w:rsid w:val="00855378"/>
    <w:rsid w:val="00855385"/>
    <w:rsid w:val="00855411"/>
    <w:rsid w:val="00855419"/>
    <w:rsid w:val="00855490"/>
    <w:rsid w:val="008554B2"/>
    <w:rsid w:val="008554BB"/>
    <w:rsid w:val="008554E7"/>
    <w:rsid w:val="008555C1"/>
    <w:rsid w:val="00855686"/>
    <w:rsid w:val="008556E2"/>
    <w:rsid w:val="008557DD"/>
    <w:rsid w:val="008557FD"/>
    <w:rsid w:val="0085589F"/>
    <w:rsid w:val="00855919"/>
    <w:rsid w:val="0085594A"/>
    <w:rsid w:val="00855994"/>
    <w:rsid w:val="008559F9"/>
    <w:rsid w:val="00855C10"/>
    <w:rsid w:val="00855D07"/>
    <w:rsid w:val="00855D86"/>
    <w:rsid w:val="00855EA3"/>
    <w:rsid w:val="00855F07"/>
    <w:rsid w:val="00855F42"/>
    <w:rsid w:val="00855FD4"/>
    <w:rsid w:val="00855FE8"/>
    <w:rsid w:val="008560D0"/>
    <w:rsid w:val="0085615C"/>
    <w:rsid w:val="00856220"/>
    <w:rsid w:val="0085625F"/>
    <w:rsid w:val="008562C2"/>
    <w:rsid w:val="008562CC"/>
    <w:rsid w:val="008562DB"/>
    <w:rsid w:val="0085633A"/>
    <w:rsid w:val="0085635D"/>
    <w:rsid w:val="00856372"/>
    <w:rsid w:val="008563A9"/>
    <w:rsid w:val="008563B3"/>
    <w:rsid w:val="008563D4"/>
    <w:rsid w:val="008564C6"/>
    <w:rsid w:val="008565FD"/>
    <w:rsid w:val="008569B7"/>
    <w:rsid w:val="008569D7"/>
    <w:rsid w:val="00856A2D"/>
    <w:rsid w:val="00856AD9"/>
    <w:rsid w:val="00856BD0"/>
    <w:rsid w:val="00856BF6"/>
    <w:rsid w:val="00856DEB"/>
    <w:rsid w:val="00856E24"/>
    <w:rsid w:val="00856F6E"/>
    <w:rsid w:val="00856FB3"/>
    <w:rsid w:val="00856FEE"/>
    <w:rsid w:val="0085702F"/>
    <w:rsid w:val="0085704F"/>
    <w:rsid w:val="00857050"/>
    <w:rsid w:val="00857183"/>
    <w:rsid w:val="008571A1"/>
    <w:rsid w:val="00857214"/>
    <w:rsid w:val="0085727A"/>
    <w:rsid w:val="00857348"/>
    <w:rsid w:val="00857463"/>
    <w:rsid w:val="008574F6"/>
    <w:rsid w:val="008575A5"/>
    <w:rsid w:val="008575C3"/>
    <w:rsid w:val="008575FA"/>
    <w:rsid w:val="0085761A"/>
    <w:rsid w:val="0085761E"/>
    <w:rsid w:val="00857647"/>
    <w:rsid w:val="008576EE"/>
    <w:rsid w:val="00857705"/>
    <w:rsid w:val="00857883"/>
    <w:rsid w:val="008578CF"/>
    <w:rsid w:val="008578D7"/>
    <w:rsid w:val="0085790D"/>
    <w:rsid w:val="00857919"/>
    <w:rsid w:val="008579DB"/>
    <w:rsid w:val="008579DC"/>
    <w:rsid w:val="00857AA2"/>
    <w:rsid w:val="00857B0D"/>
    <w:rsid w:val="00857C92"/>
    <w:rsid w:val="00857CCA"/>
    <w:rsid w:val="00857CD9"/>
    <w:rsid w:val="00857E1C"/>
    <w:rsid w:val="00857E8F"/>
    <w:rsid w:val="00860077"/>
    <w:rsid w:val="00860088"/>
    <w:rsid w:val="008600BC"/>
    <w:rsid w:val="00860158"/>
    <w:rsid w:val="0086017C"/>
    <w:rsid w:val="00860182"/>
    <w:rsid w:val="0086025C"/>
    <w:rsid w:val="0086026E"/>
    <w:rsid w:val="008602A7"/>
    <w:rsid w:val="008602D3"/>
    <w:rsid w:val="0086048E"/>
    <w:rsid w:val="00860493"/>
    <w:rsid w:val="00860496"/>
    <w:rsid w:val="00860524"/>
    <w:rsid w:val="00860642"/>
    <w:rsid w:val="00860663"/>
    <w:rsid w:val="008606AD"/>
    <w:rsid w:val="008607B3"/>
    <w:rsid w:val="008607EF"/>
    <w:rsid w:val="008608F1"/>
    <w:rsid w:val="0086098C"/>
    <w:rsid w:val="00860B04"/>
    <w:rsid w:val="00860B40"/>
    <w:rsid w:val="00860B6A"/>
    <w:rsid w:val="00860B73"/>
    <w:rsid w:val="00860B79"/>
    <w:rsid w:val="00860BDF"/>
    <w:rsid w:val="00860C1D"/>
    <w:rsid w:val="00860C22"/>
    <w:rsid w:val="00860C80"/>
    <w:rsid w:val="00860D0D"/>
    <w:rsid w:val="00860D36"/>
    <w:rsid w:val="00860D95"/>
    <w:rsid w:val="00860E88"/>
    <w:rsid w:val="00860F4D"/>
    <w:rsid w:val="00860F64"/>
    <w:rsid w:val="00860F71"/>
    <w:rsid w:val="00860F96"/>
    <w:rsid w:val="0086101B"/>
    <w:rsid w:val="00861041"/>
    <w:rsid w:val="008610BC"/>
    <w:rsid w:val="008610C5"/>
    <w:rsid w:val="00861103"/>
    <w:rsid w:val="00861171"/>
    <w:rsid w:val="008611FC"/>
    <w:rsid w:val="008611FD"/>
    <w:rsid w:val="0086121D"/>
    <w:rsid w:val="0086151B"/>
    <w:rsid w:val="0086172E"/>
    <w:rsid w:val="0086173C"/>
    <w:rsid w:val="00861776"/>
    <w:rsid w:val="008617D0"/>
    <w:rsid w:val="00861824"/>
    <w:rsid w:val="00861854"/>
    <w:rsid w:val="00861866"/>
    <w:rsid w:val="008618D1"/>
    <w:rsid w:val="00861951"/>
    <w:rsid w:val="00861995"/>
    <w:rsid w:val="008619A3"/>
    <w:rsid w:val="008619D4"/>
    <w:rsid w:val="00861A1B"/>
    <w:rsid w:val="00861B1F"/>
    <w:rsid w:val="00861B46"/>
    <w:rsid w:val="00861CB6"/>
    <w:rsid w:val="00861CE2"/>
    <w:rsid w:val="00861D9B"/>
    <w:rsid w:val="00861E60"/>
    <w:rsid w:val="00861F5E"/>
    <w:rsid w:val="00861F69"/>
    <w:rsid w:val="00861FED"/>
    <w:rsid w:val="0086211E"/>
    <w:rsid w:val="0086225C"/>
    <w:rsid w:val="00862262"/>
    <w:rsid w:val="00862285"/>
    <w:rsid w:val="008622A6"/>
    <w:rsid w:val="00862335"/>
    <w:rsid w:val="0086233D"/>
    <w:rsid w:val="008623E0"/>
    <w:rsid w:val="008623F8"/>
    <w:rsid w:val="00862441"/>
    <w:rsid w:val="00862481"/>
    <w:rsid w:val="008624C9"/>
    <w:rsid w:val="0086259D"/>
    <w:rsid w:val="008625E1"/>
    <w:rsid w:val="0086268C"/>
    <w:rsid w:val="0086268D"/>
    <w:rsid w:val="00862694"/>
    <w:rsid w:val="008626CD"/>
    <w:rsid w:val="008626DE"/>
    <w:rsid w:val="0086274A"/>
    <w:rsid w:val="008628AF"/>
    <w:rsid w:val="008628C5"/>
    <w:rsid w:val="0086291A"/>
    <w:rsid w:val="00862979"/>
    <w:rsid w:val="00862A64"/>
    <w:rsid w:val="00862A75"/>
    <w:rsid w:val="00862B58"/>
    <w:rsid w:val="00862C42"/>
    <w:rsid w:val="00862C92"/>
    <w:rsid w:val="00862CC8"/>
    <w:rsid w:val="00862CD2"/>
    <w:rsid w:val="00862ED4"/>
    <w:rsid w:val="00862F10"/>
    <w:rsid w:val="00862F65"/>
    <w:rsid w:val="00862F87"/>
    <w:rsid w:val="00862FA8"/>
    <w:rsid w:val="0086300D"/>
    <w:rsid w:val="008630A8"/>
    <w:rsid w:val="008630E1"/>
    <w:rsid w:val="0086310F"/>
    <w:rsid w:val="008631C4"/>
    <w:rsid w:val="00863201"/>
    <w:rsid w:val="0086327C"/>
    <w:rsid w:val="008633C1"/>
    <w:rsid w:val="008633EA"/>
    <w:rsid w:val="008633F2"/>
    <w:rsid w:val="00863561"/>
    <w:rsid w:val="008635A6"/>
    <w:rsid w:val="008635B6"/>
    <w:rsid w:val="0086360B"/>
    <w:rsid w:val="0086368B"/>
    <w:rsid w:val="0086371B"/>
    <w:rsid w:val="0086371C"/>
    <w:rsid w:val="0086376A"/>
    <w:rsid w:val="008637C6"/>
    <w:rsid w:val="008637FD"/>
    <w:rsid w:val="008639E1"/>
    <w:rsid w:val="00863B27"/>
    <w:rsid w:val="00863B96"/>
    <w:rsid w:val="00863BE7"/>
    <w:rsid w:val="00863CF2"/>
    <w:rsid w:val="00863CFB"/>
    <w:rsid w:val="00863D11"/>
    <w:rsid w:val="00863F32"/>
    <w:rsid w:val="00864059"/>
    <w:rsid w:val="0086410F"/>
    <w:rsid w:val="00864136"/>
    <w:rsid w:val="00864140"/>
    <w:rsid w:val="00864201"/>
    <w:rsid w:val="008642F5"/>
    <w:rsid w:val="008643EB"/>
    <w:rsid w:val="00864413"/>
    <w:rsid w:val="0086442F"/>
    <w:rsid w:val="00864464"/>
    <w:rsid w:val="00864512"/>
    <w:rsid w:val="00864689"/>
    <w:rsid w:val="008646C7"/>
    <w:rsid w:val="00864773"/>
    <w:rsid w:val="008647A7"/>
    <w:rsid w:val="00864815"/>
    <w:rsid w:val="00864852"/>
    <w:rsid w:val="0086492F"/>
    <w:rsid w:val="0086493E"/>
    <w:rsid w:val="0086498E"/>
    <w:rsid w:val="008649E9"/>
    <w:rsid w:val="00864ADD"/>
    <w:rsid w:val="00864B02"/>
    <w:rsid w:val="00864B0C"/>
    <w:rsid w:val="00864B1E"/>
    <w:rsid w:val="00864BA3"/>
    <w:rsid w:val="00864BCF"/>
    <w:rsid w:val="00864C75"/>
    <w:rsid w:val="00864C8F"/>
    <w:rsid w:val="00864DCA"/>
    <w:rsid w:val="00864E1E"/>
    <w:rsid w:val="00864E55"/>
    <w:rsid w:val="00864E70"/>
    <w:rsid w:val="00864EF3"/>
    <w:rsid w:val="00864F3B"/>
    <w:rsid w:val="00864F97"/>
    <w:rsid w:val="00864FB9"/>
    <w:rsid w:val="0086502A"/>
    <w:rsid w:val="0086503C"/>
    <w:rsid w:val="00865078"/>
    <w:rsid w:val="008650A1"/>
    <w:rsid w:val="008651F4"/>
    <w:rsid w:val="0086522D"/>
    <w:rsid w:val="00865245"/>
    <w:rsid w:val="008652BF"/>
    <w:rsid w:val="008652EE"/>
    <w:rsid w:val="0086533A"/>
    <w:rsid w:val="008653D9"/>
    <w:rsid w:val="008653E2"/>
    <w:rsid w:val="0086541A"/>
    <w:rsid w:val="00865440"/>
    <w:rsid w:val="00865489"/>
    <w:rsid w:val="00865525"/>
    <w:rsid w:val="00865555"/>
    <w:rsid w:val="00865581"/>
    <w:rsid w:val="00865582"/>
    <w:rsid w:val="008655E8"/>
    <w:rsid w:val="0086569B"/>
    <w:rsid w:val="008656C9"/>
    <w:rsid w:val="00865793"/>
    <w:rsid w:val="0086579C"/>
    <w:rsid w:val="008657F9"/>
    <w:rsid w:val="0086587D"/>
    <w:rsid w:val="00865903"/>
    <w:rsid w:val="0086591A"/>
    <w:rsid w:val="008659BA"/>
    <w:rsid w:val="00865AF8"/>
    <w:rsid w:val="00865AFD"/>
    <w:rsid w:val="00865B0B"/>
    <w:rsid w:val="00865B4C"/>
    <w:rsid w:val="00865BB3"/>
    <w:rsid w:val="00865C2C"/>
    <w:rsid w:val="00865C62"/>
    <w:rsid w:val="00865D3A"/>
    <w:rsid w:val="00865E33"/>
    <w:rsid w:val="00865E42"/>
    <w:rsid w:val="00865E54"/>
    <w:rsid w:val="00865EE5"/>
    <w:rsid w:val="00865F8D"/>
    <w:rsid w:val="00865FEB"/>
    <w:rsid w:val="00866036"/>
    <w:rsid w:val="00866039"/>
    <w:rsid w:val="0086609A"/>
    <w:rsid w:val="008660BF"/>
    <w:rsid w:val="00866188"/>
    <w:rsid w:val="0086619B"/>
    <w:rsid w:val="00866366"/>
    <w:rsid w:val="00866398"/>
    <w:rsid w:val="008663A9"/>
    <w:rsid w:val="00866403"/>
    <w:rsid w:val="008664B4"/>
    <w:rsid w:val="00866512"/>
    <w:rsid w:val="00866513"/>
    <w:rsid w:val="0086661E"/>
    <w:rsid w:val="0086678D"/>
    <w:rsid w:val="008668FB"/>
    <w:rsid w:val="00866983"/>
    <w:rsid w:val="00866A9C"/>
    <w:rsid w:val="00866B4A"/>
    <w:rsid w:val="00866BB5"/>
    <w:rsid w:val="00866C72"/>
    <w:rsid w:val="00866C82"/>
    <w:rsid w:val="00866D62"/>
    <w:rsid w:val="00866FBB"/>
    <w:rsid w:val="00866FC9"/>
    <w:rsid w:val="00866FDC"/>
    <w:rsid w:val="00866FF6"/>
    <w:rsid w:val="00867005"/>
    <w:rsid w:val="0086703E"/>
    <w:rsid w:val="008671C4"/>
    <w:rsid w:val="0086732B"/>
    <w:rsid w:val="00867360"/>
    <w:rsid w:val="008673F8"/>
    <w:rsid w:val="00867514"/>
    <w:rsid w:val="0086771B"/>
    <w:rsid w:val="00867818"/>
    <w:rsid w:val="00867846"/>
    <w:rsid w:val="00867863"/>
    <w:rsid w:val="00867918"/>
    <w:rsid w:val="00867919"/>
    <w:rsid w:val="00867962"/>
    <w:rsid w:val="008679E5"/>
    <w:rsid w:val="00867A0B"/>
    <w:rsid w:val="00867A55"/>
    <w:rsid w:val="00867AAD"/>
    <w:rsid w:val="00867AB4"/>
    <w:rsid w:val="00867ADB"/>
    <w:rsid w:val="00867B19"/>
    <w:rsid w:val="00867BA0"/>
    <w:rsid w:val="00867D18"/>
    <w:rsid w:val="00867D61"/>
    <w:rsid w:val="00867DAE"/>
    <w:rsid w:val="00867DCC"/>
    <w:rsid w:val="00867DDD"/>
    <w:rsid w:val="00867E30"/>
    <w:rsid w:val="00867ED1"/>
    <w:rsid w:val="00870159"/>
    <w:rsid w:val="008701E0"/>
    <w:rsid w:val="008701EA"/>
    <w:rsid w:val="00870226"/>
    <w:rsid w:val="00870230"/>
    <w:rsid w:val="00870527"/>
    <w:rsid w:val="00870619"/>
    <w:rsid w:val="00870683"/>
    <w:rsid w:val="008707D4"/>
    <w:rsid w:val="00870806"/>
    <w:rsid w:val="00870852"/>
    <w:rsid w:val="00870866"/>
    <w:rsid w:val="008708AF"/>
    <w:rsid w:val="00870928"/>
    <w:rsid w:val="0087096C"/>
    <w:rsid w:val="00870998"/>
    <w:rsid w:val="008709EB"/>
    <w:rsid w:val="00870C47"/>
    <w:rsid w:val="00870C8F"/>
    <w:rsid w:val="00870D5A"/>
    <w:rsid w:val="00870DB4"/>
    <w:rsid w:val="00870FC9"/>
    <w:rsid w:val="00871022"/>
    <w:rsid w:val="00871026"/>
    <w:rsid w:val="008710B4"/>
    <w:rsid w:val="0087115F"/>
    <w:rsid w:val="0087128B"/>
    <w:rsid w:val="008714E7"/>
    <w:rsid w:val="008714F5"/>
    <w:rsid w:val="0087154E"/>
    <w:rsid w:val="008715A4"/>
    <w:rsid w:val="008715BE"/>
    <w:rsid w:val="00871693"/>
    <w:rsid w:val="0087176E"/>
    <w:rsid w:val="00871779"/>
    <w:rsid w:val="008718E4"/>
    <w:rsid w:val="00871937"/>
    <w:rsid w:val="0087194A"/>
    <w:rsid w:val="00871B74"/>
    <w:rsid w:val="00871BF8"/>
    <w:rsid w:val="00871D3E"/>
    <w:rsid w:val="00871D4F"/>
    <w:rsid w:val="00871DA5"/>
    <w:rsid w:val="00871DBB"/>
    <w:rsid w:val="00871DED"/>
    <w:rsid w:val="00871F76"/>
    <w:rsid w:val="00872007"/>
    <w:rsid w:val="00872088"/>
    <w:rsid w:val="00872094"/>
    <w:rsid w:val="00872184"/>
    <w:rsid w:val="008721B3"/>
    <w:rsid w:val="0087220D"/>
    <w:rsid w:val="00872224"/>
    <w:rsid w:val="00872252"/>
    <w:rsid w:val="008722C8"/>
    <w:rsid w:val="00872331"/>
    <w:rsid w:val="0087237C"/>
    <w:rsid w:val="008724F3"/>
    <w:rsid w:val="00872573"/>
    <w:rsid w:val="008726A1"/>
    <w:rsid w:val="0087284E"/>
    <w:rsid w:val="008728D2"/>
    <w:rsid w:val="00872936"/>
    <w:rsid w:val="00872986"/>
    <w:rsid w:val="0087299B"/>
    <w:rsid w:val="00872B36"/>
    <w:rsid w:val="00872B4A"/>
    <w:rsid w:val="00872B4B"/>
    <w:rsid w:val="00872BC0"/>
    <w:rsid w:val="00872BC3"/>
    <w:rsid w:val="00872BCC"/>
    <w:rsid w:val="00872C10"/>
    <w:rsid w:val="00872D68"/>
    <w:rsid w:val="00872DD8"/>
    <w:rsid w:val="00872DFB"/>
    <w:rsid w:val="00872DFD"/>
    <w:rsid w:val="00872E00"/>
    <w:rsid w:val="00872E48"/>
    <w:rsid w:val="00872E4C"/>
    <w:rsid w:val="00872E9E"/>
    <w:rsid w:val="00872F00"/>
    <w:rsid w:val="00873007"/>
    <w:rsid w:val="0087301D"/>
    <w:rsid w:val="0087316A"/>
    <w:rsid w:val="008731A1"/>
    <w:rsid w:val="008731EA"/>
    <w:rsid w:val="00873288"/>
    <w:rsid w:val="0087337E"/>
    <w:rsid w:val="0087338A"/>
    <w:rsid w:val="008733DE"/>
    <w:rsid w:val="00873606"/>
    <w:rsid w:val="00873641"/>
    <w:rsid w:val="0087373D"/>
    <w:rsid w:val="0087396D"/>
    <w:rsid w:val="00873A4C"/>
    <w:rsid w:val="00873AA0"/>
    <w:rsid w:val="00873AF8"/>
    <w:rsid w:val="00873BBD"/>
    <w:rsid w:val="00873C37"/>
    <w:rsid w:val="00873C67"/>
    <w:rsid w:val="00873C95"/>
    <w:rsid w:val="00873CE1"/>
    <w:rsid w:val="00873DA8"/>
    <w:rsid w:val="00873F31"/>
    <w:rsid w:val="00873FE6"/>
    <w:rsid w:val="0087415F"/>
    <w:rsid w:val="00874297"/>
    <w:rsid w:val="008742E2"/>
    <w:rsid w:val="00874340"/>
    <w:rsid w:val="00874357"/>
    <w:rsid w:val="008743DC"/>
    <w:rsid w:val="00874460"/>
    <w:rsid w:val="008745F2"/>
    <w:rsid w:val="00874673"/>
    <w:rsid w:val="0087471A"/>
    <w:rsid w:val="008747D0"/>
    <w:rsid w:val="008747E1"/>
    <w:rsid w:val="008747FC"/>
    <w:rsid w:val="008748A6"/>
    <w:rsid w:val="008748A9"/>
    <w:rsid w:val="008748E7"/>
    <w:rsid w:val="00874A7B"/>
    <w:rsid w:val="00874BE7"/>
    <w:rsid w:val="00874C3D"/>
    <w:rsid w:val="00874C50"/>
    <w:rsid w:val="00874C58"/>
    <w:rsid w:val="00874CB5"/>
    <w:rsid w:val="00874DB8"/>
    <w:rsid w:val="00874E4A"/>
    <w:rsid w:val="00874E83"/>
    <w:rsid w:val="00874EEB"/>
    <w:rsid w:val="00874FB1"/>
    <w:rsid w:val="0087506F"/>
    <w:rsid w:val="008750B4"/>
    <w:rsid w:val="008750CA"/>
    <w:rsid w:val="008750DA"/>
    <w:rsid w:val="0087516C"/>
    <w:rsid w:val="008751B9"/>
    <w:rsid w:val="008751CB"/>
    <w:rsid w:val="00875249"/>
    <w:rsid w:val="008753B4"/>
    <w:rsid w:val="008753F8"/>
    <w:rsid w:val="008754C3"/>
    <w:rsid w:val="008754E6"/>
    <w:rsid w:val="00875503"/>
    <w:rsid w:val="008755D8"/>
    <w:rsid w:val="0087560C"/>
    <w:rsid w:val="00875646"/>
    <w:rsid w:val="0087569B"/>
    <w:rsid w:val="00875769"/>
    <w:rsid w:val="0087578D"/>
    <w:rsid w:val="008757BD"/>
    <w:rsid w:val="008758C1"/>
    <w:rsid w:val="008759C9"/>
    <w:rsid w:val="008759D2"/>
    <w:rsid w:val="008759E7"/>
    <w:rsid w:val="00875A0F"/>
    <w:rsid w:val="00875B01"/>
    <w:rsid w:val="00875BF7"/>
    <w:rsid w:val="00875C7B"/>
    <w:rsid w:val="00875C80"/>
    <w:rsid w:val="00875CBA"/>
    <w:rsid w:val="00875D0E"/>
    <w:rsid w:val="00875D69"/>
    <w:rsid w:val="00875D6E"/>
    <w:rsid w:val="00875D71"/>
    <w:rsid w:val="00875DE8"/>
    <w:rsid w:val="00875E1D"/>
    <w:rsid w:val="00875EA2"/>
    <w:rsid w:val="00875F0D"/>
    <w:rsid w:val="00875F61"/>
    <w:rsid w:val="00876005"/>
    <w:rsid w:val="0087609B"/>
    <w:rsid w:val="0087609E"/>
    <w:rsid w:val="008762C3"/>
    <w:rsid w:val="00876344"/>
    <w:rsid w:val="008763D2"/>
    <w:rsid w:val="008763D3"/>
    <w:rsid w:val="008763F3"/>
    <w:rsid w:val="00876522"/>
    <w:rsid w:val="008765A4"/>
    <w:rsid w:val="00876672"/>
    <w:rsid w:val="008766E8"/>
    <w:rsid w:val="00876704"/>
    <w:rsid w:val="00876754"/>
    <w:rsid w:val="0087677F"/>
    <w:rsid w:val="0087683F"/>
    <w:rsid w:val="00876864"/>
    <w:rsid w:val="0087690A"/>
    <w:rsid w:val="00876A62"/>
    <w:rsid w:val="00876B3C"/>
    <w:rsid w:val="00876B97"/>
    <w:rsid w:val="00876BB4"/>
    <w:rsid w:val="00876CB5"/>
    <w:rsid w:val="00876D69"/>
    <w:rsid w:val="00876DA8"/>
    <w:rsid w:val="00876DD1"/>
    <w:rsid w:val="00876EAD"/>
    <w:rsid w:val="00876F23"/>
    <w:rsid w:val="00876FE3"/>
    <w:rsid w:val="00877088"/>
    <w:rsid w:val="008770CF"/>
    <w:rsid w:val="008771A2"/>
    <w:rsid w:val="008771D4"/>
    <w:rsid w:val="008771D6"/>
    <w:rsid w:val="0087720A"/>
    <w:rsid w:val="00877281"/>
    <w:rsid w:val="00877285"/>
    <w:rsid w:val="00877375"/>
    <w:rsid w:val="00877461"/>
    <w:rsid w:val="008774D5"/>
    <w:rsid w:val="008775DF"/>
    <w:rsid w:val="008775E5"/>
    <w:rsid w:val="0087764A"/>
    <w:rsid w:val="0087765D"/>
    <w:rsid w:val="0087769C"/>
    <w:rsid w:val="008776FD"/>
    <w:rsid w:val="00877708"/>
    <w:rsid w:val="00877755"/>
    <w:rsid w:val="00877797"/>
    <w:rsid w:val="0087790E"/>
    <w:rsid w:val="008779AE"/>
    <w:rsid w:val="008779E1"/>
    <w:rsid w:val="00877A74"/>
    <w:rsid w:val="00877AC6"/>
    <w:rsid w:val="00877B1F"/>
    <w:rsid w:val="00877BD5"/>
    <w:rsid w:val="00877D58"/>
    <w:rsid w:val="00877F1F"/>
    <w:rsid w:val="00880008"/>
    <w:rsid w:val="00880011"/>
    <w:rsid w:val="0088011B"/>
    <w:rsid w:val="00880143"/>
    <w:rsid w:val="00880178"/>
    <w:rsid w:val="00880196"/>
    <w:rsid w:val="008801F5"/>
    <w:rsid w:val="00880223"/>
    <w:rsid w:val="008802FA"/>
    <w:rsid w:val="00880318"/>
    <w:rsid w:val="0088036F"/>
    <w:rsid w:val="0088047C"/>
    <w:rsid w:val="00880499"/>
    <w:rsid w:val="008804E9"/>
    <w:rsid w:val="00880625"/>
    <w:rsid w:val="0088063F"/>
    <w:rsid w:val="00880822"/>
    <w:rsid w:val="008808A3"/>
    <w:rsid w:val="008808A5"/>
    <w:rsid w:val="008808FB"/>
    <w:rsid w:val="00880B17"/>
    <w:rsid w:val="00880B23"/>
    <w:rsid w:val="00880C48"/>
    <w:rsid w:val="00880CBF"/>
    <w:rsid w:val="00880CEB"/>
    <w:rsid w:val="00880D16"/>
    <w:rsid w:val="00880D9B"/>
    <w:rsid w:val="00880E27"/>
    <w:rsid w:val="00880F36"/>
    <w:rsid w:val="00881003"/>
    <w:rsid w:val="0088100B"/>
    <w:rsid w:val="00881011"/>
    <w:rsid w:val="0088105D"/>
    <w:rsid w:val="008811F3"/>
    <w:rsid w:val="00881226"/>
    <w:rsid w:val="008812A4"/>
    <w:rsid w:val="00881392"/>
    <w:rsid w:val="008813A9"/>
    <w:rsid w:val="008813B7"/>
    <w:rsid w:val="00881404"/>
    <w:rsid w:val="008815F8"/>
    <w:rsid w:val="0088163C"/>
    <w:rsid w:val="00881701"/>
    <w:rsid w:val="008817EF"/>
    <w:rsid w:val="00881903"/>
    <w:rsid w:val="0088195D"/>
    <w:rsid w:val="0088197C"/>
    <w:rsid w:val="008819E1"/>
    <w:rsid w:val="008819F6"/>
    <w:rsid w:val="00881A23"/>
    <w:rsid w:val="00881A35"/>
    <w:rsid w:val="00881ACF"/>
    <w:rsid w:val="00881BFD"/>
    <w:rsid w:val="00881C49"/>
    <w:rsid w:val="00881CEB"/>
    <w:rsid w:val="00881EA4"/>
    <w:rsid w:val="00881FF9"/>
    <w:rsid w:val="00881FFC"/>
    <w:rsid w:val="00882023"/>
    <w:rsid w:val="008821CB"/>
    <w:rsid w:val="008822D1"/>
    <w:rsid w:val="008822F6"/>
    <w:rsid w:val="008823A8"/>
    <w:rsid w:val="0088243C"/>
    <w:rsid w:val="008824D0"/>
    <w:rsid w:val="008824E2"/>
    <w:rsid w:val="00882597"/>
    <w:rsid w:val="00882637"/>
    <w:rsid w:val="0088263A"/>
    <w:rsid w:val="0088264C"/>
    <w:rsid w:val="008826C4"/>
    <w:rsid w:val="008826E8"/>
    <w:rsid w:val="00882726"/>
    <w:rsid w:val="00882774"/>
    <w:rsid w:val="00882838"/>
    <w:rsid w:val="0088283A"/>
    <w:rsid w:val="0088286D"/>
    <w:rsid w:val="008828E8"/>
    <w:rsid w:val="0088291B"/>
    <w:rsid w:val="00882980"/>
    <w:rsid w:val="00882A1D"/>
    <w:rsid w:val="00882B5A"/>
    <w:rsid w:val="00882C5C"/>
    <w:rsid w:val="00882D37"/>
    <w:rsid w:val="00882D8D"/>
    <w:rsid w:val="00882DE1"/>
    <w:rsid w:val="00882E9B"/>
    <w:rsid w:val="00882E9D"/>
    <w:rsid w:val="00882F5F"/>
    <w:rsid w:val="00882F80"/>
    <w:rsid w:val="00883029"/>
    <w:rsid w:val="008830B0"/>
    <w:rsid w:val="008830FE"/>
    <w:rsid w:val="00883196"/>
    <w:rsid w:val="0088320C"/>
    <w:rsid w:val="0088322B"/>
    <w:rsid w:val="008832AF"/>
    <w:rsid w:val="008832BF"/>
    <w:rsid w:val="008832C8"/>
    <w:rsid w:val="0088332F"/>
    <w:rsid w:val="008834EA"/>
    <w:rsid w:val="0088351C"/>
    <w:rsid w:val="008836B3"/>
    <w:rsid w:val="00883723"/>
    <w:rsid w:val="00883765"/>
    <w:rsid w:val="0088380F"/>
    <w:rsid w:val="00883986"/>
    <w:rsid w:val="008839F8"/>
    <w:rsid w:val="00883A25"/>
    <w:rsid w:val="00883A2C"/>
    <w:rsid w:val="00883A94"/>
    <w:rsid w:val="00883AC7"/>
    <w:rsid w:val="00883C8B"/>
    <w:rsid w:val="00883CCB"/>
    <w:rsid w:val="00883DD9"/>
    <w:rsid w:val="00883E61"/>
    <w:rsid w:val="00883E7D"/>
    <w:rsid w:val="00883EC6"/>
    <w:rsid w:val="00883EDB"/>
    <w:rsid w:val="00883F10"/>
    <w:rsid w:val="00884009"/>
    <w:rsid w:val="00884056"/>
    <w:rsid w:val="00884065"/>
    <w:rsid w:val="0088414A"/>
    <w:rsid w:val="00884183"/>
    <w:rsid w:val="00884198"/>
    <w:rsid w:val="00884253"/>
    <w:rsid w:val="008842A8"/>
    <w:rsid w:val="008842C4"/>
    <w:rsid w:val="008842C8"/>
    <w:rsid w:val="00884320"/>
    <w:rsid w:val="00884334"/>
    <w:rsid w:val="008843AB"/>
    <w:rsid w:val="00884487"/>
    <w:rsid w:val="00884505"/>
    <w:rsid w:val="0088455F"/>
    <w:rsid w:val="008845A6"/>
    <w:rsid w:val="008845ED"/>
    <w:rsid w:val="008845F6"/>
    <w:rsid w:val="008846D3"/>
    <w:rsid w:val="008846DF"/>
    <w:rsid w:val="00884738"/>
    <w:rsid w:val="008847D0"/>
    <w:rsid w:val="008847D7"/>
    <w:rsid w:val="008847EF"/>
    <w:rsid w:val="00884956"/>
    <w:rsid w:val="00884A1F"/>
    <w:rsid w:val="00884A2C"/>
    <w:rsid w:val="00884AB9"/>
    <w:rsid w:val="00884ABC"/>
    <w:rsid w:val="00884B1A"/>
    <w:rsid w:val="00884B32"/>
    <w:rsid w:val="00884BEC"/>
    <w:rsid w:val="00884BFE"/>
    <w:rsid w:val="00884EAC"/>
    <w:rsid w:val="00884ED7"/>
    <w:rsid w:val="00884EE2"/>
    <w:rsid w:val="00884F30"/>
    <w:rsid w:val="00884F8B"/>
    <w:rsid w:val="00885001"/>
    <w:rsid w:val="008850A1"/>
    <w:rsid w:val="008850C4"/>
    <w:rsid w:val="008850F5"/>
    <w:rsid w:val="008851B5"/>
    <w:rsid w:val="00885207"/>
    <w:rsid w:val="0088523E"/>
    <w:rsid w:val="008852B3"/>
    <w:rsid w:val="008852DE"/>
    <w:rsid w:val="0088535C"/>
    <w:rsid w:val="008853D3"/>
    <w:rsid w:val="00885469"/>
    <w:rsid w:val="008854A1"/>
    <w:rsid w:val="008854F9"/>
    <w:rsid w:val="00885560"/>
    <w:rsid w:val="00885576"/>
    <w:rsid w:val="0088559B"/>
    <w:rsid w:val="00885674"/>
    <w:rsid w:val="0088574D"/>
    <w:rsid w:val="008858DD"/>
    <w:rsid w:val="0088592C"/>
    <w:rsid w:val="00885997"/>
    <w:rsid w:val="008859F0"/>
    <w:rsid w:val="008859F3"/>
    <w:rsid w:val="00885A35"/>
    <w:rsid w:val="00885BAC"/>
    <w:rsid w:val="00885BE7"/>
    <w:rsid w:val="00885C14"/>
    <w:rsid w:val="00885C6B"/>
    <w:rsid w:val="00885C82"/>
    <w:rsid w:val="00885D7E"/>
    <w:rsid w:val="00885D82"/>
    <w:rsid w:val="00885DFE"/>
    <w:rsid w:val="00885F51"/>
    <w:rsid w:val="00886145"/>
    <w:rsid w:val="00886245"/>
    <w:rsid w:val="0088628B"/>
    <w:rsid w:val="008862B6"/>
    <w:rsid w:val="0088633A"/>
    <w:rsid w:val="0088648D"/>
    <w:rsid w:val="008864C4"/>
    <w:rsid w:val="008865B0"/>
    <w:rsid w:val="0088675E"/>
    <w:rsid w:val="0088687E"/>
    <w:rsid w:val="008868D0"/>
    <w:rsid w:val="00886920"/>
    <w:rsid w:val="00886935"/>
    <w:rsid w:val="008869C6"/>
    <w:rsid w:val="008869FF"/>
    <w:rsid w:val="00886A5A"/>
    <w:rsid w:val="00886B0D"/>
    <w:rsid w:val="00886B70"/>
    <w:rsid w:val="00886C36"/>
    <w:rsid w:val="00886C88"/>
    <w:rsid w:val="00886CA3"/>
    <w:rsid w:val="00886CB7"/>
    <w:rsid w:val="00886D98"/>
    <w:rsid w:val="00886E8D"/>
    <w:rsid w:val="00886EC4"/>
    <w:rsid w:val="00886F6C"/>
    <w:rsid w:val="00886F83"/>
    <w:rsid w:val="00886FDE"/>
    <w:rsid w:val="00886FFC"/>
    <w:rsid w:val="0088700F"/>
    <w:rsid w:val="00887026"/>
    <w:rsid w:val="00887187"/>
    <w:rsid w:val="008872A8"/>
    <w:rsid w:val="008872AA"/>
    <w:rsid w:val="008872E1"/>
    <w:rsid w:val="008872E9"/>
    <w:rsid w:val="008872EC"/>
    <w:rsid w:val="008873E7"/>
    <w:rsid w:val="00887473"/>
    <w:rsid w:val="00887486"/>
    <w:rsid w:val="008874C2"/>
    <w:rsid w:val="008874D9"/>
    <w:rsid w:val="00887581"/>
    <w:rsid w:val="008875FB"/>
    <w:rsid w:val="00887614"/>
    <w:rsid w:val="008876B8"/>
    <w:rsid w:val="00887734"/>
    <w:rsid w:val="00887882"/>
    <w:rsid w:val="0088788C"/>
    <w:rsid w:val="008878FB"/>
    <w:rsid w:val="00887981"/>
    <w:rsid w:val="008879C0"/>
    <w:rsid w:val="008879F1"/>
    <w:rsid w:val="00887A45"/>
    <w:rsid w:val="00887B4F"/>
    <w:rsid w:val="00887BE7"/>
    <w:rsid w:val="00887CE4"/>
    <w:rsid w:val="00887D95"/>
    <w:rsid w:val="00887E15"/>
    <w:rsid w:val="00887E16"/>
    <w:rsid w:val="00887E80"/>
    <w:rsid w:val="00887F60"/>
    <w:rsid w:val="00890018"/>
    <w:rsid w:val="00890037"/>
    <w:rsid w:val="0089012A"/>
    <w:rsid w:val="00890167"/>
    <w:rsid w:val="008901BC"/>
    <w:rsid w:val="00890234"/>
    <w:rsid w:val="00890269"/>
    <w:rsid w:val="008902EF"/>
    <w:rsid w:val="008903B0"/>
    <w:rsid w:val="00890428"/>
    <w:rsid w:val="00890444"/>
    <w:rsid w:val="0089049E"/>
    <w:rsid w:val="008904BA"/>
    <w:rsid w:val="00890549"/>
    <w:rsid w:val="0089054C"/>
    <w:rsid w:val="00890550"/>
    <w:rsid w:val="008905F1"/>
    <w:rsid w:val="008905FD"/>
    <w:rsid w:val="008906E1"/>
    <w:rsid w:val="008906E8"/>
    <w:rsid w:val="0089077C"/>
    <w:rsid w:val="0089083F"/>
    <w:rsid w:val="00890889"/>
    <w:rsid w:val="008908EF"/>
    <w:rsid w:val="00890936"/>
    <w:rsid w:val="00890963"/>
    <w:rsid w:val="00890ACF"/>
    <w:rsid w:val="00890B26"/>
    <w:rsid w:val="00890C11"/>
    <w:rsid w:val="00890C78"/>
    <w:rsid w:val="00890C87"/>
    <w:rsid w:val="00890CB9"/>
    <w:rsid w:val="00890DD3"/>
    <w:rsid w:val="00890F24"/>
    <w:rsid w:val="00891046"/>
    <w:rsid w:val="008910F3"/>
    <w:rsid w:val="00891144"/>
    <w:rsid w:val="00891485"/>
    <w:rsid w:val="008914C0"/>
    <w:rsid w:val="008914D1"/>
    <w:rsid w:val="008914ED"/>
    <w:rsid w:val="00891581"/>
    <w:rsid w:val="008915E6"/>
    <w:rsid w:val="0089166E"/>
    <w:rsid w:val="008916AE"/>
    <w:rsid w:val="008917AF"/>
    <w:rsid w:val="008917C2"/>
    <w:rsid w:val="008917D2"/>
    <w:rsid w:val="0089191A"/>
    <w:rsid w:val="00891956"/>
    <w:rsid w:val="008919FD"/>
    <w:rsid w:val="00891A89"/>
    <w:rsid w:val="00891B2C"/>
    <w:rsid w:val="00891C44"/>
    <w:rsid w:val="00891C6E"/>
    <w:rsid w:val="00891C8E"/>
    <w:rsid w:val="00891C9A"/>
    <w:rsid w:val="00891D13"/>
    <w:rsid w:val="00891D6C"/>
    <w:rsid w:val="00891DB9"/>
    <w:rsid w:val="00891DD3"/>
    <w:rsid w:val="00891E20"/>
    <w:rsid w:val="00891EEE"/>
    <w:rsid w:val="00891EF7"/>
    <w:rsid w:val="00891F12"/>
    <w:rsid w:val="00891FBA"/>
    <w:rsid w:val="00891FE7"/>
    <w:rsid w:val="00892133"/>
    <w:rsid w:val="008921B8"/>
    <w:rsid w:val="008921E8"/>
    <w:rsid w:val="008921EA"/>
    <w:rsid w:val="008921F2"/>
    <w:rsid w:val="008922B9"/>
    <w:rsid w:val="008924AC"/>
    <w:rsid w:val="00892559"/>
    <w:rsid w:val="00892590"/>
    <w:rsid w:val="008926B0"/>
    <w:rsid w:val="008927A5"/>
    <w:rsid w:val="0089280F"/>
    <w:rsid w:val="00892817"/>
    <w:rsid w:val="0089289A"/>
    <w:rsid w:val="008929C0"/>
    <w:rsid w:val="00892A20"/>
    <w:rsid w:val="00892AB5"/>
    <w:rsid w:val="00892B35"/>
    <w:rsid w:val="00892B69"/>
    <w:rsid w:val="00892C1C"/>
    <w:rsid w:val="00892DD3"/>
    <w:rsid w:val="00892DF8"/>
    <w:rsid w:val="00892E2D"/>
    <w:rsid w:val="00892F21"/>
    <w:rsid w:val="00892FE4"/>
    <w:rsid w:val="00893019"/>
    <w:rsid w:val="00893166"/>
    <w:rsid w:val="008931C9"/>
    <w:rsid w:val="008931D3"/>
    <w:rsid w:val="008931E0"/>
    <w:rsid w:val="0089329E"/>
    <w:rsid w:val="008934C0"/>
    <w:rsid w:val="008934C2"/>
    <w:rsid w:val="008934C9"/>
    <w:rsid w:val="0089350E"/>
    <w:rsid w:val="00893587"/>
    <w:rsid w:val="00893618"/>
    <w:rsid w:val="0089370A"/>
    <w:rsid w:val="008938B5"/>
    <w:rsid w:val="008939F4"/>
    <w:rsid w:val="00893A4D"/>
    <w:rsid w:val="00893A54"/>
    <w:rsid w:val="00893A72"/>
    <w:rsid w:val="00893A8F"/>
    <w:rsid w:val="00893ABD"/>
    <w:rsid w:val="00893CB8"/>
    <w:rsid w:val="00893CC0"/>
    <w:rsid w:val="00893CD8"/>
    <w:rsid w:val="00893CE8"/>
    <w:rsid w:val="00893D6F"/>
    <w:rsid w:val="00893D72"/>
    <w:rsid w:val="00893DF3"/>
    <w:rsid w:val="00893E58"/>
    <w:rsid w:val="00893EF5"/>
    <w:rsid w:val="0089401C"/>
    <w:rsid w:val="00894063"/>
    <w:rsid w:val="0089416D"/>
    <w:rsid w:val="00894202"/>
    <w:rsid w:val="00894279"/>
    <w:rsid w:val="00894367"/>
    <w:rsid w:val="0089450A"/>
    <w:rsid w:val="00894642"/>
    <w:rsid w:val="00894694"/>
    <w:rsid w:val="00894755"/>
    <w:rsid w:val="0089476C"/>
    <w:rsid w:val="00894784"/>
    <w:rsid w:val="00894789"/>
    <w:rsid w:val="00894850"/>
    <w:rsid w:val="0089486E"/>
    <w:rsid w:val="00894875"/>
    <w:rsid w:val="008948E1"/>
    <w:rsid w:val="00894995"/>
    <w:rsid w:val="008949FB"/>
    <w:rsid w:val="00894B55"/>
    <w:rsid w:val="00894BC8"/>
    <w:rsid w:val="00894C75"/>
    <w:rsid w:val="00894C7E"/>
    <w:rsid w:val="00894CF1"/>
    <w:rsid w:val="00894CF7"/>
    <w:rsid w:val="00894D02"/>
    <w:rsid w:val="00894D15"/>
    <w:rsid w:val="00894D1B"/>
    <w:rsid w:val="00894DCA"/>
    <w:rsid w:val="00894E43"/>
    <w:rsid w:val="00894E68"/>
    <w:rsid w:val="00894FFB"/>
    <w:rsid w:val="00895012"/>
    <w:rsid w:val="00895019"/>
    <w:rsid w:val="00895136"/>
    <w:rsid w:val="0089515F"/>
    <w:rsid w:val="008951EF"/>
    <w:rsid w:val="00895226"/>
    <w:rsid w:val="008952A4"/>
    <w:rsid w:val="00895440"/>
    <w:rsid w:val="00895451"/>
    <w:rsid w:val="008954BD"/>
    <w:rsid w:val="00895508"/>
    <w:rsid w:val="0089551D"/>
    <w:rsid w:val="00895599"/>
    <w:rsid w:val="0089564E"/>
    <w:rsid w:val="0089573F"/>
    <w:rsid w:val="00895784"/>
    <w:rsid w:val="008957B1"/>
    <w:rsid w:val="008957C1"/>
    <w:rsid w:val="00895856"/>
    <w:rsid w:val="008958CF"/>
    <w:rsid w:val="008959DB"/>
    <w:rsid w:val="008959E5"/>
    <w:rsid w:val="00895A95"/>
    <w:rsid w:val="00895AA8"/>
    <w:rsid w:val="00895ADA"/>
    <w:rsid w:val="00895BBA"/>
    <w:rsid w:val="00895C6B"/>
    <w:rsid w:val="00895CA6"/>
    <w:rsid w:val="00895D1E"/>
    <w:rsid w:val="00895D49"/>
    <w:rsid w:val="00895E0F"/>
    <w:rsid w:val="00895F09"/>
    <w:rsid w:val="00895F21"/>
    <w:rsid w:val="00895FF3"/>
    <w:rsid w:val="00896022"/>
    <w:rsid w:val="008960CE"/>
    <w:rsid w:val="008961AF"/>
    <w:rsid w:val="008962EF"/>
    <w:rsid w:val="008962F1"/>
    <w:rsid w:val="0089658E"/>
    <w:rsid w:val="0089664D"/>
    <w:rsid w:val="00896657"/>
    <w:rsid w:val="00896672"/>
    <w:rsid w:val="0089669F"/>
    <w:rsid w:val="008966AC"/>
    <w:rsid w:val="008966B3"/>
    <w:rsid w:val="008966F7"/>
    <w:rsid w:val="008966FD"/>
    <w:rsid w:val="00896704"/>
    <w:rsid w:val="00896782"/>
    <w:rsid w:val="00896801"/>
    <w:rsid w:val="0089684B"/>
    <w:rsid w:val="008968C7"/>
    <w:rsid w:val="008968F0"/>
    <w:rsid w:val="00896905"/>
    <w:rsid w:val="00896933"/>
    <w:rsid w:val="00896C31"/>
    <w:rsid w:val="00896D68"/>
    <w:rsid w:val="00896DF2"/>
    <w:rsid w:val="00896F62"/>
    <w:rsid w:val="00896F74"/>
    <w:rsid w:val="00896FC5"/>
    <w:rsid w:val="00897080"/>
    <w:rsid w:val="0089709E"/>
    <w:rsid w:val="008970AF"/>
    <w:rsid w:val="008970D7"/>
    <w:rsid w:val="008970FC"/>
    <w:rsid w:val="0089710D"/>
    <w:rsid w:val="0089719B"/>
    <w:rsid w:val="0089719F"/>
    <w:rsid w:val="008971EC"/>
    <w:rsid w:val="0089723F"/>
    <w:rsid w:val="00897333"/>
    <w:rsid w:val="0089738C"/>
    <w:rsid w:val="0089739E"/>
    <w:rsid w:val="008973C6"/>
    <w:rsid w:val="00897426"/>
    <w:rsid w:val="008974A6"/>
    <w:rsid w:val="008974C7"/>
    <w:rsid w:val="008974E4"/>
    <w:rsid w:val="008975F2"/>
    <w:rsid w:val="0089762D"/>
    <w:rsid w:val="008976C5"/>
    <w:rsid w:val="008976CC"/>
    <w:rsid w:val="00897754"/>
    <w:rsid w:val="00897899"/>
    <w:rsid w:val="00897968"/>
    <w:rsid w:val="00897A91"/>
    <w:rsid w:val="00897BCE"/>
    <w:rsid w:val="00897BCF"/>
    <w:rsid w:val="00897D32"/>
    <w:rsid w:val="00897D53"/>
    <w:rsid w:val="00897DD7"/>
    <w:rsid w:val="00897ECE"/>
    <w:rsid w:val="00897FD4"/>
    <w:rsid w:val="008A0156"/>
    <w:rsid w:val="008A01B6"/>
    <w:rsid w:val="008A0222"/>
    <w:rsid w:val="008A025C"/>
    <w:rsid w:val="008A02A1"/>
    <w:rsid w:val="008A0365"/>
    <w:rsid w:val="008A03A2"/>
    <w:rsid w:val="008A040D"/>
    <w:rsid w:val="008A04BF"/>
    <w:rsid w:val="008A0698"/>
    <w:rsid w:val="008A06D4"/>
    <w:rsid w:val="008A06DB"/>
    <w:rsid w:val="008A06F8"/>
    <w:rsid w:val="008A072C"/>
    <w:rsid w:val="008A0751"/>
    <w:rsid w:val="008A0769"/>
    <w:rsid w:val="008A0797"/>
    <w:rsid w:val="008A0839"/>
    <w:rsid w:val="008A085A"/>
    <w:rsid w:val="008A094C"/>
    <w:rsid w:val="008A099E"/>
    <w:rsid w:val="008A0AC7"/>
    <w:rsid w:val="008A0BCB"/>
    <w:rsid w:val="008A0C62"/>
    <w:rsid w:val="008A0C9B"/>
    <w:rsid w:val="008A0E44"/>
    <w:rsid w:val="008A0E8A"/>
    <w:rsid w:val="008A0E9D"/>
    <w:rsid w:val="008A0EC8"/>
    <w:rsid w:val="008A0F60"/>
    <w:rsid w:val="008A1090"/>
    <w:rsid w:val="008A114A"/>
    <w:rsid w:val="008A12C4"/>
    <w:rsid w:val="008A1347"/>
    <w:rsid w:val="008A1423"/>
    <w:rsid w:val="008A1506"/>
    <w:rsid w:val="008A1544"/>
    <w:rsid w:val="008A1558"/>
    <w:rsid w:val="008A156A"/>
    <w:rsid w:val="008A15BC"/>
    <w:rsid w:val="008A160D"/>
    <w:rsid w:val="008A16A5"/>
    <w:rsid w:val="008A170D"/>
    <w:rsid w:val="008A178A"/>
    <w:rsid w:val="008A17D3"/>
    <w:rsid w:val="008A1810"/>
    <w:rsid w:val="008A18C1"/>
    <w:rsid w:val="008A1918"/>
    <w:rsid w:val="008A1929"/>
    <w:rsid w:val="008A198D"/>
    <w:rsid w:val="008A19D9"/>
    <w:rsid w:val="008A1A03"/>
    <w:rsid w:val="008A1A16"/>
    <w:rsid w:val="008A1A3C"/>
    <w:rsid w:val="008A1B38"/>
    <w:rsid w:val="008A1B3C"/>
    <w:rsid w:val="008A1B64"/>
    <w:rsid w:val="008A1B67"/>
    <w:rsid w:val="008A1BD5"/>
    <w:rsid w:val="008A1C25"/>
    <w:rsid w:val="008A1C71"/>
    <w:rsid w:val="008A1D51"/>
    <w:rsid w:val="008A1DAA"/>
    <w:rsid w:val="008A1F2F"/>
    <w:rsid w:val="008A2094"/>
    <w:rsid w:val="008A2133"/>
    <w:rsid w:val="008A2141"/>
    <w:rsid w:val="008A225B"/>
    <w:rsid w:val="008A228B"/>
    <w:rsid w:val="008A235C"/>
    <w:rsid w:val="008A23AA"/>
    <w:rsid w:val="008A23FB"/>
    <w:rsid w:val="008A2479"/>
    <w:rsid w:val="008A2537"/>
    <w:rsid w:val="008A25AD"/>
    <w:rsid w:val="008A2629"/>
    <w:rsid w:val="008A2634"/>
    <w:rsid w:val="008A26E8"/>
    <w:rsid w:val="008A273E"/>
    <w:rsid w:val="008A27D0"/>
    <w:rsid w:val="008A27E1"/>
    <w:rsid w:val="008A28B1"/>
    <w:rsid w:val="008A291F"/>
    <w:rsid w:val="008A2AD7"/>
    <w:rsid w:val="008A2B34"/>
    <w:rsid w:val="008A2BEB"/>
    <w:rsid w:val="008A2C49"/>
    <w:rsid w:val="008A2D3F"/>
    <w:rsid w:val="008A2D75"/>
    <w:rsid w:val="008A2E16"/>
    <w:rsid w:val="008A2E30"/>
    <w:rsid w:val="008A2F5E"/>
    <w:rsid w:val="008A308E"/>
    <w:rsid w:val="008A30F4"/>
    <w:rsid w:val="008A3142"/>
    <w:rsid w:val="008A3298"/>
    <w:rsid w:val="008A329E"/>
    <w:rsid w:val="008A3381"/>
    <w:rsid w:val="008A3438"/>
    <w:rsid w:val="008A3447"/>
    <w:rsid w:val="008A345B"/>
    <w:rsid w:val="008A3534"/>
    <w:rsid w:val="008A3542"/>
    <w:rsid w:val="008A3553"/>
    <w:rsid w:val="008A363B"/>
    <w:rsid w:val="008A3665"/>
    <w:rsid w:val="008A36BA"/>
    <w:rsid w:val="008A36DF"/>
    <w:rsid w:val="008A374A"/>
    <w:rsid w:val="008A3865"/>
    <w:rsid w:val="008A399F"/>
    <w:rsid w:val="008A39B1"/>
    <w:rsid w:val="008A39C0"/>
    <w:rsid w:val="008A3A22"/>
    <w:rsid w:val="008A3A3A"/>
    <w:rsid w:val="008A3A70"/>
    <w:rsid w:val="008A3B6E"/>
    <w:rsid w:val="008A3BA3"/>
    <w:rsid w:val="008A3C97"/>
    <w:rsid w:val="008A3DE4"/>
    <w:rsid w:val="008A3EF5"/>
    <w:rsid w:val="008A3FDB"/>
    <w:rsid w:val="008A3FE6"/>
    <w:rsid w:val="008A40D6"/>
    <w:rsid w:val="008A416D"/>
    <w:rsid w:val="008A4199"/>
    <w:rsid w:val="008A41A0"/>
    <w:rsid w:val="008A41E9"/>
    <w:rsid w:val="008A41FB"/>
    <w:rsid w:val="008A4275"/>
    <w:rsid w:val="008A4276"/>
    <w:rsid w:val="008A435A"/>
    <w:rsid w:val="008A43D6"/>
    <w:rsid w:val="008A440C"/>
    <w:rsid w:val="008A447F"/>
    <w:rsid w:val="008A44F1"/>
    <w:rsid w:val="008A4597"/>
    <w:rsid w:val="008A467C"/>
    <w:rsid w:val="008A4735"/>
    <w:rsid w:val="008A4737"/>
    <w:rsid w:val="008A477D"/>
    <w:rsid w:val="008A47BB"/>
    <w:rsid w:val="008A47C5"/>
    <w:rsid w:val="008A486B"/>
    <w:rsid w:val="008A4A0C"/>
    <w:rsid w:val="008A4A2A"/>
    <w:rsid w:val="008A4C35"/>
    <w:rsid w:val="008A4E61"/>
    <w:rsid w:val="008A4E6B"/>
    <w:rsid w:val="008A4EC2"/>
    <w:rsid w:val="008A4F4F"/>
    <w:rsid w:val="008A4F64"/>
    <w:rsid w:val="008A4FD7"/>
    <w:rsid w:val="008A500A"/>
    <w:rsid w:val="008A500D"/>
    <w:rsid w:val="008A50E4"/>
    <w:rsid w:val="008A51DA"/>
    <w:rsid w:val="008A51FD"/>
    <w:rsid w:val="008A520C"/>
    <w:rsid w:val="008A5415"/>
    <w:rsid w:val="008A54CE"/>
    <w:rsid w:val="008A54F0"/>
    <w:rsid w:val="008A5562"/>
    <w:rsid w:val="008A564A"/>
    <w:rsid w:val="008A566E"/>
    <w:rsid w:val="008A568A"/>
    <w:rsid w:val="008A570B"/>
    <w:rsid w:val="008A5735"/>
    <w:rsid w:val="008A5749"/>
    <w:rsid w:val="008A574A"/>
    <w:rsid w:val="008A57B9"/>
    <w:rsid w:val="008A5839"/>
    <w:rsid w:val="008A58C3"/>
    <w:rsid w:val="008A59BD"/>
    <w:rsid w:val="008A5A1E"/>
    <w:rsid w:val="008A5A8E"/>
    <w:rsid w:val="008A5BA6"/>
    <w:rsid w:val="008A5CCC"/>
    <w:rsid w:val="008A5D4A"/>
    <w:rsid w:val="008A5D84"/>
    <w:rsid w:val="008A5E04"/>
    <w:rsid w:val="008A5E55"/>
    <w:rsid w:val="008A5EAA"/>
    <w:rsid w:val="008A5EAE"/>
    <w:rsid w:val="008A5EB4"/>
    <w:rsid w:val="008A5EB8"/>
    <w:rsid w:val="008A5EBE"/>
    <w:rsid w:val="008A5F55"/>
    <w:rsid w:val="008A5FA4"/>
    <w:rsid w:val="008A5FEC"/>
    <w:rsid w:val="008A6012"/>
    <w:rsid w:val="008A60D4"/>
    <w:rsid w:val="008A624A"/>
    <w:rsid w:val="008A6273"/>
    <w:rsid w:val="008A62A4"/>
    <w:rsid w:val="008A62A6"/>
    <w:rsid w:val="008A62EE"/>
    <w:rsid w:val="008A630B"/>
    <w:rsid w:val="008A637A"/>
    <w:rsid w:val="008A6398"/>
    <w:rsid w:val="008A644D"/>
    <w:rsid w:val="008A647B"/>
    <w:rsid w:val="008A6532"/>
    <w:rsid w:val="008A6533"/>
    <w:rsid w:val="008A6633"/>
    <w:rsid w:val="008A6635"/>
    <w:rsid w:val="008A6734"/>
    <w:rsid w:val="008A67AB"/>
    <w:rsid w:val="008A682F"/>
    <w:rsid w:val="008A68D3"/>
    <w:rsid w:val="008A69E9"/>
    <w:rsid w:val="008A6A54"/>
    <w:rsid w:val="008A6ACB"/>
    <w:rsid w:val="008A6B09"/>
    <w:rsid w:val="008A6B46"/>
    <w:rsid w:val="008A6C20"/>
    <w:rsid w:val="008A6C7D"/>
    <w:rsid w:val="008A6D0D"/>
    <w:rsid w:val="008A6DCB"/>
    <w:rsid w:val="008A6DF9"/>
    <w:rsid w:val="008A6E3D"/>
    <w:rsid w:val="008A6E9D"/>
    <w:rsid w:val="008A6F71"/>
    <w:rsid w:val="008A6F76"/>
    <w:rsid w:val="008A70A0"/>
    <w:rsid w:val="008A7138"/>
    <w:rsid w:val="008A7150"/>
    <w:rsid w:val="008A719D"/>
    <w:rsid w:val="008A720D"/>
    <w:rsid w:val="008A7214"/>
    <w:rsid w:val="008A7277"/>
    <w:rsid w:val="008A727D"/>
    <w:rsid w:val="008A7319"/>
    <w:rsid w:val="008A7320"/>
    <w:rsid w:val="008A737A"/>
    <w:rsid w:val="008A7429"/>
    <w:rsid w:val="008A7613"/>
    <w:rsid w:val="008A7726"/>
    <w:rsid w:val="008A774C"/>
    <w:rsid w:val="008A776D"/>
    <w:rsid w:val="008A7776"/>
    <w:rsid w:val="008A77D9"/>
    <w:rsid w:val="008A7839"/>
    <w:rsid w:val="008A792E"/>
    <w:rsid w:val="008A7A00"/>
    <w:rsid w:val="008A7AA0"/>
    <w:rsid w:val="008A7AB3"/>
    <w:rsid w:val="008A7BC6"/>
    <w:rsid w:val="008A7BF1"/>
    <w:rsid w:val="008A7C7A"/>
    <w:rsid w:val="008A7CE3"/>
    <w:rsid w:val="008A7DAF"/>
    <w:rsid w:val="008A7DEB"/>
    <w:rsid w:val="008A7DEE"/>
    <w:rsid w:val="008A7EF0"/>
    <w:rsid w:val="008A7FB4"/>
    <w:rsid w:val="008A7FE9"/>
    <w:rsid w:val="008AE261"/>
    <w:rsid w:val="008B0042"/>
    <w:rsid w:val="008B004D"/>
    <w:rsid w:val="008B01FD"/>
    <w:rsid w:val="008B0222"/>
    <w:rsid w:val="008B0294"/>
    <w:rsid w:val="008B02BF"/>
    <w:rsid w:val="008B02DB"/>
    <w:rsid w:val="008B03DC"/>
    <w:rsid w:val="008B0404"/>
    <w:rsid w:val="008B0431"/>
    <w:rsid w:val="008B04ED"/>
    <w:rsid w:val="008B050B"/>
    <w:rsid w:val="008B0534"/>
    <w:rsid w:val="008B059D"/>
    <w:rsid w:val="008B0619"/>
    <w:rsid w:val="008B067C"/>
    <w:rsid w:val="008B06A7"/>
    <w:rsid w:val="008B07A5"/>
    <w:rsid w:val="008B07C0"/>
    <w:rsid w:val="008B0821"/>
    <w:rsid w:val="008B0833"/>
    <w:rsid w:val="008B0839"/>
    <w:rsid w:val="008B0857"/>
    <w:rsid w:val="008B0872"/>
    <w:rsid w:val="008B0887"/>
    <w:rsid w:val="008B08F2"/>
    <w:rsid w:val="008B0A1D"/>
    <w:rsid w:val="008B0B6C"/>
    <w:rsid w:val="008B0B86"/>
    <w:rsid w:val="008B0BAD"/>
    <w:rsid w:val="008B0C37"/>
    <w:rsid w:val="008B0C3B"/>
    <w:rsid w:val="008B0C3D"/>
    <w:rsid w:val="008B0CAF"/>
    <w:rsid w:val="008B0D01"/>
    <w:rsid w:val="008B0D1C"/>
    <w:rsid w:val="008B0D4B"/>
    <w:rsid w:val="008B0D5A"/>
    <w:rsid w:val="008B0DF4"/>
    <w:rsid w:val="008B0E02"/>
    <w:rsid w:val="008B0EEA"/>
    <w:rsid w:val="008B0F77"/>
    <w:rsid w:val="008B1094"/>
    <w:rsid w:val="008B10C0"/>
    <w:rsid w:val="008B1171"/>
    <w:rsid w:val="008B1395"/>
    <w:rsid w:val="008B139E"/>
    <w:rsid w:val="008B13FD"/>
    <w:rsid w:val="008B1428"/>
    <w:rsid w:val="008B150D"/>
    <w:rsid w:val="008B15EF"/>
    <w:rsid w:val="008B171C"/>
    <w:rsid w:val="008B176C"/>
    <w:rsid w:val="008B1791"/>
    <w:rsid w:val="008B18B7"/>
    <w:rsid w:val="008B19A5"/>
    <w:rsid w:val="008B1A79"/>
    <w:rsid w:val="008B1A97"/>
    <w:rsid w:val="008B1BC2"/>
    <w:rsid w:val="008B1C2B"/>
    <w:rsid w:val="008B1C57"/>
    <w:rsid w:val="008B1C58"/>
    <w:rsid w:val="008B1C8A"/>
    <w:rsid w:val="008B1CD9"/>
    <w:rsid w:val="008B1D8C"/>
    <w:rsid w:val="008B1DCC"/>
    <w:rsid w:val="008B1DDA"/>
    <w:rsid w:val="008B1DE5"/>
    <w:rsid w:val="008B1E0F"/>
    <w:rsid w:val="008B1E14"/>
    <w:rsid w:val="008B1F4B"/>
    <w:rsid w:val="008B20A6"/>
    <w:rsid w:val="008B20C4"/>
    <w:rsid w:val="008B212C"/>
    <w:rsid w:val="008B2235"/>
    <w:rsid w:val="008B224B"/>
    <w:rsid w:val="008B22F2"/>
    <w:rsid w:val="008B23FA"/>
    <w:rsid w:val="008B24AA"/>
    <w:rsid w:val="008B25DC"/>
    <w:rsid w:val="008B26F8"/>
    <w:rsid w:val="008B27CF"/>
    <w:rsid w:val="008B283B"/>
    <w:rsid w:val="008B28C8"/>
    <w:rsid w:val="008B2A34"/>
    <w:rsid w:val="008B2ACB"/>
    <w:rsid w:val="008B2B12"/>
    <w:rsid w:val="008B2B4F"/>
    <w:rsid w:val="008B2BA8"/>
    <w:rsid w:val="008B2C30"/>
    <w:rsid w:val="008B2C5A"/>
    <w:rsid w:val="008B2D1D"/>
    <w:rsid w:val="008B2D23"/>
    <w:rsid w:val="008B2DED"/>
    <w:rsid w:val="008B2E16"/>
    <w:rsid w:val="008B2E2B"/>
    <w:rsid w:val="008B2E43"/>
    <w:rsid w:val="008B2FF7"/>
    <w:rsid w:val="008B313D"/>
    <w:rsid w:val="008B3147"/>
    <w:rsid w:val="008B323E"/>
    <w:rsid w:val="008B3339"/>
    <w:rsid w:val="008B334E"/>
    <w:rsid w:val="008B33E1"/>
    <w:rsid w:val="008B34B8"/>
    <w:rsid w:val="008B35A1"/>
    <w:rsid w:val="008B35F3"/>
    <w:rsid w:val="008B37C5"/>
    <w:rsid w:val="008B3807"/>
    <w:rsid w:val="008B385F"/>
    <w:rsid w:val="008B3866"/>
    <w:rsid w:val="008B388A"/>
    <w:rsid w:val="008B3890"/>
    <w:rsid w:val="008B38ED"/>
    <w:rsid w:val="008B3934"/>
    <w:rsid w:val="008B3A61"/>
    <w:rsid w:val="008B3B69"/>
    <w:rsid w:val="008B3BBD"/>
    <w:rsid w:val="008B3BD0"/>
    <w:rsid w:val="008B3CCB"/>
    <w:rsid w:val="008B3D5D"/>
    <w:rsid w:val="008B3DA1"/>
    <w:rsid w:val="008B3EA4"/>
    <w:rsid w:val="008B3EDA"/>
    <w:rsid w:val="008B3F3D"/>
    <w:rsid w:val="008B4017"/>
    <w:rsid w:val="008B4062"/>
    <w:rsid w:val="008B4112"/>
    <w:rsid w:val="008B4169"/>
    <w:rsid w:val="008B41C1"/>
    <w:rsid w:val="008B4244"/>
    <w:rsid w:val="008B42FA"/>
    <w:rsid w:val="008B4418"/>
    <w:rsid w:val="008B44F9"/>
    <w:rsid w:val="008B4590"/>
    <w:rsid w:val="008B469F"/>
    <w:rsid w:val="008B46A2"/>
    <w:rsid w:val="008B46A8"/>
    <w:rsid w:val="008B472F"/>
    <w:rsid w:val="008B4758"/>
    <w:rsid w:val="008B47D7"/>
    <w:rsid w:val="008B489C"/>
    <w:rsid w:val="008B48A9"/>
    <w:rsid w:val="008B49C5"/>
    <w:rsid w:val="008B4D9F"/>
    <w:rsid w:val="008B4DDD"/>
    <w:rsid w:val="008B4E0B"/>
    <w:rsid w:val="008B4EE8"/>
    <w:rsid w:val="008B4F6E"/>
    <w:rsid w:val="008B4FDC"/>
    <w:rsid w:val="008B4FE3"/>
    <w:rsid w:val="008B4FEB"/>
    <w:rsid w:val="008B5052"/>
    <w:rsid w:val="008B50F1"/>
    <w:rsid w:val="008B5217"/>
    <w:rsid w:val="008B5258"/>
    <w:rsid w:val="008B52B0"/>
    <w:rsid w:val="008B52C3"/>
    <w:rsid w:val="008B531A"/>
    <w:rsid w:val="008B53BD"/>
    <w:rsid w:val="008B540E"/>
    <w:rsid w:val="008B5516"/>
    <w:rsid w:val="008B551C"/>
    <w:rsid w:val="008B557D"/>
    <w:rsid w:val="008B56C2"/>
    <w:rsid w:val="008B56CB"/>
    <w:rsid w:val="008B57A2"/>
    <w:rsid w:val="008B5858"/>
    <w:rsid w:val="008B58E1"/>
    <w:rsid w:val="008B599D"/>
    <w:rsid w:val="008B59B9"/>
    <w:rsid w:val="008B5A0F"/>
    <w:rsid w:val="008B5AA1"/>
    <w:rsid w:val="008B5AB4"/>
    <w:rsid w:val="008B5BC2"/>
    <w:rsid w:val="008B5BCD"/>
    <w:rsid w:val="008B5BEE"/>
    <w:rsid w:val="008B5C61"/>
    <w:rsid w:val="008B5DAA"/>
    <w:rsid w:val="008B5E57"/>
    <w:rsid w:val="008B5ED9"/>
    <w:rsid w:val="008B6060"/>
    <w:rsid w:val="008B6073"/>
    <w:rsid w:val="008B607D"/>
    <w:rsid w:val="008B60BC"/>
    <w:rsid w:val="008B60DD"/>
    <w:rsid w:val="008B6112"/>
    <w:rsid w:val="008B6197"/>
    <w:rsid w:val="008B633D"/>
    <w:rsid w:val="008B636C"/>
    <w:rsid w:val="008B64DD"/>
    <w:rsid w:val="008B6537"/>
    <w:rsid w:val="008B6559"/>
    <w:rsid w:val="008B6589"/>
    <w:rsid w:val="008B661B"/>
    <w:rsid w:val="008B6773"/>
    <w:rsid w:val="008B67FF"/>
    <w:rsid w:val="008B68F0"/>
    <w:rsid w:val="008B6915"/>
    <w:rsid w:val="008B69A7"/>
    <w:rsid w:val="008B69F2"/>
    <w:rsid w:val="008B6A27"/>
    <w:rsid w:val="008B6C53"/>
    <w:rsid w:val="008B6D23"/>
    <w:rsid w:val="008B6DA5"/>
    <w:rsid w:val="008B6E86"/>
    <w:rsid w:val="008B6F6B"/>
    <w:rsid w:val="008B6F80"/>
    <w:rsid w:val="008B7008"/>
    <w:rsid w:val="008B712A"/>
    <w:rsid w:val="008B7184"/>
    <w:rsid w:val="008B725C"/>
    <w:rsid w:val="008B7282"/>
    <w:rsid w:val="008B72CF"/>
    <w:rsid w:val="008B72D2"/>
    <w:rsid w:val="008B7396"/>
    <w:rsid w:val="008B73DB"/>
    <w:rsid w:val="008B73F6"/>
    <w:rsid w:val="008B7465"/>
    <w:rsid w:val="008B74FD"/>
    <w:rsid w:val="008B7506"/>
    <w:rsid w:val="008B753A"/>
    <w:rsid w:val="008B753C"/>
    <w:rsid w:val="008B7572"/>
    <w:rsid w:val="008B75CA"/>
    <w:rsid w:val="008B76D0"/>
    <w:rsid w:val="008B7841"/>
    <w:rsid w:val="008B7852"/>
    <w:rsid w:val="008B785D"/>
    <w:rsid w:val="008B79A2"/>
    <w:rsid w:val="008B79AE"/>
    <w:rsid w:val="008B7AEA"/>
    <w:rsid w:val="008B7BA9"/>
    <w:rsid w:val="008B7C45"/>
    <w:rsid w:val="008B7CB5"/>
    <w:rsid w:val="008B7CB7"/>
    <w:rsid w:val="008B7E8D"/>
    <w:rsid w:val="008B7E91"/>
    <w:rsid w:val="008B7E99"/>
    <w:rsid w:val="008B7EA4"/>
    <w:rsid w:val="008B7EF5"/>
    <w:rsid w:val="008B7FDA"/>
    <w:rsid w:val="008C0068"/>
    <w:rsid w:val="008C00DD"/>
    <w:rsid w:val="008C00F6"/>
    <w:rsid w:val="008C00FE"/>
    <w:rsid w:val="008C014D"/>
    <w:rsid w:val="008C01C5"/>
    <w:rsid w:val="008C026A"/>
    <w:rsid w:val="008C0349"/>
    <w:rsid w:val="008C0390"/>
    <w:rsid w:val="008C051F"/>
    <w:rsid w:val="008C05A4"/>
    <w:rsid w:val="008C0701"/>
    <w:rsid w:val="008C07D3"/>
    <w:rsid w:val="008C08E0"/>
    <w:rsid w:val="008C096D"/>
    <w:rsid w:val="008C098F"/>
    <w:rsid w:val="008C09A2"/>
    <w:rsid w:val="008C0A7F"/>
    <w:rsid w:val="008C0AA0"/>
    <w:rsid w:val="008C0AB9"/>
    <w:rsid w:val="008C0B46"/>
    <w:rsid w:val="008C0BB8"/>
    <w:rsid w:val="008C0BCF"/>
    <w:rsid w:val="008C0BE3"/>
    <w:rsid w:val="008C0C5F"/>
    <w:rsid w:val="008C0C68"/>
    <w:rsid w:val="008C0E39"/>
    <w:rsid w:val="008C0F07"/>
    <w:rsid w:val="008C11C7"/>
    <w:rsid w:val="008C11E1"/>
    <w:rsid w:val="008C129E"/>
    <w:rsid w:val="008C149E"/>
    <w:rsid w:val="008C1608"/>
    <w:rsid w:val="008C1658"/>
    <w:rsid w:val="008C17D8"/>
    <w:rsid w:val="008C17E3"/>
    <w:rsid w:val="008C1856"/>
    <w:rsid w:val="008C1937"/>
    <w:rsid w:val="008C19CD"/>
    <w:rsid w:val="008C1A84"/>
    <w:rsid w:val="008C1A91"/>
    <w:rsid w:val="008C1AB0"/>
    <w:rsid w:val="008C1B84"/>
    <w:rsid w:val="008C1B8F"/>
    <w:rsid w:val="008C1B97"/>
    <w:rsid w:val="008C1BA9"/>
    <w:rsid w:val="008C1BAE"/>
    <w:rsid w:val="008C1BC8"/>
    <w:rsid w:val="008C1BD1"/>
    <w:rsid w:val="008C1BE1"/>
    <w:rsid w:val="008C1C0A"/>
    <w:rsid w:val="008C1CF4"/>
    <w:rsid w:val="008C1DB0"/>
    <w:rsid w:val="008C1E6A"/>
    <w:rsid w:val="008C1E9E"/>
    <w:rsid w:val="008C1EC6"/>
    <w:rsid w:val="008C1EDD"/>
    <w:rsid w:val="008C1EDF"/>
    <w:rsid w:val="008C2108"/>
    <w:rsid w:val="008C2164"/>
    <w:rsid w:val="008C21F0"/>
    <w:rsid w:val="008C220C"/>
    <w:rsid w:val="008C223E"/>
    <w:rsid w:val="008C2260"/>
    <w:rsid w:val="008C22BD"/>
    <w:rsid w:val="008C22C7"/>
    <w:rsid w:val="008C2314"/>
    <w:rsid w:val="008C253A"/>
    <w:rsid w:val="008C2574"/>
    <w:rsid w:val="008C259B"/>
    <w:rsid w:val="008C25E2"/>
    <w:rsid w:val="008C264D"/>
    <w:rsid w:val="008C26A2"/>
    <w:rsid w:val="008C26B5"/>
    <w:rsid w:val="008C26E3"/>
    <w:rsid w:val="008C273A"/>
    <w:rsid w:val="008C27C8"/>
    <w:rsid w:val="008C27EB"/>
    <w:rsid w:val="008C2821"/>
    <w:rsid w:val="008C297C"/>
    <w:rsid w:val="008C29D9"/>
    <w:rsid w:val="008C29E8"/>
    <w:rsid w:val="008C2A5A"/>
    <w:rsid w:val="008C2A7F"/>
    <w:rsid w:val="008C2B43"/>
    <w:rsid w:val="008C2C98"/>
    <w:rsid w:val="008C2D3C"/>
    <w:rsid w:val="008C2D69"/>
    <w:rsid w:val="008C2DDA"/>
    <w:rsid w:val="008C2E40"/>
    <w:rsid w:val="008C2EA3"/>
    <w:rsid w:val="008C2EAA"/>
    <w:rsid w:val="008C2F34"/>
    <w:rsid w:val="008C2F37"/>
    <w:rsid w:val="008C2FB5"/>
    <w:rsid w:val="008C2FD4"/>
    <w:rsid w:val="008C3022"/>
    <w:rsid w:val="008C3104"/>
    <w:rsid w:val="008C31FE"/>
    <w:rsid w:val="008C32D0"/>
    <w:rsid w:val="008C3344"/>
    <w:rsid w:val="008C345A"/>
    <w:rsid w:val="008C3469"/>
    <w:rsid w:val="008C355E"/>
    <w:rsid w:val="008C3570"/>
    <w:rsid w:val="008C359C"/>
    <w:rsid w:val="008C368B"/>
    <w:rsid w:val="008C3737"/>
    <w:rsid w:val="008C3753"/>
    <w:rsid w:val="008C37AE"/>
    <w:rsid w:val="008C38BF"/>
    <w:rsid w:val="008C397E"/>
    <w:rsid w:val="008C39B9"/>
    <w:rsid w:val="008C39E0"/>
    <w:rsid w:val="008C3ACC"/>
    <w:rsid w:val="008C3B0B"/>
    <w:rsid w:val="008C3B48"/>
    <w:rsid w:val="008C3BB9"/>
    <w:rsid w:val="008C3CA1"/>
    <w:rsid w:val="008C3DAE"/>
    <w:rsid w:val="008C3DB5"/>
    <w:rsid w:val="008C3FAA"/>
    <w:rsid w:val="008C4066"/>
    <w:rsid w:val="008C413D"/>
    <w:rsid w:val="008C423A"/>
    <w:rsid w:val="008C4345"/>
    <w:rsid w:val="008C438B"/>
    <w:rsid w:val="008C4562"/>
    <w:rsid w:val="008C458E"/>
    <w:rsid w:val="008C465D"/>
    <w:rsid w:val="008C4678"/>
    <w:rsid w:val="008C4716"/>
    <w:rsid w:val="008C4787"/>
    <w:rsid w:val="008C4925"/>
    <w:rsid w:val="008C4981"/>
    <w:rsid w:val="008C499A"/>
    <w:rsid w:val="008C4A44"/>
    <w:rsid w:val="008C4B49"/>
    <w:rsid w:val="008C4B6C"/>
    <w:rsid w:val="008C4C01"/>
    <w:rsid w:val="008C4C73"/>
    <w:rsid w:val="008C4CCF"/>
    <w:rsid w:val="008C4F0F"/>
    <w:rsid w:val="008C5007"/>
    <w:rsid w:val="008C505C"/>
    <w:rsid w:val="008C5082"/>
    <w:rsid w:val="008C50BC"/>
    <w:rsid w:val="008C5105"/>
    <w:rsid w:val="008C517E"/>
    <w:rsid w:val="008C518A"/>
    <w:rsid w:val="008C51A1"/>
    <w:rsid w:val="008C51EE"/>
    <w:rsid w:val="008C5275"/>
    <w:rsid w:val="008C52FC"/>
    <w:rsid w:val="008C54D3"/>
    <w:rsid w:val="008C54D6"/>
    <w:rsid w:val="008C566B"/>
    <w:rsid w:val="008C5714"/>
    <w:rsid w:val="008C581E"/>
    <w:rsid w:val="008C592B"/>
    <w:rsid w:val="008C5967"/>
    <w:rsid w:val="008C596F"/>
    <w:rsid w:val="008C59E3"/>
    <w:rsid w:val="008C5A59"/>
    <w:rsid w:val="008C5A93"/>
    <w:rsid w:val="008C5AE9"/>
    <w:rsid w:val="008C5B00"/>
    <w:rsid w:val="008C5B04"/>
    <w:rsid w:val="008C5B91"/>
    <w:rsid w:val="008C5BD5"/>
    <w:rsid w:val="008C5C17"/>
    <w:rsid w:val="008C5C76"/>
    <w:rsid w:val="008C5D36"/>
    <w:rsid w:val="008C5DCF"/>
    <w:rsid w:val="008C5E20"/>
    <w:rsid w:val="008C5E95"/>
    <w:rsid w:val="008C602C"/>
    <w:rsid w:val="008C604E"/>
    <w:rsid w:val="008C60CF"/>
    <w:rsid w:val="008C60EF"/>
    <w:rsid w:val="008C6113"/>
    <w:rsid w:val="008C61DA"/>
    <w:rsid w:val="008C626B"/>
    <w:rsid w:val="008C62DF"/>
    <w:rsid w:val="008C63FE"/>
    <w:rsid w:val="008C64D8"/>
    <w:rsid w:val="008C64E9"/>
    <w:rsid w:val="008C651B"/>
    <w:rsid w:val="008C6564"/>
    <w:rsid w:val="008C657A"/>
    <w:rsid w:val="008C65B1"/>
    <w:rsid w:val="008C661C"/>
    <w:rsid w:val="008C668E"/>
    <w:rsid w:val="008C6737"/>
    <w:rsid w:val="008C67B6"/>
    <w:rsid w:val="008C6880"/>
    <w:rsid w:val="008C6898"/>
    <w:rsid w:val="008C6982"/>
    <w:rsid w:val="008C699A"/>
    <w:rsid w:val="008C6A5C"/>
    <w:rsid w:val="008C6B25"/>
    <w:rsid w:val="008C6BB4"/>
    <w:rsid w:val="008C6BE2"/>
    <w:rsid w:val="008C6C4B"/>
    <w:rsid w:val="008C6D64"/>
    <w:rsid w:val="008C6DF3"/>
    <w:rsid w:val="008C6E32"/>
    <w:rsid w:val="008C6F5C"/>
    <w:rsid w:val="008C6F99"/>
    <w:rsid w:val="008C6FD9"/>
    <w:rsid w:val="008C7030"/>
    <w:rsid w:val="008C7102"/>
    <w:rsid w:val="008C71B8"/>
    <w:rsid w:val="008C7221"/>
    <w:rsid w:val="008C72C7"/>
    <w:rsid w:val="008C7479"/>
    <w:rsid w:val="008C749D"/>
    <w:rsid w:val="008C75A5"/>
    <w:rsid w:val="008C75F9"/>
    <w:rsid w:val="008C76AA"/>
    <w:rsid w:val="008C7838"/>
    <w:rsid w:val="008C7927"/>
    <w:rsid w:val="008C79DF"/>
    <w:rsid w:val="008C7A85"/>
    <w:rsid w:val="008C7B3C"/>
    <w:rsid w:val="008C7B4F"/>
    <w:rsid w:val="008C7C4F"/>
    <w:rsid w:val="008C7D1B"/>
    <w:rsid w:val="008C7D38"/>
    <w:rsid w:val="008C7D4F"/>
    <w:rsid w:val="008C7DC0"/>
    <w:rsid w:val="008C7DEC"/>
    <w:rsid w:val="008C7EC3"/>
    <w:rsid w:val="008C7EEC"/>
    <w:rsid w:val="008C7F1D"/>
    <w:rsid w:val="008C7F4C"/>
    <w:rsid w:val="008C7FC7"/>
    <w:rsid w:val="008D0023"/>
    <w:rsid w:val="008D0065"/>
    <w:rsid w:val="008D00C4"/>
    <w:rsid w:val="008D00EA"/>
    <w:rsid w:val="008D0171"/>
    <w:rsid w:val="008D024A"/>
    <w:rsid w:val="008D0305"/>
    <w:rsid w:val="008D0391"/>
    <w:rsid w:val="008D03EC"/>
    <w:rsid w:val="008D0483"/>
    <w:rsid w:val="008D0496"/>
    <w:rsid w:val="008D04F1"/>
    <w:rsid w:val="008D04F4"/>
    <w:rsid w:val="008D057A"/>
    <w:rsid w:val="008D0598"/>
    <w:rsid w:val="008D05A0"/>
    <w:rsid w:val="008D05F1"/>
    <w:rsid w:val="008D0694"/>
    <w:rsid w:val="008D087A"/>
    <w:rsid w:val="008D0891"/>
    <w:rsid w:val="008D08FD"/>
    <w:rsid w:val="008D0950"/>
    <w:rsid w:val="008D0A69"/>
    <w:rsid w:val="008D0AF2"/>
    <w:rsid w:val="008D0B1D"/>
    <w:rsid w:val="008D0BF3"/>
    <w:rsid w:val="008D0C10"/>
    <w:rsid w:val="008D0C9D"/>
    <w:rsid w:val="008D0C9E"/>
    <w:rsid w:val="008D0C9F"/>
    <w:rsid w:val="008D0D09"/>
    <w:rsid w:val="008D0D11"/>
    <w:rsid w:val="008D0D69"/>
    <w:rsid w:val="008D0D8C"/>
    <w:rsid w:val="008D0DD2"/>
    <w:rsid w:val="008D0E4D"/>
    <w:rsid w:val="008D0E9A"/>
    <w:rsid w:val="008D1040"/>
    <w:rsid w:val="008D10DC"/>
    <w:rsid w:val="008D10EC"/>
    <w:rsid w:val="008D1190"/>
    <w:rsid w:val="008D12C2"/>
    <w:rsid w:val="008D13EF"/>
    <w:rsid w:val="008D1404"/>
    <w:rsid w:val="008D1465"/>
    <w:rsid w:val="008D14C1"/>
    <w:rsid w:val="008D15FB"/>
    <w:rsid w:val="008D1638"/>
    <w:rsid w:val="008D16B9"/>
    <w:rsid w:val="008D1746"/>
    <w:rsid w:val="008D17F6"/>
    <w:rsid w:val="008D182F"/>
    <w:rsid w:val="008D18B5"/>
    <w:rsid w:val="008D18E4"/>
    <w:rsid w:val="008D1924"/>
    <w:rsid w:val="008D1929"/>
    <w:rsid w:val="008D19ED"/>
    <w:rsid w:val="008D1A16"/>
    <w:rsid w:val="008D1A45"/>
    <w:rsid w:val="008D1CA5"/>
    <w:rsid w:val="008D1CF2"/>
    <w:rsid w:val="008D1D14"/>
    <w:rsid w:val="008D1D17"/>
    <w:rsid w:val="008D1D85"/>
    <w:rsid w:val="008D1DC1"/>
    <w:rsid w:val="008D1E2A"/>
    <w:rsid w:val="008D1E39"/>
    <w:rsid w:val="008D1EF2"/>
    <w:rsid w:val="008D1F90"/>
    <w:rsid w:val="008D1FCB"/>
    <w:rsid w:val="008D20AF"/>
    <w:rsid w:val="008D20DD"/>
    <w:rsid w:val="008D2114"/>
    <w:rsid w:val="008D2194"/>
    <w:rsid w:val="008D224C"/>
    <w:rsid w:val="008D22BA"/>
    <w:rsid w:val="008D2321"/>
    <w:rsid w:val="008D237F"/>
    <w:rsid w:val="008D23B8"/>
    <w:rsid w:val="008D24D5"/>
    <w:rsid w:val="008D24EB"/>
    <w:rsid w:val="008D24F2"/>
    <w:rsid w:val="008D253F"/>
    <w:rsid w:val="008D2554"/>
    <w:rsid w:val="008D2591"/>
    <w:rsid w:val="008D25D5"/>
    <w:rsid w:val="008D26C7"/>
    <w:rsid w:val="008D26EE"/>
    <w:rsid w:val="008D26F8"/>
    <w:rsid w:val="008D2771"/>
    <w:rsid w:val="008D27E2"/>
    <w:rsid w:val="008D28CF"/>
    <w:rsid w:val="008D2916"/>
    <w:rsid w:val="008D2997"/>
    <w:rsid w:val="008D2B37"/>
    <w:rsid w:val="008D2B8B"/>
    <w:rsid w:val="008D2BC0"/>
    <w:rsid w:val="008D2C1A"/>
    <w:rsid w:val="008D2C2D"/>
    <w:rsid w:val="008D2CC6"/>
    <w:rsid w:val="008D2CD5"/>
    <w:rsid w:val="008D2DB8"/>
    <w:rsid w:val="008D2DC3"/>
    <w:rsid w:val="008D2E47"/>
    <w:rsid w:val="008D2E58"/>
    <w:rsid w:val="008D2E5F"/>
    <w:rsid w:val="008D3102"/>
    <w:rsid w:val="008D3134"/>
    <w:rsid w:val="008D3192"/>
    <w:rsid w:val="008D322A"/>
    <w:rsid w:val="008D32A9"/>
    <w:rsid w:val="008D32B4"/>
    <w:rsid w:val="008D32B7"/>
    <w:rsid w:val="008D32C0"/>
    <w:rsid w:val="008D3313"/>
    <w:rsid w:val="008D338E"/>
    <w:rsid w:val="008D33FC"/>
    <w:rsid w:val="008D3451"/>
    <w:rsid w:val="008D3459"/>
    <w:rsid w:val="008D354A"/>
    <w:rsid w:val="008D3604"/>
    <w:rsid w:val="008D363F"/>
    <w:rsid w:val="008D3676"/>
    <w:rsid w:val="008D36E4"/>
    <w:rsid w:val="008D3709"/>
    <w:rsid w:val="008D371C"/>
    <w:rsid w:val="008D3731"/>
    <w:rsid w:val="008D3743"/>
    <w:rsid w:val="008D390D"/>
    <w:rsid w:val="008D3926"/>
    <w:rsid w:val="008D3C50"/>
    <w:rsid w:val="008D3CDD"/>
    <w:rsid w:val="008D3CFF"/>
    <w:rsid w:val="008D3D22"/>
    <w:rsid w:val="008D3D43"/>
    <w:rsid w:val="008D3DDC"/>
    <w:rsid w:val="008D3E20"/>
    <w:rsid w:val="008D3EBF"/>
    <w:rsid w:val="008D3F7A"/>
    <w:rsid w:val="008D3FAF"/>
    <w:rsid w:val="008D3FCD"/>
    <w:rsid w:val="008D3FE5"/>
    <w:rsid w:val="008D3FF7"/>
    <w:rsid w:val="008D408A"/>
    <w:rsid w:val="008D4150"/>
    <w:rsid w:val="008D41CE"/>
    <w:rsid w:val="008D4218"/>
    <w:rsid w:val="008D4224"/>
    <w:rsid w:val="008D4273"/>
    <w:rsid w:val="008D4383"/>
    <w:rsid w:val="008D45B5"/>
    <w:rsid w:val="008D48B5"/>
    <w:rsid w:val="008D49FC"/>
    <w:rsid w:val="008D4A03"/>
    <w:rsid w:val="008D4B1E"/>
    <w:rsid w:val="008D4B5E"/>
    <w:rsid w:val="008D4BBD"/>
    <w:rsid w:val="008D4BE3"/>
    <w:rsid w:val="008D4C27"/>
    <w:rsid w:val="008D4D7E"/>
    <w:rsid w:val="008D4E27"/>
    <w:rsid w:val="008D4E42"/>
    <w:rsid w:val="008D4E81"/>
    <w:rsid w:val="008D4EA0"/>
    <w:rsid w:val="008D4FE3"/>
    <w:rsid w:val="008D500A"/>
    <w:rsid w:val="008D50B2"/>
    <w:rsid w:val="008D51CA"/>
    <w:rsid w:val="008D5229"/>
    <w:rsid w:val="008D528B"/>
    <w:rsid w:val="008D529C"/>
    <w:rsid w:val="008D52CD"/>
    <w:rsid w:val="008D537C"/>
    <w:rsid w:val="008D53AB"/>
    <w:rsid w:val="008D54E6"/>
    <w:rsid w:val="008D5584"/>
    <w:rsid w:val="008D563B"/>
    <w:rsid w:val="008D5669"/>
    <w:rsid w:val="008D56FB"/>
    <w:rsid w:val="008D581B"/>
    <w:rsid w:val="008D5865"/>
    <w:rsid w:val="008D594E"/>
    <w:rsid w:val="008D5953"/>
    <w:rsid w:val="008D59C2"/>
    <w:rsid w:val="008D5B69"/>
    <w:rsid w:val="008D5BBF"/>
    <w:rsid w:val="008D5BE6"/>
    <w:rsid w:val="008D5BF3"/>
    <w:rsid w:val="008D5CF8"/>
    <w:rsid w:val="008D5D1A"/>
    <w:rsid w:val="008D5D79"/>
    <w:rsid w:val="008D5DD5"/>
    <w:rsid w:val="008D5E55"/>
    <w:rsid w:val="008D5E63"/>
    <w:rsid w:val="008D5E83"/>
    <w:rsid w:val="008D5ED6"/>
    <w:rsid w:val="008D5FD9"/>
    <w:rsid w:val="008D5FE3"/>
    <w:rsid w:val="008D5FEA"/>
    <w:rsid w:val="008D6035"/>
    <w:rsid w:val="008D6063"/>
    <w:rsid w:val="008D61F9"/>
    <w:rsid w:val="008D6209"/>
    <w:rsid w:val="008D62D1"/>
    <w:rsid w:val="008D62DB"/>
    <w:rsid w:val="008D633E"/>
    <w:rsid w:val="008D6361"/>
    <w:rsid w:val="008D636F"/>
    <w:rsid w:val="008D63E1"/>
    <w:rsid w:val="008D6484"/>
    <w:rsid w:val="008D64C5"/>
    <w:rsid w:val="008D64EA"/>
    <w:rsid w:val="008D6575"/>
    <w:rsid w:val="008D65FB"/>
    <w:rsid w:val="008D66AC"/>
    <w:rsid w:val="008D69DC"/>
    <w:rsid w:val="008D69E5"/>
    <w:rsid w:val="008D6B10"/>
    <w:rsid w:val="008D6CDC"/>
    <w:rsid w:val="008D6D2E"/>
    <w:rsid w:val="008D6D56"/>
    <w:rsid w:val="008D6D95"/>
    <w:rsid w:val="008D6E9B"/>
    <w:rsid w:val="008D6F9C"/>
    <w:rsid w:val="008D6FCA"/>
    <w:rsid w:val="008D7043"/>
    <w:rsid w:val="008D7188"/>
    <w:rsid w:val="008D71D4"/>
    <w:rsid w:val="008D7211"/>
    <w:rsid w:val="008D7283"/>
    <w:rsid w:val="008D7334"/>
    <w:rsid w:val="008D7499"/>
    <w:rsid w:val="008D7500"/>
    <w:rsid w:val="008D752F"/>
    <w:rsid w:val="008D7568"/>
    <w:rsid w:val="008D75BE"/>
    <w:rsid w:val="008D76F2"/>
    <w:rsid w:val="008D78CD"/>
    <w:rsid w:val="008D7B00"/>
    <w:rsid w:val="008D7B11"/>
    <w:rsid w:val="008D7C43"/>
    <w:rsid w:val="008D7CBB"/>
    <w:rsid w:val="008D7CC6"/>
    <w:rsid w:val="008D7D6A"/>
    <w:rsid w:val="008D7D73"/>
    <w:rsid w:val="008D7DCE"/>
    <w:rsid w:val="008D7FC8"/>
    <w:rsid w:val="008E0078"/>
    <w:rsid w:val="008E008D"/>
    <w:rsid w:val="008E00C5"/>
    <w:rsid w:val="008E01AE"/>
    <w:rsid w:val="008E01D5"/>
    <w:rsid w:val="008E0225"/>
    <w:rsid w:val="008E02E5"/>
    <w:rsid w:val="008E031D"/>
    <w:rsid w:val="008E03B1"/>
    <w:rsid w:val="008E0433"/>
    <w:rsid w:val="008E044C"/>
    <w:rsid w:val="008E04AA"/>
    <w:rsid w:val="008E04AB"/>
    <w:rsid w:val="008E04D3"/>
    <w:rsid w:val="008E05AC"/>
    <w:rsid w:val="008E0617"/>
    <w:rsid w:val="008E068F"/>
    <w:rsid w:val="008E06E9"/>
    <w:rsid w:val="008E07C7"/>
    <w:rsid w:val="008E07F7"/>
    <w:rsid w:val="008E0821"/>
    <w:rsid w:val="008E08BC"/>
    <w:rsid w:val="008E08D6"/>
    <w:rsid w:val="008E0A16"/>
    <w:rsid w:val="008E0AE1"/>
    <w:rsid w:val="008E0B7B"/>
    <w:rsid w:val="008E0BCF"/>
    <w:rsid w:val="008E0C1B"/>
    <w:rsid w:val="008E0C3F"/>
    <w:rsid w:val="008E0CE3"/>
    <w:rsid w:val="008E0DD9"/>
    <w:rsid w:val="008E0E60"/>
    <w:rsid w:val="008E0EAB"/>
    <w:rsid w:val="008E0FE1"/>
    <w:rsid w:val="008E10B2"/>
    <w:rsid w:val="008E1113"/>
    <w:rsid w:val="008E116A"/>
    <w:rsid w:val="008E1177"/>
    <w:rsid w:val="008E11E3"/>
    <w:rsid w:val="008E1248"/>
    <w:rsid w:val="008E13F7"/>
    <w:rsid w:val="008E15A0"/>
    <w:rsid w:val="008E163C"/>
    <w:rsid w:val="008E168A"/>
    <w:rsid w:val="008E183B"/>
    <w:rsid w:val="008E183F"/>
    <w:rsid w:val="008E1851"/>
    <w:rsid w:val="008E19AA"/>
    <w:rsid w:val="008E19F9"/>
    <w:rsid w:val="008E1B05"/>
    <w:rsid w:val="008E1B7E"/>
    <w:rsid w:val="008E1BAB"/>
    <w:rsid w:val="008E1BF3"/>
    <w:rsid w:val="008E1C03"/>
    <w:rsid w:val="008E1C7D"/>
    <w:rsid w:val="008E1CA2"/>
    <w:rsid w:val="008E1D2F"/>
    <w:rsid w:val="008E1D4A"/>
    <w:rsid w:val="008E1E5A"/>
    <w:rsid w:val="008E1EA8"/>
    <w:rsid w:val="008E1ECC"/>
    <w:rsid w:val="008E1F20"/>
    <w:rsid w:val="008E1F2E"/>
    <w:rsid w:val="008E1F41"/>
    <w:rsid w:val="008E1FAF"/>
    <w:rsid w:val="008E2077"/>
    <w:rsid w:val="008E22B3"/>
    <w:rsid w:val="008E2322"/>
    <w:rsid w:val="008E2369"/>
    <w:rsid w:val="008E24AF"/>
    <w:rsid w:val="008E262B"/>
    <w:rsid w:val="008E2687"/>
    <w:rsid w:val="008E2741"/>
    <w:rsid w:val="008E274D"/>
    <w:rsid w:val="008E27DB"/>
    <w:rsid w:val="008E2820"/>
    <w:rsid w:val="008E28A2"/>
    <w:rsid w:val="008E295F"/>
    <w:rsid w:val="008E2970"/>
    <w:rsid w:val="008E2996"/>
    <w:rsid w:val="008E29C9"/>
    <w:rsid w:val="008E2B8B"/>
    <w:rsid w:val="008E2BC6"/>
    <w:rsid w:val="008E2C0F"/>
    <w:rsid w:val="008E2C1C"/>
    <w:rsid w:val="008E2C98"/>
    <w:rsid w:val="008E2DA4"/>
    <w:rsid w:val="008E2DA9"/>
    <w:rsid w:val="008E2DAD"/>
    <w:rsid w:val="008E2DF8"/>
    <w:rsid w:val="008E2E06"/>
    <w:rsid w:val="008E2E0B"/>
    <w:rsid w:val="008E2EC4"/>
    <w:rsid w:val="008E2F44"/>
    <w:rsid w:val="008E2F66"/>
    <w:rsid w:val="008E2F8F"/>
    <w:rsid w:val="008E3092"/>
    <w:rsid w:val="008E30BA"/>
    <w:rsid w:val="008E3170"/>
    <w:rsid w:val="008E31FD"/>
    <w:rsid w:val="008E322A"/>
    <w:rsid w:val="008E3252"/>
    <w:rsid w:val="008E32DE"/>
    <w:rsid w:val="008E33BF"/>
    <w:rsid w:val="008E34AC"/>
    <w:rsid w:val="008E34D8"/>
    <w:rsid w:val="008E34E1"/>
    <w:rsid w:val="008E36E2"/>
    <w:rsid w:val="008E36E4"/>
    <w:rsid w:val="008E377F"/>
    <w:rsid w:val="008E37D7"/>
    <w:rsid w:val="008E3862"/>
    <w:rsid w:val="008E386A"/>
    <w:rsid w:val="008E38DC"/>
    <w:rsid w:val="008E38E6"/>
    <w:rsid w:val="008E3977"/>
    <w:rsid w:val="008E3978"/>
    <w:rsid w:val="008E3B80"/>
    <w:rsid w:val="008E3C45"/>
    <w:rsid w:val="008E3C81"/>
    <w:rsid w:val="008E3D2B"/>
    <w:rsid w:val="008E3D3C"/>
    <w:rsid w:val="008E3E5A"/>
    <w:rsid w:val="008E3F11"/>
    <w:rsid w:val="008E3FC2"/>
    <w:rsid w:val="008E4026"/>
    <w:rsid w:val="008E4039"/>
    <w:rsid w:val="008E40A8"/>
    <w:rsid w:val="008E40F0"/>
    <w:rsid w:val="008E4234"/>
    <w:rsid w:val="008E42D5"/>
    <w:rsid w:val="008E4345"/>
    <w:rsid w:val="008E4405"/>
    <w:rsid w:val="008E4498"/>
    <w:rsid w:val="008E44A0"/>
    <w:rsid w:val="008E4530"/>
    <w:rsid w:val="008E456C"/>
    <w:rsid w:val="008E4575"/>
    <w:rsid w:val="008E458D"/>
    <w:rsid w:val="008E4606"/>
    <w:rsid w:val="008E467F"/>
    <w:rsid w:val="008E4725"/>
    <w:rsid w:val="008E47D6"/>
    <w:rsid w:val="008E4843"/>
    <w:rsid w:val="008E487E"/>
    <w:rsid w:val="008E487F"/>
    <w:rsid w:val="008E48A5"/>
    <w:rsid w:val="008E4925"/>
    <w:rsid w:val="008E4A2D"/>
    <w:rsid w:val="008E4A5C"/>
    <w:rsid w:val="008E4A9C"/>
    <w:rsid w:val="008E4AAE"/>
    <w:rsid w:val="008E4AB3"/>
    <w:rsid w:val="008E4AD0"/>
    <w:rsid w:val="008E4BB6"/>
    <w:rsid w:val="008E4D51"/>
    <w:rsid w:val="008E4D61"/>
    <w:rsid w:val="008E4D8F"/>
    <w:rsid w:val="008E4DEA"/>
    <w:rsid w:val="008E4F24"/>
    <w:rsid w:val="008E4F66"/>
    <w:rsid w:val="008E4FBB"/>
    <w:rsid w:val="008E5006"/>
    <w:rsid w:val="008E500D"/>
    <w:rsid w:val="008E5011"/>
    <w:rsid w:val="008E502C"/>
    <w:rsid w:val="008E504D"/>
    <w:rsid w:val="008E50E9"/>
    <w:rsid w:val="008E522B"/>
    <w:rsid w:val="008E52BA"/>
    <w:rsid w:val="008E53DB"/>
    <w:rsid w:val="008E543A"/>
    <w:rsid w:val="008E545E"/>
    <w:rsid w:val="008E55C5"/>
    <w:rsid w:val="008E56AC"/>
    <w:rsid w:val="008E5741"/>
    <w:rsid w:val="008E574C"/>
    <w:rsid w:val="008E57B2"/>
    <w:rsid w:val="008E57E3"/>
    <w:rsid w:val="008E5891"/>
    <w:rsid w:val="008E598F"/>
    <w:rsid w:val="008E5AC9"/>
    <w:rsid w:val="008E5C01"/>
    <w:rsid w:val="008E5CF3"/>
    <w:rsid w:val="008E5D73"/>
    <w:rsid w:val="008E5E3B"/>
    <w:rsid w:val="008E5E68"/>
    <w:rsid w:val="008E5F1F"/>
    <w:rsid w:val="008E5F26"/>
    <w:rsid w:val="008E5F69"/>
    <w:rsid w:val="008E5FE0"/>
    <w:rsid w:val="008E5FEE"/>
    <w:rsid w:val="008E6121"/>
    <w:rsid w:val="008E616C"/>
    <w:rsid w:val="008E61ED"/>
    <w:rsid w:val="008E61EE"/>
    <w:rsid w:val="008E61F7"/>
    <w:rsid w:val="008E6254"/>
    <w:rsid w:val="008E630C"/>
    <w:rsid w:val="008E6355"/>
    <w:rsid w:val="008E63C4"/>
    <w:rsid w:val="008E6591"/>
    <w:rsid w:val="008E65CF"/>
    <w:rsid w:val="008E6692"/>
    <w:rsid w:val="008E67D1"/>
    <w:rsid w:val="008E682E"/>
    <w:rsid w:val="008E68FE"/>
    <w:rsid w:val="008E6935"/>
    <w:rsid w:val="008E6993"/>
    <w:rsid w:val="008E6A1E"/>
    <w:rsid w:val="008E6A52"/>
    <w:rsid w:val="008E6AF8"/>
    <w:rsid w:val="008E6CB3"/>
    <w:rsid w:val="008E6CBA"/>
    <w:rsid w:val="008E6E02"/>
    <w:rsid w:val="008E6E35"/>
    <w:rsid w:val="008E6E37"/>
    <w:rsid w:val="008E6E8D"/>
    <w:rsid w:val="008E6EA5"/>
    <w:rsid w:val="008E6ED7"/>
    <w:rsid w:val="008E6EE9"/>
    <w:rsid w:val="008E6F2B"/>
    <w:rsid w:val="008E7020"/>
    <w:rsid w:val="008E7028"/>
    <w:rsid w:val="008E702E"/>
    <w:rsid w:val="008E70D2"/>
    <w:rsid w:val="008E71F7"/>
    <w:rsid w:val="008E7310"/>
    <w:rsid w:val="008E7392"/>
    <w:rsid w:val="008E73DB"/>
    <w:rsid w:val="008E75B4"/>
    <w:rsid w:val="008E75E0"/>
    <w:rsid w:val="008E7662"/>
    <w:rsid w:val="008E76BE"/>
    <w:rsid w:val="008E76DF"/>
    <w:rsid w:val="008E76E5"/>
    <w:rsid w:val="008E7823"/>
    <w:rsid w:val="008E786D"/>
    <w:rsid w:val="008E78BC"/>
    <w:rsid w:val="008E78DB"/>
    <w:rsid w:val="008E78F2"/>
    <w:rsid w:val="008E791D"/>
    <w:rsid w:val="008E7A1B"/>
    <w:rsid w:val="008E7B2F"/>
    <w:rsid w:val="008E7B65"/>
    <w:rsid w:val="008E7C6B"/>
    <w:rsid w:val="008E7C96"/>
    <w:rsid w:val="008E7CDD"/>
    <w:rsid w:val="008E7E0C"/>
    <w:rsid w:val="008E7EAA"/>
    <w:rsid w:val="008E9F1D"/>
    <w:rsid w:val="008F002E"/>
    <w:rsid w:val="008F0087"/>
    <w:rsid w:val="008F0142"/>
    <w:rsid w:val="008F0157"/>
    <w:rsid w:val="008F021F"/>
    <w:rsid w:val="008F0223"/>
    <w:rsid w:val="008F0262"/>
    <w:rsid w:val="008F02B3"/>
    <w:rsid w:val="008F02EF"/>
    <w:rsid w:val="008F0370"/>
    <w:rsid w:val="008F0463"/>
    <w:rsid w:val="008F049B"/>
    <w:rsid w:val="008F0563"/>
    <w:rsid w:val="008F0578"/>
    <w:rsid w:val="008F05F8"/>
    <w:rsid w:val="008F0693"/>
    <w:rsid w:val="008F070B"/>
    <w:rsid w:val="008F07C5"/>
    <w:rsid w:val="008F07F5"/>
    <w:rsid w:val="008F084E"/>
    <w:rsid w:val="008F0854"/>
    <w:rsid w:val="008F0979"/>
    <w:rsid w:val="008F0997"/>
    <w:rsid w:val="008F0A56"/>
    <w:rsid w:val="008F0BAF"/>
    <w:rsid w:val="008F0C16"/>
    <w:rsid w:val="008F0CE8"/>
    <w:rsid w:val="008F0DB7"/>
    <w:rsid w:val="008F0DD1"/>
    <w:rsid w:val="008F0E74"/>
    <w:rsid w:val="008F1015"/>
    <w:rsid w:val="008F10AC"/>
    <w:rsid w:val="008F10E3"/>
    <w:rsid w:val="008F1103"/>
    <w:rsid w:val="008F1195"/>
    <w:rsid w:val="008F128F"/>
    <w:rsid w:val="008F12BE"/>
    <w:rsid w:val="008F12C6"/>
    <w:rsid w:val="008F12E7"/>
    <w:rsid w:val="008F1322"/>
    <w:rsid w:val="008F153F"/>
    <w:rsid w:val="008F162A"/>
    <w:rsid w:val="008F1740"/>
    <w:rsid w:val="008F1774"/>
    <w:rsid w:val="008F1837"/>
    <w:rsid w:val="008F1859"/>
    <w:rsid w:val="008F1949"/>
    <w:rsid w:val="008F19C8"/>
    <w:rsid w:val="008F1A09"/>
    <w:rsid w:val="008F1AE9"/>
    <w:rsid w:val="008F1C3F"/>
    <w:rsid w:val="008F1C4A"/>
    <w:rsid w:val="008F1CCA"/>
    <w:rsid w:val="008F1D11"/>
    <w:rsid w:val="008F1D1C"/>
    <w:rsid w:val="008F1D72"/>
    <w:rsid w:val="008F1D88"/>
    <w:rsid w:val="008F1D9D"/>
    <w:rsid w:val="008F1DE7"/>
    <w:rsid w:val="008F1F3C"/>
    <w:rsid w:val="008F1FAD"/>
    <w:rsid w:val="008F1FCC"/>
    <w:rsid w:val="008F2068"/>
    <w:rsid w:val="008F2176"/>
    <w:rsid w:val="008F220A"/>
    <w:rsid w:val="008F2334"/>
    <w:rsid w:val="008F23AD"/>
    <w:rsid w:val="008F23DB"/>
    <w:rsid w:val="008F25B0"/>
    <w:rsid w:val="008F25D5"/>
    <w:rsid w:val="008F2619"/>
    <w:rsid w:val="008F26BC"/>
    <w:rsid w:val="008F26C5"/>
    <w:rsid w:val="008F26EB"/>
    <w:rsid w:val="008F279A"/>
    <w:rsid w:val="008F2819"/>
    <w:rsid w:val="008F285D"/>
    <w:rsid w:val="008F294D"/>
    <w:rsid w:val="008F2964"/>
    <w:rsid w:val="008F297C"/>
    <w:rsid w:val="008F2A43"/>
    <w:rsid w:val="008F2A52"/>
    <w:rsid w:val="008F2AC8"/>
    <w:rsid w:val="008F2B3E"/>
    <w:rsid w:val="008F2D23"/>
    <w:rsid w:val="008F2E58"/>
    <w:rsid w:val="008F2EBC"/>
    <w:rsid w:val="008F2F19"/>
    <w:rsid w:val="008F2F7E"/>
    <w:rsid w:val="008F2FE7"/>
    <w:rsid w:val="008F2FED"/>
    <w:rsid w:val="008F308F"/>
    <w:rsid w:val="008F3111"/>
    <w:rsid w:val="008F3141"/>
    <w:rsid w:val="008F31FE"/>
    <w:rsid w:val="008F3225"/>
    <w:rsid w:val="008F32F5"/>
    <w:rsid w:val="008F3336"/>
    <w:rsid w:val="008F348B"/>
    <w:rsid w:val="008F34A4"/>
    <w:rsid w:val="008F362E"/>
    <w:rsid w:val="008F3743"/>
    <w:rsid w:val="008F37A0"/>
    <w:rsid w:val="008F37DE"/>
    <w:rsid w:val="008F3825"/>
    <w:rsid w:val="008F3836"/>
    <w:rsid w:val="008F3874"/>
    <w:rsid w:val="008F38DC"/>
    <w:rsid w:val="008F3915"/>
    <w:rsid w:val="008F3942"/>
    <w:rsid w:val="008F3996"/>
    <w:rsid w:val="008F39B5"/>
    <w:rsid w:val="008F39FA"/>
    <w:rsid w:val="008F3A9A"/>
    <w:rsid w:val="008F3A9B"/>
    <w:rsid w:val="008F3AEA"/>
    <w:rsid w:val="008F3B0B"/>
    <w:rsid w:val="008F3B1C"/>
    <w:rsid w:val="008F3C67"/>
    <w:rsid w:val="008F3D1E"/>
    <w:rsid w:val="008F3D76"/>
    <w:rsid w:val="008F3D85"/>
    <w:rsid w:val="008F3DAF"/>
    <w:rsid w:val="008F3DCD"/>
    <w:rsid w:val="008F3E12"/>
    <w:rsid w:val="008F3F7F"/>
    <w:rsid w:val="008F3F81"/>
    <w:rsid w:val="008F4094"/>
    <w:rsid w:val="008F409E"/>
    <w:rsid w:val="008F41E1"/>
    <w:rsid w:val="008F420C"/>
    <w:rsid w:val="008F42E3"/>
    <w:rsid w:val="008F433E"/>
    <w:rsid w:val="008F43BE"/>
    <w:rsid w:val="008F43D0"/>
    <w:rsid w:val="008F43EC"/>
    <w:rsid w:val="008F4472"/>
    <w:rsid w:val="008F450E"/>
    <w:rsid w:val="008F46B4"/>
    <w:rsid w:val="008F474A"/>
    <w:rsid w:val="008F4784"/>
    <w:rsid w:val="008F47C3"/>
    <w:rsid w:val="008F47C8"/>
    <w:rsid w:val="008F48A9"/>
    <w:rsid w:val="008F48E4"/>
    <w:rsid w:val="008F4904"/>
    <w:rsid w:val="008F4914"/>
    <w:rsid w:val="008F494B"/>
    <w:rsid w:val="008F4955"/>
    <w:rsid w:val="008F49D9"/>
    <w:rsid w:val="008F4A33"/>
    <w:rsid w:val="008F4AC2"/>
    <w:rsid w:val="008F4B42"/>
    <w:rsid w:val="008F4B75"/>
    <w:rsid w:val="008F4BE5"/>
    <w:rsid w:val="008F4C0F"/>
    <w:rsid w:val="008F4C6A"/>
    <w:rsid w:val="008F4CC6"/>
    <w:rsid w:val="008F4D6F"/>
    <w:rsid w:val="008F4D89"/>
    <w:rsid w:val="008F4DAD"/>
    <w:rsid w:val="008F4DF4"/>
    <w:rsid w:val="008F4E15"/>
    <w:rsid w:val="008F4F6D"/>
    <w:rsid w:val="008F4FE4"/>
    <w:rsid w:val="008F5183"/>
    <w:rsid w:val="008F519E"/>
    <w:rsid w:val="008F52B7"/>
    <w:rsid w:val="008F52EF"/>
    <w:rsid w:val="008F5351"/>
    <w:rsid w:val="008F53B6"/>
    <w:rsid w:val="008F543B"/>
    <w:rsid w:val="008F5464"/>
    <w:rsid w:val="008F552E"/>
    <w:rsid w:val="008F5561"/>
    <w:rsid w:val="008F55AD"/>
    <w:rsid w:val="008F5691"/>
    <w:rsid w:val="008F56A2"/>
    <w:rsid w:val="008F5834"/>
    <w:rsid w:val="008F58A4"/>
    <w:rsid w:val="008F58C2"/>
    <w:rsid w:val="008F58FB"/>
    <w:rsid w:val="008F59AE"/>
    <w:rsid w:val="008F5ADD"/>
    <w:rsid w:val="008F5AEF"/>
    <w:rsid w:val="008F5B84"/>
    <w:rsid w:val="008F5BC1"/>
    <w:rsid w:val="008F5C3E"/>
    <w:rsid w:val="008F5D67"/>
    <w:rsid w:val="008F5D6A"/>
    <w:rsid w:val="008F5D87"/>
    <w:rsid w:val="008F5EE5"/>
    <w:rsid w:val="008F5F9F"/>
    <w:rsid w:val="008F600C"/>
    <w:rsid w:val="008F6043"/>
    <w:rsid w:val="008F604A"/>
    <w:rsid w:val="008F6050"/>
    <w:rsid w:val="008F608D"/>
    <w:rsid w:val="008F6120"/>
    <w:rsid w:val="008F61EA"/>
    <w:rsid w:val="008F6216"/>
    <w:rsid w:val="008F6287"/>
    <w:rsid w:val="008F62D6"/>
    <w:rsid w:val="008F6386"/>
    <w:rsid w:val="008F63A0"/>
    <w:rsid w:val="008F63AA"/>
    <w:rsid w:val="008F6475"/>
    <w:rsid w:val="008F64C2"/>
    <w:rsid w:val="008F64E9"/>
    <w:rsid w:val="008F6514"/>
    <w:rsid w:val="008F65B3"/>
    <w:rsid w:val="008F660C"/>
    <w:rsid w:val="008F6663"/>
    <w:rsid w:val="008F667B"/>
    <w:rsid w:val="008F67ED"/>
    <w:rsid w:val="008F6831"/>
    <w:rsid w:val="008F69C4"/>
    <w:rsid w:val="008F6A15"/>
    <w:rsid w:val="008F6AC8"/>
    <w:rsid w:val="008F6BEB"/>
    <w:rsid w:val="008F6BFC"/>
    <w:rsid w:val="008F6D1D"/>
    <w:rsid w:val="008F6D3B"/>
    <w:rsid w:val="008F6D75"/>
    <w:rsid w:val="008F6DF3"/>
    <w:rsid w:val="008F6EBD"/>
    <w:rsid w:val="008F6EC6"/>
    <w:rsid w:val="008F6FBB"/>
    <w:rsid w:val="008F7015"/>
    <w:rsid w:val="008F7040"/>
    <w:rsid w:val="008F71F5"/>
    <w:rsid w:val="008F7205"/>
    <w:rsid w:val="008F7298"/>
    <w:rsid w:val="008F72CD"/>
    <w:rsid w:val="008F7359"/>
    <w:rsid w:val="008F735E"/>
    <w:rsid w:val="008F73AE"/>
    <w:rsid w:val="008F74A8"/>
    <w:rsid w:val="008F758B"/>
    <w:rsid w:val="008F759C"/>
    <w:rsid w:val="008F76A0"/>
    <w:rsid w:val="008F7743"/>
    <w:rsid w:val="008F77EB"/>
    <w:rsid w:val="008F7855"/>
    <w:rsid w:val="008F78F3"/>
    <w:rsid w:val="008F7944"/>
    <w:rsid w:val="008F79BF"/>
    <w:rsid w:val="008F7A12"/>
    <w:rsid w:val="008F7A1A"/>
    <w:rsid w:val="008F7A8F"/>
    <w:rsid w:val="008F7AEB"/>
    <w:rsid w:val="008F7C35"/>
    <w:rsid w:val="008F7D55"/>
    <w:rsid w:val="008F7DCA"/>
    <w:rsid w:val="008F7E60"/>
    <w:rsid w:val="008F7E61"/>
    <w:rsid w:val="008F7EDC"/>
    <w:rsid w:val="008F7EF3"/>
    <w:rsid w:val="008F7F43"/>
    <w:rsid w:val="008F7FC8"/>
    <w:rsid w:val="008FC98B"/>
    <w:rsid w:val="00900150"/>
    <w:rsid w:val="0090033D"/>
    <w:rsid w:val="00900376"/>
    <w:rsid w:val="0090045C"/>
    <w:rsid w:val="009004CA"/>
    <w:rsid w:val="00900559"/>
    <w:rsid w:val="009005ED"/>
    <w:rsid w:val="009005F6"/>
    <w:rsid w:val="00900609"/>
    <w:rsid w:val="0090063B"/>
    <w:rsid w:val="0090069F"/>
    <w:rsid w:val="00900815"/>
    <w:rsid w:val="00900816"/>
    <w:rsid w:val="009008F3"/>
    <w:rsid w:val="00900A1E"/>
    <w:rsid w:val="00900A76"/>
    <w:rsid w:val="00900A92"/>
    <w:rsid w:val="00900AD6"/>
    <w:rsid w:val="00900B31"/>
    <w:rsid w:val="00900BE0"/>
    <w:rsid w:val="00900CAC"/>
    <w:rsid w:val="00900D72"/>
    <w:rsid w:val="00900D73"/>
    <w:rsid w:val="00900E14"/>
    <w:rsid w:val="00900E57"/>
    <w:rsid w:val="00900FDC"/>
    <w:rsid w:val="009010D8"/>
    <w:rsid w:val="0090130D"/>
    <w:rsid w:val="0090134D"/>
    <w:rsid w:val="009013A6"/>
    <w:rsid w:val="00901474"/>
    <w:rsid w:val="00901499"/>
    <w:rsid w:val="009014D2"/>
    <w:rsid w:val="0090152E"/>
    <w:rsid w:val="0090153D"/>
    <w:rsid w:val="00901563"/>
    <w:rsid w:val="0090160F"/>
    <w:rsid w:val="0090168D"/>
    <w:rsid w:val="00901693"/>
    <w:rsid w:val="00901746"/>
    <w:rsid w:val="0090174D"/>
    <w:rsid w:val="00901772"/>
    <w:rsid w:val="009017A6"/>
    <w:rsid w:val="009017ED"/>
    <w:rsid w:val="009017F7"/>
    <w:rsid w:val="009018E8"/>
    <w:rsid w:val="00901959"/>
    <w:rsid w:val="00901A7B"/>
    <w:rsid w:val="00901A92"/>
    <w:rsid w:val="00901B36"/>
    <w:rsid w:val="00901B43"/>
    <w:rsid w:val="00901B50"/>
    <w:rsid w:val="00901B89"/>
    <w:rsid w:val="00901C0D"/>
    <w:rsid w:val="00901C33"/>
    <w:rsid w:val="00901E2F"/>
    <w:rsid w:val="00901E3D"/>
    <w:rsid w:val="00901ED0"/>
    <w:rsid w:val="00901F08"/>
    <w:rsid w:val="00901FFB"/>
    <w:rsid w:val="00902017"/>
    <w:rsid w:val="00902024"/>
    <w:rsid w:val="00902049"/>
    <w:rsid w:val="00902062"/>
    <w:rsid w:val="0090208F"/>
    <w:rsid w:val="009020F8"/>
    <w:rsid w:val="0090210C"/>
    <w:rsid w:val="0090212B"/>
    <w:rsid w:val="0090213F"/>
    <w:rsid w:val="00902154"/>
    <w:rsid w:val="0090227C"/>
    <w:rsid w:val="0090242A"/>
    <w:rsid w:val="00902484"/>
    <w:rsid w:val="009025A2"/>
    <w:rsid w:val="0090261B"/>
    <w:rsid w:val="009026FA"/>
    <w:rsid w:val="009027CE"/>
    <w:rsid w:val="0090285D"/>
    <w:rsid w:val="0090295D"/>
    <w:rsid w:val="009029A6"/>
    <w:rsid w:val="00902A4B"/>
    <w:rsid w:val="00902BD8"/>
    <w:rsid w:val="00902BFA"/>
    <w:rsid w:val="00902CB8"/>
    <w:rsid w:val="00902D6D"/>
    <w:rsid w:val="00902E0B"/>
    <w:rsid w:val="00902E9D"/>
    <w:rsid w:val="00902F98"/>
    <w:rsid w:val="009030A7"/>
    <w:rsid w:val="009030EA"/>
    <w:rsid w:val="009030F1"/>
    <w:rsid w:val="00903112"/>
    <w:rsid w:val="0090326C"/>
    <w:rsid w:val="009032E6"/>
    <w:rsid w:val="0090335A"/>
    <w:rsid w:val="0090340B"/>
    <w:rsid w:val="009034C7"/>
    <w:rsid w:val="009034ED"/>
    <w:rsid w:val="009035C7"/>
    <w:rsid w:val="00903620"/>
    <w:rsid w:val="0090363C"/>
    <w:rsid w:val="009036F9"/>
    <w:rsid w:val="00903713"/>
    <w:rsid w:val="00903803"/>
    <w:rsid w:val="0090389F"/>
    <w:rsid w:val="009038EE"/>
    <w:rsid w:val="009039AE"/>
    <w:rsid w:val="00903A86"/>
    <w:rsid w:val="00903B05"/>
    <w:rsid w:val="00903B09"/>
    <w:rsid w:val="00903B75"/>
    <w:rsid w:val="00903BC4"/>
    <w:rsid w:val="00903BF5"/>
    <w:rsid w:val="00903CA6"/>
    <w:rsid w:val="00903D1B"/>
    <w:rsid w:val="00903DC6"/>
    <w:rsid w:val="00903E6B"/>
    <w:rsid w:val="00903EAF"/>
    <w:rsid w:val="00903FA1"/>
    <w:rsid w:val="00903FEA"/>
    <w:rsid w:val="0090400B"/>
    <w:rsid w:val="009040CE"/>
    <w:rsid w:val="009041D9"/>
    <w:rsid w:val="009041F6"/>
    <w:rsid w:val="0090430A"/>
    <w:rsid w:val="0090432F"/>
    <w:rsid w:val="0090434C"/>
    <w:rsid w:val="009043EC"/>
    <w:rsid w:val="0090458D"/>
    <w:rsid w:val="009045CB"/>
    <w:rsid w:val="0090476E"/>
    <w:rsid w:val="009047E7"/>
    <w:rsid w:val="00904872"/>
    <w:rsid w:val="009048A1"/>
    <w:rsid w:val="009048B9"/>
    <w:rsid w:val="00904960"/>
    <w:rsid w:val="009049D6"/>
    <w:rsid w:val="00904AFD"/>
    <w:rsid w:val="00904B8F"/>
    <w:rsid w:val="00904BCE"/>
    <w:rsid w:val="00904BE9"/>
    <w:rsid w:val="00904C03"/>
    <w:rsid w:val="00904C04"/>
    <w:rsid w:val="00904C42"/>
    <w:rsid w:val="00904C9C"/>
    <w:rsid w:val="00904D2A"/>
    <w:rsid w:val="00904DC3"/>
    <w:rsid w:val="00904E8A"/>
    <w:rsid w:val="00904FFA"/>
    <w:rsid w:val="0090508D"/>
    <w:rsid w:val="009050AA"/>
    <w:rsid w:val="009050C4"/>
    <w:rsid w:val="00905116"/>
    <w:rsid w:val="0090519C"/>
    <w:rsid w:val="009052A5"/>
    <w:rsid w:val="0090536C"/>
    <w:rsid w:val="0090539F"/>
    <w:rsid w:val="00905580"/>
    <w:rsid w:val="0090562D"/>
    <w:rsid w:val="0090567F"/>
    <w:rsid w:val="0090572C"/>
    <w:rsid w:val="0090577A"/>
    <w:rsid w:val="009057E8"/>
    <w:rsid w:val="0090583E"/>
    <w:rsid w:val="00905840"/>
    <w:rsid w:val="0090584A"/>
    <w:rsid w:val="0090587A"/>
    <w:rsid w:val="009058C3"/>
    <w:rsid w:val="00905947"/>
    <w:rsid w:val="00905A4C"/>
    <w:rsid w:val="00905AF1"/>
    <w:rsid w:val="00905B43"/>
    <w:rsid w:val="00905B83"/>
    <w:rsid w:val="00905BB9"/>
    <w:rsid w:val="00905CFF"/>
    <w:rsid w:val="00905D75"/>
    <w:rsid w:val="00905DBC"/>
    <w:rsid w:val="00905DE9"/>
    <w:rsid w:val="00905E0A"/>
    <w:rsid w:val="009060CA"/>
    <w:rsid w:val="00906106"/>
    <w:rsid w:val="0090627F"/>
    <w:rsid w:val="009063E1"/>
    <w:rsid w:val="00906446"/>
    <w:rsid w:val="0090647B"/>
    <w:rsid w:val="009064A8"/>
    <w:rsid w:val="009064AF"/>
    <w:rsid w:val="00906516"/>
    <w:rsid w:val="009065A2"/>
    <w:rsid w:val="009065A3"/>
    <w:rsid w:val="0090660F"/>
    <w:rsid w:val="00906612"/>
    <w:rsid w:val="009066A7"/>
    <w:rsid w:val="009066E2"/>
    <w:rsid w:val="00906793"/>
    <w:rsid w:val="009067EC"/>
    <w:rsid w:val="009067ED"/>
    <w:rsid w:val="00906972"/>
    <w:rsid w:val="00906A04"/>
    <w:rsid w:val="00906C06"/>
    <w:rsid w:val="00906C59"/>
    <w:rsid w:val="00906D13"/>
    <w:rsid w:val="00906E2C"/>
    <w:rsid w:val="00906EA6"/>
    <w:rsid w:val="00906F87"/>
    <w:rsid w:val="00907077"/>
    <w:rsid w:val="00907079"/>
    <w:rsid w:val="009070AC"/>
    <w:rsid w:val="0090730F"/>
    <w:rsid w:val="00907389"/>
    <w:rsid w:val="009074A3"/>
    <w:rsid w:val="0090754A"/>
    <w:rsid w:val="009075A1"/>
    <w:rsid w:val="009075AD"/>
    <w:rsid w:val="009075D3"/>
    <w:rsid w:val="00907601"/>
    <w:rsid w:val="00907765"/>
    <w:rsid w:val="00907777"/>
    <w:rsid w:val="009078C0"/>
    <w:rsid w:val="009079C3"/>
    <w:rsid w:val="00907A25"/>
    <w:rsid w:val="00907A87"/>
    <w:rsid w:val="00907A92"/>
    <w:rsid w:val="00907BB1"/>
    <w:rsid w:val="00907BD6"/>
    <w:rsid w:val="00907C96"/>
    <w:rsid w:val="00907CB9"/>
    <w:rsid w:val="00907CFB"/>
    <w:rsid w:val="00907D63"/>
    <w:rsid w:val="00907DF3"/>
    <w:rsid w:val="00907E53"/>
    <w:rsid w:val="00907E95"/>
    <w:rsid w:val="00907F19"/>
    <w:rsid w:val="0091001B"/>
    <w:rsid w:val="0091005E"/>
    <w:rsid w:val="00910060"/>
    <w:rsid w:val="009100AE"/>
    <w:rsid w:val="00910127"/>
    <w:rsid w:val="00910128"/>
    <w:rsid w:val="00910161"/>
    <w:rsid w:val="009101DA"/>
    <w:rsid w:val="009102EE"/>
    <w:rsid w:val="009102FA"/>
    <w:rsid w:val="0091031F"/>
    <w:rsid w:val="0091036F"/>
    <w:rsid w:val="009103AA"/>
    <w:rsid w:val="009103DE"/>
    <w:rsid w:val="00910499"/>
    <w:rsid w:val="00910502"/>
    <w:rsid w:val="00910580"/>
    <w:rsid w:val="00910618"/>
    <w:rsid w:val="0091063F"/>
    <w:rsid w:val="009106B7"/>
    <w:rsid w:val="009106CC"/>
    <w:rsid w:val="00910742"/>
    <w:rsid w:val="0091093C"/>
    <w:rsid w:val="00910B12"/>
    <w:rsid w:val="00910B2A"/>
    <w:rsid w:val="00910B4C"/>
    <w:rsid w:val="00910B58"/>
    <w:rsid w:val="00910BAB"/>
    <w:rsid w:val="00910BBE"/>
    <w:rsid w:val="00910D3F"/>
    <w:rsid w:val="00910E67"/>
    <w:rsid w:val="00910E6A"/>
    <w:rsid w:val="00910EF4"/>
    <w:rsid w:val="00910F06"/>
    <w:rsid w:val="00910F68"/>
    <w:rsid w:val="00910FC8"/>
    <w:rsid w:val="00911036"/>
    <w:rsid w:val="00911089"/>
    <w:rsid w:val="00911096"/>
    <w:rsid w:val="00911111"/>
    <w:rsid w:val="009111B6"/>
    <w:rsid w:val="009111E7"/>
    <w:rsid w:val="009111FE"/>
    <w:rsid w:val="0091125A"/>
    <w:rsid w:val="00911289"/>
    <w:rsid w:val="009113A0"/>
    <w:rsid w:val="009113FF"/>
    <w:rsid w:val="0091148C"/>
    <w:rsid w:val="00911541"/>
    <w:rsid w:val="00911547"/>
    <w:rsid w:val="009115E6"/>
    <w:rsid w:val="009116C0"/>
    <w:rsid w:val="009116C3"/>
    <w:rsid w:val="0091171F"/>
    <w:rsid w:val="0091174B"/>
    <w:rsid w:val="00911822"/>
    <w:rsid w:val="00911842"/>
    <w:rsid w:val="00911913"/>
    <w:rsid w:val="00911AF1"/>
    <w:rsid w:val="00911B07"/>
    <w:rsid w:val="00911B0A"/>
    <w:rsid w:val="00911B75"/>
    <w:rsid w:val="00911B9D"/>
    <w:rsid w:val="00911BC7"/>
    <w:rsid w:val="00911BE5"/>
    <w:rsid w:val="00911C54"/>
    <w:rsid w:val="00911DA1"/>
    <w:rsid w:val="00911DBB"/>
    <w:rsid w:val="00911E6F"/>
    <w:rsid w:val="00911EE7"/>
    <w:rsid w:val="00911F5E"/>
    <w:rsid w:val="00912011"/>
    <w:rsid w:val="0091206B"/>
    <w:rsid w:val="0091206E"/>
    <w:rsid w:val="00912071"/>
    <w:rsid w:val="00912087"/>
    <w:rsid w:val="0091208D"/>
    <w:rsid w:val="0091221E"/>
    <w:rsid w:val="0091228B"/>
    <w:rsid w:val="00912403"/>
    <w:rsid w:val="009124E5"/>
    <w:rsid w:val="009124F2"/>
    <w:rsid w:val="009125BC"/>
    <w:rsid w:val="0091262B"/>
    <w:rsid w:val="0091262C"/>
    <w:rsid w:val="0091266F"/>
    <w:rsid w:val="00912689"/>
    <w:rsid w:val="00912816"/>
    <w:rsid w:val="0091287F"/>
    <w:rsid w:val="009128F6"/>
    <w:rsid w:val="00912913"/>
    <w:rsid w:val="009129BE"/>
    <w:rsid w:val="00912AB6"/>
    <w:rsid w:val="00912AF9"/>
    <w:rsid w:val="00912B2A"/>
    <w:rsid w:val="00912B9A"/>
    <w:rsid w:val="00912C45"/>
    <w:rsid w:val="00912DC9"/>
    <w:rsid w:val="00912E4E"/>
    <w:rsid w:val="00912E9F"/>
    <w:rsid w:val="00912F86"/>
    <w:rsid w:val="00913038"/>
    <w:rsid w:val="009130C0"/>
    <w:rsid w:val="00913170"/>
    <w:rsid w:val="00913193"/>
    <w:rsid w:val="009131B4"/>
    <w:rsid w:val="009133E5"/>
    <w:rsid w:val="00913479"/>
    <w:rsid w:val="009134CB"/>
    <w:rsid w:val="00913564"/>
    <w:rsid w:val="009135CF"/>
    <w:rsid w:val="009135DF"/>
    <w:rsid w:val="00913616"/>
    <w:rsid w:val="0091365C"/>
    <w:rsid w:val="009136E0"/>
    <w:rsid w:val="00913A10"/>
    <w:rsid w:val="00913A74"/>
    <w:rsid w:val="00913ACF"/>
    <w:rsid w:val="00913B0B"/>
    <w:rsid w:val="00913B71"/>
    <w:rsid w:val="00913C36"/>
    <w:rsid w:val="00913CA0"/>
    <w:rsid w:val="00913DE2"/>
    <w:rsid w:val="00913E2A"/>
    <w:rsid w:val="00913E3B"/>
    <w:rsid w:val="00913E46"/>
    <w:rsid w:val="00913FA8"/>
    <w:rsid w:val="00914005"/>
    <w:rsid w:val="0091406C"/>
    <w:rsid w:val="00914161"/>
    <w:rsid w:val="0091417E"/>
    <w:rsid w:val="00914183"/>
    <w:rsid w:val="0091418C"/>
    <w:rsid w:val="009141A3"/>
    <w:rsid w:val="009141E3"/>
    <w:rsid w:val="00914239"/>
    <w:rsid w:val="00914480"/>
    <w:rsid w:val="00914492"/>
    <w:rsid w:val="00914553"/>
    <w:rsid w:val="009145AE"/>
    <w:rsid w:val="0091460D"/>
    <w:rsid w:val="00914629"/>
    <w:rsid w:val="0091467C"/>
    <w:rsid w:val="009146C0"/>
    <w:rsid w:val="009146EA"/>
    <w:rsid w:val="00914830"/>
    <w:rsid w:val="009149A5"/>
    <w:rsid w:val="00914A32"/>
    <w:rsid w:val="00914A6B"/>
    <w:rsid w:val="00914B0C"/>
    <w:rsid w:val="00914C0C"/>
    <w:rsid w:val="00914C12"/>
    <w:rsid w:val="00914D8B"/>
    <w:rsid w:val="00914E5E"/>
    <w:rsid w:val="00914E60"/>
    <w:rsid w:val="00914FB8"/>
    <w:rsid w:val="00914FC8"/>
    <w:rsid w:val="009150BA"/>
    <w:rsid w:val="0091510D"/>
    <w:rsid w:val="0091526F"/>
    <w:rsid w:val="00915491"/>
    <w:rsid w:val="009155E9"/>
    <w:rsid w:val="00915630"/>
    <w:rsid w:val="00915700"/>
    <w:rsid w:val="0091570E"/>
    <w:rsid w:val="009157F6"/>
    <w:rsid w:val="009157FE"/>
    <w:rsid w:val="00915831"/>
    <w:rsid w:val="0091592A"/>
    <w:rsid w:val="00915968"/>
    <w:rsid w:val="009159A2"/>
    <w:rsid w:val="00915A6C"/>
    <w:rsid w:val="00915A8E"/>
    <w:rsid w:val="00915ADF"/>
    <w:rsid w:val="00915B4C"/>
    <w:rsid w:val="00915BB4"/>
    <w:rsid w:val="00915BE4"/>
    <w:rsid w:val="00915D2E"/>
    <w:rsid w:val="00915D74"/>
    <w:rsid w:val="00915DCE"/>
    <w:rsid w:val="00915E87"/>
    <w:rsid w:val="00915F9D"/>
    <w:rsid w:val="00915FDA"/>
    <w:rsid w:val="00915FF9"/>
    <w:rsid w:val="00916073"/>
    <w:rsid w:val="00916090"/>
    <w:rsid w:val="009161B1"/>
    <w:rsid w:val="00916226"/>
    <w:rsid w:val="009162AE"/>
    <w:rsid w:val="00916368"/>
    <w:rsid w:val="00916375"/>
    <w:rsid w:val="0091646F"/>
    <w:rsid w:val="009164A1"/>
    <w:rsid w:val="00916508"/>
    <w:rsid w:val="0091654D"/>
    <w:rsid w:val="00916575"/>
    <w:rsid w:val="0091657A"/>
    <w:rsid w:val="00916658"/>
    <w:rsid w:val="0091668C"/>
    <w:rsid w:val="009166A6"/>
    <w:rsid w:val="009167F5"/>
    <w:rsid w:val="009168DF"/>
    <w:rsid w:val="00916A9B"/>
    <w:rsid w:val="00916BE1"/>
    <w:rsid w:val="00916BF1"/>
    <w:rsid w:val="00916C16"/>
    <w:rsid w:val="00916C1C"/>
    <w:rsid w:val="00916CF9"/>
    <w:rsid w:val="00916D40"/>
    <w:rsid w:val="00916D97"/>
    <w:rsid w:val="00916E27"/>
    <w:rsid w:val="00916EA9"/>
    <w:rsid w:val="00917020"/>
    <w:rsid w:val="0091707A"/>
    <w:rsid w:val="0091715B"/>
    <w:rsid w:val="00917299"/>
    <w:rsid w:val="009172A4"/>
    <w:rsid w:val="00917375"/>
    <w:rsid w:val="009173B1"/>
    <w:rsid w:val="009173DC"/>
    <w:rsid w:val="009173E0"/>
    <w:rsid w:val="0091740E"/>
    <w:rsid w:val="009174DC"/>
    <w:rsid w:val="009175C1"/>
    <w:rsid w:val="009175C2"/>
    <w:rsid w:val="009175E3"/>
    <w:rsid w:val="00917627"/>
    <w:rsid w:val="00917660"/>
    <w:rsid w:val="0091769E"/>
    <w:rsid w:val="00917709"/>
    <w:rsid w:val="009177BB"/>
    <w:rsid w:val="00917902"/>
    <w:rsid w:val="009179AB"/>
    <w:rsid w:val="009179C0"/>
    <w:rsid w:val="009179C3"/>
    <w:rsid w:val="00917A02"/>
    <w:rsid w:val="00917A77"/>
    <w:rsid w:val="00917ABE"/>
    <w:rsid w:val="00917B33"/>
    <w:rsid w:val="00917D32"/>
    <w:rsid w:val="00917DAA"/>
    <w:rsid w:val="00917F42"/>
    <w:rsid w:val="00917F76"/>
    <w:rsid w:val="00917F7D"/>
    <w:rsid w:val="00917FDE"/>
    <w:rsid w:val="00920025"/>
    <w:rsid w:val="0092004A"/>
    <w:rsid w:val="009200A5"/>
    <w:rsid w:val="009200B7"/>
    <w:rsid w:val="00920155"/>
    <w:rsid w:val="00920178"/>
    <w:rsid w:val="0092023E"/>
    <w:rsid w:val="0092027C"/>
    <w:rsid w:val="0092029B"/>
    <w:rsid w:val="00920325"/>
    <w:rsid w:val="0092033F"/>
    <w:rsid w:val="00920350"/>
    <w:rsid w:val="0092039C"/>
    <w:rsid w:val="00920435"/>
    <w:rsid w:val="0092050C"/>
    <w:rsid w:val="00920521"/>
    <w:rsid w:val="0092052D"/>
    <w:rsid w:val="009205D8"/>
    <w:rsid w:val="009207B6"/>
    <w:rsid w:val="009207FE"/>
    <w:rsid w:val="00920804"/>
    <w:rsid w:val="00920858"/>
    <w:rsid w:val="009208BB"/>
    <w:rsid w:val="00920ADD"/>
    <w:rsid w:val="00920B94"/>
    <w:rsid w:val="00920C0F"/>
    <w:rsid w:val="00920C25"/>
    <w:rsid w:val="00920C9B"/>
    <w:rsid w:val="00920CA2"/>
    <w:rsid w:val="00920D19"/>
    <w:rsid w:val="00920D2F"/>
    <w:rsid w:val="00920DFE"/>
    <w:rsid w:val="00920EAE"/>
    <w:rsid w:val="00920F27"/>
    <w:rsid w:val="00921124"/>
    <w:rsid w:val="009211DB"/>
    <w:rsid w:val="009211FF"/>
    <w:rsid w:val="00921287"/>
    <w:rsid w:val="009212CC"/>
    <w:rsid w:val="009213C6"/>
    <w:rsid w:val="00921413"/>
    <w:rsid w:val="00921495"/>
    <w:rsid w:val="009214DD"/>
    <w:rsid w:val="009215AC"/>
    <w:rsid w:val="009215BC"/>
    <w:rsid w:val="00921604"/>
    <w:rsid w:val="00921635"/>
    <w:rsid w:val="00921637"/>
    <w:rsid w:val="009216BE"/>
    <w:rsid w:val="009216C6"/>
    <w:rsid w:val="009216DB"/>
    <w:rsid w:val="009216E3"/>
    <w:rsid w:val="009216F6"/>
    <w:rsid w:val="00921782"/>
    <w:rsid w:val="0092179C"/>
    <w:rsid w:val="009217D8"/>
    <w:rsid w:val="009217E4"/>
    <w:rsid w:val="00921859"/>
    <w:rsid w:val="009218A5"/>
    <w:rsid w:val="00921900"/>
    <w:rsid w:val="0092190F"/>
    <w:rsid w:val="00921917"/>
    <w:rsid w:val="00921938"/>
    <w:rsid w:val="009219A5"/>
    <w:rsid w:val="00921A75"/>
    <w:rsid w:val="00921BB4"/>
    <w:rsid w:val="00921BF8"/>
    <w:rsid w:val="00921CD3"/>
    <w:rsid w:val="00921D21"/>
    <w:rsid w:val="00921D96"/>
    <w:rsid w:val="00921DFC"/>
    <w:rsid w:val="00921E46"/>
    <w:rsid w:val="00921F06"/>
    <w:rsid w:val="00921F59"/>
    <w:rsid w:val="00922004"/>
    <w:rsid w:val="00922070"/>
    <w:rsid w:val="0092209D"/>
    <w:rsid w:val="009220B7"/>
    <w:rsid w:val="009220EA"/>
    <w:rsid w:val="009221A0"/>
    <w:rsid w:val="009222C9"/>
    <w:rsid w:val="0092230E"/>
    <w:rsid w:val="0092236F"/>
    <w:rsid w:val="009223A5"/>
    <w:rsid w:val="0092242A"/>
    <w:rsid w:val="00922455"/>
    <w:rsid w:val="00922697"/>
    <w:rsid w:val="009226B2"/>
    <w:rsid w:val="00922717"/>
    <w:rsid w:val="00922A90"/>
    <w:rsid w:val="00922BC6"/>
    <w:rsid w:val="00922C66"/>
    <w:rsid w:val="00922C77"/>
    <w:rsid w:val="00922CBF"/>
    <w:rsid w:val="00922D06"/>
    <w:rsid w:val="00922EAE"/>
    <w:rsid w:val="00922EF1"/>
    <w:rsid w:val="00922F3C"/>
    <w:rsid w:val="00922F80"/>
    <w:rsid w:val="00922FB9"/>
    <w:rsid w:val="009230B1"/>
    <w:rsid w:val="0092313E"/>
    <w:rsid w:val="00923178"/>
    <w:rsid w:val="0092317E"/>
    <w:rsid w:val="00923220"/>
    <w:rsid w:val="00923231"/>
    <w:rsid w:val="00923336"/>
    <w:rsid w:val="00923353"/>
    <w:rsid w:val="00923379"/>
    <w:rsid w:val="009233A4"/>
    <w:rsid w:val="009233B0"/>
    <w:rsid w:val="00923481"/>
    <w:rsid w:val="00923520"/>
    <w:rsid w:val="009235E1"/>
    <w:rsid w:val="009235E2"/>
    <w:rsid w:val="009235E9"/>
    <w:rsid w:val="00923628"/>
    <w:rsid w:val="009236B1"/>
    <w:rsid w:val="0092370C"/>
    <w:rsid w:val="009237ED"/>
    <w:rsid w:val="00923828"/>
    <w:rsid w:val="00923871"/>
    <w:rsid w:val="00923898"/>
    <w:rsid w:val="00923949"/>
    <w:rsid w:val="009239B8"/>
    <w:rsid w:val="009239DE"/>
    <w:rsid w:val="00923A20"/>
    <w:rsid w:val="00923A3E"/>
    <w:rsid w:val="00923A75"/>
    <w:rsid w:val="00923AFA"/>
    <w:rsid w:val="00923B8F"/>
    <w:rsid w:val="00923C25"/>
    <w:rsid w:val="00923C88"/>
    <w:rsid w:val="00923CF3"/>
    <w:rsid w:val="00923D1F"/>
    <w:rsid w:val="00923D76"/>
    <w:rsid w:val="00923E42"/>
    <w:rsid w:val="00923E4F"/>
    <w:rsid w:val="00923EB3"/>
    <w:rsid w:val="00923ED8"/>
    <w:rsid w:val="00923EF4"/>
    <w:rsid w:val="00923F04"/>
    <w:rsid w:val="00923FD1"/>
    <w:rsid w:val="00924045"/>
    <w:rsid w:val="00924094"/>
    <w:rsid w:val="0092409D"/>
    <w:rsid w:val="009240FD"/>
    <w:rsid w:val="009242A3"/>
    <w:rsid w:val="0092433A"/>
    <w:rsid w:val="009244EB"/>
    <w:rsid w:val="0092451E"/>
    <w:rsid w:val="009245E9"/>
    <w:rsid w:val="0092460E"/>
    <w:rsid w:val="00924793"/>
    <w:rsid w:val="009247D2"/>
    <w:rsid w:val="009247FA"/>
    <w:rsid w:val="00924964"/>
    <w:rsid w:val="009249A9"/>
    <w:rsid w:val="009249DD"/>
    <w:rsid w:val="009249FC"/>
    <w:rsid w:val="00924A0C"/>
    <w:rsid w:val="00924A83"/>
    <w:rsid w:val="00924A9F"/>
    <w:rsid w:val="00924BC2"/>
    <w:rsid w:val="00924C55"/>
    <w:rsid w:val="00924CB8"/>
    <w:rsid w:val="00924CC5"/>
    <w:rsid w:val="00924D6E"/>
    <w:rsid w:val="00924D8D"/>
    <w:rsid w:val="00924D9B"/>
    <w:rsid w:val="00924E8A"/>
    <w:rsid w:val="00924EC4"/>
    <w:rsid w:val="00924FD8"/>
    <w:rsid w:val="00925036"/>
    <w:rsid w:val="00925070"/>
    <w:rsid w:val="00925129"/>
    <w:rsid w:val="00925187"/>
    <w:rsid w:val="009251B1"/>
    <w:rsid w:val="009251BE"/>
    <w:rsid w:val="009251F8"/>
    <w:rsid w:val="009252D2"/>
    <w:rsid w:val="0092532B"/>
    <w:rsid w:val="009253E0"/>
    <w:rsid w:val="009253F2"/>
    <w:rsid w:val="0092542F"/>
    <w:rsid w:val="0092545D"/>
    <w:rsid w:val="009255BF"/>
    <w:rsid w:val="009255E5"/>
    <w:rsid w:val="00925624"/>
    <w:rsid w:val="00925630"/>
    <w:rsid w:val="0092572A"/>
    <w:rsid w:val="0092593B"/>
    <w:rsid w:val="00925A61"/>
    <w:rsid w:val="00925B7F"/>
    <w:rsid w:val="00925BD1"/>
    <w:rsid w:val="00925C3D"/>
    <w:rsid w:val="00925D80"/>
    <w:rsid w:val="00925DBB"/>
    <w:rsid w:val="00925E41"/>
    <w:rsid w:val="00925ECA"/>
    <w:rsid w:val="00926036"/>
    <w:rsid w:val="009260AD"/>
    <w:rsid w:val="009260C2"/>
    <w:rsid w:val="00926174"/>
    <w:rsid w:val="009261D9"/>
    <w:rsid w:val="009261EC"/>
    <w:rsid w:val="00926401"/>
    <w:rsid w:val="00926445"/>
    <w:rsid w:val="00926486"/>
    <w:rsid w:val="00926491"/>
    <w:rsid w:val="00926598"/>
    <w:rsid w:val="00926668"/>
    <w:rsid w:val="0092666E"/>
    <w:rsid w:val="00926689"/>
    <w:rsid w:val="009267A3"/>
    <w:rsid w:val="009267A9"/>
    <w:rsid w:val="009267C5"/>
    <w:rsid w:val="0092695C"/>
    <w:rsid w:val="00926977"/>
    <w:rsid w:val="009269F4"/>
    <w:rsid w:val="00926A9E"/>
    <w:rsid w:val="00926B37"/>
    <w:rsid w:val="00926B6D"/>
    <w:rsid w:val="00926BEE"/>
    <w:rsid w:val="00926DE8"/>
    <w:rsid w:val="00926F73"/>
    <w:rsid w:val="00926FE0"/>
    <w:rsid w:val="00927025"/>
    <w:rsid w:val="00927037"/>
    <w:rsid w:val="0092704A"/>
    <w:rsid w:val="009270D6"/>
    <w:rsid w:val="00927183"/>
    <w:rsid w:val="0092718B"/>
    <w:rsid w:val="00927199"/>
    <w:rsid w:val="0092719D"/>
    <w:rsid w:val="009271F0"/>
    <w:rsid w:val="0092722E"/>
    <w:rsid w:val="009272E7"/>
    <w:rsid w:val="009274DB"/>
    <w:rsid w:val="0092767C"/>
    <w:rsid w:val="009276F7"/>
    <w:rsid w:val="009277CB"/>
    <w:rsid w:val="00927890"/>
    <w:rsid w:val="00927915"/>
    <w:rsid w:val="00927984"/>
    <w:rsid w:val="009279B6"/>
    <w:rsid w:val="00927A5A"/>
    <w:rsid w:val="00927A68"/>
    <w:rsid w:val="00927A8B"/>
    <w:rsid w:val="00927ABC"/>
    <w:rsid w:val="00927BE4"/>
    <w:rsid w:val="00927C1A"/>
    <w:rsid w:val="00927C22"/>
    <w:rsid w:val="00927CFA"/>
    <w:rsid w:val="00927D97"/>
    <w:rsid w:val="00927E7C"/>
    <w:rsid w:val="00927EC3"/>
    <w:rsid w:val="00927F2F"/>
    <w:rsid w:val="00927F7D"/>
    <w:rsid w:val="009301A6"/>
    <w:rsid w:val="00930210"/>
    <w:rsid w:val="0093024E"/>
    <w:rsid w:val="009302D9"/>
    <w:rsid w:val="00930319"/>
    <w:rsid w:val="00930429"/>
    <w:rsid w:val="0093052B"/>
    <w:rsid w:val="00930591"/>
    <w:rsid w:val="009305F0"/>
    <w:rsid w:val="00930686"/>
    <w:rsid w:val="009306AB"/>
    <w:rsid w:val="00930752"/>
    <w:rsid w:val="009307B9"/>
    <w:rsid w:val="009307BF"/>
    <w:rsid w:val="0093083C"/>
    <w:rsid w:val="009308D4"/>
    <w:rsid w:val="009309C5"/>
    <w:rsid w:val="009309D7"/>
    <w:rsid w:val="00930B3D"/>
    <w:rsid w:val="00930B66"/>
    <w:rsid w:val="00930CED"/>
    <w:rsid w:val="00930DCD"/>
    <w:rsid w:val="00930E24"/>
    <w:rsid w:val="00930E66"/>
    <w:rsid w:val="00930F6F"/>
    <w:rsid w:val="00931017"/>
    <w:rsid w:val="0093117A"/>
    <w:rsid w:val="009311B5"/>
    <w:rsid w:val="009311EC"/>
    <w:rsid w:val="0093144A"/>
    <w:rsid w:val="00931454"/>
    <w:rsid w:val="00931567"/>
    <w:rsid w:val="009315B0"/>
    <w:rsid w:val="009315BD"/>
    <w:rsid w:val="009315F3"/>
    <w:rsid w:val="00931666"/>
    <w:rsid w:val="00931740"/>
    <w:rsid w:val="0093174F"/>
    <w:rsid w:val="009317A1"/>
    <w:rsid w:val="00931812"/>
    <w:rsid w:val="0093187A"/>
    <w:rsid w:val="0093198E"/>
    <w:rsid w:val="009319B6"/>
    <w:rsid w:val="00931A6E"/>
    <w:rsid w:val="00931B00"/>
    <w:rsid w:val="00931B06"/>
    <w:rsid w:val="00931B44"/>
    <w:rsid w:val="00931B95"/>
    <w:rsid w:val="00931C1D"/>
    <w:rsid w:val="00931CB3"/>
    <w:rsid w:val="00931CDE"/>
    <w:rsid w:val="00931D80"/>
    <w:rsid w:val="00931D9C"/>
    <w:rsid w:val="00931DA9"/>
    <w:rsid w:val="00931E2F"/>
    <w:rsid w:val="00931F04"/>
    <w:rsid w:val="00931FE4"/>
    <w:rsid w:val="00931FF0"/>
    <w:rsid w:val="0093202C"/>
    <w:rsid w:val="00932096"/>
    <w:rsid w:val="009320FB"/>
    <w:rsid w:val="0093229E"/>
    <w:rsid w:val="009322A1"/>
    <w:rsid w:val="0093232A"/>
    <w:rsid w:val="009324D0"/>
    <w:rsid w:val="009324FE"/>
    <w:rsid w:val="00932532"/>
    <w:rsid w:val="00932549"/>
    <w:rsid w:val="0093265F"/>
    <w:rsid w:val="00932668"/>
    <w:rsid w:val="00932685"/>
    <w:rsid w:val="009326D6"/>
    <w:rsid w:val="00932770"/>
    <w:rsid w:val="0093279B"/>
    <w:rsid w:val="009327DC"/>
    <w:rsid w:val="0093282C"/>
    <w:rsid w:val="009328B8"/>
    <w:rsid w:val="00932926"/>
    <w:rsid w:val="0093297E"/>
    <w:rsid w:val="009329BF"/>
    <w:rsid w:val="00932AC3"/>
    <w:rsid w:val="00932AD5"/>
    <w:rsid w:val="00932B48"/>
    <w:rsid w:val="00932BE3"/>
    <w:rsid w:val="00932C0B"/>
    <w:rsid w:val="00932C7C"/>
    <w:rsid w:val="00932CA7"/>
    <w:rsid w:val="00932CAE"/>
    <w:rsid w:val="00932CF2"/>
    <w:rsid w:val="00932D15"/>
    <w:rsid w:val="00932D61"/>
    <w:rsid w:val="00932D7F"/>
    <w:rsid w:val="00932DAC"/>
    <w:rsid w:val="00932DDF"/>
    <w:rsid w:val="00932DFB"/>
    <w:rsid w:val="00932E0F"/>
    <w:rsid w:val="00932EEA"/>
    <w:rsid w:val="00932F03"/>
    <w:rsid w:val="00932FCF"/>
    <w:rsid w:val="00933007"/>
    <w:rsid w:val="0093305A"/>
    <w:rsid w:val="009330F0"/>
    <w:rsid w:val="0093312C"/>
    <w:rsid w:val="0093318B"/>
    <w:rsid w:val="009331FD"/>
    <w:rsid w:val="00933257"/>
    <w:rsid w:val="00933299"/>
    <w:rsid w:val="00933354"/>
    <w:rsid w:val="0093343B"/>
    <w:rsid w:val="00933447"/>
    <w:rsid w:val="009334E7"/>
    <w:rsid w:val="00933544"/>
    <w:rsid w:val="0093361F"/>
    <w:rsid w:val="0093364F"/>
    <w:rsid w:val="009336FC"/>
    <w:rsid w:val="009337E8"/>
    <w:rsid w:val="009337FB"/>
    <w:rsid w:val="0093380E"/>
    <w:rsid w:val="00933857"/>
    <w:rsid w:val="00933895"/>
    <w:rsid w:val="009338A2"/>
    <w:rsid w:val="0093392E"/>
    <w:rsid w:val="0093396A"/>
    <w:rsid w:val="00933B66"/>
    <w:rsid w:val="00933B77"/>
    <w:rsid w:val="00933BD3"/>
    <w:rsid w:val="00933CBE"/>
    <w:rsid w:val="00933CDA"/>
    <w:rsid w:val="00933D1F"/>
    <w:rsid w:val="00933DD6"/>
    <w:rsid w:val="00933DE6"/>
    <w:rsid w:val="00933E4D"/>
    <w:rsid w:val="00933E9B"/>
    <w:rsid w:val="00933FEE"/>
    <w:rsid w:val="00934009"/>
    <w:rsid w:val="0093401A"/>
    <w:rsid w:val="0093403E"/>
    <w:rsid w:val="00934056"/>
    <w:rsid w:val="0093408D"/>
    <w:rsid w:val="00934134"/>
    <w:rsid w:val="009341D0"/>
    <w:rsid w:val="0093425D"/>
    <w:rsid w:val="009342D3"/>
    <w:rsid w:val="00934373"/>
    <w:rsid w:val="00934383"/>
    <w:rsid w:val="0093438E"/>
    <w:rsid w:val="00934428"/>
    <w:rsid w:val="0093442C"/>
    <w:rsid w:val="0093451E"/>
    <w:rsid w:val="009345AA"/>
    <w:rsid w:val="0093479A"/>
    <w:rsid w:val="00934908"/>
    <w:rsid w:val="00934959"/>
    <w:rsid w:val="00934980"/>
    <w:rsid w:val="00934AE3"/>
    <w:rsid w:val="00934B0F"/>
    <w:rsid w:val="00934B1D"/>
    <w:rsid w:val="00934B40"/>
    <w:rsid w:val="00934B43"/>
    <w:rsid w:val="00934B93"/>
    <w:rsid w:val="00934C34"/>
    <w:rsid w:val="00934C60"/>
    <w:rsid w:val="00934CF0"/>
    <w:rsid w:val="00934E7C"/>
    <w:rsid w:val="00934F9B"/>
    <w:rsid w:val="00935035"/>
    <w:rsid w:val="00935099"/>
    <w:rsid w:val="009350AA"/>
    <w:rsid w:val="0093511D"/>
    <w:rsid w:val="00935125"/>
    <w:rsid w:val="0093515F"/>
    <w:rsid w:val="00935161"/>
    <w:rsid w:val="0093524B"/>
    <w:rsid w:val="00935361"/>
    <w:rsid w:val="009354A0"/>
    <w:rsid w:val="009354B1"/>
    <w:rsid w:val="0093589F"/>
    <w:rsid w:val="009358CE"/>
    <w:rsid w:val="00935928"/>
    <w:rsid w:val="0093596B"/>
    <w:rsid w:val="009359AA"/>
    <w:rsid w:val="00935B1B"/>
    <w:rsid w:val="00935B27"/>
    <w:rsid w:val="00935B37"/>
    <w:rsid w:val="00935B4D"/>
    <w:rsid w:val="00935B9A"/>
    <w:rsid w:val="00935B9D"/>
    <w:rsid w:val="00935C67"/>
    <w:rsid w:val="00935C77"/>
    <w:rsid w:val="00935DB1"/>
    <w:rsid w:val="00935E22"/>
    <w:rsid w:val="00935E62"/>
    <w:rsid w:val="00935E9D"/>
    <w:rsid w:val="00935F84"/>
    <w:rsid w:val="0093604E"/>
    <w:rsid w:val="009360DB"/>
    <w:rsid w:val="0093615E"/>
    <w:rsid w:val="009361C6"/>
    <w:rsid w:val="0093629A"/>
    <w:rsid w:val="009362C5"/>
    <w:rsid w:val="00936348"/>
    <w:rsid w:val="0093644C"/>
    <w:rsid w:val="00936464"/>
    <w:rsid w:val="00936478"/>
    <w:rsid w:val="00936480"/>
    <w:rsid w:val="00936497"/>
    <w:rsid w:val="0093649F"/>
    <w:rsid w:val="00936501"/>
    <w:rsid w:val="00936551"/>
    <w:rsid w:val="0093659F"/>
    <w:rsid w:val="009365B8"/>
    <w:rsid w:val="00936691"/>
    <w:rsid w:val="009366AD"/>
    <w:rsid w:val="009366EC"/>
    <w:rsid w:val="00936716"/>
    <w:rsid w:val="00936760"/>
    <w:rsid w:val="0093679A"/>
    <w:rsid w:val="009367AF"/>
    <w:rsid w:val="009367E9"/>
    <w:rsid w:val="0093684E"/>
    <w:rsid w:val="00936A40"/>
    <w:rsid w:val="00936BB3"/>
    <w:rsid w:val="00936BBE"/>
    <w:rsid w:val="00936BD6"/>
    <w:rsid w:val="00936DC1"/>
    <w:rsid w:val="00936DD7"/>
    <w:rsid w:val="00936E90"/>
    <w:rsid w:val="00936EEE"/>
    <w:rsid w:val="00936F32"/>
    <w:rsid w:val="00936FAD"/>
    <w:rsid w:val="0093707C"/>
    <w:rsid w:val="00937090"/>
    <w:rsid w:val="00937121"/>
    <w:rsid w:val="009371A2"/>
    <w:rsid w:val="0093725E"/>
    <w:rsid w:val="00937326"/>
    <w:rsid w:val="00937357"/>
    <w:rsid w:val="00937418"/>
    <w:rsid w:val="00937486"/>
    <w:rsid w:val="00937487"/>
    <w:rsid w:val="009374A5"/>
    <w:rsid w:val="009374B8"/>
    <w:rsid w:val="009374F8"/>
    <w:rsid w:val="009375F6"/>
    <w:rsid w:val="009376A1"/>
    <w:rsid w:val="009377F0"/>
    <w:rsid w:val="0093788D"/>
    <w:rsid w:val="009378B3"/>
    <w:rsid w:val="0093795A"/>
    <w:rsid w:val="00937969"/>
    <w:rsid w:val="0093796C"/>
    <w:rsid w:val="00937A81"/>
    <w:rsid w:val="00937B6F"/>
    <w:rsid w:val="00937BE4"/>
    <w:rsid w:val="00937C01"/>
    <w:rsid w:val="00937C18"/>
    <w:rsid w:val="00937C50"/>
    <w:rsid w:val="00937C82"/>
    <w:rsid w:val="00937CC7"/>
    <w:rsid w:val="00937CEC"/>
    <w:rsid w:val="00937D49"/>
    <w:rsid w:val="00937E99"/>
    <w:rsid w:val="00937EA2"/>
    <w:rsid w:val="00937F90"/>
    <w:rsid w:val="00940143"/>
    <w:rsid w:val="00940166"/>
    <w:rsid w:val="009401C4"/>
    <w:rsid w:val="009405AD"/>
    <w:rsid w:val="009406CA"/>
    <w:rsid w:val="009407AD"/>
    <w:rsid w:val="009407D8"/>
    <w:rsid w:val="00940894"/>
    <w:rsid w:val="009408F2"/>
    <w:rsid w:val="00940922"/>
    <w:rsid w:val="00940942"/>
    <w:rsid w:val="00940993"/>
    <w:rsid w:val="009409F1"/>
    <w:rsid w:val="00940A5B"/>
    <w:rsid w:val="00940BCE"/>
    <w:rsid w:val="00940C9F"/>
    <w:rsid w:val="00940CB9"/>
    <w:rsid w:val="00940D66"/>
    <w:rsid w:val="00940D80"/>
    <w:rsid w:val="00940E33"/>
    <w:rsid w:val="00940EC2"/>
    <w:rsid w:val="00940EC5"/>
    <w:rsid w:val="00940F08"/>
    <w:rsid w:val="00941042"/>
    <w:rsid w:val="009410DA"/>
    <w:rsid w:val="00941126"/>
    <w:rsid w:val="0094121D"/>
    <w:rsid w:val="00941317"/>
    <w:rsid w:val="009414B5"/>
    <w:rsid w:val="009414B8"/>
    <w:rsid w:val="00941516"/>
    <w:rsid w:val="0094157F"/>
    <w:rsid w:val="0094159E"/>
    <w:rsid w:val="00941772"/>
    <w:rsid w:val="0094178B"/>
    <w:rsid w:val="00941795"/>
    <w:rsid w:val="009418BA"/>
    <w:rsid w:val="0094197C"/>
    <w:rsid w:val="009419FD"/>
    <w:rsid w:val="00941A21"/>
    <w:rsid w:val="00941ABB"/>
    <w:rsid w:val="00941ACE"/>
    <w:rsid w:val="00941ADB"/>
    <w:rsid w:val="00941B0F"/>
    <w:rsid w:val="00941C07"/>
    <w:rsid w:val="00941CD2"/>
    <w:rsid w:val="00941D57"/>
    <w:rsid w:val="00941D91"/>
    <w:rsid w:val="00941E69"/>
    <w:rsid w:val="00941EAE"/>
    <w:rsid w:val="00941EB2"/>
    <w:rsid w:val="00941ECF"/>
    <w:rsid w:val="00941EDC"/>
    <w:rsid w:val="00941F5C"/>
    <w:rsid w:val="00941F74"/>
    <w:rsid w:val="00941FC7"/>
    <w:rsid w:val="00942076"/>
    <w:rsid w:val="00942096"/>
    <w:rsid w:val="009420E3"/>
    <w:rsid w:val="0094218F"/>
    <w:rsid w:val="00942253"/>
    <w:rsid w:val="009422F0"/>
    <w:rsid w:val="00942357"/>
    <w:rsid w:val="00942395"/>
    <w:rsid w:val="009423C3"/>
    <w:rsid w:val="00942416"/>
    <w:rsid w:val="0094242F"/>
    <w:rsid w:val="009424A4"/>
    <w:rsid w:val="009425CE"/>
    <w:rsid w:val="00942626"/>
    <w:rsid w:val="0094266F"/>
    <w:rsid w:val="00942754"/>
    <w:rsid w:val="00942836"/>
    <w:rsid w:val="0094285F"/>
    <w:rsid w:val="009428A6"/>
    <w:rsid w:val="009429F2"/>
    <w:rsid w:val="00942A30"/>
    <w:rsid w:val="00942AB1"/>
    <w:rsid w:val="00942ADD"/>
    <w:rsid w:val="00942B85"/>
    <w:rsid w:val="00942BD9"/>
    <w:rsid w:val="00942BDB"/>
    <w:rsid w:val="00942C27"/>
    <w:rsid w:val="00942CB8"/>
    <w:rsid w:val="00942D05"/>
    <w:rsid w:val="00942D7B"/>
    <w:rsid w:val="00942E01"/>
    <w:rsid w:val="00942E85"/>
    <w:rsid w:val="00942EFD"/>
    <w:rsid w:val="00942F03"/>
    <w:rsid w:val="009430EF"/>
    <w:rsid w:val="009431BD"/>
    <w:rsid w:val="009432B1"/>
    <w:rsid w:val="0094332B"/>
    <w:rsid w:val="0094333E"/>
    <w:rsid w:val="00943367"/>
    <w:rsid w:val="0094345C"/>
    <w:rsid w:val="00943469"/>
    <w:rsid w:val="009434D4"/>
    <w:rsid w:val="00943520"/>
    <w:rsid w:val="00943551"/>
    <w:rsid w:val="009435E7"/>
    <w:rsid w:val="0094361B"/>
    <w:rsid w:val="009436B4"/>
    <w:rsid w:val="0094379B"/>
    <w:rsid w:val="009437A5"/>
    <w:rsid w:val="009438F7"/>
    <w:rsid w:val="00943944"/>
    <w:rsid w:val="0094394B"/>
    <w:rsid w:val="009439D1"/>
    <w:rsid w:val="00943A09"/>
    <w:rsid w:val="00943A84"/>
    <w:rsid w:val="00943B51"/>
    <w:rsid w:val="00943C75"/>
    <w:rsid w:val="00943D46"/>
    <w:rsid w:val="00943D66"/>
    <w:rsid w:val="00943DCC"/>
    <w:rsid w:val="00943DEF"/>
    <w:rsid w:val="00943EC7"/>
    <w:rsid w:val="00943F56"/>
    <w:rsid w:val="00943F66"/>
    <w:rsid w:val="00943F78"/>
    <w:rsid w:val="00943FA6"/>
    <w:rsid w:val="009441CF"/>
    <w:rsid w:val="009441D1"/>
    <w:rsid w:val="00944237"/>
    <w:rsid w:val="0094427E"/>
    <w:rsid w:val="009442D3"/>
    <w:rsid w:val="009442E7"/>
    <w:rsid w:val="00944357"/>
    <w:rsid w:val="00944420"/>
    <w:rsid w:val="00944422"/>
    <w:rsid w:val="00944427"/>
    <w:rsid w:val="00944500"/>
    <w:rsid w:val="00944509"/>
    <w:rsid w:val="00944519"/>
    <w:rsid w:val="00944522"/>
    <w:rsid w:val="009445F3"/>
    <w:rsid w:val="00944719"/>
    <w:rsid w:val="00944832"/>
    <w:rsid w:val="0094499A"/>
    <w:rsid w:val="00944A21"/>
    <w:rsid w:val="00944C8C"/>
    <w:rsid w:val="00944D0B"/>
    <w:rsid w:val="00944DF7"/>
    <w:rsid w:val="00944E56"/>
    <w:rsid w:val="00944EAB"/>
    <w:rsid w:val="00944F72"/>
    <w:rsid w:val="0094501A"/>
    <w:rsid w:val="009450BF"/>
    <w:rsid w:val="009451CB"/>
    <w:rsid w:val="0094523B"/>
    <w:rsid w:val="00945245"/>
    <w:rsid w:val="00945253"/>
    <w:rsid w:val="0094525A"/>
    <w:rsid w:val="0094528C"/>
    <w:rsid w:val="0094535C"/>
    <w:rsid w:val="00945362"/>
    <w:rsid w:val="0094536D"/>
    <w:rsid w:val="00945597"/>
    <w:rsid w:val="009455BA"/>
    <w:rsid w:val="00945678"/>
    <w:rsid w:val="009456FB"/>
    <w:rsid w:val="0094575F"/>
    <w:rsid w:val="00945818"/>
    <w:rsid w:val="0094585D"/>
    <w:rsid w:val="00945865"/>
    <w:rsid w:val="0094590E"/>
    <w:rsid w:val="009459C9"/>
    <w:rsid w:val="009459E4"/>
    <w:rsid w:val="00945A0E"/>
    <w:rsid w:val="00945A5F"/>
    <w:rsid w:val="00945B0A"/>
    <w:rsid w:val="00945C6E"/>
    <w:rsid w:val="00945D7F"/>
    <w:rsid w:val="00945D93"/>
    <w:rsid w:val="00945E5C"/>
    <w:rsid w:val="00945EE7"/>
    <w:rsid w:val="00945FCB"/>
    <w:rsid w:val="00945FE9"/>
    <w:rsid w:val="00946026"/>
    <w:rsid w:val="00946083"/>
    <w:rsid w:val="0094609B"/>
    <w:rsid w:val="009460DF"/>
    <w:rsid w:val="009460E7"/>
    <w:rsid w:val="009460E8"/>
    <w:rsid w:val="009461A3"/>
    <w:rsid w:val="00946331"/>
    <w:rsid w:val="00946335"/>
    <w:rsid w:val="00946380"/>
    <w:rsid w:val="0094640B"/>
    <w:rsid w:val="00946503"/>
    <w:rsid w:val="00946615"/>
    <w:rsid w:val="0094669D"/>
    <w:rsid w:val="009466A6"/>
    <w:rsid w:val="00946767"/>
    <w:rsid w:val="0094678B"/>
    <w:rsid w:val="0094682B"/>
    <w:rsid w:val="00946855"/>
    <w:rsid w:val="00946884"/>
    <w:rsid w:val="00946898"/>
    <w:rsid w:val="00946930"/>
    <w:rsid w:val="00946A01"/>
    <w:rsid w:val="00946A0D"/>
    <w:rsid w:val="00946A4E"/>
    <w:rsid w:val="00946B52"/>
    <w:rsid w:val="00946BDB"/>
    <w:rsid w:val="00946D02"/>
    <w:rsid w:val="00946D6C"/>
    <w:rsid w:val="00946DCC"/>
    <w:rsid w:val="00946E2B"/>
    <w:rsid w:val="00946ED3"/>
    <w:rsid w:val="00946EDE"/>
    <w:rsid w:val="00946F33"/>
    <w:rsid w:val="00946F56"/>
    <w:rsid w:val="00946F63"/>
    <w:rsid w:val="00947013"/>
    <w:rsid w:val="00947087"/>
    <w:rsid w:val="00947120"/>
    <w:rsid w:val="00947157"/>
    <w:rsid w:val="0094719C"/>
    <w:rsid w:val="009471A7"/>
    <w:rsid w:val="009471DB"/>
    <w:rsid w:val="00947306"/>
    <w:rsid w:val="00947316"/>
    <w:rsid w:val="0094738A"/>
    <w:rsid w:val="009473B6"/>
    <w:rsid w:val="009473BC"/>
    <w:rsid w:val="00947473"/>
    <w:rsid w:val="009474F4"/>
    <w:rsid w:val="0094752C"/>
    <w:rsid w:val="00947539"/>
    <w:rsid w:val="00947589"/>
    <w:rsid w:val="0094758A"/>
    <w:rsid w:val="009475A3"/>
    <w:rsid w:val="009475E6"/>
    <w:rsid w:val="00947696"/>
    <w:rsid w:val="00947769"/>
    <w:rsid w:val="00947806"/>
    <w:rsid w:val="00947819"/>
    <w:rsid w:val="00947859"/>
    <w:rsid w:val="00947932"/>
    <w:rsid w:val="009479DC"/>
    <w:rsid w:val="00947A65"/>
    <w:rsid w:val="00947B1D"/>
    <w:rsid w:val="00947C1A"/>
    <w:rsid w:val="00947D58"/>
    <w:rsid w:val="00947DB3"/>
    <w:rsid w:val="00947E47"/>
    <w:rsid w:val="00947FC3"/>
    <w:rsid w:val="009500D5"/>
    <w:rsid w:val="009502CA"/>
    <w:rsid w:val="0095030F"/>
    <w:rsid w:val="00950317"/>
    <w:rsid w:val="009503D1"/>
    <w:rsid w:val="009503EB"/>
    <w:rsid w:val="00950465"/>
    <w:rsid w:val="0095070A"/>
    <w:rsid w:val="009507F2"/>
    <w:rsid w:val="00950834"/>
    <w:rsid w:val="0095086B"/>
    <w:rsid w:val="00950894"/>
    <w:rsid w:val="009509B6"/>
    <w:rsid w:val="00950A05"/>
    <w:rsid w:val="00950A1A"/>
    <w:rsid w:val="00950AFB"/>
    <w:rsid w:val="00950B35"/>
    <w:rsid w:val="00950CE9"/>
    <w:rsid w:val="00950D25"/>
    <w:rsid w:val="00950D55"/>
    <w:rsid w:val="00950F2D"/>
    <w:rsid w:val="00950F76"/>
    <w:rsid w:val="00950FD3"/>
    <w:rsid w:val="009510BF"/>
    <w:rsid w:val="00951133"/>
    <w:rsid w:val="00951144"/>
    <w:rsid w:val="00951189"/>
    <w:rsid w:val="009511C7"/>
    <w:rsid w:val="0095122F"/>
    <w:rsid w:val="0095124D"/>
    <w:rsid w:val="00951254"/>
    <w:rsid w:val="009512BC"/>
    <w:rsid w:val="00951384"/>
    <w:rsid w:val="009513B8"/>
    <w:rsid w:val="009513CA"/>
    <w:rsid w:val="0095145C"/>
    <w:rsid w:val="00951480"/>
    <w:rsid w:val="009516B9"/>
    <w:rsid w:val="009517C7"/>
    <w:rsid w:val="00951801"/>
    <w:rsid w:val="009518C4"/>
    <w:rsid w:val="009518CB"/>
    <w:rsid w:val="00951969"/>
    <w:rsid w:val="009519DD"/>
    <w:rsid w:val="00951BF0"/>
    <w:rsid w:val="00951C0C"/>
    <w:rsid w:val="00951C7E"/>
    <w:rsid w:val="00951D24"/>
    <w:rsid w:val="00951D34"/>
    <w:rsid w:val="00951D44"/>
    <w:rsid w:val="00951DDB"/>
    <w:rsid w:val="00951EED"/>
    <w:rsid w:val="00951F4F"/>
    <w:rsid w:val="00951FF5"/>
    <w:rsid w:val="009520FD"/>
    <w:rsid w:val="00952157"/>
    <w:rsid w:val="0095223F"/>
    <w:rsid w:val="00952339"/>
    <w:rsid w:val="009523CF"/>
    <w:rsid w:val="009523DC"/>
    <w:rsid w:val="00952432"/>
    <w:rsid w:val="009524E3"/>
    <w:rsid w:val="009524FD"/>
    <w:rsid w:val="0095250B"/>
    <w:rsid w:val="00952650"/>
    <w:rsid w:val="009526E1"/>
    <w:rsid w:val="009526E3"/>
    <w:rsid w:val="00952799"/>
    <w:rsid w:val="00952808"/>
    <w:rsid w:val="0095282A"/>
    <w:rsid w:val="0095285C"/>
    <w:rsid w:val="00952947"/>
    <w:rsid w:val="009529DA"/>
    <w:rsid w:val="00952A0D"/>
    <w:rsid w:val="00952A30"/>
    <w:rsid w:val="00952AE3"/>
    <w:rsid w:val="00952B08"/>
    <w:rsid w:val="00952B9E"/>
    <w:rsid w:val="00952C13"/>
    <w:rsid w:val="00952CDA"/>
    <w:rsid w:val="00952E10"/>
    <w:rsid w:val="00952EA0"/>
    <w:rsid w:val="00952FF6"/>
    <w:rsid w:val="00953095"/>
    <w:rsid w:val="00953536"/>
    <w:rsid w:val="00953670"/>
    <w:rsid w:val="00953689"/>
    <w:rsid w:val="009536B9"/>
    <w:rsid w:val="00953761"/>
    <w:rsid w:val="0095383E"/>
    <w:rsid w:val="00953874"/>
    <w:rsid w:val="00953A28"/>
    <w:rsid w:val="00953A7E"/>
    <w:rsid w:val="00953AEE"/>
    <w:rsid w:val="00953D74"/>
    <w:rsid w:val="00953E3E"/>
    <w:rsid w:val="00953E76"/>
    <w:rsid w:val="00953EB3"/>
    <w:rsid w:val="00953EFA"/>
    <w:rsid w:val="00954050"/>
    <w:rsid w:val="00954081"/>
    <w:rsid w:val="00954232"/>
    <w:rsid w:val="0095425E"/>
    <w:rsid w:val="00954290"/>
    <w:rsid w:val="009542A8"/>
    <w:rsid w:val="009542A9"/>
    <w:rsid w:val="009544DB"/>
    <w:rsid w:val="00954547"/>
    <w:rsid w:val="00954577"/>
    <w:rsid w:val="00954631"/>
    <w:rsid w:val="009546D7"/>
    <w:rsid w:val="009547E3"/>
    <w:rsid w:val="0095483D"/>
    <w:rsid w:val="009548D9"/>
    <w:rsid w:val="0095495A"/>
    <w:rsid w:val="00954A92"/>
    <w:rsid w:val="00954B67"/>
    <w:rsid w:val="00954B68"/>
    <w:rsid w:val="00954BD9"/>
    <w:rsid w:val="00954C87"/>
    <w:rsid w:val="00954C90"/>
    <w:rsid w:val="00954D1E"/>
    <w:rsid w:val="00954D6D"/>
    <w:rsid w:val="00954D71"/>
    <w:rsid w:val="00954DAA"/>
    <w:rsid w:val="00954DAF"/>
    <w:rsid w:val="00954DD5"/>
    <w:rsid w:val="00954E06"/>
    <w:rsid w:val="00954E43"/>
    <w:rsid w:val="00954EFB"/>
    <w:rsid w:val="00954F43"/>
    <w:rsid w:val="00954FFB"/>
    <w:rsid w:val="00955004"/>
    <w:rsid w:val="009551D2"/>
    <w:rsid w:val="00955239"/>
    <w:rsid w:val="0095537C"/>
    <w:rsid w:val="009553DE"/>
    <w:rsid w:val="00955450"/>
    <w:rsid w:val="009554AE"/>
    <w:rsid w:val="009555F0"/>
    <w:rsid w:val="009556AA"/>
    <w:rsid w:val="009556E2"/>
    <w:rsid w:val="009558CA"/>
    <w:rsid w:val="00955962"/>
    <w:rsid w:val="009559D5"/>
    <w:rsid w:val="00955A2E"/>
    <w:rsid w:val="00955AFC"/>
    <w:rsid w:val="00955BF1"/>
    <w:rsid w:val="00955CAB"/>
    <w:rsid w:val="00955CEC"/>
    <w:rsid w:val="00955D76"/>
    <w:rsid w:val="00955DB9"/>
    <w:rsid w:val="00955DE6"/>
    <w:rsid w:val="00955E18"/>
    <w:rsid w:val="00955EC6"/>
    <w:rsid w:val="00955EE0"/>
    <w:rsid w:val="0095600E"/>
    <w:rsid w:val="00956039"/>
    <w:rsid w:val="0095613E"/>
    <w:rsid w:val="0095614B"/>
    <w:rsid w:val="00956239"/>
    <w:rsid w:val="009562B2"/>
    <w:rsid w:val="00956306"/>
    <w:rsid w:val="0095636C"/>
    <w:rsid w:val="0095666F"/>
    <w:rsid w:val="009566A5"/>
    <w:rsid w:val="009566B4"/>
    <w:rsid w:val="00956806"/>
    <w:rsid w:val="00956831"/>
    <w:rsid w:val="0095688D"/>
    <w:rsid w:val="009568DD"/>
    <w:rsid w:val="00956961"/>
    <w:rsid w:val="00956AA9"/>
    <w:rsid w:val="00956C1E"/>
    <w:rsid w:val="00956C25"/>
    <w:rsid w:val="00956C4E"/>
    <w:rsid w:val="00956D3B"/>
    <w:rsid w:val="00956DAD"/>
    <w:rsid w:val="00956E70"/>
    <w:rsid w:val="00956EF1"/>
    <w:rsid w:val="00956F53"/>
    <w:rsid w:val="00957055"/>
    <w:rsid w:val="00957064"/>
    <w:rsid w:val="0095708B"/>
    <w:rsid w:val="009570FC"/>
    <w:rsid w:val="00957115"/>
    <w:rsid w:val="00957167"/>
    <w:rsid w:val="009571A8"/>
    <w:rsid w:val="00957296"/>
    <w:rsid w:val="009572D8"/>
    <w:rsid w:val="009572DC"/>
    <w:rsid w:val="009572E1"/>
    <w:rsid w:val="0095731E"/>
    <w:rsid w:val="009573A5"/>
    <w:rsid w:val="009575A5"/>
    <w:rsid w:val="009575CE"/>
    <w:rsid w:val="00957668"/>
    <w:rsid w:val="00957713"/>
    <w:rsid w:val="0095777A"/>
    <w:rsid w:val="009577A1"/>
    <w:rsid w:val="009577F5"/>
    <w:rsid w:val="00957832"/>
    <w:rsid w:val="00957882"/>
    <w:rsid w:val="009578D7"/>
    <w:rsid w:val="009579F4"/>
    <w:rsid w:val="00957A47"/>
    <w:rsid w:val="00957A7D"/>
    <w:rsid w:val="00957B3A"/>
    <w:rsid w:val="00957B56"/>
    <w:rsid w:val="00957BD5"/>
    <w:rsid w:val="00957C6A"/>
    <w:rsid w:val="00957C94"/>
    <w:rsid w:val="00957CA3"/>
    <w:rsid w:val="00957E88"/>
    <w:rsid w:val="00957EF6"/>
    <w:rsid w:val="00957F14"/>
    <w:rsid w:val="0096016D"/>
    <w:rsid w:val="00960190"/>
    <w:rsid w:val="00960275"/>
    <w:rsid w:val="009602AC"/>
    <w:rsid w:val="009602B1"/>
    <w:rsid w:val="009602FD"/>
    <w:rsid w:val="0096030F"/>
    <w:rsid w:val="00960358"/>
    <w:rsid w:val="009603DF"/>
    <w:rsid w:val="00960413"/>
    <w:rsid w:val="00960471"/>
    <w:rsid w:val="009605E2"/>
    <w:rsid w:val="009605EE"/>
    <w:rsid w:val="009605F6"/>
    <w:rsid w:val="00960621"/>
    <w:rsid w:val="00960642"/>
    <w:rsid w:val="009606DD"/>
    <w:rsid w:val="00960718"/>
    <w:rsid w:val="00960737"/>
    <w:rsid w:val="0096074E"/>
    <w:rsid w:val="00960776"/>
    <w:rsid w:val="0096084A"/>
    <w:rsid w:val="00960890"/>
    <w:rsid w:val="0096096D"/>
    <w:rsid w:val="00960988"/>
    <w:rsid w:val="00960A85"/>
    <w:rsid w:val="00960AB0"/>
    <w:rsid w:val="00960ABF"/>
    <w:rsid w:val="00960AF1"/>
    <w:rsid w:val="00960B3E"/>
    <w:rsid w:val="00960C5A"/>
    <w:rsid w:val="00960CF9"/>
    <w:rsid w:val="00960DAB"/>
    <w:rsid w:val="00960DD2"/>
    <w:rsid w:val="00960E21"/>
    <w:rsid w:val="00960ECB"/>
    <w:rsid w:val="00960F14"/>
    <w:rsid w:val="00960F2A"/>
    <w:rsid w:val="00960F6C"/>
    <w:rsid w:val="00960FB0"/>
    <w:rsid w:val="009610EE"/>
    <w:rsid w:val="0096111A"/>
    <w:rsid w:val="00961129"/>
    <w:rsid w:val="0096116F"/>
    <w:rsid w:val="00961231"/>
    <w:rsid w:val="00961284"/>
    <w:rsid w:val="00961332"/>
    <w:rsid w:val="00961384"/>
    <w:rsid w:val="00961549"/>
    <w:rsid w:val="0096156B"/>
    <w:rsid w:val="00961697"/>
    <w:rsid w:val="009616F2"/>
    <w:rsid w:val="009617BF"/>
    <w:rsid w:val="009617E5"/>
    <w:rsid w:val="00961859"/>
    <w:rsid w:val="0096187D"/>
    <w:rsid w:val="00961889"/>
    <w:rsid w:val="00961899"/>
    <w:rsid w:val="00961955"/>
    <w:rsid w:val="009619C9"/>
    <w:rsid w:val="009619D0"/>
    <w:rsid w:val="009619E5"/>
    <w:rsid w:val="00961A45"/>
    <w:rsid w:val="00961AE9"/>
    <w:rsid w:val="00961C39"/>
    <w:rsid w:val="00961CD7"/>
    <w:rsid w:val="00961D01"/>
    <w:rsid w:val="00961DAD"/>
    <w:rsid w:val="00961DB5"/>
    <w:rsid w:val="00961E19"/>
    <w:rsid w:val="00961E2E"/>
    <w:rsid w:val="00961E8D"/>
    <w:rsid w:val="00961ECF"/>
    <w:rsid w:val="00961FF4"/>
    <w:rsid w:val="009622BF"/>
    <w:rsid w:val="009622ED"/>
    <w:rsid w:val="0096230A"/>
    <w:rsid w:val="00962319"/>
    <w:rsid w:val="0096235A"/>
    <w:rsid w:val="00962489"/>
    <w:rsid w:val="009624A2"/>
    <w:rsid w:val="00962515"/>
    <w:rsid w:val="00962543"/>
    <w:rsid w:val="0096254F"/>
    <w:rsid w:val="009625B7"/>
    <w:rsid w:val="009625FD"/>
    <w:rsid w:val="00962629"/>
    <w:rsid w:val="009626C3"/>
    <w:rsid w:val="0096286E"/>
    <w:rsid w:val="0096289D"/>
    <w:rsid w:val="009628D4"/>
    <w:rsid w:val="009628F1"/>
    <w:rsid w:val="009628F5"/>
    <w:rsid w:val="00962921"/>
    <w:rsid w:val="00962925"/>
    <w:rsid w:val="00962A22"/>
    <w:rsid w:val="00962BC6"/>
    <w:rsid w:val="00962C0B"/>
    <w:rsid w:val="00962C64"/>
    <w:rsid w:val="00962CE4"/>
    <w:rsid w:val="00962D1E"/>
    <w:rsid w:val="00962D4E"/>
    <w:rsid w:val="00962EC0"/>
    <w:rsid w:val="00962F7A"/>
    <w:rsid w:val="00962F82"/>
    <w:rsid w:val="00962FB5"/>
    <w:rsid w:val="00962FCE"/>
    <w:rsid w:val="00963041"/>
    <w:rsid w:val="00963181"/>
    <w:rsid w:val="009632BC"/>
    <w:rsid w:val="009632FF"/>
    <w:rsid w:val="00963311"/>
    <w:rsid w:val="00963470"/>
    <w:rsid w:val="009634A1"/>
    <w:rsid w:val="00963556"/>
    <w:rsid w:val="009636EF"/>
    <w:rsid w:val="0096373F"/>
    <w:rsid w:val="009637BE"/>
    <w:rsid w:val="009637E2"/>
    <w:rsid w:val="00963912"/>
    <w:rsid w:val="009639A9"/>
    <w:rsid w:val="00963ABD"/>
    <w:rsid w:val="00963C18"/>
    <w:rsid w:val="00963C2B"/>
    <w:rsid w:val="00963D4D"/>
    <w:rsid w:val="00963DA0"/>
    <w:rsid w:val="00963DF3"/>
    <w:rsid w:val="00963E39"/>
    <w:rsid w:val="00964022"/>
    <w:rsid w:val="00964031"/>
    <w:rsid w:val="0096405F"/>
    <w:rsid w:val="00964095"/>
    <w:rsid w:val="00964129"/>
    <w:rsid w:val="009641DB"/>
    <w:rsid w:val="00964245"/>
    <w:rsid w:val="0096428F"/>
    <w:rsid w:val="009642AD"/>
    <w:rsid w:val="009642F1"/>
    <w:rsid w:val="00964356"/>
    <w:rsid w:val="0096453F"/>
    <w:rsid w:val="0096455B"/>
    <w:rsid w:val="00964618"/>
    <w:rsid w:val="00964637"/>
    <w:rsid w:val="009646CE"/>
    <w:rsid w:val="0096473A"/>
    <w:rsid w:val="00964794"/>
    <w:rsid w:val="009647B7"/>
    <w:rsid w:val="009647C8"/>
    <w:rsid w:val="009648C4"/>
    <w:rsid w:val="009648E0"/>
    <w:rsid w:val="0096490F"/>
    <w:rsid w:val="00964955"/>
    <w:rsid w:val="00964A82"/>
    <w:rsid w:val="00964B2F"/>
    <w:rsid w:val="00964BDF"/>
    <w:rsid w:val="00964C49"/>
    <w:rsid w:val="00964DC1"/>
    <w:rsid w:val="00964E62"/>
    <w:rsid w:val="00964F11"/>
    <w:rsid w:val="0096521E"/>
    <w:rsid w:val="009652C8"/>
    <w:rsid w:val="0096539F"/>
    <w:rsid w:val="00965435"/>
    <w:rsid w:val="009654BC"/>
    <w:rsid w:val="0096559C"/>
    <w:rsid w:val="009655F2"/>
    <w:rsid w:val="009656E0"/>
    <w:rsid w:val="00965705"/>
    <w:rsid w:val="0096571C"/>
    <w:rsid w:val="0096576D"/>
    <w:rsid w:val="00965818"/>
    <w:rsid w:val="00965839"/>
    <w:rsid w:val="00965863"/>
    <w:rsid w:val="009658AE"/>
    <w:rsid w:val="009658E8"/>
    <w:rsid w:val="009658EE"/>
    <w:rsid w:val="0096590D"/>
    <w:rsid w:val="00965AF1"/>
    <w:rsid w:val="00965B5D"/>
    <w:rsid w:val="00965BD4"/>
    <w:rsid w:val="00965BE9"/>
    <w:rsid w:val="00965C40"/>
    <w:rsid w:val="00965CB0"/>
    <w:rsid w:val="00965D84"/>
    <w:rsid w:val="00965DCE"/>
    <w:rsid w:val="00965E3B"/>
    <w:rsid w:val="00965F13"/>
    <w:rsid w:val="00965F51"/>
    <w:rsid w:val="00965F55"/>
    <w:rsid w:val="00966074"/>
    <w:rsid w:val="009660A4"/>
    <w:rsid w:val="009660DE"/>
    <w:rsid w:val="00966124"/>
    <w:rsid w:val="00966176"/>
    <w:rsid w:val="00966199"/>
    <w:rsid w:val="009661C3"/>
    <w:rsid w:val="00966203"/>
    <w:rsid w:val="00966221"/>
    <w:rsid w:val="009662B5"/>
    <w:rsid w:val="009662FB"/>
    <w:rsid w:val="00966301"/>
    <w:rsid w:val="00966309"/>
    <w:rsid w:val="0096635C"/>
    <w:rsid w:val="009663BE"/>
    <w:rsid w:val="009664BF"/>
    <w:rsid w:val="009664D7"/>
    <w:rsid w:val="0096655C"/>
    <w:rsid w:val="00966590"/>
    <w:rsid w:val="00966629"/>
    <w:rsid w:val="009666E0"/>
    <w:rsid w:val="00966713"/>
    <w:rsid w:val="00966762"/>
    <w:rsid w:val="0096679B"/>
    <w:rsid w:val="00966806"/>
    <w:rsid w:val="009668E2"/>
    <w:rsid w:val="00966915"/>
    <w:rsid w:val="009669CA"/>
    <w:rsid w:val="00966A07"/>
    <w:rsid w:val="00966A29"/>
    <w:rsid w:val="00966AF4"/>
    <w:rsid w:val="00966BD5"/>
    <w:rsid w:val="00966D94"/>
    <w:rsid w:val="00966DB0"/>
    <w:rsid w:val="00966E16"/>
    <w:rsid w:val="00966FED"/>
    <w:rsid w:val="0096718F"/>
    <w:rsid w:val="009671C1"/>
    <w:rsid w:val="00967293"/>
    <w:rsid w:val="0096734B"/>
    <w:rsid w:val="00967471"/>
    <w:rsid w:val="009675D4"/>
    <w:rsid w:val="0096763A"/>
    <w:rsid w:val="009676B4"/>
    <w:rsid w:val="009676FB"/>
    <w:rsid w:val="00967713"/>
    <w:rsid w:val="00967839"/>
    <w:rsid w:val="0096784D"/>
    <w:rsid w:val="0096784E"/>
    <w:rsid w:val="00967864"/>
    <w:rsid w:val="0096790B"/>
    <w:rsid w:val="00967B2B"/>
    <w:rsid w:val="00967B56"/>
    <w:rsid w:val="00967BD3"/>
    <w:rsid w:val="00967C36"/>
    <w:rsid w:val="00967CAB"/>
    <w:rsid w:val="00967CE9"/>
    <w:rsid w:val="00967D23"/>
    <w:rsid w:val="00967D38"/>
    <w:rsid w:val="00967D7B"/>
    <w:rsid w:val="00967E3D"/>
    <w:rsid w:val="00967E48"/>
    <w:rsid w:val="00967F37"/>
    <w:rsid w:val="00967F8B"/>
    <w:rsid w:val="00967F8D"/>
    <w:rsid w:val="00967FF0"/>
    <w:rsid w:val="0097001E"/>
    <w:rsid w:val="0097008A"/>
    <w:rsid w:val="009700FD"/>
    <w:rsid w:val="00970163"/>
    <w:rsid w:val="009701DE"/>
    <w:rsid w:val="009701DF"/>
    <w:rsid w:val="009701F1"/>
    <w:rsid w:val="00970214"/>
    <w:rsid w:val="00970228"/>
    <w:rsid w:val="0097028B"/>
    <w:rsid w:val="00970293"/>
    <w:rsid w:val="009704AD"/>
    <w:rsid w:val="00970551"/>
    <w:rsid w:val="0097056F"/>
    <w:rsid w:val="0097065A"/>
    <w:rsid w:val="00970668"/>
    <w:rsid w:val="00970672"/>
    <w:rsid w:val="00970684"/>
    <w:rsid w:val="00970774"/>
    <w:rsid w:val="0097079A"/>
    <w:rsid w:val="009707EA"/>
    <w:rsid w:val="009708F7"/>
    <w:rsid w:val="00970A4F"/>
    <w:rsid w:val="00970B3A"/>
    <w:rsid w:val="00970C5F"/>
    <w:rsid w:val="00970C7D"/>
    <w:rsid w:val="00970CC2"/>
    <w:rsid w:val="00970CFD"/>
    <w:rsid w:val="00970DBB"/>
    <w:rsid w:val="00970DE2"/>
    <w:rsid w:val="00970EA4"/>
    <w:rsid w:val="00970ECD"/>
    <w:rsid w:val="00971097"/>
    <w:rsid w:val="00971103"/>
    <w:rsid w:val="0097111F"/>
    <w:rsid w:val="009711BB"/>
    <w:rsid w:val="009712F9"/>
    <w:rsid w:val="00971346"/>
    <w:rsid w:val="0097149E"/>
    <w:rsid w:val="00971500"/>
    <w:rsid w:val="00971501"/>
    <w:rsid w:val="009715A9"/>
    <w:rsid w:val="009715FB"/>
    <w:rsid w:val="0097172C"/>
    <w:rsid w:val="0097174C"/>
    <w:rsid w:val="009717E6"/>
    <w:rsid w:val="00971904"/>
    <w:rsid w:val="00971A64"/>
    <w:rsid w:val="00971A74"/>
    <w:rsid w:val="00971AA1"/>
    <w:rsid w:val="00971B2D"/>
    <w:rsid w:val="00971B91"/>
    <w:rsid w:val="00971C90"/>
    <w:rsid w:val="00971CFF"/>
    <w:rsid w:val="00971E95"/>
    <w:rsid w:val="00971EBB"/>
    <w:rsid w:val="00971F5F"/>
    <w:rsid w:val="009720AB"/>
    <w:rsid w:val="009721EE"/>
    <w:rsid w:val="0097220D"/>
    <w:rsid w:val="0097229F"/>
    <w:rsid w:val="00972302"/>
    <w:rsid w:val="00972378"/>
    <w:rsid w:val="009723A1"/>
    <w:rsid w:val="009723ED"/>
    <w:rsid w:val="009724CD"/>
    <w:rsid w:val="00972714"/>
    <w:rsid w:val="009727E8"/>
    <w:rsid w:val="0097282B"/>
    <w:rsid w:val="00972897"/>
    <w:rsid w:val="009728C9"/>
    <w:rsid w:val="00972962"/>
    <w:rsid w:val="00972988"/>
    <w:rsid w:val="00972A5F"/>
    <w:rsid w:val="00972BB2"/>
    <w:rsid w:val="00972BC0"/>
    <w:rsid w:val="00972C2E"/>
    <w:rsid w:val="00972C71"/>
    <w:rsid w:val="00972CEE"/>
    <w:rsid w:val="00972D27"/>
    <w:rsid w:val="00972D58"/>
    <w:rsid w:val="00972E02"/>
    <w:rsid w:val="00972F2E"/>
    <w:rsid w:val="00972FC6"/>
    <w:rsid w:val="00973031"/>
    <w:rsid w:val="00973078"/>
    <w:rsid w:val="009730D5"/>
    <w:rsid w:val="0097312B"/>
    <w:rsid w:val="00973191"/>
    <w:rsid w:val="009731E5"/>
    <w:rsid w:val="009731E9"/>
    <w:rsid w:val="00973298"/>
    <w:rsid w:val="009732DE"/>
    <w:rsid w:val="009734AB"/>
    <w:rsid w:val="00973515"/>
    <w:rsid w:val="00973546"/>
    <w:rsid w:val="00973613"/>
    <w:rsid w:val="0097376E"/>
    <w:rsid w:val="009737F0"/>
    <w:rsid w:val="0097382D"/>
    <w:rsid w:val="00973836"/>
    <w:rsid w:val="0097386B"/>
    <w:rsid w:val="00973960"/>
    <w:rsid w:val="00973A83"/>
    <w:rsid w:val="00973ABC"/>
    <w:rsid w:val="00973B8D"/>
    <w:rsid w:val="00973CE9"/>
    <w:rsid w:val="00973D11"/>
    <w:rsid w:val="00973DA6"/>
    <w:rsid w:val="00973DF4"/>
    <w:rsid w:val="00973E13"/>
    <w:rsid w:val="00973E34"/>
    <w:rsid w:val="00973E5E"/>
    <w:rsid w:val="00973EFE"/>
    <w:rsid w:val="00973F45"/>
    <w:rsid w:val="00973F56"/>
    <w:rsid w:val="00973FF6"/>
    <w:rsid w:val="00974078"/>
    <w:rsid w:val="00974086"/>
    <w:rsid w:val="00974176"/>
    <w:rsid w:val="00974184"/>
    <w:rsid w:val="009742D7"/>
    <w:rsid w:val="009743E4"/>
    <w:rsid w:val="0097451D"/>
    <w:rsid w:val="0097455F"/>
    <w:rsid w:val="00974579"/>
    <w:rsid w:val="00974597"/>
    <w:rsid w:val="009745E1"/>
    <w:rsid w:val="009746A7"/>
    <w:rsid w:val="009746D7"/>
    <w:rsid w:val="009746E8"/>
    <w:rsid w:val="009746F0"/>
    <w:rsid w:val="009746F1"/>
    <w:rsid w:val="00974732"/>
    <w:rsid w:val="00974745"/>
    <w:rsid w:val="00974773"/>
    <w:rsid w:val="0097479A"/>
    <w:rsid w:val="00974803"/>
    <w:rsid w:val="0097481A"/>
    <w:rsid w:val="0097482C"/>
    <w:rsid w:val="00974953"/>
    <w:rsid w:val="009749CA"/>
    <w:rsid w:val="00974A40"/>
    <w:rsid w:val="00974B9E"/>
    <w:rsid w:val="00974C5E"/>
    <w:rsid w:val="00974C65"/>
    <w:rsid w:val="00974CE6"/>
    <w:rsid w:val="00974D5C"/>
    <w:rsid w:val="00974E24"/>
    <w:rsid w:val="00974E6F"/>
    <w:rsid w:val="00974EFC"/>
    <w:rsid w:val="009750D3"/>
    <w:rsid w:val="0097513C"/>
    <w:rsid w:val="00975170"/>
    <w:rsid w:val="009751FB"/>
    <w:rsid w:val="0097523C"/>
    <w:rsid w:val="0097533E"/>
    <w:rsid w:val="0097534B"/>
    <w:rsid w:val="00975364"/>
    <w:rsid w:val="009753DD"/>
    <w:rsid w:val="009753E1"/>
    <w:rsid w:val="009754BE"/>
    <w:rsid w:val="00975526"/>
    <w:rsid w:val="00975541"/>
    <w:rsid w:val="00975796"/>
    <w:rsid w:val="00975859"/>
    <w:rsid w:val="0097586B"/>
    <w:rsid w:val="0097587A"/>
    <w:rsid w:val="0097588F"/>
    <w:rsid w:val="00975905"/>
    <w:rsid w:val="00975939"/>
    <w:rsid w:val="0097596E"/>
    <w:rsid w:val="00975986"/>
    <w:rsid w:val="009759B8"/>
    <w:rsid w:val="00975AA8"/>
    <w:rsid w:val="00975B7C"/>
    <w:rsid w:val="00975BB8"/>
    <w:rsid w:val="00975BD1"/>
    <w:rsid w:val="00975C08"/>
    <w:rsid w:val="00975C83"/>
    <w:rsid w:val="00975C9B"/>
    <w:rsid w:val="00975CC7"/>
    <w:rsid w:val="00975D90"/>
    <w:rsid w:val="00975E97"/>
    <w:rsid w:val="00975EFF"/>
    <w:rsid w:val="00975FFA"/>
    <w:rsid w:val="009760D5"/>
    <w:rsid w:val="0097615B"/>
    <w:rsid w:val="0097615D"/>
    <w:rsid w:val="00976194"/>
    <w:rsid w:val="009761AE"/>
    <w:rsid w:val="009761BF"/>
    <w:rsid w:val="009762D5"/>
    <w:rsid w:val="00976446"/>
    <w:rsid w:val="0097647B"/>
    <w:rsid w:val="009764BF"/>
    <w:rsid w:val="009764EA"/>
    <w:rsid w:val="009765D6"/>
    <w:rsid w:val="00976724"/>
    <w:rsid w:val="0097672B"/>
    <w:rsid w:val="009767B7"/>
    <w:rsid w:val="009767D5"/>
    <w:rsid w:val="0097683A"/>
    <w:rsid w:val="009768A9"/>
    <w:rsid w:val="00976952"/>
    <w:rsid w:val="009769D1"/>
    <w:rsid w:val="009769E3"/>
    <w:rsid w:val="00976BD1"/>
    <w:rsid w:val="00976BFF"/>
    <w:rsid w:val="00976D33"/>
    <w:rsid w:val="00976D4B"/>
    <w:rsid w:val="00976D94"/>
    <w:rsid w:val="00976DC1"/>
    <w:rsid w:val="00976E14"/>
    <w:rsid w:val="00976E36"/>
    <w:rsid w:val="00976E44"/>
    <w:rsid w:val="00976E5A"/>
    <w:rsid w:val="00976EB0"/>
    <w:rsid w:val="00976FB4"/>
    <w:rsid w:val="00977089"/>
    <w:rsid w:val="00977090"/>
    <w:rsid w:val="0097711A"/>
    <w:rsid w:val="009772EF"/>
    <w:rsid w:val="00977310"/>
    <w:rsid w:val="00977352"/>
    <w:rsid w:val="00977375"/>
    <w:rsid w:val="0097741F"/>
    <w:rsid w:val="00977499"/>
    <w:rsid w:val="00977504"/>
    <w:rsid w:val="0097758A"/>
    <w:rsid w:val="009775B8"/>
    <w:rsid w:val="0097768B"/>
    <w:rsid w:val="00977865"/>
    <w:rsid w:val="009778C6"/>
    <w:rsid w:val="009778EC"/>
    <w:rsid w:val="009778F0"/>
    <w:rsid w:val="00977939"/>
    <w:rsid w:val="00977A37"/>
    <w:rsid w:val="00977A6F"/>
    <w:rsid w:val="00977B6E"/>
    <w:rsid w:val="00977B94"/>
    <w:rsid w:val="00977BB5"/>
    <w:rsid w:val="00977BCE"/>
    <w:rsid w:val="00977C52"/>
    <w:rsid w:val="00977C66"/>
    <w:rsid w:val="00977CEF"/>
    <w:rsid w:val="00977D18"/>
    <w:rsid w:val="00977DE6"/>
    <w:rsid w:val="00977E6F"/>
    <w:rsid w:val="00977EAB"/>
    <w:rsid w:val="00977FC6"/>
    <w:rsid w:val="0097D9C5"/>
    <w:rsid w:val="009801BA"/>
    <w:rsid w:val="00980287"/>
    <w:rsid w:val="00980415"/>
    <w:rsid w:val="00980471"/>
    <w:rsid w:val="00980687"/>
    <w:rsid w:val="009806FD"/>
    <w:rsid w:val="00980706"/>
    <w:rsid w:val="00980727"/>
    <w:rsid w:val="009807EC"/>
    <w:rsid w:val="00980816"/>
    <w:rsid w:val="00980A97"/>
    <w:rsid w:val="00980A9E"/>
    <w:rsid w:val="00980B7F"/>
    <w:rsid w:val="00980BAF"/>
    <w:rsid w:val="00980C0C"/>
    <w:rsid w:val="00980C77"/>
    <w:rsid w:val="00980CB7"/>
    <w:rsid w:val="00980D6E"/>
    <w:rsid w:val="00980DB1"/>
    <w:rsid w:val="00980E2C"/>
    <w:rsid w:val="00980EE7"/>
    <w:rsid w:val="00980FA9"/>
    <w:rsid w:val="00981011"/>
    <w:rsid w:val="00981025"/>
    <w:rsid w:val="0098109F"/>
    <w:rsid w:val="009811C6"/>
    <w:rsid w:val="00981203"/>
    <w:rsid w:val="009812BB"/>
    <w:rsid w:val="00981357"/>
    <w:rsid w:val="009813D0"/>
    <w:rsid w:val="009816AF"/>
    <w:rsid w:val="0098182F"/>
    <w:rsid w:val="00981849"/>
    <w:rsid w:val="009818BD"/>
    <w:rsid w:val="009818D9"/>
    <w:rsid w:val="00981968"/>
    <w:rsid w:val="009819EF"/>
    <w:rsid w:val="00981A4F"/>
    <w:rsid w:val="00981BDD"/>
    <w:rsid w:val="00981CE9"/>
    <w:rsid w:val="00981EC2"/>
    <w:rsid w:val="00981FC3"/>
    <w:rsid w:val="00981FDB"/>
    <w:rsid w:val="00982004"/>
    <w:rsid w:val="00982047"/>
    <w:rsid w:val="0098223D"/>
    <w:rsid w:val="00982253"/>
    <w:rsid w:val="009822E4"/>
    <w:rsid w:val="00982326"/>
    <w:rsid w:val="0098233F"/>
    <w:rsid w:val="009823CF"/>
    <w:rsid w:val="009823DA"/>
    <w:rsid w:val="009823FB"/>
    <w:rsid w:val="0098243A"/>
    <w:rsid w:val="00982542"/>
    <w:rsid w:val="009825C2"/>
    <w:rsid w:val="009825C9"/>
    <w:rsid w:val="0098260A"/>
    <w:rsid w:val="0098264A"/>
    <w:rsid w:val="00982936"/>
    <w:rsid w:val="00982994"/>
    <w:rsid w:val="00982A07"/>
    <w:rsid w:val="00982A84"/>
    <w:rsid w:val="00982B59"/>
    <w:rsid w:val="00982B5E"/>
    <w:rsid w:val="00982B79"/>
    <w:rsid w:val="00982BB7"/>
    <w:rsid w:val="00982BD6"/>
    <w:rsid w:val="00982D42"/>
    <w:rsid w:val="00982E06"/>
    <w:rsid w:val="00982E0D"/>
    <w:rsid w:val="00983149"/>
    <w:rsid w:val="009831F2"/>
    <w:rsid w:val="00983262"/>
    <w:rsid w:val="009832B4"/>
    <w:rsid w:val="009832C3"/>
    <w:rsid w:val="0098351C"/>
    <w:rsid w:val="00983584"/>
    <w:rsid w:val="0098375A"/>
    <w:rsid w:val="00983777"/>
    <w:rsid w:val="009837D0"/>
    <w:rsid w:val="00983962"/>
    <w:rsid w:val="00983A35"/>
    <w:rsid w:val="00983A57"/>
    <w:rsid w:val="00983AB0"/>
    <w:rsid w:val="00983ABF"/>
    <w:rsid w:val="00983B30"/>
    <w:rsid w:val="00983B82"/>
    <w:rsid w:val="00983C20"/>
    <w:rsid w:val="00983C37"/>
    <w:rsid w:val="00983C8B"/>
    <w:rsid w:val="00983CA7"/>
    <w:rsid w:val="00983E32"/>
    <w:rsid w:val="00983EBF"/>
    <w:rsid w:val="00983F7A"/>
    <w:rsid w:val="00983FA4"/>
    <w:rsid w:val="00984086"/>
    <w:rsid w:val="00984264"/>
    <w:rsid w:val="009842C3"/>
    <w:rsid w:val="0098432C"/>
    <w:rsid w:val="009843EC"/>
    <w:rsid w:val="009844F5"/>
    <w:rsid w:val="0098451F"/>
    <w:rsid w:val="009845A1"/>
    <w:rsid w:val="00984641"/>
    <w:rsid w:val="00984683"/>
    <w:rsid w:val="009846EE"/>
    <w:rsid w:val="00984883"/>
    <w:rsid w:val="009848C2"/>
    <w:rsid w:val="00984A7E"/>
    <w:rsid w:val="00984AB4"/>
    <w:rsid w:val="00984B3B"/>
    <w:rsid w:val="00984CFD"/>
    <w:rsid w:val="00984D39"/>
    <w:rsid w:val="00984D9C"/>
    <w:rsid w:val="00984E76"/>
    <w:rsid w:val="00984FBD"/>
    <w:rsid w:val="00984FCD"/>
    <w:rsid w:val="00985018"/>
    <w:rsid w:val="00985023"/>
    <w:rsid w:val="0098509A"/>
    <w:rsid w:val="009851B4"/>
    <w:rsid w:val="009851C7"/>
    <w:rsid w:val="0098522D"/>
    <w:rsid w:val="00985656"/>
    <w:rsid w:val="00985657"/>
    <w:rsid w:val="009857A8"/>
    <w:rsid w:val="0098587E"/>
    <w:rsid w:val="00985890"/>
    <w:rsid w:val="00985964"/>
    <w:rsid w:val="00985B03"/>
    <w:rsid w:val="00985B40"/>
    <w:rsid w:val="00985C0C"/>
    <w:rsid w:val="00985C1F"/>
    <w:rsid w:val="00985C4E"/>
    <w:rsid w:val="00985D3D"/>
    <w:rsid w:val="00985D7B"/>
    <w:rsid w:val="00985F55"/>
    <w:rsid w:val="00985F6C"/>
    <w:rsid w:val="0098608A"/>
    <w:rsid w:val="009860B2"/>
    <w:rsid w:val="00986116"/>
    <w:rsid w:val="0098611F"/>
    <w:rsid w:val="00986145"/>
    <w:rsid w:val="0098617A"/>
    <w:rsid w:val="0098625F"/>
    <w:rsid w:val="0098626A"/>
    <w:rsid w:val="0098633B"/>
    <w:rsid w:val="009863F8"/>
    <w:rsid w:val="00986407"/>
    <w:rsid w:val="00986442"/>
    <w:rsid w:val="00986466"/>
    <w:rsid w:val="0098646B"/>
    <w:rsid w:val="00986501"/>
    <w:rsid w:val="00986549"/>
    <w:rsid w:val="00986632"/>
    <w:rsid w:val="00986673"/>
    <w:rsid w:val="009866D1"/>
    <w:rsid w:val="0098675D"/>
    <w:rsid w:val="009867F8"/>
    <w:rsid w:val="0098680E"/>
    <w:rsid w:val="00986850"/>
    <w:rsid w:val="00986949"/>
    <w:rsid w:val="0098695B"/>
    <w:rsid w:val="009869BA"/>
    <w:rsid w:val="009869E7"/>
    <w:rsid w:val="00986A3E"/>
    <w:rsid w:val="00986A7F"/>
    <w:rsid w:val="00986A9E"/>
    <w:rsid w:val="00986AE8"/>
    <w:rsid w:val="00986B0D"/>
    <w:rsid w:val="00986B15"/>
    <w:rsid w:val="00986C2D"/>
    <w:rsid w:val="00986D73"/>
    <w:rsid w:val="00986E14"/>
    <w:rsid w:val="00986ECB"/>
    <w:rsid w:val="00986EED"/>
    <w:rsid w:val="00986F27"/>
    <w:rsid w:val="00986F2A"/>
    <w:rsid w:val="0098706F"/>
    <w:rsid w:val="009872B7"/>
    <w:rsid w:val="00987309"/>
    <w:rsid w:val="00987429"/>
    <w:rsid w:val="009874AE"/>
    <w:rsid w:val="009875B9"/>
    <w:rsid w:val="0098762A"/>
    <w:rsid w:val="00987742"/>
    <w:rsid w:val="009877EA"/>
    <w:rsid w:val="00987979"/>
    <w:rsid w:val="00987A4A"/>
    <w:rsid w:val="00987AB3"/>
    <w:rsid w:val="00987AD2"/>
    <w:rsid w:val="00987DC5"/>
    <w:rsid w:val="00987DF3"/>
    <w:rsid w:val="00987E20"/>
    <w:rsid w:val="00987EAC"/>
    <w:rsid w:val="00987F09"/>
    <w:rsid w:val="00987F71"/>
    <w:rsid w:val="00987FCA"/>
    <w:rsid w:val="0099007A"/>
    <w:rsid w:val="0099018C"/>
    <w:rsid w:val="009901BC"/>
    <w:rsid w:val="009901DB"/>
    <w:rsid w:val="00990257"/>
    <w:rsid w:val="009902D5"/>
    <w:rsid w:val="009904F5"/>
    <w:rsid w:val="00990551"/>
    <w:rsid w:val="00990562"/>
    <w:rsid w:val="00990688"/>
    <w:rsid w:val="009906BF"/>
    <w:rsid w:val="00990835"/>
    <w:rsid w:val="0099084A"/>
    <w:rsid w:val="00990860"/>
    <w:rsid w:val="00990874"/>
    <w:rsid w:val="009908DB"/>
    <w:rsid w:val="00990918"/>
    <w:rsid w:val="0099094B"/>
    <w:rsid w:val="00990981"/>
    <w:rsid w:val="00990A72"/>
    <w:rsid w:val="00990AE3"/>
    <w:rsid w:val="00990AEB"/>
    <w:rsid w:val="00990BD5"/>
    <w:rsid w:val="00990C87"/>
    <w:rsid w:val="00990CF8"/>
    <w:rsid w:val="00990E3B"/>
    <w:rsid w:val="00990EEE"/>
    <w:rsid w:val="00991083"/>
    <w:rsid w:val="009910F6"/>
    <w:rsid w:val="00991189"/>
    <w:rsid w:val="009911FA"/>
    <w:rsid w:val="009912FB"/>
    <w:rsid w:val="0099134F"/>
    <w:rsid w:val="009913A2"/>
    <w:rsid w:val="009913D6"/>
    <w:rsid w:val="009913FF"/>
    <w:rsid w:val="0099144D"/>
    <w:rsid w:val="00991458"/>
    <w:rsid w:val="0099153C"/>
    <w:rsid w:val="009915DA"/>
    <w:rsid w:val="0099161F"/>
    <w:rsid w:val="0099169D"/>
    <w:rsid w:val="009916C5"/>
    <w:rsid w:val="00991734"/>
    <w:rsid w:val="0099174A"/>
    <w:rsid w:val="0099182F"/>
    <w:rsid w:val="009918E2"/>
    <w:rsid w:val="0099196F"/>
    <w:rsid w:val="009919D2"/>
    <w:rsid w:val="009919E2"/>
    <w:rsid w:val="00991A25"/>
    <w:rsid w:val="00991A8A"/>
    <w:rsid w:val="00991AC3"/>
    <w:rsid w:val="00991CD8"/>
    <w:rsid w:val="00991DA0"/>
    <w:rsid w:val="00991E83"/>
    <w:rsid w:val="00991F29"/>
    <w:rsid w:val="00991F6B"/>
    <w:rsid w:val="00991F8E"/>
    <w:rsid w:val="00991FA2"/>
    <w:rsid w:val="00991FCD"/>
    <w:rsid w:val="00992146"/>
    <w:rsid w:val="00992187"/>
    <w:rsid w:val="009921CD"/>
    <w:rsid w:val="00992221"/>
    <w:rsid w:val="00992260"/>
    <w:rsid w:val="00992387"/>
    <w:rsid w:val="009923B8"/>
    <w:rsid w:val="00992434"/>
    <w:rsid w:val="00992547"/>
    <w:rsid w:val="0099264E"/>
    <w:rsid w:val="0099271B"/>
    <w:rsid w:val="00992772"/>
    <w:rsid w:val="009928AA"/>
    <w:rsid w:val="0099291D"/>
    <w:rsid w:val="009929F9"/>
    <w:rsid w:val="00992A82"/>
    <w:rsid w:val="00992B32"/>
    <w:rsid w:val="00992B9B"/>
    <w:rsid w:val="00992BF8"/>
    <w:rsid w:val="00992C1F"/>
    <w:rsid w:val="00992C54"/>
    <w:rsid w:val="00992D4E"/>
    <w:rsid w:val="00992E21"/>
    <w:rsid w:val="00992E97"/>
    <w:rsid w:val="00992EAF"/>
    <w:rsid w:val="00992EDF"/>
    <w:rsid w:val="00992EFA"/>
    <w:rsid w:val="00992F15"/>
    <w:rsid w:val="00992F1E"/>
    <w:rsid w:val="00992F39"/>
    <w:rsid w:val="00992FBF"/>
    <w:rsid w:val="0099303E"/>
    <w:rsid w:val="00993057"/>
    <w:rsid w:val="009930D5"/>
    <w:rsid w:val="00993210"/>
    <w:rsid w:val="0099327B"/>
    <w:rsid w:val="00993282"/>
    <w:rsid w:val="0099332F"/>
    <w:rsid w:val="00993358"/>
    <w:rsid w:val="0099341C"/>
    <w:rsid w:val="009934D9"/>
    <w:rsid w:val="009934E1"/>
    <w:rsid w:val="00993530"/>
    <w:rsid w:val="00993588"/>
    <w:rsid w:val="0099359A"/>
    <w:rsid w:val="009935A8"/>
    <w:rsid w:val="009936D8"/>
    <w:rsid w:val="00993719"/>
    <w:rsid w:val="0099378D"/>
    <w:rsid w:val="00993793"/>
    <w:rsid w:val="009937D8"/>
    <w:rsid w:val="0099394A"/>
    <w:rsid w:val="0099397B"/>
    <w:rsid w:val="009939C4"/>
    <w:rsid w:val="00993B4B"/>
    <w:rsid w:val="00993B66"/>
    <w:rsid w:val="00993C1D"/>
    <w:rsid w:val="00993C97"/>
    <w:rsid w:val="00993C9D"/>
    <w:rsid w:val="00993CD6"/>
    <w:rsid w:val="00993D88"/>
    <w:rsid w:val="00993E87"/>
    <w:rsid w:val="00993F1B"/>
    <w:rsid w:val="00993FA1"/>
    <w:rsid w:val="00993FA4"/>
    <w:rsid w:val="0099407D"/>
    <w:rsid w:val="009940A3"/>
    <w:rsid w:val="0099414B"/>
    <w:rsid w:val="00994167"/>
    <w:rsid w:val="00994247"/>
    <w:rsid w:val="009942C6"/>
    <w:rsid w:val="00994423"/>
    <w:rsid w:val="0099444B"/>
    <w:rsid w:val="00994451"/>
    <w:rsid w:val="00994511"/>
    <w:rsid w:val="009945C6"/>
    <w:rsid w:val="00994650"/>
    <w:rsid w:val="009946C6"/>
    <w:rsid w:val="009946EC"/>
    <w:rsid w:val="0099478B"/>
    <w:rsid w:val="009947A9"/>
    <w:rsid w:val="009947F1"/>
    <w:rsid w:val="00994888"/>
    <w:rsid w:val="0099488B"/>
    <w:rsid w:val="0099490F"/>
    <w:rsid w:val="0099499E"/>
    <w:rsid w:val="009949A1"/>
    <w:rsid w:val="009949AF"/>
    <w:rsid w:val="00994A3D"/>
    <w:rsid w:val="00994B01"/>
    <w:rsid w:val="00994B5B"/>
    <w:rsid w:val="00994B9B"/>
    <w:rsid w:val="00994BCB"/>
    <w:rsid w:val="00994C6A"/>
    <w:rsid w:val="00994C9A"/>
    <w:rsid w:val="00994E2A"/>
    <w:rsid w:val="00994E49"/>
    <w:rsid w:val="00994EAD"/>
    <w:rsid w:val="00995030"/>
    <w:rsid w:val="009951B6"/>
    <w:rsid w:val="009951C5"/>
    <w:rsid w:val="0099521F"/>
    <w:rsid w:val="0099522A"/>
    <w:rsid w:val="0099531E"/>
    <w:rsid w:val="00995408"/>
    <w:rsid w:val="0099550B"/>
    <w:rsid w:val="0099567A"/>
    <w:rsid w:val="00995699"/>
    <w:rsid w:val="00995771"/>
    <w:rsid w:val="009957D4"/>
    <w:rsid w:val="009957EA"/>
    <w:rsid w:val="00995888"/>
    <w:rsid w:val="009958B2"/>
    <w:rsid w:val="009958E7"/>
    <w:rsid w:val="00995AAC"/>
    <w:rsid w:val="00995B52"/>
    <w:rsid w:val="00995BAD"/>
    <w:rsid w:val="00995D4B"/>
    <w:rsid w:val="00995DA5"/>
    <w:rsid w:val="00995EF0"/>
    <w:rsid w:val="00995F32"/>
    <w:rsid w:val="00995F3F"/>
    <w:rsid w:val="00996191"/>
    <w:rsid w:val="009961DA"/>
    <w:rsid w:val="00996377"/>
    <w:rsid w:val="009964AB"/>
    <w:rsid w:val="0099650A"/>
    <w:rsid w:val="00996590"/>
    <w:rsid w:val="009965B3"/>
    <w:rsid w:val="009965EA"/>
    <w:rsid w:val="009966A8"/>
    <w:rsid w:val="0099672E"/>
    <w:rsid w:val="00996742"/>
    <w:rsid w:val="0099674C"/>
    <w:rsid w:val="0099676F"/>
    <w:rsid w:val="009967BB"/>
    <w:rsid w:val="00996806"/>
    <w:rsid w:val="0099680C"/>
    <w:rsid w:val="00996854"/>
    <w:rsid w:val="009968C9"/>
    <w:rsid w:val="009968D8"/>
    <w:rsid w:val="00996923"/>
    <w:rsid w:val="0099692E"/>
    <w:rsid w:val="00996948"/>
    <w:rsid w:val="009969E4"/>
    <w:rsid w:val="00996A4A"/>
    <w:rsid w:val="00996A4D"/>
    <w:rsid w:val="00996B6C"/>
    <w:rsid w:val="00996BD6"/>
    <w:rsid w:val="00996CB6"/>
    <w:rsid w:val="00996D00"/>
    <w:rsid w:val="00996D0A"/>
    <w:rsid w:val="00996E7A"/>
    <w:rsid w:val="00996E83"/>
    <w:rsid w:val="00996E8A"/>
    <w:rsid w:val="00996FEE"/>
    <w:rsid w:val="009970DD"/>
    <w:rsid w:val="00997111"/>
    <w:rsid w:val="00997113"/>
    <w:rsid w:val="00997431"/>
    <w:rsid w:val="009974F5"/>
    <w:rsid w:val="00997527"/>
    <w:rsid w:val="009975BF"/>
    <w:rsid w:val="00997611"/>
    <w:rsid w:val="009976C8"/>
    <w:rsid w:val="0099772A"/>
    <w:rsid w:val="00997763"/>
    <w:rsid w:val="00997832"/>
    <w:rsid w:val="0099789A"/>
    <w:rsid w:val="009978E0"/>
    <w:rsid w:val="009979AE"/>
    <w:rsid w:val="009979DD"/>
    <w:rsid w:val="009979E0"/>
    <w:rsid w:val="00997ACE"/>
    <w:rsid w:val="00997CA3"/>
    <w:rsid w:val="00997CE2"/>
    <w:rsid w:val="00997D9A"/>
    <w:rsid w:val="00997DFB"/>
    <w:rsid w:val="00997E51"/>
    <w:rsid w:val="00997F31"/>
    <w:rsid w:val="0099EBD0"/>
    <w:rsid w:val="009A013D"/>
    <w:rsid w:val="009A0344"/>
    <w:rsid w:val="009A03D6"/>
    <w:rsid w:val="009A03FB"/>
    <w:rsid w:val="009A0429"/>
    <w:rsid w:val="009A0464"/>
    <w:rsid w:val="009A0500"/>
    <w:rsid w:val="009A05BE"/>
    <w:rsid w:val="009A0691"/>
    <w:rsid w:val="009A075C"/>
    <w:rsid w:val="009A081B"/>
    <w:rsid w:val="009A083D"/>
    <w:rsid w:val="009A09DA"/>
    <w:rsid w:val="009A0B5D"/>
    <w:rsid w:val="009A0B71"/>
    <w:rsid w:val="009A0BF8"/>
    <w:rsid w:val="009A0C5A"/>
    <w:rsid w:val="009A0DBA"/>
    <w:rsid w:val="009A119F"/>
    <w:rsid w:val="009A127E"/>
    <w:rsid w:val="009A128E"/>
    <w:rsid w:val="009A12AB"/>
    <w:rsid w:val="009A12B2"/>
    <w:rsid w:val="009A12F2"/>
    <w:rsid w:val="009A13BB"/>
    <w:rsid w:val="009A149C"/>
    <w:rsid w:val="009A1522"/>
    <w:rsid w:val="009A158F"/>
    <w:rsid w:val="009A16AD"/>
    <w:rsid w:val="009A16EB"/>
    <w:rsid w:val="009A172E"/>
    <w:rsid w:val="009A1744"/>
    <w:rsid w:val="009A1836"/>
    <w:rsid w:val="009A19A3"/>
    <w:rsid w:val="009A1B89"/>
    <w:rsid w:val="009A1C68"/>
    <w:rsid w:val="009A1CF4"/>
    <w:rsid w:val="009A1D91"/>
    <w:rsid w:val="009A1E10"/>
    <w:rsid w:val="009A1E4C"/>
    <w:rsid w:val="009A1E68"/>
    <w:rsid w:val="009A1EA7"/>
    <w:rsid w:val="009A1FDF"/>
    <w:rsid w:val="009A1FE2"/>
    <w:rsid w:val="009A201B"/>
    <w:rsid w:val="009A2117"/>
    <w:rsid w:val="009A237F"/>
    <w:rsid w:val="009A23CB"/>
    <w:rsid w:val="009A23D9"/>
    <w:rsid w:val="009A23FD"/>
    <w:rsid w:val="009A2452"/>
    <w:rsid w:val="009A24DD"/>
    <w:rsid w:val="009A2611"/>
    <w:rsid w:val="009A2630"/>
    <w:rsid w:val="009A2691"/>
    <w:rsid w:val="009A26FF"/>
    <w:rsid w:val="009A271A"/>
    <w:rsid w:val="009A27EE"/>
    <w:rsid w:val="009A2846"/>
    <w:rsid w:val="009A2868"/>
    <w:rsid w:val="009A2899"/>
    <w:rsid w:val="009A296A"/>
    <w:rsid w:val="009A2A2B"/>
    <w:rsid w:val="009A2B80"/>
    <w:rsid w:val="009A2BB5"/>
    <w:rsid w:val="009A2BC4"/>
    <w:rsid w:val="009A2C23"/>
    <w:rsid w:val="009A2C41"/>
    <w:rsid w:val="009A2C82"/>
    <w:rsid w:val="009A2CED"/>
    <w:rsid w:val="009A2CF0"/>
    <w:rsid w:val="009A2CF3"/>
    <w:rsid w:val="009A2D71"/>
    <w:rsid w:val="009A2DDF"/>
    <w:rsid w:val="009A2EF6"/>
    <w:rsid w:val="009A2FEC"/>
    <w:rsid w:val="009A30B8"/>
    <w:rsid w:val="009A30F2"/>
    <w:rsid w:val="009A3128"/>
    <w:rsid w:val="009A31A2"/>
    <w:rsid w:val="009A3216"/>
    <w:rsid w:val="009A3242"/>
    <w:rsid w:val="009A32C7"/>
    <w:rsid w:val="009A338A"/>
    <w:rsid w:val="009A33DE"/>
    <w:rsid w:val="009A33F1"/>
    <w:rsid w:val="009A3500"/>
    <w:rsid w:val="009A353B"/>
    <w:rsid w:val="009A38D9"/>
    <w:rsid w:val="009A38DC"/>
    <w:rsid w:val="009A38EE"/>
    <w:rsid w:val="009A3A0F"/>
    <w:rsid w:val="009A3A76"/>
    <w:rsid w:val="009A3AC5"/>
    <w:rsid w:val="009A3BD9"/>
    <w:rsid w:val="009A3C9F"/>
    <w:rsid w:val="009A3D1B"/>
    <w:rsid w:val="009A3D47"/>
    <w:rsid w:val="009A3E3E"/>
    <w:rsid w:val="009A3E73"/>
    <w:rsid w:val="009A3E9C"/>
    <w:rsid w:val="009A3F8B"/>
    <w:rsid w:val="009A41A7"/>
    <w:rsid w:val="009A41CD"/>
    <w:rsid w:val="009A423E"/>
    <w:rsid w:val="009A42CB"/>
    <w:rsid w:val="009A4374"/>
    <w:rsid w:val="009A4381"/>
    <w:rsid w:val="009A4441"/>
    <w:rsid w:val="009A450C"/>
    <w:rsid w:val="009A4565"/>
    <w:rsid w:val="009A45B6"/>
    <w:rsid w:val="009A45F2"/>
    <w:rsid w:val="009A4674"/>
    <w:rsid w:val="009A46A6"/>
    <w:rsid w:val="009A46A9"/>
    <w:rsid w:val="009A4753"/>
    <w:rsid w:val="009A478C"/>
    <w:rsid w:val="009A47B0"/>
    <w:rsid w:val="009A4821"/>
    <w:rsid w:val="009A48A2"/>
    <w:rsid w:val="009A4923"/>
    <w:rsid w:val="009A4AD3"/>
    <w:rsid w:val="009A4AE0"/>
    <w:rsid w:val="009A4BE5"/>
    <w:rsid w:val="009A4C67"/>
    <w:rsid w:val="009A4CB2"/>
    <w:rsid w:val="009A4CE8"/>
    <w:rsid w:val="009A4EAE"/>
    <w:rsid w:val="009A4F33"/>
    <w:rsid w:val="009A4F65"/>
    <w:rsid w:val="009A4FBB"/>
    <w:rsid w:val="009A508D"/>
    <w:rsid w:val="009A50A3"/>
    <w:rsid w:val="009A50B1"/>
    <w:rsid w:val="009A5194"/>
    <w:rsid w:val="009A51BF"/>
    <w:rsid w:val="009A5214"/>
    <w:rsid w:val="009A531B"/>
    <w:rsid w:val="009A5387"/>
    <w:rsid w:val="009A53DE"/>
    <w:rsid w:val="009A53F2"/>
    <w:rsid w:val="009A552D"/>
    <w:rsid w:val="009A55A4"/>
    <w:rsid w:val="009A55A5"/>
    <w:rsid w:val="009A55B6"/>
    <w:rsid w:val="009A55D5"/>
    <w:rsid w:val="009A565F"/>
    <w:rsid w:val="009A572D"/>
    <w:rsid w:val="009A582E"/>
    <w:rsid w:val="009A596E"/>
    <w:rsid w:val="009A5991"/>
    <w:rsid w:val="009A5AFD"/>
    <w:rsid w:val="009A5B36"/>
    <w:rsid w:val="009A5C15"/>
    <w:rsid w:val="009A5CC1"/>
    <w:rsid w:val="009A5CD8"/>
    <w:rsid w:val="009A5D70"/>
    <w:rsid w:val="009A5DC0"/>
    <w:rsid w:val="009A5DC7"/>
    <w:rsid w:val="009A5E1F"/>
    <w:rsid w:val="009A6051"/>
    <w:rsid w:val="009A609F"/>
    <w:rsid w:val="009A60CB"/>
    <w:rsid w:val="009A612F"/>
    <w:rsid w:val="009A616A"/>
    <w:rsid w:val="009A61B1"/>
    <w:rsid w:val="009A62A9"/>
    <w:rsid w:val="009A63A3"/>
    <w:rsid w:val="009A64ED"/>
    <w:rsid w:val="009A65B2"/>
    <w:rsid w:val="009A6670"/>
    <w:rsid w:val="009A676E"/>
    <w:rsid w:val="009A67B2"/>
    <w:rsid w:val="009A67F2"/>
    <w:rsid w:val="009A6824"/>
    <w:rsid w:val="009A6840"/>
    <w:rsid w:val="009A6892"/>
    <w:rsid w:val="009A689D"/>
    <w:rsid w:val="009A68C9"/>
    <w:rsid w:val="009A69E6"/>
    <w:rsid w:val="009A6AFD"/>
    <w:rsid w:val="009A6B13"/>
    <w:rsid w:val="009A6B5B"/>
    <w:rsid w:val="009A6B9B"/>
    <w:rsid w:val="009A6BA0"/>
    <w:rsid w:val="009A6C2B"/>
    <w:rsid w:val="009A6C38"/>
    <w:rsid w:val="009A6C6E"/>
    <w:rsid w:val="009A6CD4"/>
    <w:rsid w:val="009A6D11"/>
    <w:rsid w:val="009A6E1A"/>
    <w:rsid w:val="009A6E67"/>
    <w:rsid w:val="009A6E94"/>
    <w:rsid w:val="009A6EA6"/>
    <w:rsid w:val="009A6EB1"/>
    <w:rsid w:val="009A6F32"/>
    <w:rsid w:val="009A6F68"/>
    <w:rsid w:val="009A71D9"/>
    <w:rsid w:val="009A728E"/>
    <w:rsid w:val="009A72C4"/>
    <w:rsid w:val="009A7367"/>
    <w:rsid w:val="009A737B"/>
    <w:rsid w:val="009A738D"/>
    <w:rsid w:val="009A73D4"/>
    <w:rsid w:val="009A73E2"/>
    <w:rsid w:val="009A7445"/>
    <w:rsid w:val="009A7630"/>
    <w:rsid w:val="009A7634"/>
    <w:rsid w:val="009A775F"/>
    <w:rsid w:val="009A777B"/>
    <w:rsid w:val="009A7800"/>
    <w:rsid w:val="009A78B8"/>
    <w:rsid w:val="009A79AE"/>
    <w:rsid w:val="009A7C16"/>
    <w:rsid w:val="009A7C45"/>
    <w:rsid w:val="009A7C72"/>
    <w:rsid w:val="009A7CF4"/>
    <w:rsid w:val="009A7F29"/>
    <w:rsid w:val="009A7FFC"/>
    <w:rsid w:val="009B0046"/>
    <w:rsid w:val="009B00BD"/>
    <w:rsid w:val="009B00D1"/>
    <w:rsid w:val="009B013D"/>
    <w:rsid w:val="009B0199"/>
    <w:rsid w:val="009B0214"/>
    <w:rsid w:val="009B0246"/>
    <w:rsid w:val="009B02EA"/>
    <w:rsid w:val="009B02F2"/>
    <w:rsid w:val="009B0329"/>
    <w:rsid w:val="009B040D"/>
    <w:rsid w:val="009B051D"/>
    <w:rsid w:val="009B0600"/>
    <w:rsid w:val="009B0B51"/>
    <w:rsid w:val="009B0BF9"/>
    <w:rsid w:val="009B0C8C"/>
    <w:rsid w:val="009B0CA0"/>
    <w:rsid w:val="009B0D75"/>
    <w:rsid w:val="009B0D88"/>
    <w:rsid w:val="009B0E5D"/>
    <w:rsid w:val="009B0F22"/>
    <w:rsid w:val="009B0FB5"/>
    <w:rsid w:val="009B100A"/>
    <w:rsid w:val="009B10CB"/>
    <w:rsid w:val="009B1106"/>
    <w:rsid w:val="009B1108"/>
    <w:rsid w:val="009B116C"/>
    <w:rsid w:val="009B117C"/>
    <w:rsid w:val="009B119E"/>
    <w:rsid w:val="009B122C"/>
    <w:rsid w:val="009B12CA"/>
    <w:rsid w:val="009B1392"/>
    <w:rsid w:val="009B14F6"/>
    <w:rsid w:val="009B15FD"/>
    <w:rsid w:val="009B1608"/>
    <w:rsid w:val="009B1620"/>
    <w:rsid w:val="009B1738"/>
    <w:rsid w:val="009B17F8"/>
    <w:rsid w:val="009B1839"/>
    <w:rsid w:val="009B1876"/>
    <w:rsid w:val="009B194E"/>
    <w:rsid w:val="009B1A25"/>
    <w:rsid w:val="009B1A62"/>
    <w:rsid w:val="009B1AEC"/>
    <w:rsid w:val="009B1B53"/>
    <w:rsid w:val="009B1BE5"/>
    <w:rsid w:val="009B1C03"/>
    <w:rsid w:val="009B1CA4"/>
    <w:rsid w:val="009B1CAA"/>
    <w:rsid w:val="009B1D2E"/>
    <w:rsid w:val="009B1D70"/>
    <w:rsid w:val="009B1D95"/>
    <w:rsid w:val="009B1E52"/>
    <w:rsid w:val="009B1E6C"/>
    <w:rsid w:val="009B1E7A"/>
    <w:rsid w:val="009B1F10"/>
    <w:rsid w:val="009B1F22"/>
    <w:rsid w:val="009B1F3B"/>
    <w:rsid w:val="009B1F80"/>
    <w:rsid w:val="009B200A"/>
    <w:rsid w:val="009B2011"/>
    <w:rsid w:val="009B2040"/>
    <w:rsid w:val="009B2276"/>
    <w:rsid w:val="009B2385"/>
    <w:rsid w:val="009B23EA"/>
    <w:rsid w:val="009B2430"/>
    <w:rsid w:val="009B247F"/>
    <w:rsid w:val="009B24CC"/>
    <w:rsid w:val="009B25BF"/>
    <w:rsid w:val="009B270A"/>
    <w:rsid w:val="009B2729"/>
    <w:rsid w:val="009B2824"/>
    <w:rsid w:val="009B2879"/>
    <w:rsid w:val="009B2896"/>
    <w:rsid w:val="009B2A35"/>
    <w:rsid w:val="009B2A70"/>
    <w:rsid w:val="009B2AB7"/>
    <w:rsid w:val="009B2B5E"/>
    <w:rsid w:val="009B2BA0"/>
    <w:rsid w:val="009B2BC8"/>
    <w:rsid w:val="009B2C1C"/>
    <w:rsid w:val="009B2CA3"/>
    <w:rsid w:val="009B2CF4"/>
    <w:rsid w:val="009B2DBD"/>
    <w:rsid w:val="009B2DF8"/>
    <w:rsid w:val="009B2E1E"/>
    <w:rsid w:val="009B2E67"/>
    <w:rsid w:val="009B2F43"/>
    <w:rsid w:val="009B306C"/>
    <w:rsid w:val="009B306D"/>
    <w:rsid w:val="009B30B8"/>
    <w:rsid w:val="009B3130"/>
    <w:rsid w:val="009B3133"/>
    <w:rsid w:val="009B3151"/>
    <w:rsid w:val="009B3155"/>
    <w:rsid w:val="009B31C0"/>
    <w:rsid w:val="009B31C8"/>
    <w:rsid w:val="009B3279"/>
    <w:rsid w:val="009B3327"/>
    <w:rsid w:val="009B333E"/>
    <w:rsid w:val="009B33BE"/>
    <w:rsid w:val="009B3467"/>
    <w:rsid w:val="009B3471"/>
    <w:rsid w:val="009B3498"/>
    <w:rsid w:val="009B34F2"/>
    <w:rsid w:val="009B3557"/>
    <w:rsid w:val="009B3705"/>
    <w:rsid w:val="009B37AC"/>
    <w:rsid w:val="009B37D7"/>
    <w:rsid w:val="009B37FD"/>
    <w:rsid w:val="009B3802"/>
    <w:rsid w:val="009B3953"/>
    <w:rsid w:val="009B3BB5"/>
    <w:rsid w:val="009B3CA5"/>
    <w:rsid w:val="009B3CB9"/>
    <w:rsid w:val="009B3DCD"/>
    <w:rsid w:val="009B3E0E"/>
    <w:rsid w:val="009B3EA4"/>
    <w:rsid w:val="009B3F81"/>
    <w:rsid w:val="009B3F99"/>
    <w:rsid w:val="009B404E"/>
    <w:rsid w:val="009B4125"/>
    <w:rsid w:val="009B4147"/>
    <w:rsid w:val="009B4168"/>
    <w:rsid w:val="009B41EB"/>
    <w:rsid w:val="009B4326"/>
    <w:rsid w:val="009B4327"/>
    <w:rsid w:val="009B434A"/>
    <w:rsid w:val="009B43A2"/>
    <w:rsid w:val="009B446F"/>
    <w:rsid w:val="009B4472"/>
    <w:rsid w:val="009B4696"/>
    <w:rsid w:val="009B46EC"/>
    <w:rsid w:val="009B4852"/>
    <w:rsid w:val="009B4860"/>
    <w:rsid w:val="009B48A5"/>
    <w:rsid w:val="009B497A"/>
    <w:rsid w:val="009B49FB"/>
    <w:rsid w:val="009B4A0A"/>
    <w:rsid w:val="009B4A33"/>
    <w:rsid w:val="009B4A51"/>
    <w:rsid w:val="009B4B37"/>
    <w:rsid w:val="009B4BAA"/>
    <w:rsid w:val="009B4BE8"/>
    <w:rsid w:val="009B4C68"/>
    <w:rsid w:val="009B4C7E"/>
    <w:rsid w:val="009B4CA4"/>
    <w:rsid w:val="009B4D19"/>
    <w:rsid w:val="009B4D7A"/>
    <w:rsid w:val="009B4E65"/>
    <w:rsid w:val="009B4E75"/>
    <w:rsid w:val="009B4F2D"/>
    <w:rsid w:val="009B4F7D"/>
    <w:rsid w:val="009B4FB0"/>
    <w:rsid w:val="009B5181"/>
    <w:rsid w:val="009B51BD"/>
    <w:rsid w:val="009B5243"/>
    <w:rsid w:val="009B5282"/>
    <w:rsid w:val="009B5283"/>
    <w:rsid w:val="009B52A6"/>
    <w:rsid w:val="009B52E1"/>
    <w:rsid w:val="009B52E9"/>
    <w:rsid w:val="009B52F5"/>
    <w:rsid w:val="009B5483"/>
    <w:rsid w:val="009B54FD"/>
    <w:rsid w:val="009B54FF"/>
    <w:rsid w:val="009B5663"/>
    <w:rsid w:val="009B57F6"/>
    <w:rsid w:val="009B5909"/>
    <w:rsid w:val="009B5A01"/>
    <w:rsid w:val="009B5A45"/>
    <w:rsid w:val="009B5ACC"/>
    <w:rsid w:val="009B5AE7"/>
    <w:rsid w:val="009B5B14"/>
    <w:rsid w:val="009B5B4D"/>
    <w:rsid w:val="009B5B5D"/>
    <w:rsid w:val="009B5BC2"/>
    <w:rsid w:val="009B5BE4"/>
    <w:rsid w:val="009B5C07"/>
    <w:rsid w:val="009B5C64"/>
    <w:rsid w:val="009B5D53"/>
    <w:rsid w:val="009B5D70"/>
    <w:rsid w:val="009B5DE7"/>
    <w:rsid w:val="009B5F68"/>
    <w:rsid w:val="009B60AE"/>
    <w:rsid w:val="009B60D2"/>
    <w:rsid w:val="009B615B"/>
    <w:rsid w:val="009B615E"/>
    <w:rsid w:val="009B61E9"/>
    <w:rsid w:val="009B621C"/>
    <w:rsid w:val="009B629D"/>
    <w:rsid w:val="009B62BE"/>
    <w:rsid w:val="009B631D"/>
    <w:rsid w:val="009B654A"/>
    <w:rsid w:val="009B65B0"/>
    <w:rsid w:val="009B65C8"/>
    <w:rsid w:val="009B66CE"/>
    <w:rsid w:val="009B66D3"/>
    <w:rsid w:val="009B66F7"/>
    <w:rsid w:val="009B6782"/>
    <w:rsid w:val="009B67BA"/>
    <w:rsid w:val="009B67EE"/>
    <w:rsid w:val="009B6909"/>
    <w:rsid w:val="009B698E"/>
    <w:rsid w:val="009B69F1"/>
    <w:rsid w:val="009B6B39"/>
    <w:rsid w:val="009B6B6B"/>
    <w:rsid w:val="009B6CC0"/>
    <w:rsid w:val="009B6E0A"/>
    <w:rsid w:val="009B6E8E"/>
    <w:rsid w:val="009B6F2B"/>
    <w:rsid w:val="009B6FE0"/>
    <w:rsid w:val="009B7009"/>
    <w:rsid w:val="009B702A"/>
    <w:rsid w:val="009B707E"/>
    <w:rsid w:val="009B70AE"/>
    <w:rsid w:val="009B70E6"/>
    <w:rsid w:val="009B7151"/>
    <w:rsid w:val="009B7171"/>
    <w:rsid w:val="009B720A"/>
    <w:rsid w:val="009B7232"/>
    <w:rsid w:val="009B7258"/>
    <w:rsid w:val="009B7293"/>
    <w:rsid w:val="009B739A"/>
    <w:rsid w:val="009B745D"/>
    <w:rsid w:val="009B74FB"/>
    <w:rsid w:val="009B7510"/>
    <w:rsid w:val="009B7530"/>
    <w:rsid w:val="009B7578"/>
    <w:rsid w:val="009B760A"/>
    <w:rsid w:val="009B7614"/>
    <w:rsid w:val="009B76D8"/>
    <w:rsid w:val="009B7720"/>
    <w:rsid w:val="009B781E"/>
    <w:rsid w:val="009B78A7"/>
    <w:rsid w:val="009B796C"/>
    <w:rsid w:val="009B79A7"/>
    <w:rsid w:val="009B7AB7"/>
    <w:rsid w:val="009B7B09"/>
    <w:rsid w:val="009B7B21"/>
    <w:rsid w:val="009B7B23"/>
    <w:rsid w:val="009B7B55"/>
    <w:rsid w:val="009B7B5B"/>
    <w:rsid w:val="009B7BE9"/>
    <w:rsid w:val="009B7BFD"/>
    <w:rsid w:val="009B7C69"/>
    <w:rsid w:val="009B7CC0"/>
    <w:rsid w:val="009B7D4E"/>
    <w:rsid w:val="009B7DFA"/>
    <w:rsid w:val="009B7E95"/>
    <w:rsid w:val="009B7F7D"/>
    <w:rsid w:val="009B7F93"/>
    <w:rsid w:val="009C0179"/>
    <w:rsid w:val="009C0190"/>
    <w:rsid w:val="009C01B5"/>
    <w:rsid w:val="009C020A"/>
    <w:rsid w:val="009C026B"/>
    <w:rsid w:val="009C0296"/>
    <w:rsid w:val="009C0366"/>
    <w:rsid w:val="009C037A"/>
    <w:rsid w:val="009C03BD"/>
    <w:rsid w:val="009C0495"/>
    <w:rsid w:val="009C0533"/>
    <w:rsid w:val="009C057F"/>
    <w:rsid w:val="009C0604"/>
    <w:rsid w:val="009C0696"/>
    <w:rsid w:val="009C06D0"/>
    <w:rsid w:val="009C0798"/>
    <w:rsid w:val="009C08FE"/>
    <w:rsid w:val="009C0924"/>
    <w:rsid w:val="009C0985"/>
    <w:rsid w:val="009C09AF"/>
    <w:rsid w:val="009C09F2"/>
    <w:rsid w:val="009C0AF7"/>
    <w:rsid w:val="009C0C2B"/>
    <w:rsid w:val="009C0C38"/>
    <w:rsid w:val="009C0C3C"/>
    <w:rsid w:val="009C0F70"/>
    <w:rsid w:val="009C1022"/>
    <w:rsid w:val="009C1088"/>
    <w:rsid w:val="009C109F"/>
    <w:rsid w:val="009C110F"/>
    <w:rsid w:val="009C114E"/>
    <w:rsid w:val="009C12FE"/>
    <w:rsid w:val="009C132E"/>
    <w:rsid w:val="009C141F"/>
    <w:rsid w:val="009C143F"/>
    <w:rsid w:val="009C148C"/>
    <w:rsid w:val="009C14A8"/>
    <w:rsid w:val="009C14E3"/>
    <w:rsid w:val="009C1510"/>
    <w:rsid w:val="009C15B7"/>
    <w:rsid w:val="009C167B"/>
    <w:rsid w:val="009C16A5"/>
    <w:rsid w:val="009C16D0"/>
    <w:rsid w:val="009C1761"/>
    <w:rsid w:val="009C1773"/>
    <w:rsid w:val="009C17C0"/>
    <w:rsid w:val="009C1864"/>
    <w:rsid w:val="009C18D2"/>
    <w:rsid w:val="009C1908"/>
    <w:rsid w:val="009C1A06"/>
    <w:rsid w:val="009C1A1F"/>
    <w:rsid w:val="009C1B91"/>
    <w:rsid w:val="009C1B9F"/>
    <w:rsid w:val="009C1C1C"/>
    <w:rsid w:val="009C1C43"/>
    <w:rsid w:val="009C1CBE"/>
    <w:rsid w:val="009C1DE2"/>
    <w:rsid w:val="009C1DE6"/>
    <w:rsid w:val="009C1E0A"/>
    <w:rsid w:val="009C1E5D"/>
    <w:rsid w:val="009C1E88"/>
    <w:rsid w:val="009C1E8D"/>
    <w:rsid w:val="009C1F03"/>
    <w:rsid w:val="009C1F57"/>
    <w:rsid w:val="009C1FAE"/>
    <w:rsid w:val="009C2027"/>
    <w:rsid w:val="009C205E"/>
    <w:rsid w:val="009C2076"/>
    <w:rsid w:val="009C2122"/>
    <w:rsid w:val="009C22BD"/>
    <w:rsid w:val="009C22CC"/>
    <w:rsid w:val="009C25AA"/>
    <w:rsid w:val="009C260F"/>
    <w:rsid w:val="009C28F1"/>
    <w:rsid w:val="009C2970"/>
    <w:rsid w:val="009C2988"/>
    <w:rsid w:val="009C2AE2"/>
    <w:rsid w:val="009C2AED"/>
    <w:rsid w:val="009C2C6A"/>
    <w:rsid w:val="009C2C80"/>
    <w:rsid w:val="009C2CA1"/>
    <w:rsid w:val="009C2CBD"/>
    <w:rsid w:val="009C2D27"/>
    <w:rsid w:val="009C2DE9"/>
    <w:rsid w:val="009C2EA6"/>
    <w:rsid w:val="009C2F47"/>
    <w:rsid w:val="009C2FC0"/>
    <w:rsid w:val="009C3015"/>
    <w:rsid w:val="009C301E"/>
    <w:rsid w:val="009C3054"/>
    <w:rsid w:val="009C305E"/>
    <w:rsid w:val="009C3203"/>
    <w:rsid w:val="009C3341"/>
    <w:rsid w:val="009C33AE"/>
    <w:rsid w:val="009C343C"/>
    <w:rsid w:val="009C36D5"/>
    <w:rsid w:val="009C375B"/>
    <w:rsid w:val="009C3786"/>
    <w:rsid w:val="009C37F2"/>
    <w:rsid w:val="009C385C"/>
    <w:rsid w:val="009C3A43"/>
    <w:rsid w:val="009C3AE1"/>
    <w:rsid w:val="009C3B15"/>
    <w:rsid w:val="009C3BBE"/>
    <w:rsid w:val="009C3BE8"/>
    <w:rsid w:val="009C3C2C"/>
    <w:rsid w:val="009C3C7B"/>
    <w:rsid w:val="009C3C98"/>
    <w:rsid w:val="009C3D49"/>
    <w:rsid w:val="009C3E11"/>
    <w:rsid w:val="009C3E7F"/>
    <w:rsid w:val="009C3E91"/>
    <w:rsid w:val="009C3E95"/>
    <w:rsid w:val="009C3F64"/>
    <w:rsid w:val="009C4095"/>
    <w:rsid w:val="009C4127"/>
    <w:rsid w:val="009C425D"/>
    <w:rsid w:val="009C427C"/>
    <w:rsid w:val="009C42A7"/>
    <w:rsid w:val="009C42CE"/>
    <w:rsid w:val="009C43A6"/>
    <w:rsid w:val="009C4446"/>
    <w:rsid w:val="009C4681"/>
    <w:rsid w:val="009C46B0"/>
    <w:rsid w:val="009C46C7"/>
    <w:rsid w:val="009C4767"/>
    <w:rsid w:val="009C47AC"/>
    <w:rsid w:val="009C47B1"/>
    <w:rsid w:val="009C4856"/>
    <w:rsid w:val="009C48B6"/>
    <w:rsid w:val="009C48D4"/>
    <w:rsid w:val="009C48D9"/>
    <w:rsid w:val="009C493C"/>
    <w:rsid w:val="009C494E"/>
    <w:rsid w:val="009C49CF"/>
    <w:rsid w:val="009C4A8E"/>
    <w:rsid w:val="009C4AED"/>
    <w:rsid w:val="009C4B34"/>
    <w:rsid w:val="009C4C0A"/>
    <w:rsid w:val="009C4C1F"/>
    <w:rsid w:val="009C4C27"/>
    <w:rsid w:val="009C4D3B"/>
    <w:rsid w:val="009C4DE5"/>
    <w:rsid w:val="009C4F20"/>
    <w:rsid w:val="009C4F8E"/>
    <w:rsid w:val="009C500A"/>
    <w:rsid w:val="009C5046"/>
    <w:rsid w:val="009C5056"/>
    <w:rsid w:val="009C508D"/>
    <w:rsid w:val="009C50A8"/>
    <w:rsid w:val="009C5180"/>
    <w:rsid w:val="009C51F3"/>
    <w:rsid w:val="009C5237"/>
    <w:rsid w:val="009C5262"/>
    <w:rsid w:val="009C5451"/>
    <w:rsid w:val="009C54ED"/>
    <w:rsid w:val="009C5550"/>
    <w:rsid w:val="009C576D"/>
    <w:rsid w:val="009C5790"/>
    <w:rsid w:val="009C5814"/>
    <w:rsid w:val="009C589C"/>
    <w:rsid w:val="009C593D"/>
    <w:rsid w:val="009C594D"/>
    <w:rsid w:val="009C59C4"/>
    <w:rsid w:val="009C5A19"/>
    <w:rsid w:val="009C5B68"/>
    <w:rsid w:val="009C5B8C"/>
    <w:rsid w:val="009C5BE4"/>
    <w:rsid w:val="009C5C79"/>
    <w:rsid w:val="009C5C88"/>
    <w:rsid w:val="009C5CA0"/>
    <w:rsid w:val="009C5CA8"/>
    <w:rsid w:val="009C5CB8"/>
    <w:rsid w:val="009C5CF2"/>
    <w:rsid w:val="009C5DD7"/>
    <w:rsid w:val="009C5E7C"/>
    <w:rsid w:val="009C5E81"/>
    <w:rsid w:val="009C5EC2"/>
    <w:rsid w:val="009C6188"/>
    <w:rsid w:val="009C61FF"/>
    <w:rsid w:val="009C620C"/>
    <w:rsid w:val="009C627F"/>
    <w:rsid w:val="009C6296"/>
    <w:rsid w:val="009C62A2"/>
    <w:rsid w:val="009C63E4"/>
    <w:rsid w:val="009C640E"/>
    <w:rsid w:val="009C64F3"/>
    <w:rsid w:val="009C64F7"/>
    <w:rsid w:val="009C6530"/>
    <w:rsid w:val="009C65F1"/>
    <w:rsid w:val="009C6609"/>
    <w:rsid w:val="009C6618"/>
    <w:rsid w:val="009C6791"/>
    <w:rsid w:val="009C67A4"/>
    <w:rsid w:val="009C67AC"/>
    <w:rsid w:val="009C6802"/>
    <w:rsid w:val="009C6886"/>
    <w:rsid w:val="009C691A"/>
    <w:rsid w:val="009C6933"/>
    <w:rsid w:val="009C696D"/>
    <w:rsid w:val="009C69C9"/>
    <w:rsid w:val="009C69EB"/>
    <w:rsid w:val="009C69EE"/>
    <w:rsid w:val="009C6B69"/>
    <w:rsid w:val="009C6B96"/>
    <w:rsid w:val="009C6BB9"/>
    <w:rsid w:val="009C6CC9"/>
    <w:rsid w:val="009C6D8A"/>
    <w:rsid w:val="009C6DE8"/>
    <w:rsid w:val="009C6DF5"/>
    <w:rsid w:val="009C6E05"/>
    <w:rsid w:val="009C6E64"/>
    <w:rsid w:val="009C6E69"/>
    <w:rsid w:val="009C6F13"/>
    <w:rsid w:val="009C6F30"/>
    <w:rsid w:val="009C6F9F"/>
    <w:rsid w:val="009C6FB1"/>
    <w:rsid w:val="009C70BB"/>
    <w:rsid w:val="009C70E0"/>
    <w:rsid w:val="009C71C5"/>
    <w:rsid w:val="009C71D0"/>
    <w:rsid w:val="009C721F"/>
    <w:rsid w:val="009C722E"/>
    <w:rsid w:val="009C72BD"/>
    <w:rsid w:val="009C72E3"/>
    <w:rsid w:val="009C7347"/>
    <w:rsid w:val="009C736E"/>
    <w:rsid w:val="009C7406"/>
    <w:rsid w:val="009C746A"/>
    <w:rsid w:val="009C748A"/>
    <w:rsid w:val="009C7523"/>
    <w:rsid w:val="009C756A"/>
    <w:rsid w:val="009C75E7"/>
    <w:rsid w:val="009C75FB"/>
    <w:rsid w:val="009C7613"/>
    <w:rsid w:val="009C7653"/>
    <w:rsid w:val="009C769F"/>
    <w:rsid w:val="009C76B9"/>
    <w:rsid w:val="009C76C3"/>
    <w:rsid w:val="009C76F6"/>
    <w:rsid w:val="009C78DC"/>
    <w:rsid w:val="009C7924"/>
    <w:rsid w:val="009C793C"/>
    <w:rsid w:val="009C7945"/>
    <w:rsid w:val="009C7A27"/>
    <w:rsid w:val="009C7A9A"/>
    <w:rsid w:val="009C7B90"/>
    <w:rsid w:val="009C7B9B"/>
    <w:rsid w:val="009C7BF4"/>
    <w:rsid w:val="009C7C31"/>
    <w:rsid w:val="009C7D9A"/>
    <w:rsid w:val="009C7DFC"/>
    <w:rsid w:val="009C7E5D"/>
    <w:rsid w:val="009C7E6C"/>
    <w:rsid w:val="009C7E7B"/>
    <w:rsid w:val="009C7EB5"/>
    <w:rsid w:val="009C7EEB"/>
    <w:rsid w:val="009CBE72"/>
    <w:rsid w:val="009D0089"/>
    <w:rsid w:val="009D00AA"/>
    <w:rsid w:val="009D00B8"/>
    <w:rsid w:val="009D015A"/>
    <w:rsid w:val="009D01FC"/>
    <w:rsid w:val="009D0208"/>
    <w:rsid w:val="009D0258"/>
    <w:rsid w:val="009D028A"/>
    <w:rsid w:val="009D038C"/>
    <w:rsid w:val="009D0481"/>
    <w:rsid w:val="009D04CB"/>
    <w:rsid w:val="009D050F"/>
    <w:rsid w:val="009D0569"/>
    <w:rsid w:val="009D0586"/>
    <w:rsid w:val="009D05C2"/>
    <w:rsid w:val="009D0649"/>
    <w:rsid w:val="009D0669"/>
    <w:rsid w:val="009D06D5"/>
    <w:rsid w:val="009D077B"/>
    <w:rsid w:val="009D0806"/>
    <w:rsid w:val="009D0933"/>
    <w:rsid w:val="009D0964"/>
    <w:rsid w:val="009D0975"/>
    <w:rsid w:val="009D099F"/>
    <w:rsid w:val="009D0A85"/>
    <w:rsid w:val="009D0B45"/>
    <w:rsid w:val="009D0B8A"/>
    <w:rsid w:val="009D0BB9"/>
    <w:rsid w:val="009D0BBE"/>
    <w:rsid w:val="009D0CDD"/>
    <w:rsid w:val="009D0D72"/>
    <w:rsid w:val="009D0DFA"/>
    <w:rsid w:val="009D0E47"/>
    <w:rsid w:val="009D0EA6"/>
    <w:rsid w:val="009D0F36"/>
    <w:rsid w:val="009D0F83"/>
    <w:rsid w:val="009D104C"/>
    <w:rsid w:val="009D105F"/>
    <w:rsid w:val="009D108D"/>
    <w:rsid w:val="009D11B4"/>
    <w:rsid w:val="009D11FA"/>
    <w:rsid w:val="009D131D"/>
    <w:rsid w:val="009D13CB"/>
    <w:rsid w:val="009D155B"/>
    <w:rsid w:val="009D168E"/>
    <w:rsid w:val="009D16BD"/>
    <w:rsid w:val="009D1730"/>
    <w:rsid w:val="009D1832"/>
    <w:rsid w:val="009D1854"/>
    <w:rsid w:val="009D1937"/>
    <w:rsid w:val="009D1B71"/>
    <w:rsid w:val="009D1B8E"/>
    <w:rsid w:val="009D1BFB"/>
    <w:rsid w:val="009D1C6F"/>
    <w:rsid w:val="009D1D0C"/>
    <w:rsid w:val="009D1FC1"/>
    <w:rsid w:val="009D1FDE"/>
    <w:rsid w:val="009D207D"/>
    <w:rsid w:val="009D2151"/>
    <w:rsid w:val="009D21B9"/>
    <w:rsid w:val="009D21C5"/>
    <w:rsid w:val="009D221B"/>
    <w:rsid w:val="009D2282"/>
    <w:rsid w:val="009D22F8"/>
    <w:rsid w:val="009D2318"/>
    <w:rsid w:val="009D2378"/>
    <w:rsid w:val="009D238D"/>
    <w:rsid w:val="009D248B"/>
    <w:rsid w:val="009D24F3"/>
    <w:rsid w:val="009D254B"/>
    <w:rsid w:val="009D25CD"/>
    <w:rsid w:val="009D25CE"/>
    <w:rsid w:val="009D25F1"/>
    <w:rsid w:val="009D264E"/>
    <w:rsid w:val="009D279D"/>
    <w:rsid w:val="009D27B5"/>
    <w:rsid w:val="009D2838"/>
    <w:rsid w:val="009D292B"/>
    <w:rsid w:val="009D2999"/>
    <w:rsid w:val="009D2A33"/>
    <w:rsid w:val="009D2A3A"/>
    <w:rsid w:val="009D2A62"/>
    <w:rsid w:val="009D2A74"/>
    <w:rsid w:val="009D2B3E"/>
    <w:rsid w:val="009D2B69"/>
    <w:rsid w:val="009D2C67"/>
    <w:rsid w:val="009D2D1F"/>
    <w:rsid w:val="009D2DB3"/>
    <w:rsid w:val="009D2EB0"/>
    <w:rsid w:val="009D2EFB"/>
    <w:rsid w:val="009D2F41"/>
    <w:rsid w:val="009D2F6A"/>
    <w:rsid w:val="009D30C9"/>
    <w:rsid w:val="009D314A"/>
    <w:rsid w:val="009D31FB"/>
    <w:rsid w:val="009D32C7"/>
    <w:rsid w:val="009D32FA"/>
    <w:rsid w:val="009D330A"/>
    <w:rsid w:val="009D338B"/>
    <w:rsid w:val="009D33E0"/>
    <w:rsid w:val="009D340B"/>
    <w:rsid w:val="009D34CE"/>
    <w:rsid w:val="009D350B"/>
    <w:rsid w:val="009D354F"/>
    <w:rsid w:val="009D36CB"/>
    <w:rsid w:val="009D36E4"/>
    <w:rsid w:val="009D370A"/>
    <w:rsid w:val="009D3786"/>
    <w:rsid w:val="009D37E5"/>
    <w:rsid w:val="009D3913"/>
    <w:rsid w:val="009D3939"/>
    <w:rsid w:val="009D396B"/>
    <w:rsid w:val="009D3A5F"/>
    <w:rsid w:val="009D3AB7"/>
    <w:rsid w:val="009D3AC6"/>
    <w:rsid w:val="009D3AD3"/>
    <w:rsid w:val="009D3B16"/>
    <w:rsid w:val="009D3B6C"/>
    <w:rsid w:val="009D3BD0"/>
    <w:rsid w:val="009D3BDB"/>
    <w:rsid w:val="009D3C74"/>
    <w:rsid w:val="009D3D07"/>
    <w:rsid w:val="009D3DB3"/>
    <w:rsid w:val="009D3E6A"/>
    <w:rsid w:val="009D3E7F"/>
    <w:rsid w:val="009D4061"/>
    <w:rsid w:val="009D4075"/>
    <w:rsid w:val="009D40A5"/>
    <w:rsid w:val="009D40E8"/>
    <w:rsid w:val="009D4184"/>
    <w:rsid w:val="009D41CB"/>
    <w:rsid w:val="009D4324"/>
    <w:rsid w:val="009D43D0"/>
    <w:rsid w:val="009D4463"/>
    <w:rsid w:val="009D4467"/>
    <w:rsid w:val="009D4506"/>
    <w:rsid w:val="009D461C"/>
    <w:rsid w:val="009D476B"/>
    <w:rsid w:val="009D47F3"/>
    <w:rsid w:val="009D4836"/>
    <w:rsid w:val="009D489B"/>
    <w:rsid w:val="009D48B4"/>
    <w:rsid w:val="009D48E1"/>
    <w:rsid w:val="009D491B"/>
    <w:rsid w:val="009D493F"/>
    <w:rsid w:val="009D4A73"/>
    <w:rsid w:val="009D4A88"/>
    <w:rsid w:val="009D4B6F"/>
    <w:rsid w:val="009D4B89"/>
    <w:rsid w:val="009D4C07"/>
    <w:rsid w:val="009D4C15"/>
    <w:rsid w:val="009D4CC0"/>
    <w:rsid w:val="009D4D3F"/>
    <w:rsid w:val="009D4DC6"/>
    <w:rsid w:val="009D4DF5"/>
    <w:rsid w:val="009D4E27"/>
    <w:rsid w:val="009D5006"/>
    <w:rsid w:val="009D507C"/>
    <w:rsid w:val="009D50CE"/>
    <w:rsid w:val="009D50F7"/>
    <w:rsid w:val="009D52EB"/>
    <w:rsid w:val="009D535E"/>
    <w:rsid w:val="009D53F0"/>
    <w:rsid w:val="009D54CF"/>
    <w:rsid w:val="009D5540"/>
    <w:rsid w:val="009D5830"/>
    <w:rsid w:val="009D586D"/>
    <w:rsid w:val="009D59AE"/>
    <w:rsid w:val="009D5AD2"/>
    <w:rsid w:val="009D5B4F"/>
    <w:rsid w:val="009D5B73"/>
    <w:rsid w:val="009D5C7C"/>
    <w:rsid w:val="009D5C9A"/>
    <w:rsid w:val="009D5CA2"/>
    <w:rsid w:val="009D5CA4"/>
    <w:rsid w:val="009D5D04"/>
    <w:rsid w:val="009D5D1D"/>
    <w:rsid w:val="009D5DE2"/>
    <w:rsid w:val="009D5E4A"/>
    <w:rsid w:val="009D5EF6"/>
    <w:rsid w:val="009D5FC0"/>
    <w:rsid w:val="009D601C"/>
    <w:rsid w:val="009D612E"/>
    <w:rsid w:val="009D62E2"/>
    <w:rsid w:val="009D6395"/>
    <w:rsid w:val="009D641A"/>
    <w:rsid w:val="009D6510"/>
    <w:rsid w:val="009D6530"/>
    <w:rsid w:val="009D657B"/>
    <w:rsid w:val="009D6663"/>
    <w:rsid w:val="009D669A"/>
    <w:rsid w:val="009D66E8"/>
    <w:rsid w:val="009D6766"/>
    <w:rsid w:val="009D677B"/>
    <w:rsid w:val="009D683C"/>
    <w:rsid w:val="009D6849"/>
    <w:rsid w:val="009D693F"/>
    <w:rsid w:val="009D69D4"/>
    <w:rsid w:val="009D6A2D"/>
    <w:rsid w:val="009D6A30"/>
    <w:rsid w:val="009D6A7A"/>
    <w:rsid w:val="009D6C0D"/>
    <w:rsid w:val="009D6C1C"/>
    <w:rsid w:val="009D6DE3"/>
    <w:rsid w:val="009D6E54"/>
    <w:rsid w:val="009D6E68"/>
    <w:rsid w:val="009D6E8C"/>
    <w:rsid w:val="009D6EE8"/>
    <w:rsid w:val="009D6F07"/>
    <w:rsid w:val="009D7091"/>
    <w:rsid w:val="009D70A3"/>
    <w:rsid w:val="009D71B0"/>
    <w:rsid w:val="009D7298"/>
    <w:rsid w:val="009D7308"/>
    <w:rsid w:val="009D736D"/>
    <w:rsid w:val="009D7379"/>
    <w:rsid w:val="009D7523"/>
    <w:rsid w:val="009D7596"/>
    <w:rsid w:val="009D768E"/>
    <w:rsid w:val="009D76A0"/>
    <w:rsid w:val="009D76C6"/>
    <w:rsid w:val="009D76FF"/>
    <w:rsid w:val="009D7796"/>
    <w:rsid w:val="009D7813"/>
    <w:rsid w:val="009D78D5"/>
    <w:rsid w:val="009D7902"/>
    <w:rsid w:val="009D794A"/>
    <w:rsid w:val="009D7960"/>
    <w:rsid w:val="009D7AB2"/>
    <w:rsid w:val="009D7BA2"/>
    <w:rsid w:val="009D7BD2"/>
    <w:rsid w:val="009D7C29"/>
    <w:rsid w:val="009D7C7A"/>
    <w:rsid w:val="009D7CBA"/>
    <w:rsid w:val="009D7CEC"/>
    <w:rsid w:val="009D7DFE"/>
    <w:rsid w:val="009D7E1C"/>
    <w:rsid w:val="009D7E70"/>
    <w:rsid w:val="009D7E88"/>
    <w:rsid w:val="009D7FF9"/>
    <w:rsid w:val="009DA6DC"/>
    <w:rsid w:val="009E0042"/>
    <w:rsid w:val="009E00BA"/>
    <w:rsid w:val="009E011E"/>
    <w:rsid w:val="009E0149"/>
    <w:rsid w:val="009E01A5"/>
    <w:rsid w:val="009E01A8"/>
    <w:rsid w:val="009E0211"/>
    <w:rsid w:val="009E031B"/>
    <w:rsid w:val="009E044D"/>
    <w:rsid w:val="009E04A7"/>
    <w:rsid w:val="009E0517"/>
    <w:rsid w:val="009E05F2"/>
    <w:rsid w:val="009E0615"/>
    <w:rsid w:val="009E0731"/>
    <w:rsid w:val="009E0835"/>
    <w:rsid w:val="009E086A"/>
    <w:rsid w:val="009E08C9"/>
    <w:rsid w:val="009E09BA"/>
    <w:rsid w:val="009E0A1E"/>
    <w:rsid w:val="009E0AEC"/>
    <w:rsid w:val="009E0B43"/>
    <w:rsid w:val="009E0E1D"/>
    <w:rsid w:val="009E0E65"/>
    <w:rsid w:val="009E0FAA"/>
    <w:rsid w:val="009E0FD1"/>
    <w:rsid w:val="009E1033"/>
    <w:rsid w:val="009E111A"/>
    <w:rsid w:val="009E11A4"/>
    <w:rsid w:val="009E11EE"/>
    <w:rsid w:val="009E12A3"/>
    <w:rsid w:val="009E131F"/>
    <w:rsid w:val="009E1332"/>
    <w:rsid w:val="009E1421"/>
    <w:rsid w:val="009E1469"/>
    <w:rsid w:val="009E15E2"/>
    <w:rsid w:val="009E1749"/>
    <w:rsid w:val="009E176F"/>
    <w:rsid w:val="009E1799"/>
    <w:rsid w:val="009E1818"/>
    <w:rsid w:val="009E1891"/>
    <w:rsid w:val="009E18DB"/>
    <w:rsid w:val="009E19BE"/>
    <w:rsid w:val="009E19DE"/>
    <w:rsid w:val="009E1A37"/>
    <w:rsid w:val="009E1CCF"/>
    <w:rsid w:val="009E1D91"/>
    <w:rsid w:val="009E1E78"/>
    <w:rsid w:val="009E1FC8"/>
    <w:rsid w:val="009E2015"/>
    <w:rsid w:val="009E2094"/>
    <w:rsid w:val="009E2127"/>
    <w:rsid w:val="009E21EE"/>
    <w:rsid w:val="009E2216"/>
    <w:rsid w:val="009E229F"/>
    <w:rsid w:val="009E22AA"/>
    <w:rsid w:val="009E22DC"/>
    <w:rsid w:val="009E2342"/>
    <w:rsid w:val="009E238E"/>
    <w:rsid w:val="009E23A5"/>
    <w:rsid w:val="009E25BF"/>
    <w:rsid w:val="009E265A"/>
    <w:rsid w:val="009E279C"/>
    <w:rsid w:val="009E27AA"/>
    <w:rsid w:val="009E27E1"/>
    <w:rsid w:val="009E2811"/>
    <w:rsid w:val="009E2847"/>
    <w:rsid w:val="009E28F7"/>
    <w:rsid w:val="009E2903"/>
    <w:rsid w:val="009E2964"/>
    <w:rsid w:val="009E2ADD"/>
    <w:rsid w:val="009E2AF3"/>
    <w:rsid w:val="009E2B88"/>
    <w:rsid w:val="009E2BE6"/>
    <w:rsid w:val="009E2C2F"/>
    <w:rsid w:val="009E2DBB"/>
    <w:rsid w:val="009E2E3C"/>
    <w:rsid w:val="009E2E42"/>
    <w:rsid w:val="009E2E83"/>
    <w:rsid w:val="009E2F47"/>
    <w:rsid w:val="009E2F62"/>
    <w:rsid w:val="009E2FC3"/>
    <w:rsid w:val="009E2FE1"/>
    <w:rsid w:val="009E3015"/>
    <w:rsid w:val="009E3017"/>
    <w:rsid w:val="009E30C4"/>
    <w:rsid w:val="009E30D1"/>
    <w:rsid w:val="009E30DA"/>
    <w:rsid w:val="009E333F"/>
    <w:rsid w:val="009E3363"/>
    <w:rsid w:val="009E3429"/>
    <w:rsid w:val="009E34C5"/>
    <w:rsid w:val="009E34D2"/>
    <w:rsid w:val="009E34D4"/>
    <w:rsid w:val="009E35CC"/>
    <w:rsid w:val="009E38E3"/>
    <w:rsid w:val="009E393F"/>
    <w:rsid w:val="009E395C"/>
    <w:rsid w:val="009E39C3"/>
    <w:rsid w:val="009E3A3E"/>
    <w:rsid w:val="009E3B8F"/>
    <w:rsid w:val="009E3C06"/>
    <w:rsid w:val="009E3CA1"/>
    <w:rsid w:val="009E3CC7"/>
    <w:rsid w:val="009E3DA8"/>
    <w:rsid w:val="009E3E27"/>
    <w:rsid w:val="009E3EAC"/>
    <w:rsid w:val="009E3EBD"/>
    <w:rsid w:val="009E4010"/>
    <w:rsid w:val="009E40A3"/>
    <w:rsid w:val="009E413A"/>
    <w:rsid w:val="009E41B8"/>
    <w:rsid w:val="009E41BF"/>
    <w:rsid w:val="009E4284"/>
    <w:rsid w:val="009E42FC"/>
    <w:rsid w:val="009E442A"/>
    <w:rsid w:val="009E4451"/>
    <w:rsid w:val="009E44F6"/>
    <w:rsid w:val="009E4506"/>
    <w:rsid w:val="009E45D8"/>
    <w:rsid w:val="009E471E"/>
    <w:rsid w:val="009E4757"/>
    <w:rsid w:val="009E4807"/>
    <w:rsid w:val="009E4815"/>
    <w:rsid w:val="009E48EE"/>
    <w:rsid w:val="009E492C"/>
    <w:rsid w:val="009E493D"/>
    <w:rsid w:val="009E49F1"/>
    <w:rsid w:val="009E4A24"/>
    <w:rsid w:val="009E4BDC"/>
    <w:rsid w:val="009E4CA8"/>
    <w:rsid w:val="009E4D67"/>
    <w:rsid w:val="009E4DBB"/>
    <w:rsid w:val="009E4DDD"/>
    <w:rsid w:val="009E4DDE"/>
    <w:rsid w:val="009E4E57"/>
    <w:rsid w:val="009E5025"/>
    <w:rsid w:val="009E50DE"/>
    <w:rsid w:val="009E50F8"/>
    <w:rsid w:val="009E5120"/>
    <w:rsid w:val="009E5133"/>
    <w:rsid w:val="009E5159"/>
    <w:rsid w:val="009E51F0"/>
    <w:rsid w:val="009E5279"/>
    <w:rsid w:val="009E52EE"/>
    <w:rsid w:val="009E53A3"/>
    <w:rsid w:val="009E5408"/>
    <w:rsid w:val="009E541D"/>
    <w:rsid w:val="009E5460"/>
    <w:rsid w:val="009E54C0"/>
    <w:rsid w:val="009E54ED"/>
    <w:rsid w:val="009E554F"/>
    <w:rsid w:val="009E5709"/>
    <w:rsid w:val="009E5713"/>
    <w:rsid w:val="009E573A"/>
    <w:rsid w:val="009E583D"/>
    <w:rsid w:val="009E585C"/>
    <w:rsid w:val="009E58B0"/>
    <w:rsid w:val="009E591D"/>
    <w:rsid w:val="009E59C0"/>
    <w:rsid w:val="009E5A16"/>
    <w:rsid w:val="009E5A2B"/>
    <w:rsid w:val="009E5A77"/>
    <w:rsid w:val="009E5BDE"/>
    <w:rsid w:val="009E5BEC"/>
    <w:rsid w:val="009E5D3B"/>
    <w:rsid w:val="009E5D46"/>
    <w:rsid w:val="009E5DCA"/>
    <w:rsid w:val="009E5E54"/>
    <w:rsid w:val="009E5EB3"/>
    <w:rsid w:val="009E5F74"/>
    <w:rsid w:val="009E6075"/>
    <w:rsid w:val="009E608C"/>
    <w:rsid w:val="009E60A9"/>
    <w:rsid w:val="009E6133"/>
    <w:rsid w:val="009E617E"/>
    <w:rsid w:val="009E62D7"/>
    <w:rsid w:val="009E6339"/>
    <w:rsid w:val="009E63F3"/>
    <w:rsid w:val="009E6490"/>
    <w:rsid w:val="009E658B"/>
    <w:rsid w:val="009E65F5"/>
    <w:rsid w:val="009E66FE"/>
    <w:rsid w:val="009E679F"/>
    <w:rsid w:val="009E683D"/>
    <w:rsid w:val="009E6852"/>
    <w:rsid w:val="009E687D"/>
    <w:rsid w:val="009E68F1"/>
    <w:rsid w:val="009E6A55"/>
    <w:rsid w:val="009E6AB4"/>
    <w:rsid w:val="009E6B3B"/>
    <w:rsid w:val="009E6B68"/>
    <w:rsid w:val="009E6CAD"/>
    <w:rsid w:val="009E6CC7"/>
    <w:rsid w:val="009E6CE5"/>
    <w:rsid w:val="009E6CE9"/>
    <w:rsid w:val="009E6CF7"/>
    <w:rsid w:val="009E6CFB"/>
    <w:rsid w:val="009E6D78"/>
    <w:rsid w:val="009E6E3F"/>
    <w:rsid w:val="009E6E47"/>
    <w:rsid w:val="009E6EA1"/>
    <w:rsid w:val="009E6ED3"/>
    <w:rsid w:val="009E6F3F"/>
    <w:rsid w:val="009E6F42"/>
    <w:rsid w:val="009E6F57"/>
    <w:rsid w:val="009E7085"/>
    <w:rsid w:val="009E70B0"/>
    <w:rsid w:val="009E7121"/>
    <w:rsid w:val="009E71F2"/>
    <w:rsid w:val="009E7272"/>
    <w:rsid w:val="009E733D"/>
    <w:rsid w:val="009E73C6"/>
    <w:rsid w:val="009E747B"/>
    <w:rsid w:val="009E7530"/>
    <w:rsid w:val="009E7556"/>
    <w:rsid w:val="009E7562"/>
    <w:rsid w:val="009E76B1"/>
    <w:rsid w:val="009E76B5"/>
    <w:rsid w:val="009E76DF"/>
    <w:rsid w:val="009E774A"/>
    <w:rsid w:val="009E77A7"/>
    <w:rsid w:val="009E780B"/>
    <w:rsid w:val="009E7881"/>
    <w:rsid w:val="009E7959"/>
    <w:rsid w:val="009E79D2"/>
    <w:rsid w:val="009E7A54"/>
    <w:rsid w:val="009E7A6B"/>
    <w:rsid w:val="009E7AA9"/>
    <w:rsid w:val="009E7AD6"/>
    <w:rsid w:val="009E7B1E"/>
    <w:rsid w:val="009E7B22"/>
    <w:rsid w:val="009E7C3A"/>
    <w:rsid w:val="009E7C71"/>
    <w:rsid w:val="009E7CF6"/>
    <w:rsid w:val="009E7DFE"/>
    <w:rsid w:val="009F0058"/>
    <w:rsid w:val="009F012C"/>
    <w:rsid w:val="009F0155"/>
    <w:rsid w:val="009F01D2"/>
    <w:rsid w:val="009F022D"/>
    <w:rsid w:val="009F025E"/>
    <w:rsid w:val="009F02A6"/>
    <w:rsid w:val="009F02E4"/>
    <w:rsid w:val="009F04D8"/>
    <w:rsid w:val="009F05A4"/>
    <w:rsid w:val="009F05B0"/>
    <w:rsid w:val="009F0602"/>
    <w:rsid w:val="009F0632"/>
    <w:rsid w:val="009F066D"/>
    <w:rsid w:val="009F0699"/>
    <w:rsid w:val="009F06C4"/>
    <w:rsid w:val="009F0745"/>
    <w:rsid w:val="009F0774"/>
    <w:rsid w:val="009F07A6"/>
    <w:rsid w:val="009F0835"/>
    <w:rsid w:val="009F0847"/>
    <w:rsid w:val="009F0893"/>
    <w:rsid w:val="009F08CF"/>
    <w:rsid w:val="009F0972"/>
    <w:rsid w:val="009F09A6"/>
    <w:rsid w:val="009F09A9"/>
    <w:rsid w:val="009F0A96"/>
    <w:rsid w:val="009F0AB9"/>
    <w:rsid w:val="009F0B96"/>
    <w:rsid w:val="009F0B98"/>
    <w:rsid w:val="009F0BD7"/>
    <w:rsid w:val="009F0C29"/>
    <w:rsid w:val="009F0C74"/>
    <w:rsid w:val="009F0CC9"/>
    <w:rsid w:val="009F0D73"/>
    <w:rsid w:val="009F0E05"/>
    <w:rsid w:val="009F0E32"/>
    <w:rsid w:val="009F0F6C"/>
    <w:rsid w:val="009F0F93"/>
    <w:rsid w:val="009F0FA3"/>
    <w:rsid w:val="009F101D"/>
    <w:rsid w:val="009F1034"/>
    <w:rsid w:val="009F1049"/>
    <w:rsid w:val="009F10EF"/>
    <w:rsid w:val="009F12EA"/>
    <w:rsid w:val="009F12EF"/>
    <w:rsid w:val="009F1362"/>
    <w:rsid w:val="009F146E"/>
    <w:rsid w:val="009F148D"/>
    <w:rsid w:val="009F153C"/>
    <w:rsid w:val="009F16BA"/>
    <w:rsid w:val="009F1743"/>
    <w:rsid w:val="009F193C"/>
    <w:rsid w:val="009F193D"/>
    <w:rsid w:val="009F1A91"/>
    <w:rsid w:val="009F1AB8"/>
    <w:rsid w:val="009F1AD4"/>
    <w:rsid w:val="009F1B0D"/>
    <w:rsid w:val="009F1BC3"/>
    <w:rsid w:val="009F1C3F"/>
    <w:rsid w:val="009F1D6B"/>
    <w:rsid w:val="009F1E38"/>
    <w:rsid w:val="009F1EC5"/>
    <w:rsid w:val="009F1ECF"/>
    <w:rsid w:val="009F1F7D"/>
    <w:rsid w:val="009F210A"/>
    <w:rsid w:val="009F2145"/>
    <w:rsid w:val="009F218D"/>
    <w:rsid w:val="009F21C0"/>
    <w:rsid w:val="009F21D0"/>
    <w:rsid w:val="009F22EC"/>
    <w:rsid w:val="009F2303"/>
    <w:rsid w:val="009F248B"/>
    <w:rsid w:val="009F2576"/>
    <w:rsid w:val="009F259D"/>
    <w:rsid w:val="009F25FB"/>
    <w:rsid w:val="009F2791"/>
    <w:rsid w:val="009F285F"/>
    <w:rsid w:val="009F289C"/>
    <w:rsid w:val="009F298B"/>
    <w:rsid w:val="009F2A09"/>
    <w:rsid w:val="009F2AA1"/>
    <w:rsid w:val="009F2AB9"/>
    <w:rsid w:val="009F2B80"/>
    <w:rsid w:val="009F2BEA"/>
    <w:rsid w:val="009F2BFF"/>
    <w:rsid w:val="009F2C7C"/>
    <w:rsid w:val="009F2D27"/>
    <w:rsid w:val="009F2D36"/>
    <w:rsid w:val="009F2D72"/>
    <w:rsid w:val="009F2D9A"/>
    <w:rsid w:val="009F2E2D"/>
    <w:rsid w:val="009F2E7B"/>
    <w:rsid w:val="009F2FA6"/>
    <w:rsid w:val="009F2FAB"/>
    <w:rsid w:val="009F2FB2"/>
    <w:rsid w:val="009F2FDB"/>
    <w:rsid w:val="009F3003"/>
    <w:rsid w:val="009F31D7"/>
    <w:rsid w:val="009F31EA"/>
    <w:rsid w:val="009F324F"/>
    <w:rsid w:val="009F3283"/>
    <w:rsid w:val="009F329D"/>
    <w:rsid w:val="009F32A5"/>
    <w:rsid w:val="009F32EF"/>
    <w:rsid w:val="009F3353"/>
    <w:rsid w:val="009F338E"/>
    <w:rsid w:val="009F339D"/>
    <w:rsid w:val="009F3456"/>
    <w:rsid w:val="009F34F2"/>
    <w:rsid w:val="009F35D4"/>
    <w:rsid w:val="009F3655"/>
    <w:rsid w:val="009F3764"/>
    <w:rsid w:val="009F37FF"/>
    <w:rsid w:val="009F38AE"/>
    <w:rsid w:val="009F38FE"/>
    <w:rsid w:val="009F3955"/>
    <w:rsid w:val="009F395E"/>
    <w:rsid w:val="009F39BE"/>
    <w:rsid w:val="009F3AF0"/>
    <w:rsid w:val="009F3AF5"/>
    <w:rsid w:val="009F3B3E"/>
    <w:rsid w:val="009F3B59"/>
    <w:rsid w:val="009F3C13"/>
    <w:rsid w:val="009F3CF5"/>
    <w:rsid w:val="009F3D0F"/>
    <w:rsid w:val="009F3EFC"/>
    <w:rsid w:val="009F3F25"/>
    <w:rsid w:val="009F3FA8"/>
    <w:rsid w:val="009F3FE6"/>
    <w:rsid w:val="009F405C"/>
    <w:rsid w:val="009F4073"/>
    <w:rsid w:val="009F41F5"/>
    <w:rsid w:val="009F42A6"/>
    <w:rsid w:val="009F4360"/>
    <w:rsid w:val="009F43C6"/>
    <w:rsid w:val="009F43F2"/>
    <w:rsid w:val="009F4423"/>
    <w:rsid w:val="009F44D0"/>
    <w:rsid w:val="009F4592"/>
    <w:rsid w:val="009F45B2"/>
    <w:rsid w:val="009F46F2"/>
    <w:rsid w:val="009F4703"/>
    <w:rsid w:val="009F4739"/>
    <w:rsid w:val="009F4782"/>
    <w:rsid w:val="009F4882"/>
    <w:rsid w:val="009F48AE"/>
    <w:rsid w:val="009F4A23"/>
    <w:rsid w:val="009F4AA9"/>
    <w:rsid w:val="009F4BB9"/>
    <w:rsid w:val="009F4BCA"/>
    <w:rsid w:val="009F4C10"/>
    <w:rsid w:val="009F4C47"/>
    <w:rsid w:val="009F4C77"/>
    <w:rsid w:val="009F4CCC"/>
    <w:rsid w:val="009F4CF5"/>
    <w:rsid w:val="009F4D00"/>
    <w:rsid w:val="009F4D09"/>
    <w:rsid w:val="009F4DF8"/>
    <w:rsid w:val="009F4E09"/>
    <w:rsid w:val="009F4EEB"/>
    <w:rsid w:val="009F4EF9"/>
    <w:rsid w:val="009F4F20"/>
    <w:rsid w:val="009F4FC9"/>
    <w:rsid w:val="009F5078"/>
    <w:rsid w:val="009F50BC"/>
    <w:rsid w:val="009F50C2"/>
    <w:rsid w:val="009F50F0"/>
    <w:rsid w:val="009F510F"/>
    <w:rsid w:val="009F5168"/>
    <w:rsid w:val="009F52E6"/>
    <w:rsid w:val="009F5366"/>
    <w:rsid w:val="009F5400"/>
    <w:rsid w:val="009F5452"/>
    <w:rsid w:val="009F54A0"/>
    <w:rsid w:val="009F54DA"/>
    <w:rsid w:val="009F5646"/>
    <w:rsid w:val="009F56D8"/>
    <w:rsid w:val="009F58B0"/>
    <w:rsid w:val="009F59F5"/>
    <w:rsid w:val="009F5ABD"/>
    <w:rsid w:val="009F5B4B"/>
    <w:rsid w:val="009F5B4E"/>
    <w:rsid w:val="009F5B90"/>
    <w:rsid w:val="009F5C37"/>
    <w:rsid w:val="009F5D43"/>
    <w:rsid w:val="009F5DE0"/>
    <w:rsid w:val="009F5E13"/>
    <w:rsid w:val="009F5FA6"/>
    <w:rsid w:val="009F6030"/>
    <w:rsid w:val="009F60AA"/>
    <w:rsid w:val="009F60FF"/>
    <w:rsid w:val="009F611D"/>
    <w:rsid w:val="009F6146"/>
    <w:rsid w:val="009F616F"/>
    <w:rsid w:val="009F62EE"/>
    <w:rsid w:val="009F639B"/>
    <w:rsid w:val="009F63EB"/>
    <w:rsid w:val="009F64B2"/>
    <w:rsid w:val="009F64F2"/>
    <w:rsid w:val="009F650D"/>
    <w:rsid w:val="009F6542"/>
    <w:rsid w:val="009F664C"/>
    <w:rsid w:val="009F6765"/>
    <w:rsid w:val="009F686B"/>
    <w:rsid w:val="009F68CA"/>
    <w:rsid w:val="009F68E3"/>
    <w:rsid w:val="009F68FC"/>
    <w:rsid w:val="009F68FE"/>
    <w:rsid w:val="009F6986"/>
    <w:rsid w:val="009F6A0B"/>
    <w:rsid w:val="009F6CDA"/>
    <w:rsid w:val="009F6D09"/>
    <w:rsid w:val="009F6D2E"/>
    <w:rsid w:val="009F6DFD"/>
    <w:rsid w:val="009F6F8B"/>
    <w:rsid w:val="009F7155"/>
    <w:rsid w:val="009F718D"/>
    <w:rsid w:val="009F71F9"/>
    <w:rsid w:val="009F721C"/>
    <w:rsid w:val="009F732B"/>
    <w:rsid w:val="009F7362"/>
    <w:rsid w:val="009F73EE"/>
    <w:rsid w:val="009F743A"/>
    <w:rsid w:val="009F755E"/>
    <w:rsid w:val="009F761F"/>
    <w:rsid w:val="009F7645"/>
    <w:rsid w:val="009F7674"/>
    <w:rsid w:val="009F7700"/>
    <w:rsid w:val="009F772E"/>
    <w:rsid w:val="009F7860"/>
    <w:rsid w:val="009F7872"/>
    <w:rsid w:val="009F7962"/>
    <w:rsid w:val="009F79EA"/>
    <w:rsid w:val="009F79F0"/>
    <w:rsid w:val="009F7A3E"/>
    <w:rsid w:val="009F7A40"/>
    <w:rsid w:val="009F7ACC"/>
    <w:rsid w:val="009F7B13"/>
    <w:rsid w:val="009F7B9F"/>
    <w:rsid w:val="009F7D1E"/>
    <w:rsid w:val="009F7DE9"/>
    <w:rsid w:val="009F7DF9"/>
    <w:rsid w:val="009F7E73"/>
    <w:rsid w:val="009F7E84"/>
    <w:rsid w:val="009F7EBF"/>
    <w:rsid w:val="009F7F34"/>
    <w:rsid w:val="009F7F54"/>
    <w:rsid w:val="009F7FB1"/>
    <w:rsid w:val="009F7FD5"/>
    <w:rsid w:val="00A00036"/>
    <w:rsid w:val="00A000A1"/>
    <w:rsid w:val="00A000C5"/>
    <w:rsid w:val="00A000FC"/>
    <w:rsid w:val="00A001C6"/>
    <w:rsid w:val="00A0029A"/>
    <w:rsid w:val="00A002A3"/>
    <w:rsid w:val="00A00396"/>
    <w:rsid w:val="00A00398"/>
    <w:rsid w:val="00A003D3"/>
    <w:rsid w:val="00A00510"/>
    <w:rsid w:val="00A0054A"/>
    <w:rsid w:val="00A00590"/>
    <w:rsid w:val="00A00608"/>
    <w:rsid w:val="00A00666"/>
    <w:rsid w:val="00A007E7"/>
    <w:rsid w:val="00A008A7"/>
    <w:rsid w:val="00A008AE"/>
    <w:rsid w:val="00A0092E"/>
    <w:rsid w:val="00A00B5A"/>
    <w:rsid w:val="00A00B6C"/>
    <w:rsid w:val="00A00BE2"/>
    <w:rsid w:val="00A00BEA"/>
    <w:rsid w:val="00A00BF6"/>
    <w:rsid w:val="00A00C5D"/>
    <w:rsid w:val="00A00C6E"/>
    <w:rsid w:val="00A00C92"/>
    <w:rsid w:val="00A00CA2"/>
    <w:rsid w:val="00A00D75"/>
    <w:rsid w:val="00A00DBC"/>
    <w:rsid w:val="00A00E5B"/>
    <w:rsid w:val="00A00F88"/>
    <w:rsid w:val="00A00FDC"/>
    <w:rsid w:val="00A0101E"/>
    <w:rsid w:val="00A01124"/>
    <w:rsid w:val="00A01181"/>
    <w:rsid w:val="00A01217"/>
    <w:rsid w:val="00A01321"/>
    <w:rsid w:val="00A01422"/>
    <w:rsid w:val="00A0149B"/>
    <w:rsid w:val="00A0149D"/>
    <w:rsid w:val="00A01509"/>
    <w:rsid w:val="00A01520"/>
    <w:rsid w:val="00A01570"/>
    <w:rsid w:val="00A01652"/>
    <w:rsid w:val="00A017A4"/>
    <w:rsid w:val="00A017DC"/>
    <w:rsid w:val="00A01815"/>
    <w:rsid w:val="00A01832"/>
    <w:rsid w:val="00A0188B"/>
    <w:rsid w:val="00A018E0"/>
    <w:rsid w:val="00A01900"/>
    <w:rsid w:val="00A0193D"/>
    <w:rsid w:val="00A01975"/>
    <w:rsid w:val="00A01B97"/>
    <w:rsid w:val="00A01BA5"/>
    <w:rsid w:val="00A01C86"/>
    <w:rsid w:val="00A01D4F"/>
    <w:rsid w:val="00A01D62"/>
    <w:rsid w:val="00A01DA2"/>
    <w:rsid w:val="00A01DDC"/>
    <w:rsid w:val="00A01DEF"/>
    <w:rsid w:val="00A01E6C"/>
    <w:rsid w:val="00A01EC4"/>
    <w:rsid w:val="00A01FA2"/>
    <w:rsid w:val="00A01FC9"/>
    <w:rsid w:val="00A01FFB"/>
    <w:rsid w:val="00A0203F"/>
    <w:rsid w:val="00A02065"/>
    <w:rsid w:val="00A021AB"/>
    <w:rsid w:val="00A021FE"/>
    <w:rsid w:val="00A0234D"/>
    <w:rsid w:val="00A024D2"/>
    <w:rsid w:val="00A02505"/>
    <w:rsid w:val="00A02523"/>
    <w:rsid w:val="00A026FF"/>
    <w:rsid w:val="00A02790"/>
    <w:rsid w:val="00A027F2"/>
    <w:rsid w:val="00A02810"/>
    <w:rsid w:val="00A0285E"/>
    <w:rsid w:val="00A02875"/>
    <w:rsid w:val="00A0287A"/>
    <w:rsid w:val="00A028D5"/>
    <w:rsid w:val="00A0292D"/>
    <w:rsid w:val="00A029C4"/>
    <w:rsid w:val="00A02A7F"/>
    <w:rsid w:val="00A02A89"/>
    <w:rsid w:val="00A02AEE"/>
    <w:rsid w:val="00A02B02"/>
    <w:rsid w:val="00A02B0E"/>
    <w:rsid w:val="00A02B62"/>
    <w:rsid w:val="00A02BDB"/>
    <w:rsid w:val="00A02C97"/>
    <w:rsid w:val="00A02CED"/>
    <w:rsid w:val="00A02CEF"/>
    <w:rsid w:val="00A02CF6"/>
    <w:rsid w:val="00A02D92"/>
    <w:rsid w:val="00A02E4C"/>
    <w:rsid w:val="00A02FA6"/>
    <w:rsid w:val="00A03078"/>
    <w:rsid w:val="00A030CD"/>
    <w:rsid w:val="00A03180"/>
    <w:rsid w:val="00A03260"/>
    <w:rsid w:val="00A032E5"/>
    <w:rsid w:val="00A032F3"/>
    <w:rsid w:val="00A03378"/>
    <w:rsid w:val="00A033B3"/>
    <w:rsid w:val="00A033E2"/>
    <w:rsid w:val="00A03422"/>
    <w:rsid w:val="00A03427"/>
    <w:rsid w:val="00A034B2"/>
    <w:rsid w:val="00A0351B"/>
    <w:rsid w:val="00A035B2"/>
    <w:rsid w:val="00A0362F"/>
    <w:rsid w:val="00A03697"/>
    <w:rsid w:val="00A036AB"/>
    <w:rsid w:val="00A03784"/>
    <w:rsid w:val="00A03821"/>
    <w:rsid w:val="00A03895"/>
    <w:rsid w:val="00A03920"/>
    <w:rsid w:val="00A0394B"/>
    <w:rsid w:val="00A03A2B"/>
    <w:rsid w:val="00A03A44"/>
    <w:rsid w:val="00A03A6B"/>
    <w:rsid w:val="00A03BA0"/>
    <w:rsid w:val="00A03BFB"/>
    <w:rsid w:val="00A03C1C"/>
    <w:rsid w:val="00A03E34"/>
    <w:rsid w:val="00A03E8D"/>
    <w:rsid w:val="00A03EC5"/>
    <w:rsid w:val="00A03EDE"/>
    <w:rsid w:val="00A04055"/>
    <w:rsid w:val="00A04077"/>
    <w:rsid w:val="00A0419D"/>
    <w:rsid w:val="00A041F2"/>
    <w:rsid w:val="00A0437F"/>
    <w:rsid w:val="00A04509"/>
    <w:rsid w:val="00A045B7"/>
    <w:rsid w:val="00A046DE"/>
    <w:rsid w:val="00A0472E"/>
    <w:rsid w:val="00A04749"/>
    <w:rsid w:val="00A047C7"/>
    <w:rsid w:val="00A0483B"/>
    <w:rsid w:val="00A0483C"/>
    <w:rsid w:val="00A04842"/>
    <w:rsid w:val="00A04869"/>
    <w:rsid w:val="00A048A3"/>
    <w:rsid w:val="00A048B9"/>
    <w:rsid w:val="00A04937"/>
    <w:rsid w:val="00A0499E"/>
    <w:rsid w:val="00A049D7"/>
    <w:rsid w:val="00A04C3D"/>
    <w:rsid w:val="00A04C61"/>
    <w:rsid w:val="00A04E9A"/>
    <w:rsid w:val="00A04F19"/>
    <w:rsid w:val="00A05333"/>
    <w:rsid w:val="00A05348"/>
    <w:rsid w:val="00A05362"/>
    <w:rsid w:val="00A053B4"/>
    <w:rsid w:val="00A053DC"/>
    <w:rsid w:val="00A0543B"/>
    <w:rsid w:val="00A054B3"/>
    <w:rsid w:val="00A054B9"/>
    <w:rsid w:val="00A05611"/>
    <w:rsid w:val="00A05796"/>
    <w:rsid w:val="00A057CC"/>
    <w:rsid w:val="00A057F4"/>
    <w:rsid w:val="00A0581C"/>
    <w:rsid w:val="00A05830"/>
    <w:rsid w:val="00A058A1"/>
    <w:rsid w:val="00A058CD"/>
    <w:rsid w:val="00A0597A"/>
    <w:rsid w:val="00A059C7"/>
    <w:rsid w:val="00A059CF"/>
    <w:rsid w:val="00A059F7"/>
    <w:rsid w:val="00A05A5C"/>
    <w:rsid w:val="00A05AC8"/>
    <w:rsid w:val="00A05BAC"/>
    <w:rsid w:val="00A05BC0"/>
    <w:rsid w:val="00A05D95"/>
    <w:rsid w:val="00A05E21"/>
    <w:rsid w:val="00A05EAA"/>
    <w:rsid w:val="00A05ECD"/>
    <w:rsid w:val="00A05F4F"/>
    <w:rsid w:val="00A05F5D"/>
    <w:rsid w:val="00A05F76"/>
    <w:rsid w:val="00A06010"/>
    <w:rsid w:val="00A06099"/>
    <w:rsid w:val="00A0629F"/>
    <w:rsid w:val="00A062A2"/>
    <w:rsid w:val="00A06336"/>
    <w:rsid w:val="00A06390"/>
    <w:rsid w:val="00A063CD"/>
    <w:rsid w:val="00A064B5"/>
    <w:rsid w:val="00A06528"/>
    <w:rsid w:val="00A0657B"/>
    <w:rsid w:val="00A0677F"/>
    <w:rsid w:val="00A067FD"/>
    <w:rsid w:val="00A0689C"/>
    <w:rsid w:val="00A0693E"/>
    <w:rsid w:val="00A0696A"/>
    <w:rsid w:val="00A06A95"/>
    <w:rsid w:val="00A06AFD"/>
    <w:rsid w:val="00A06C34"/>
    <w:rsid w:val="00A06C63"/>
    <w:rsid w:val="00A06C6E"/>
    <w:rsid w:val="00A06C99"/>
    <w:rsid w:val="00A06D20"/>
    <w:rsid w:val="00A06D49"/>
    <w:rsid w:val="00A06D5C"/>
    <w:rsid w:val="00A06D80"/>
    <w:rsid w:val="00A06D82"/>
    <w:rsid w:val="00A06E59"/>
    <w:rsid w:val="00A06F74"/>
    <w:rsid w:val="00A06F9C"/>
    <w:rsid w:val="00A06FF0"/>
    <w:rsid w:val="00A0705C"/>
    <w:rsid w:val="00A0708B"/>
    <w:rsid w:val="00A070F3"/>
    <w:rsid w:val="00A07182"/>
    <w:rsid w:val="00A071AF"/>
    <w:rsid w:val="00A07256"/>
    <w:rsid w:val="00A072FB"/>
    <w:rsid w:val="00A07309"/>
    <w:rsid w:val="00A0732B"/>
    <w:rsid w:val="00A0738D"/>
    <w:rsid w:val="00A0739E"/>
    <w:rsid w:val="00A073A2"/>
    <w:rsid w:val="00A074E0"/>
    <w:rsid w:val="00A07595"/>
    <w:rsid w:val="00A075B6"/>
    <w:rsid w:val="00A07653"/>
    <w:rsid w:val="00A076C7"/>
    <w:rsid w:val="00A077AD"/>
    <w:rsid w:val="00A077B2"/>
    <w:rsid w:val="00A07949"/>
    <w:rsid w:val="00A0797D"/>
    <w:rsid w:val="00A079F0"/>
    <w:rsid w:val="00A07A86"/>
    <w:rsid w:val="00A07B25"/>
    <w:rsid w:val="00A07CC4"/>
    <w:rsid w:val="00A07FA2"/>
    <w:rsid w:val="00A07FE1"/>
    <w:rsid w:val="00A10013"/>
    <w:rsid w:val="00A1004E"/>
    <w:rsid w:val="00A10078"/>
    <w:rsid w:val="00A1010F"/>
    <w:rsid w:val="00A10207"/>
    <w:rsid w:val="00A10221"/>
    <w:rsid w:val="00A103BB"/>
    <w:rsid w:val="00A103DD"/>
    <w:rsid w:val="00A103E2"/>
    <w:rsid w:val="00A104C2"/>
    <w:rsid w:val="00A104DF"/>
    <w:rsid w:val="00A1060E"/>
    <w:rsid w:val="00A10731"/>
    <w:rsid w:val="00A1079B"/>
    <w:rsid w:val="00A107AD"/>
    <w:rsid w:val="00A107B7"/>
    <w:rsid w:val="00A108F6"/>
    <w:rsid w:val="00A1090F"/>
    <w:rsid w:val="00A10929"/>
    <w:rsid w:val="00A1092C"/>
    <w:rsid w:val="00A109A7"/>
    <w:rsid w:val="00A10A87"/>
    <w:rsid w:val="00A10AEE"/>
    <w:rsid w:val="00A10B0E"/>
    <w:rsid w:val="00A10B85"/>
    <w:rsid w:val="00A10C64"/>
    <w:rsid w:val="00A10C88"/>
    <w:rsid w:val="00A10C92"/>
    <w:rsid w:val="00A10D8C"/>
    <w:rsid w:val="00A10D90"/>
    <w:rsid w:val="00A10DE8"/>
    <w:rsid w:val="00A10F9F"/>
    <w:rsid w:val="00A10FE0"/>
    <w:rsid w:val="00A11039"/>
    <w:rsid w:val="00A11116"/>
    <w:rsid w:val="00A11163"/>
    <w:rsid w:val="00A111A7"/>
    <w:rsid w:val="00A1121E"/>
    <w:rsid w:val="00A1127E"/>
    <w:rsid w:val="00A112FD"/>
    <w:rsid w:val="00A114C3"/>
    <w:rsid w:val="00A11562"/>
    <w:rsid w:val="00A11565"/>
    <w:rsid w:val="00A115CF"/>
    <w:rsid w:val="00A1173D"/>
    <w:rsid w:val="00A11836"/>
    <w:rsid w:val="00A1197A"/>
    <w:rsid w:val="00A11989"/>
    <w:rsid w:val="00A11994"/>
    <w:rsid w:val="00A11A63"/>
    <w:rsid w:val="00A11CE8"/>
    <w:rsid w:val="00A11E51"/>
    <w:rsid w:val="00A11F02"/>
    <w:rsid w:val="00A11F96"/>
    <w:rsid w:val="00A1200F"/>
    <w:rsid w:val="00A12028"/>
    <w:rsid w:val="00A120D2"/>
    <w:rsid w:val="00A12245"/>
    <w:rsid w:val="00A122FD"/>
    <w:rsid w:val="00A12332"/>
    <w:rsid w:val="00A12340"/>
    <w:rsid w:val="00A1234D"/>
    <w:rsid w:val="00A124F7"/>
    <w:rsid w:val="00A12509"/>
    <w:rsid w:val="00A12520"/>
    <w:rsid w:val="00A12530"/>
    <w:rsid w:val="00A12661"/>
    <w:rsid w:val="00A126E6"/>
    <w:rsid w:val="00A12725"/>
    <w:rsid w:val="00A1279C"/>
    <w:rsid w:val="00A1284C"/>
    <w:rsid w:val="00A12961"/>
    <w:rsid w:val="00A12982"/>
    <w:rsid w:val="00A12999"/>
    <w:rsid w:val="00A12C55"/>
    <w:rsid w:val="00A12CB5"/>
    <w:rsid w:val="00A12D43"/>
    <w:rsid w:val="00A12F42"/>
    <w:rsid w:val="00A12FC8"/>
    <w:rsid w:val="00A12FD7"/>
    <w:rsid w:val="00A13026"/>
    <w:rsid w:val="00A130C0"/>
    <w:rsid w:val="00A130E1"/>
    <w:rsid w:val="00A131A8"/>
    <w:rsid w:val="00A131D4"/>
    <w:rsid w:val="00A1329C"/>
    <w:rsid w:val="00A13327"/>
    <w:rsid w:val="00A1349E"/>
    <w:rsid w:val="00A134E1"/>
    <w:rsid w:val="00A1356C"/>
    <w:rsid w:val="00A135D2"/>
    <w:rsid w:val="00A135E0"/>
    <w:rsid w:val="00A13630"/>
    <w:rsid w:val="00A1369A"/>
    <w:rsid w:val="00A136CD"/>
    <w:rsid w:val="00A136D9"/>
    <w:rsid w:val="00A1371A"/>
    <w:rsid w:val="00A13799"/>
    <w:rsid w:val="00A1388B"/>
    <w:rsid w:val="00A13901"/>
    <w:rsid w:val="00A13992"/>
    <w:rsid w:val="00A13B22"/>
    <w:rsid w:val="00A13B34"/>
    <w:rsid w:val="00A13B54"/>
    <w:rsid w:val="00A13B8A"/>
    <w:rsid w:val="00A13CD0"/>
    <w:rsid w:val="00A13DC1"/>
    <w:rsid w:val="00A13DF0"/>
    <w:rsid w:val="00A13EBD"/>
    <w:rsid w:val="00A13EC6"/>
    <w:rsid w:val="00A13F59"/>
    <w:rsid w:val="00A1405B"/>
    <w:rsid w:val="00A1405E"/>
    <w:rsid w:val="00A14109"/>
    <w:rsid w:val="00A14171"/>
    <w:rsid w:val="00A142F9"/>
    <w:rsid w:val="00A143DF"/>
    <w:rsid w:val="00A1448A"/>
    <w:rsid w:val="00A14499"/>
    <w:rsid w:val="00A144D2"/>
    <w:rsid w:val="00A14550"/>
    <w:rsid w:val="00A14629"/>
    <w:rsid w:val="00A14748"/>
    <w:rsid w:val="00A1489B"/>
    <w:rsid w:val="00A148DD"/>
    <w:rsid w:val="00A148FF"/>
    <w:rsid w:val="00A1496F"/>
    <w:rsid w:val="00A14981"/>
    <w:rsid w:val="00A149CF"/>
    <w:rsid w:val="00A14A7E"/>
    <w:rsid w:val="00A14AF5"/>
    <w:rsid w:val="00A14B7A"/>
    <w:rsid w:val="00A14C16"/>
    <w:rsid w:val="00A14C18"/>
    <w:rsid w:val="00A14D23"/>
    <w:rsid w:val="00A14DDA"/>
    <w:rsid w:val="00A14E8F"/>
    <w:rsid w:val="00A14ECB"/>
    <w:rsid w:val="00A14EF9"/>
    <w:rsid w:val="00A14F20"/>
    <w:rsid w:val="00A14F45"/>
    <w:rsid w:val="00A14F60"/>
    <w:rsid w:val="00A14F6A"/>
    <w:rsid w:val="00A14FA8"/>
    <w:rsid w:val="00A15032"/>
    <w:rsid w:val="00A150B7"/>
    <w:rsid w:val="00A15198"/>
    <w:rsid w:val="00A151B6"/>
    <w:rsid w:val="00A151E9"/>
    <w:rsid w:val="00A151FB"/>
    <w:rsid w:val="00A1521B"/>
    <w:rsid w:val="00A15259"/>
    <w:rsid w:val="00A15275"/>
    <w:rsid w:val="00A152ED"/>
    <w:rsid w:val="00A152FB"/>
    <w:rsid w:val="00A1530F"/>
    <w:rsid w:val="00A15332"/>
    <w:rsid w:val="00A153D8"/>
    <w:rsid w:val="00A1549F"/>
    <w:rsid w:val="00A1551E"/>
    <w:rsid w:val="00A1553D"/>
    <w:rsid w:val="00A155E6"/>
    <w:rsid w:val="00A15604"/>
    <w:rsid w:val="00A15652"/>
    <w:rsid w:val="00A15735"/>
    <w:rsid w:val="00A15848"/>
    <w:rsid w:val="00A159AE"/>
    <w:rsid w:val="00A159E2"/>
    <w:rsid w:val="00A159F9"/>
    <w:rsid w:val="00A15A0A"/>
    <w:rsid w:val="00A15AB4"/>
    <w:rsid w:val="00A15C89"/>
    <w:rsid w:val="00A15CE7"/>
    <w:rsid w:val="00A15D60"/>
    <w:rsid w:val="00A15E8E"/>
    <w:rsid w:val="00A15F0E"/>
    <w:rsid w:val="00A15FBC"/>
    <w:rsid w:val="00A15FF7"/>
    <w:rsid w:val="00A161A3"/>
    <w:rsid w:val="00A161AE"/>
    <w:rsid w:val="00A16254"/>
    <w:rsid w:val="00A16255"/>
    <w:rsid w:val="00A162A9"/>
    <w:rsid w:val="00A162DC"/>
    <w:rsid w:val="00A1634B"/>
    <w:rsid w:val="00A163B1"/>
    <w:rsid w:val="00A163F4"/>
    <w:rsid w:val="00A16412"/>
    <w:rsid w:val="00A1643D"/>
    <w:rsid w:val="00A165C4"/>
    <w:rsid w:val="00A1671F"/>
    <w:rsid w:val="00A167BE"/>
    <w:rsid w:val="00A167E4"/>
    <w:rsid w:val="00A1688B"/>
    <w:rsid w:val="00A16907"/>
    <w:rsid w:val="00A16B0E"/>
    <w:rsid w:val="00A16D5C"/>
    <w:rsid w:val="00A16D96"/>
    <w:rsid w:val="00A16DDA"/>
    <w:rsid w:val="00A16E2D"/>
    <w:rsid w:val="00A16E3F"/>
    <w:rsid w:val="00A16F25"/>
    <w:rsid w:val="00A16F30"/>
    <w:rsid w:val="00A16F53"/>
    <w:rsid w:val="00A17020"/>
    <w:rsid w:val="00A1709A"/>
    <w:rsid w:val="00A17115"/>
    <w:rsid w:val="00A1716B"/>
    <w:rsid w:val="00A17240"/>
    <w:rsid w:val="00A172A4"/>
    <w:rsid w:val="00A172FC"/>
    <w:rsid w:val="00A1733B"/>
    <w:rsid w:val="00A1736B"/>
    <w:rsid w:val="00A17465"/>
    <w:rsid w:val="00A1747B"/>
    <w:rsid w:val="00A174CE"/>
    <w:rsid w:val="00A1760A"/>
    <w:rsid w:val="00A1777C"/>
    <w:rsid w:val="00A17785"/>
    <w:rsid w:val="00A17802"/>
    <w:rsid w:val="00A17813"/>
    <w:rsid w:val="00A178FC"/>
    <w:rsid w:val="00A17946"/>
    <w:rsid w:val="00A179A4"/>
    <w:rsid w:val="00A179F0"/>
    <w:rsid w:val="00A17A61"/>
    <w:rsid w:val="00A17B1B"/>
    <w:rsid w:val="00A17B2D"/>
    <w:rsid w:val="00A17B86"/>
    <w:rsid w:val="00A17BC7"/>
    <w:rsid w:val="00A17BDB"/>
    <w:rsid w:val="00A17BF0"/>
    <w:rsid w:val="00A17CFC"/>
    <w:rsid w:val="00A17D99"/>
    <w:rsid w:val="00A17E27"/>
    <w:rsid w:val="00A17E7D"/>
    <w:rsid w:val="00A17E94"/>
    <w:rsid w:val="00A17EAA"/>
    <w:rsid w:val="00A17EB5"/>
    <w:rsid w:val="00A17F84"/>
    <w:rsid w:val="00A20031"/>
    <w:rsid w:val="00A20077"/>
    <w:rsid w:val="00A20189"/>
    <w:rsid w:val="00A201CD"/>
    <w:rsid w:val="00A201FA"/>
    <w:rsid w:val="00A2020E"/>
    <w:rsid w:val="00A20210"/>
    <w:rsid w:val="00A2029E"/>
    <w:rsid w:val="00A202DE"/>
    <w:rsid w:val="00A202FC"/>
    <w:rsid w:val="00A20427"/>
    <w:rsid w:val="00A204B9"/>
    <w:rsid w:val="00A20557"/>
    <w:rsid w:val="00A20663"/>
    <w:rsid w:val="00A20824"/>
    <w:rsid w:val="00A2099A"/>
    <w:rsid w:val="00A209C8"/>
    <w:rsid w:val="00A209EA"/>
    <w:rsid w:val="00A20AB4"/>
    <w:rsid w:val="00A20AD4"/>
    <w:rsid w:val="00A20B04"/>
    <w:rsid w:val="00A20B3A"/>
    <w:rsid w:val="00A20B4A"/>
    <w:rsid w:val="00A20BC9"/>
    <w:rsid w:val="00A20C63"/>
    <w:rsid w:val="00A20C7A"/>
    <w:rsid w:val="00A20CCE"/>
    <w:rsid w:val="00A20DB8"/>
    <w:rsid w:val="00A20DC4"/>
    <w:rsid w:val="00A20E26"/>
    <w:rsid w:val="00A21004"/>
    <w:rsid w:val="00A2118D"/>
    <w:rsid w:val="00A211CE"/>
    <w:rsid w:val="00A21389"/>
    <w:rsid w:val="00A2146E"/>
    <w:rsid w:val="00A21516"/>
    <w:rsid w:val="00A21522"/>
    <w:rsid w:val="00A2158E"/>
    <w:rsid w:val="00A21632"/>
    <w:rsid w:val="00A216D3"/>
    <w:rsid w:val="00A21737"/>
    <w:rsid w:val="00A217E4"/>
    <w:rsid w:val="00A21819"/>
    <w:rsid w:val="00A2182C"/>
    <w:rsid w:val="00A21862"/>
    <w:rsid w:val="00A2189D"/>
    <w:rsid w:val="00A21A6B"/>
    <w:rsid w:val="00A21B29"/>
    <w:rsid w:val="00A21BA7"/>
    <w:rsid w:val="00A21CFE"/>
    <w:rsid w:val="00A21D9F"/>
    <w:rsid w:val="00A21DA8"/>
    <w:rsid w:val="00A21DB8"/>
    <w:rsid w:val="00A21FF9"/>
    <w:rsid w:val="00A22078"/>
    <w:rsid w:val="00A220FB"/>
    <w:rsid w:val="00A22172"/>
    <w:rsid w:val="00A22178"/>
    <w:rsid w:val="00A22188"/>
    <w:rsid w:val="00A221BC"/>
    <w:rsid w:val="00A22262"/>
    <w:rsid w:val="00A2236E"/>
    <w:rsid w:val="00A2252A"/>
    <w:rsid w:val="00A22563"/>
    <w:rsid w:val="00A22570"/>
    <w:rsid w:val="00A2258B"/>
    <w:rsid w:val="00A225DC"/>
    <w:rsid w:val="00A22676"/>
    <w:rsid w:val="00A22717"/>
    <w:rsid w:val="00A22747"/>
    <w:rsid w:val="00A2278C"/>
    <w:rsid w:val="00A227E0"/>
    <w:rsid w:val="00A227ED"/>
    <w:rsid w:val="00A229DB"/>
    <w:rsid w:val="00A229F2"/>
    <w:rsid w:val="00A22A21"/>
    <w:rsid w:val="00A22A95"/>
    <w:rsid w:val="00A22B4E"/>
    <w:rsid w:val="00A22BF0"/>
    <w:rsid w:val="00A22C04"/>
    <w:rsid w:val="00A22C37"/>
    <w:rsid w:val="00A22C84"/>
    <w:rsid w:val="00A22C8F"/>
    <w:rsid w:val="00A22D15"/>
    <w:rsid w:val="00A22D31"/>
    <w:rsid w:val="00A22EB0"/>
    <w:rsid w:val="00A2300E"/>
    <w:rsid w:val="00A2305D"/>
    <w:rsid w:val="00A230C3"/>
    <w:rsid w:val="00A23129"/>
    <w:rsid w:val="00A2314B"/>
    <w:rsid w:val="00A231FE"/>
    <w:rsid w:val="00A23217"/>
    <w:rsid w:val="00A2326F"/>
    <w:rsid w:val="00A232C5"/>
    <w:rsid w:val="00A232CA"/>
    <w:rsid w:val="00A232DD"/>
    <w:rsid w:val="00A23359"/>
    <w:rsid w:val="00A2335C"/>
    <w:rsid w:val="00A234A4"/>
    <w:rsid w:val="00A234CF"/>
    <w:rsid w:val="00A235BE"/>
    <w:rsid w:val="00A236A2"/>
    <w:rsid w:val="00A237B7"/>
    <w:rsid w:val="00A238B2"/>
    <w:rsid w:val="00A23939"/>
    <w:rsid w:val="00A23956"/>
    <w:rsid w:val="00A239A7"/>
    <w:rsid w:val="00A23A0E"/>
    <w:rsid w:val="00A23A25"/>
    <w:rsid w:val="00A23A2B"/>
    <w:rsid w:val="00A23B5E"/>
    <w:rsid w:val="00A23B7D"/>
    <w:rsid w:val="00A23C20"/>
    <w:rsid w:val="00A23C49"/>
    <w:rsid w:val="00A23C83"/>
    <w:rsid w:val="00A23CB3"/>
    <w:rsid w:val="00A23D89"/>
    <w:rsid w:val="00A23DCC"/>
    <w:rsid w:val="00A23DED"/>
    <w:rsid w:val="00A23E2F"/>
    <w:rsid w:val="00A2408A"/>
    <w:rsid w:val="00A240C9"/>
    <w:rsid w:val="00A240F3"/>
    <w:rsid w:val="00A240FC"/>
    <w:rsid w:val="00A24158"/>
    <w:rsid w:val="00A241A2"/>
    <w:rsid w:val="00A241B2"/>
    <w:rsid w:val="00A241B5"/>
    <w:rsid w:val="00A241C5"/>
    <w:rsid w:val="00A24210"/>
    <w:rsid w:val="00A24254"/>
    <w:rsid w:val="00A24257"/>
    <w:rsid w:val="00A24349"/>
    <w:rsid w:val="00A2437A"/>
    <w:rsid w:val="00A243BD"/>
    <w:rsid w:val="00A24497"/>
    <w:rsid w:val="00A2449A"/>
    <w:rsid w:val="00A2450B"/>
    <w:rsid w:val="00A24554"/>
    <w:rsid w:val="00A24648"/>
    <w:rsid w:val="00A2472E"/>
    <w:rsid w:val="00A24792"/>
    <w:rsid w:val="00A24797"/>
    <w:rsid w:val="00A2484A"/>
    <w:rsid w:val="00A248C3"/>
    <w:rsid w:val="00A248F9"/>
    <w:rsid w:val="00A24943"/>
    <w:rsid w:val="00A24A2C"/>
    <w:rsid w:val="00A24ADB"/>
    <w:rsid w:val="00A24AF6"/>
    <w:rsid w:val="00A24C7C"/>
    <w:rsid w:val="00A24E06"/>
    <w:rsid w:val="00A24E96"/>
    <w:rsid w:val="00A2504E"/>
    <w:rsid w:val="00A2512B"/>
    <w:rsid w:val="00A25190"/>
    <w:rsid w:val="00A251E0"/>
    <w:rsid w:val="00A25314"/>
    <w:rsid w:val="00A25387"/>
    <w:rsid w:val="00A2548D"/>
    <w:rsid w:val="00A25561"/>
    <w:rsid w:val="00A25586"/>
    <w:rsid w:val="00A2563C"/>
    <w:rsid w:val="00A256D8"/>
    <w:rsid w:val="00A256E4"/>
    <w:rsid w:val="00A25775"/>
    <w:rsid w:val="00A257E5"/>
    <w:rsid w:val="00A257F0"/>
    <w:rsid w:val="00A25875"/>
    <w:rsid w:val="00A2592B"/>
    <w:rsid w:val="00A25A0C"/>
    <w:rsid w:val="00A25A2F"/>
    <w:rsid w:val="00A25A69"/>
    <w:rsid w:val="00A25A6F"/>
    <w:rsid w:val="00A25A8B"/>
    <w:rsid w:val="00A25ABE"/>
    <w:rsid w:val="00A25B6B"/>
    <w:rsid w:val="00A25C5B"/>
    <w:rsid w:val="00A25C78"/>
    <w:rsid w:val="00A25C8B"/>
    <w:rsid w:val="00A25CF6"/>
    <w:rsid w:val="00A25DDE"/>
    <w:rsid w:val="00A25E21"/>
    <w:rsid w:val="00A25FA7"/>
    <w:rsid w:val="00A25FDF"/>
    <w:rsid w:val="00A2602E"/>
    <w:rsid w:val="00A26080"/>
    <w:rsid w:val="00A26223"/>
    <w:rsid w:val="00A26229"/>
    <w:rsid w:val="00A262CA"/>
    <w:rsid w:val="00A2630B"/>
    <w:rsid w:val="00A2631D"/>
    <w:rsid w:val="00A2649D"/>
    <w:rsid w:val="00A26610"/>
    <w:rsid w:val="00A2667A"/>
    <w:rsid w:val="00A2676A"/>
    <w:rsid w:val="00A267C3"/>
    <w:rsid w:val="00A267EA"/>
    <w:rsid w:val="00A2682F"/>
    <w:rsid w:val="00A26832"/>
    <w:rsid w:val="00A26868"/>
    <w:rsid w:val="00A26888"/>
    <w:rsid w:val="00A26919"/>
    <w:rsid w:val="00A26921"/>
    <w:rsid w:val="00A2692C"/>
    <w:rsid w:val="00A269F3"/>
    <w:rsid w:val="00A26A04"/>
    <w:rsid w:val="00A26AC7"/>
    <w:rsid w:val="00A26AE9"/>
    <w:rsid w:val="00A26C14"/>
    <w:rsid w:val="00A26C50"/>
    <w:rsid w:val="00A26CAF"/>
    <w:rsid w:val="00A26DE7"/>
    <w:rsid w:val="00A26E68"/>
    <w:rsid w:val="00A26F52"/>
    <w:rsid w:val="00A27022"/>
    <w:rsid w:val="00A2703B"/>
    <w:rsid w:val="00A2707F"/>
    <w:rsid w:val="00A270AB"/>
    <w:rsid w:val="00A270CF"/>
    <w:rsid w:val="00A27135"/>
    <w:rsid w:val="00A27257"/>
    <w:rsid w:val="00A27373"/>
    <w:rsid w:val="00A2741D"/>
    <w:rsid w:val="00A27451"/>
    <w:rsid w:val="00A27673"/>
    <w:rsid w:val="00A27698"/>
    <w:rsid w:val="00A276FF"/>
    <w:rsid w:val="00A277B5"/>
    <w:rsid w:val="00A277E5"/>
    <w:rsid w:val="00A277FB"/>
    <w:rsid w:val="00A278A7"/>
    <w:rsid w:val="00A27977"/>
    <w:rsid w:val="00A27A0E"/>
    <w:rsid w:val="00A27A4A"/>
    <w:rsid w:val="00A27A6F"/>
    <w:rsid w:val="00A27B2A"/>
    <w:rsid w:val="00A27BEE"/>
    <w:rsid w:val="00A27C48"/>
    <w:rsid w:val="00A27CA4"/>
    <w:rsid w:val="00A27D00"/>
    <w:rsid w:val="00A27D87"/>
    <w:rsid w:val="00A27E05"/>
    <w:rsid w:val="00A27E42"/>
    <w:rsid w:val="00A27E53"/>
    <w:rsid w:val="00A27E9F"/>
    <w:rsid w:val="00A27F23"/>
    <w:rsid w:val="00A27F7D"/>
    <w:rsid w:val="00A30017"/>
    <w:rsid w:val="00A3001E"/>
    <w:rsid w:val="00A30106"/>
    <w:rsid w:val="00A30136"/>
    <w:rsid w:val="00A3017C"/>
    <w:rsid w:val="00A302D0"/>
    <w:rsid w:val="00A302EC"/>
    <w:rsid w:val="00A30464"/>
    <w:rsid w:val="00A30471"/>
    <w:rsid w:val="00A3059B"/>
    <w:rsid w:val="00A306A0"/>
    <w:rsid w:val="00A30725"/>
    <w:rsid w:val="00A30826"/>
    <w:rsid w:val="00A30827"/>
    <w:rsid w:val="00A308C6"/>
    <w:rsid w:val="00A30BB3"/>
    <w:rsid w:val="00A30BEF"/>
    <w:rsid w:val="00A30CE2"/>
    <w:rsid w:val="00A30E2B"/>
    <w:rsid w:val="00A30E61"/>
    <w:rsid w:val="00A30F8D"/>
    <w:rsid w:val="00A31025"/>
    <w:rsid w:val="00A310A4"/>
    <w:rsid w:val="00A3122F"/>
    <w:rsid w:val="00A31237"/>
    <w:rsid w:val="00A3127E"/>
    <w:rsid w:val="00A312DF"/>
    <w:rsid w:val="00A3141F"/>
    <w:rsid w:val="00A314A4"/>
    <w:rsid w:val="00A314EA"/>
    <w:rsid w:val="00A31569"/>
    <w:rsid w:val="00A3161C"/>
    <w:rsid w:val="00A31635"/>
    <w:rsid w:val="00A3167B"/>
    <w:rsid w:val="00A31696"/>
    <w:rsid w:val="00A3169E"/>
    <w:rsid w:val="00A316E6"/>
    <w:rsid w:val="00A316F7"/>
    <w:rsid w:val="00A317A2"/>
    <w:rsid w:val="00A317E6"/>
    <w:rsid w:val="00A31877"/>
    <w:rsid w:val="00A318F4"/>
    <w:rsid w:val="00A318FB"/>
    <w:rsid w:val="00A3193A"/>
    <w:rsid w:val="00A319FC"/>
    <w:rsid w:val="00A31BE7"/>
    <w:rsid w:val="00A31C69"/>
    <w:rsid w:val="00A31C76"/>
    <w:rsid w:val="00A31D44"/>
    <w:rsid w:val="00A31DCB"/>
    <w:rsid w:val="00A31F62"/>
    <w:rsid w:val="00A31FA2"/>
    <w:rsid w:val="00A32000"/>
    <w:rsid w:val="00A3202C"/>
    <w:rsid w:val="00A32061"/>
    <w:rsid w:val="00A32084"/>
    <w:rsid w:val="00A32174"/>
    <w:rsid w:val="00A321E0"/>
    <w:rsid w:val="00A323B7"/>
    <w:rsid w:val="00A32410"/>
    <w:rsid w:val="00A3248B"/>
    <w:rsid w:val="00A325A1"/>
    <w:rsid w:val="00A326AB"/>
    <w:rsid w:val="00A32770"/>
    <w:rsid w:val="00A3279C"/>
    <w:rsid w:val="00A32874"/>
    <w:rsid w:val="00A328F1"/>
    <w:rsid w:val="00A32917"/>
    <w:rsid w:val="00A3294B"/>
    <w:rsid w:val="00A32A54"/>
    <w:rsid w:val="00A32B6E"/>
    <w:rsid w:val="00A32D32"/>
    <w:rsid w:val="00A32F77"/>
    <w:rsid w:val="00A33020"/>
    <w:rsid w:val="00A330C7"/>
    <w:rsid w:val="00A330CE"/>
    <w:rsid w:val="00A33184"/>
    <w:rsid w:val="00A33250"/>
    <w:rsid w:val="00A3326F"/>
    <w:rsid w:val="00A332F7"/>
    <w:rsid w:val="00A332F9"/>
    <w:rsid w:val="00A33345"/>
    <w:rsid w:val="00A333A8"/>
    <w:rsid w:val="00A33606"/>
    <w:rsid w:val="00A33610"/>
    <w:rsid w:val="00A33616"/>
    <w:rsid w:val="00A336B2"/>
    <w:rsid w:val="00A33736"/>
    <w:rsid w:val="00A33763"/>
    <w:rsid w:val="00A337B2"/>
    <w:rsid w:val="00A33838"/>
    <w:rsid w:val="00A33864"/>
    <w:rsid w:val="00A338C0"/>
    <w:rsid w:val="00A338E0"/>
    <w:rsid w:val="00A338E8"/>
    <w:rsid w:val="00A3394B"/>
    <w:rsid w:val="00A33957"/>
    <w:rsid w:val="00A3396A"/>
    <w:rsid w:val="00A33986"/>
    <w:rsid w:val="00A339AE"/>
    <w:rsid w:val="00A33BDC"/>
    <w:rsid w:val="00A33CA3"/>
    <w:rsid w:val="00A33CDE"/>
    <w:rsid w:val="00A33ED2"/>
    <w:rsid w:val="00A34085"/>
    <w:rsid w:val="00A340B4"/>
    <w:rsid w:val="00A3413A"/>
    <w:rsid w:val="00A34342"/>
    <w:rsid w:val="00A34419"/>
    <w:rsid w:val="00A34427"/>
    <w:rsid w:val="00A3451E"/>
    <w:rsid w:val="00A345BA"/>
    <w:rsid w:val="00A3463B"/>
    <w:rsid w:val="00A3475C"/>
    <w:rsid w:val="00A3477A"/>
    <w:rsid w:val="00A347F3"/>
    <w:rsid w:val="00A3485A"/>
    <w:rsid w:val="00A3488D"/>
    <w:rsid w:val="00A34935"/>
    <w:rsid w:val="00A34989"/>
    <w:rsid w:val="00A349E0"/>
    <w:rsid w:val="00A34A4D"/>
    <w:rsid w:val="00A34B89"/>
    <w:rsid w:val="00A34C14"/>
    <w:rsid w:val="00A34C8C"/>
    <w:rsid w:val="00A34E23"/>
    <w:rsid w:val="00A34E58"/>
    <w:rsid w:val="00A34E83"/>
    <w:rsid w:val="00A350AB"/>
    <w:rsid w:val="00A351D2"/>
    <w:rsid w:val="00A35234"/>
    <w:rsid w:val="00A35307"/>
    <w:rsid w:val="00A3531D"/>
    <w:rsid w:val="00A35333"/>
    <w:rsid w:val="00A35366"/>
    <w:rsid w:val="00A35411"/>
    <w:rsid w:val="00A3548F"/>
    <w:rsid w:val="00A35494"/>
    <w:rsid w:val="00A35501"/>
    <w:rsid w:val="00A35566"/>
    <w:rsid w:val="00A35589"/>
    <w:rsid w:val="00A355C3"/>
    <w:rsid w:val="00A3562E"/>
    <w:rsid w:val="00A35714"/>
    <w:rsid w:val="00A35761"/>
    <w:rsid w:val="00A35834"/>
    <w:rsid w:val="00A3583A"/>
    <w:rsid w:val="00A35860"/>
    <w:rsid w:val="00A3591E"/>
    <w:rsid w:val="00A35C86"/>
    <w:rsid w:val="00A35D15"/>
    <w:rsid w:val="00A35E32"/>
    <w:rsid w:val="00A35EF1"/>
    <w:rsid w:val="00A35EF3"/>
    <w:rsid w:val="00A35F95"/>
    <w:rsid w:val="00A360DB"/>
    <w:rsid w:val="00A361E6"/>
    <w:rsid w:val="00A361FE"/>
    <w:rsid w:val="00A362C0"/>
    <w:rsid w:val="00A36364"/>
    <w:rsid w:val="00A3655E"/>
    <w:rsid w:val="00A365DF"/>
    <w:rsid w:val="00A366E4"/>
    <w:rsid w:val="00A366ED"/>
    <w:rsid w:val="00A3673D"/>
    <w:rsid w:val="00A36773"/>
    <w:rsid w:val="00A367AE"/>
    <w:rsid w:val="00A367AF"/>
    <w:rsid w:val="00A368F4"/>
    <w:rsid w:val="00A3697A"/>
    <w:rsid w:val="00A369D2"/>
    <w:rsid w:val="00A36A1D"/>
    <w:rsid w:val="00A36AA4"/>
    <w:rsid w:val="00A36AAA"/>
    <w:rsid w:val="00A36BD4"/>
    <w:rsid w:val="00A36C2E"/>
    <w:rsid w:val="00A36CE4"/>
    <w:rsid w:val="00A36EB4"/>
    <w:rsid w:val="00A36ED3"/>
    <w:rsid w:val="00A36ED5"/>
    <w:rsid w:val="00A36FA7"/>
    <w:rsid w:val="00A370D8"/>
    <w:rsid w:val="00A3712E"/>
    <w:rsid w:val="00A3716B"/>
    <w:rsid w:val="00A3718B"/>
    <w:rsid w:val="00A371C0"/>
    <w:rsid w:val="00A37216"/>
    <w:rsid w:val="00A372D7"/>
    <w:rsid w:val="00A372F3"/>
    <w:rsid w:val="00A37300"/>
    <w:rsid w:val="00A37351"/>
    <w:rsid w:val="00A373FA"/>
    <w:rsid w:val="00A3743C"/>
    <w:rsid w:val="00A37488"/>
    <w:rsid w:val="00A3748F"/>
    <w:rsid w:val="00A3752A"/>
    <w:rsid w:val="00A3755B"/>
    <w:rsid w:val="00A37613"/>
    <w:rsid w:val="00A376CF"/>
    <w:rsid w:val="00A37714"/>
    <w:rsid w:val="00A37836"/>
    <w:rsid w:val="00A37AB3"/>
    <w:rsid w:val="00A37CCB"/>
    <w:rsid w:val="00A37D05"/>
    <w:rsid w:val="00A37DD7"/>
    <w:rsid w:val="00A37E3A"/>
    <w:rsid w:val="00A37E55"/>
    <w:rsid w:val="00A37E9F"/>
    <w:rsid w:val="00A37EB4"/>
    <w:rsid w:val="00A37F05"/>
    <w:rsid w:val="00A37FD5"/>
    <w:rsid w:val="00A37FE8"/>
    <w:rsid w:val="00A40077"/>
    <w:rsid w:val="00A400BB"/>
    <w:rsid w:val="00A400E6"/>
    <w:rsid w:val="00A40215"/>
    <w:rsid w:val="00A402E3"/>
    <w:rsid w:val="00A40317"/>
    <w:rsid w:val="00A40319"/>
    <w:rsid w:val="00A4033D"/>
    <w:rsid w:val="00A4046F"/>
    <w:rsid w:val="00A404C6"/>
    <w:rsid w:val="00A404DF"/>
    <w:rsid w:val="00A404FB"/>
    <w:rsid w:val="00A40534"/>
    <w:rsid w:val="00A4060D"/>
    <w:rsid w:val="00A4080C"/>
    <w:rsid w:val="00A40870"/>
    <w:rsid w:val="00A408AB"/>
    <w:rsid w:val="00A408B0"/>
    <w:rsid w:val="00A409D1"/>
    <w:rsid w:val="00A40A08"/>
    <w:rsid w:val="00A40AB6"/>
    <w:rsid w:val="00A40ABF"/>
    <w:rsid w:val="00A40AFD"/>
    <w:rsid w:val="00A40C19"/>
    <w:rsid w:val="00A40D57"/>
    <w:rsid w:val="00A40D6F"/>
    <w:rsid w:val="00A40E36"/>
    <w:rsid w:val="00A40E55"/>
    <w:rsid w:val="00A40EC2"/>
    <w:rsid w:val="00A40F38"/>
    <w:rsid w:val="00A40FD8"/>
    <w:rsid w:val="00A41098"/>
    <w:rsid w:val="00A4115F"/>
    <w:rsid w:val="00A41286"/>
    <w:rsid w:val="00A413BB"/>
    <w:rsid w:val="00A41433"/>
    <w:rsid w:val="00A4148A"/>
    <w:rsid w:val="00A414C4"/>
    <w:rsid w:val="00A41561"/>
    <w:rsid w:val="00A415CF"/>
    <w:rsid w:val="00A41671"/>
    <w:rsid w:val="00A41692"/>
    <w:rsid w:val="00A41783"/>
    <w:rsid w:val="00A417A6"/>
    <w:rsid w:val="00A417CE"/>
    <w:rsid w:val="00A41870"/>
    <w:rsid w:val="00A418C6"/>
    <w:rsid w:val="00A41ADD"/>
    <w:rsid w:val="00A41AF4"/>
    <w:rsid w:val="00A41B3B"/>
    <w:rsid w:val="00A41C09"/>
    <w:rsid w:val="00A41CC9"/>
    <w:rsid w:val="00A41EA1"/>
    <w:rsid w:val="00A41EB9"/>
    <w:rsid w:val="00A41F2E"/>
    <w:rsid w:val="00A41F92"/>
    <w:rsid w:val="00A420D1"/>
    <w:rsid w:val="00A420E5"/>
    <w:rsid w:val="00A4211A"/>
    <w:rsid w:val="00A42222"/>
    <w:rsid w:val="00A42246"/>
    <w:rsid w:val="00A4231E"/>
    <w:rsid w:val="00A423FA"/>
    <w:rsid w:val="00A4243F"/>
    <w:rsid w:val="00A42487"/>
    <w:rsid w:val="00A424D3"/>
    <w:rsid w:val="00A4250B"/>
    <w:rsid w:val="00A4250D"/>
    <w:rsid w:val="00A4251D"/>
    <w:rsid w:val="00A42579"/>
    <w:rsid w:val="00A42585"/>
    <w:rsid w:val="00A42798"/>
    <w:rsid w:val="00A427D6"/>
    <w:rsid w:val="00A42841"/>
    <w:rsid w:val="00A42886"/>
    <w:rsid w:val="00A4289E"/>
    <w:rsid w:val="00A428CA"/>
    <w:rsid w:val="00A42A18"/>
    <w:rsid w:val="00A42A3B"/>
    <w:rsid w:val="00A42B98"/>
    <w:rsid w:val="00A42C69"/>
    <w:rsid w:val="00A42C75"/>
    <w:rsid w:val="00A42C92"/>
    <w:rsid w:val="00A42D83"/>
    <w:rsid w:val="00A42ECD"/>
    <w:rsid w:val="00A42F5B"/>
    <w:rsid w:val="00A42F60"/>
    <w:rsid w:val="00A42F65"/>
    <w:rsid w:val="00A42F8B"/>
    <w:rsid w:val="00A42F94"/>
    <w:rsid w:val="00A4301A"/>
    <w:rsid w:val="00A4309F"/>
    <w:rsid w:val="00A4316D"/>
    <w:rsid w:val="00A431F6"/>
    <w:rsid w:val="00A43233"/>
    <w:rsid w:val="00A4326C"/>
    <w:rsid w:val="00A43279"/>
    <w:rsid w:val="00A4328F"/>
    <w:rsid w:val="00A432CC"/>
    <w:rsid w:val="00A432F8"/>
    <w:rsid w:val="00A4330F"/>
    <w:rsid w:val="00A4332C"/>
    <w:rsid w:val="00A433E6"/>
    <w:rsid w:val="00A4340D"/>
    <w:rsid w:val="00A43497"/>
    <w:rsid w:val="00A434C4"/>
    <w:rsid w:val="00A4354E"/>
    <w:rsid w:val="00A43636"/>
    <w:rsid w:val="00A436AF"/>
    <w:rsid w:val="00A4371C"/>
    <w:rsid w:val="00A4384D"/>
    <w:rsid w:val="00A43867"/>
    <w:rsid w:val="00A438E2"/>
    <w:rsid w:val="00A43964"/>
    <w:rsid w:val="00A43981"/>
    <w:rsid w:val="00A439BB"/>
    <w:rsid w:val="00A43A18"/>
    <w:rsid w:val="00A43A6F"/>
    <w:rsid w:val="00A43AC4"/>
    <w:rsid w:val="00A43B22"/>
    <w:rsid w:val="00A43B53"/>
    <w:rsid w:val="00A43BE0"/>
    <w:rsid w:val="00A43C16"/>
    <w:rsid w:val="00A43C2B"/>
    <w:rsid w:val="00A43CBA"/>
    <w:rsid w:val="00A43DAA"/>
    <w:rsid w:val="00A43EC0"/>
    <w:rsid w:val="00A43FBD"/>
    <w:rsid w:val="00A44108"/>
    <w:rsid w:val="00A44117"/>
    <w:rsid w:val="00A4416D"/>
    <w:rsid w:val="00A4417B"/>
    <w:rsid w:val="00A44196"/>
    <w:rsid w:val="00A4428F"/>
    <w:rsid w:val="00A44316"/>
    <w:rsid w:val="00A44351"/>
    <w:rsid w:val="00A44365"/>
    <w:rsid w:val="00A443A2"/>
    <w:rsid w:val="00A443B8"/>
    <w:rsid w:val="00A44477"/>
    <w:rsid w:val="00A44480"/>
    <w:rsid w:val="00A4466A"/>
    <w:rsid w:val="00A446E6"/>
    <w:rsid w:val="00A44768"/>
    <w:rsid w:val="00A447B5"/>
    <w:rsid w:val="00A447DA"/>
    <w:rsid w:val="00A447E6"/>
    <w:rsid w:val="00A447EB"/>
    <w:rsid w:val="00A447EC"/>
    <w:rsid w:val="00A44837"/>
    <w:rsid w:val="00A448E5"/>
    <w:rsid w:val="00A44969"/>
    <w:rsid w:val="00A449CB"/>
    <w:rsid w:val="00A449F2"/>
    <w:rsid w:val="00A44A48"/>
    <w:rsid w:val="00A44B62"/>
    <w:rsid w:val="00A44B7D"/>
    <w:rsid w:val="00A44BF3"/>
    <w:rsid w:val="00A44C3E"/>
    <w:rsid w:val="00A44C4A"/>
    <w:rsid w:val="00A44C6D"/>
    <w:rsid w:val="00A44D8F"/>
    <w:rsid w:val="00A44DCB"/>
    <w:rsid w:val="00A44F97"/>
    <w:rsid w:val="00A44FF4"/>
    <w:rsid w:val="00A4509C"/>
    <w:rsid w:val="00A450BD"/>
    <w:rsid w:val="00A450DD"/>
    <w:rsid w:val="00A451BC"/>
    <w:rsid w:val="00A451C0"/>
    <w:rsid w:val="00A451C9"/>
    <w:rsid w:val="00A45281"/>
    <w:rsid w:val="00A45524"/>
    <w:rsid w:val="00A4562F"/>
    <w:rsid w:val="00A4574F"/>
    <w:rsid w:val="00A45793"/>
    <w:rsid w:val="00A4599F"/>
    <w:rsid w:val="00A459D8"/>
    <w:rsid w:val="00A45B73"/>
    <w:rsid w:val="00A45BC5"/>
    <w:rsid w:val="00A45C02"/>
    <w:rsid w:val="00A45C54"/>
    <w:rsid w:val="00A45C78"/>
    <w:rsid w:val="00A45DB3"/>
    <w:rsid w:val="00A45DC2"/>
    <w:rsid w:val="00A45DEB"/>
    <w:rsid w:val="00A45DF8"/>
    <w:rsid w:val="00A45E89"/>
    <w:rsid w:val="00A45ECF"/>
    <w:rsid w:val="00A45F70"/>
    <w:rsid w:val="00A46047"/>
    <w:rsid w:val="00A460FC"/>
    <w:rsid w:val="00A46364"/>
    <w:rsid w:val="00A463CC"/>
    <w:rsid w:val="00A4640E"/>
    <w:rsid w:val="00A46542"/>
    <w:rsid w:val="00A46656"/>
    <w:rsid w:val="00A466EF"/>
    <w:rsid w:val="00A46709"/>
    <w:rsid w:val="00A467A3"/>
    <w:rsid w:val="00A46923"/>
    <w:rsid w:val="00A46A27"/>
    <w:rsid w:val="00A46A33"/>
    <w:rsid w:val="00A46AA2"/>
    <w:rsid w:val="00A46BCF"/>
    <w:rsid w:val="00A46BFA"/>
    <w:rsid w:val="00A46DBF"/>
    <w:rsid w:val="00A46F84"/>
    <w:rsid w:val="00A46F9D"/>
    <w:rsid w:val="00A46FE7"/>
    <w:rsid w:val="00A470F0"/>
    <w:rsid w:val="00A470FA"/>
    <w:rsid w:val="00A47114"/>
    <w:rsid w:val="00A472BA"/>
    <w:rsid w:val="00A4739E"/>
    <w:rsid w:val="00A473C6"/>
    <w:rsid w:val="00A473E7"/>
    <w:rsid w:val="00A475BC"/>
    <w:rsid w:val="00A47602"/>
    <w:rsid w:val="00A477B0"/>
    <w:rsid w:val="00A477BD"/>
    <w:rsid w:val="00A477BE"/>
    <w:rsid w:val="00A4783F"/>
    <w:rsid w:val="00A478B9"/>
    <w:rsid w:val="00A4791D"/>
    <w:rsid w:val="00A479A8"/>
    <w:rsid w:val="00A479C8"/>
    <w:rsid w:val="00A479E5"/>
    <w:rsid w:val="00A47A06"/>
    <w:rsid w:val="00A47AB1"/>
    <w:rsid w:val="00A47B67"/>
    <w:rsid w:val="00A47BB2"/>
    <w:rsid w:val="00A47BC5"/>
    <w:rsid w:val="00A47C70"/>
    <w:rsid w:val="00A47C87"/>
    <w:rsid w:val="00A47C98"/>
    <w:rsid w:val="00A47D93"/>
    <w:rsid w:val="00A47E4E"/>
    <w:rsid w:val="00A47EBA"/>
    <w:rsid w:val="00A47F21"/>
    <w:rsid w:val="00A47FCE"/>
    <w:rsid w:val="00A50055"/>
    <w:rsid w:val="00A50162"/>
    <w:rsid w:val="00A50191"/>
    <w:rsid w:val="00A501F9"/>
    <w:rsid w:val="00A502ED"/>
    <w:rsid w:val="00A50309"/>
    <w:rsid w:val="00A503D7"/>
    <w:rsid w:val="00A5042A"/>
    <w:rsid w:val="00A504A0"/>
    <w:rsid w:val="00A504A2"/>
    <w:rsid w:val="00A504DF"/>
    <w:rsid w:val="00A50694"/>
    <w:rsid w:val="00A50829"/>
    <w:rsid w:val="00A5089B"/>
    <w:rsid w:val="00A508CD"/>
    <w:rsid w:val="00A509D4"/>
    <w:rsid w:val="00A50A0D"/>
    <w:rsid w:val="00A50A36"/>
    <w:rsid w:val="00A50A9B"/>
    <w:rsid w:val="00A50B41"/>
    <w:rsid w:val="00A50BA9"/>
    <w:rsid w:val="00A50BDF"/>
    <w:rsid w:val="00A50CAC"/>
    <w:rsid w:val="00A50CBA"/>
    <w:rsid w:val="00A50EC3"/>
    <w:rsid w:val="00A50F0F"/>
    <w:rsid w:val="00A50F3A"/>
    <w:rsid w:val="00A50FCD"/>
    <w:rsid w:val="00A5100B"/>
    <w:rsid w:val="00A51030"/>
    <w:rsid w:val="00A51192"/>
    <w:rsid w:val="00A5124A"/>
    <w:rsid w:val="00A51262"/>
    <w:rsid w:val="00A5129E"/>
    <w:rsid w:val="00A512CB"/>
    <w:rsid w:val="00A513D4"/>
    <w:rsid w:val="00A513EC"/>
    <w:rsid w:val="00A51513"/>
    <w:rsid w:val="00A51541"/>
    <w:rsid w:val="00A516B1"/>
    <w:rsid w:val="00A516F5"/>
    <w:rsid w:val="00A517D2"/>
    <w:rsid w:val="00A5181B"/>
    <w:rsid w:val="00A518F4"/>
    <w:rsid w:val="00A51918"/>
    <w:rsid w:val="00A519FE"/>
    <w:rsid w:val="00A51A04"/>
    <w:rsid w:val="00A51A6A"/>
    <w:rsid w:val="00A51AC5"/>
    <w:rsid w:val="00A51B09"/>
    <w:rsid w:val="00A51BA4"/>
    <w:rsid w:val="00A51BD4"/>
    <w:rsid w:val="00A51C5D"/>
    <w:rsid w:val="00A51C97"/>
    <w:rsid w:val="00A51D26"/>
    <w:rsid w:val="00A51E18"/>
    <w:rsid w:val="00A51E7C"/>
    <w:rsid w:val="00A51ECE"/>
    <w:rsid w:val="00A51F9D"/>
    <w:rsid w:val="00A52090"/>
    <w:rsid w:val="00A520D6"/>
    <w:rsid w:val="00A5218D"/>
    <w:rsid w:val="00A521E0"/>
    <w:rsid w:val="00A52211"/>
    <w:rsid w:val="00A52219"/>
    <w:rsid w:val="00A5221C"/>
    <w:rsid w:val="00A522E6"/>
    <w:rsid w:val="00A52351"/>
    <w:rsid w:val="00A5238F"/>
    <w:rsid w:val="00A52485"/>
    <w:rsid w:val="00A5250F"/>
    <w:rsid w:val="00A52540"/>
    <w:rsid w:val="00A52567"/>
    <w:rsid w:val="00A525E5"/>
    <w:rsid w:val="00A52741"/>
    <w:rsid w:val="00A5285D"/>
    <w:rsid w:val="00A52862"/>
    <w:rsid w:val="00A52885"/>
    <w:rsid w:val="00A5295A"/>
    <w:rsid w:val="00A52B32"/>
    <w:rsid w:val="00A52B80"/>
    <w:rsid w:val="00A52B81"/>
    <w:rsid w:val="00A52BCD"/>
    <w:rsid w:val="00A52C5C"/>
    <w:rsid w:val="00A52CC3"/>
    <w:rsid w:val="00A52E06"/>
    <w:rsid w:val="00A52E60"/>
    <w:rsid w:val="00A52E91"/>
    <w:rsid w:val="00A52F2A"/>
    <w:rsid w:val="00A52F34"/>
    <w:rsid w:val="00A53022"/>
    <w:rsid w:val="00A530A9"/>
    <w:rsid w:val="00A5311F"/>
    <w:rsid w:val="00A53243"/>
    <w:rsid w:val="00A532C7"/>
    <w:rsid w:val="00A53398"/>
    <w:rsid w:val="00A53430"/>
    <w:rsid w:val="00A53497"/>
    <w:rsid w:val="00A534EF"/>
    <w:rsid w:val="00A53502"/>
    <w:rsid w:val="00A535EF"/>
    <w:rsid w:val="00A53607"/>
    <w:rsid w:val="00A5361E"/>
    <w:rsid w:val="00A536CE"/>
    <w:rsid w:val="00A536E8"/>
    <w:rsid w:val="00A53792"/>
    <w:rsid w:val="00A53820"/>
    <w:rsid w:val="00A538C6"/>
    <w:rsid w:val="00A538D7"/>
    <w:rsid w:val="00A53B33"/>
    <w:rsid w:val="00A53B60"/>
    <w:rsid w:val="00A53B8C"/>
    <w:rsid w:val="00A53BEB"/>
    <w:rsid w:val="00A53C91"/>
    <w:rsid w:val="00A53CBB"/>
    <w:rsid w:val="00A53DD0"/>
    <w:rsid w:val="00A53DD9"/>
    <w:rsid w:val="00A53F2B"/>
    <w:rsid w:val="00A53F91"/>
    <w:rsid w:val="00A53FB5"/>
    <w:rsid w:val="00A540D0"/>
    <w:rsid w:val="00A5411D"/>
    <w:rsid w:val="00A54131"/>
    <w:rsid w:val="00A54143"/>
    <w:rsid w:val="00A541B4"/>
    <w:rsid w:val="00A5435B"/>
    <w:rsid w:val="00A54448"/>
    <w:rsid w:val="00A54495"/>
    <w:rsid w:val="00A54514"/>
    <w:rsid w:val="00A54533"/>
    <w:rsid w:val="00A54539"/>
    <w:rsid w:val="00A54650"/>
    <w:rsid w:val="00A54738"/>
    <w:rsid w:val="00A54787"/>
    <w:rsid w:val="00A5483B"/>
    <w:rsid w:val="00A54848"/>
    <w:rsid w:val="00A5484A"/>
    <w:rsid w:val="00A54863"/>
    <w:rsid w:val="00A54874"/>
    <w:rsid w:val="00A54887"/>
    <w:rsid w:val="00A54891"/>
    <w:rsid w:val="00A54946"/>
    <w:rsid w:val="00A5497A"/>
    <w:rsid w:val="00A54987"/>
    <w:rsid w:val="00A549AC"/>
    <w:rsid w:val="00A54A91"/>
    <w:rsid w:val="00A54B50"/>
    <w:rsid w:val="00A54B7D"/>
    <w:rsid w:val="00A54CF0"/>
    <w:rsid w:val="00A54D4E"/>
    <w:rsid w:val="00A54D5D"/>
    <w:rsid w:val="00A54F00"/>
    <w:rsid w:val="00A54F1D"/>
    <w:rsid w:val="00A54F6F"/>
    <w:rsid w:val="00A54FD3"/>
    <w:rsid w:val="00A54FD9"/>
    <w:rsid w:val="00A55051"/>
    <w:rsid w:val="00A5505E"/>
    <w:rsid w:val="00A550C1"/>
    <w:rsid w:val="00A550DF"/>
    <w:rsid w:val="00A55112"/>
    <w:rsid w:val="00A55279"/>
    <w:rsid w:val="00A55290"/>
    <w:rsid w:val="00A552AD"/>
    <w:rsid w:val="00A552DE"/>
    <w:rsid w:val="00A553BF"/>
    <w:rsid w:val="00A55417"/>
    <w:rsid w:val="00A55423"/>
    <w:rsid w:val="00A5543B"/>
    <w:rsid w:val="00A55485"/>
    <w:rsid w:val="00A554D7"/>
    <w:rsid w:val="00A555E1"/>
    <w:rsid w:val="00A5566B"/>
    <w:rsid w:val="00A55703"/>
    <w:rsid w:val="00A5572A"/>
    <w:rsid w:val="00A557A8"/>
    <w:rsid w:val="00A557D3"/>
    <w:rsid w:val="00A557D5"/>
    <w:rsid w:val="00A5583F"/>
    <w:rsid w:val="00A559EE"/>
    <w:rsid w:val="00A55A34"/>
    <w:rsid w:val="00A55B5F"/>
    <w:rsid w:val="00A55B69"/>
    <w:rsid w:val="00A55BCE"/>
    <w:rsid w:val="00A55C17"/>
    <w:rsid w:val="00A55CDC"/>
    <w:rsid w:val="00A55CF3"/>
    <w:rsid w:val="00A55E34"/>
    <w:rsid w:val="00A55E54"/>
    <w:rsid w:val="00A55E91"/>
    <w:rsid w:val="00A55EB5"/>
    <w:rsid w:val="00A55EE1"/>
    <w:rsid w:val="00A55F09"/>
    <w:rsid w:val="00A55F2A"/>
    <w:rsid w:val="00A55FCC"/>
    <w:rsid w:val="00A56013"/>
    <w:rsid w:val="00A56256"/>
    <w:rsid w:val="00A562EC"/>
    <w:rsid w:val="00A56354"/>
    <w:rsid w:val="00A56421"/>
    <w:rsid w:val="00A564B0"/>
    <w:rsid w:val="00A565C4"/>
    <w:rsid w:val="00A56636"/>
    <w:rsid w:val="00A56642"/>
    <w:rsid w:val="00A56886"/>
    <w:rsid w:val="00A568B5"/>
    <w:rsid w:val="00A568D4"/>
    <w:rsid w:val="00A5693E"/>
    <w:rsid w:val="00A56C7F"/>
    <w:rsid w:val="00A56C80"/>
    <w:rsid w:val="00A56CA9"/>
    <w:rsid w:val="00A56CCB"/>
    <w:rsid w:val="00A56CD2"/>
    <w:rsid w:val="00A56CD8"/>
    <w:rsid w:val="00A56CE2"/>
    <w:rsid w:val="00A56CFE"/>
    <w:rsid w:val="00A56D76"/>
    <w:rsid w:val="00A56D88"/>
    <w:rsid w:val="00A56DA8"/>
    <w:rsid w:val="00A56DD8"/>
    <w:rsid w:val="00A56E0E"/>
    <w:rsid w:val="00A56E88"/>
    <w:rsid w:val="00A56EC0"/>
    <w:rsid w:val="00A56EDC"/>
    <w:rsid w:val="00A56F5D"/>
    <w:rsid w:val="00A57018"/>
    <w:rsid w:val="00A5706D"/>
    <w:rsid w:val="00A570E7"/>
    <w:rsid w:val="00A5710A"/>
    <w:rsid w:val="00A57125"/>
    <w:rsid w:val="00A5716B"/>
    <w:rsid w:val="00A57252"/>
    <w:rsid w:val="00A57305"/>
    <w:rsid w:val="00A57355"/>
    <w:rsid w:val="00A57464"/>
    <w:rsid w:val="00A57505"/>
    <w:rsid w:val="00A57562"/>
    <w:rsid w:val="00A5756B"/>
    <w:rsid w:val="00A57581"/>
    <w:rsid w:val="00A575A9"/>
    <w:rsid w:val="00A57613"/>
    <w:rsid w:val="00A57617"/>
    <w:rsid w:val="00A57663"/>
    <w:rsid w:val="00A57673"/>
    <w:rsid w:val="00A5767D"/>
    <w:rsid w:val="00A57689"/>
    <w:rsid w:val="00A576A8"/>
    <w:rsid w:val="00A576C2"/>
    <w:rsid w:val="00A576DF"/>
    <w:rsid w:val="00A5777B"/>
    <w:rsid w:val="00A577E8"/>
    <w:rsid w:val="00A57802"/>
    <w:rsid w:val="00A57847"/>
    <w:rsid w:val="00A579B9"/>
    <w:rsid w:val="00A579E7"/>
    <w:rsid w:val="00A579F7"/>
    <w:rsid w:val="00A57A90"/>
    <w:rsid w:val="00A57CA3"/>
    <w:rsid w:val="00A57D49"/>
    <w:rsid w:val="00A57E46"/>
    <w:rsid w:val="00A57E73"/>
    <w:rsid w:val="00A57E82"/>
    <w:rsid w:val="00A57FA6"/>
    <w:rsid w:val="00A5906E"/>
    <w:rsid w:val="00A60063"/>
    <w:rsid w:val="00A60110"/>
    <w:rsid w:val="00A60145"/>
    <w:rsid w:val="00A6025F"/>
    <w:rsid w:val="00A60362"/>
    <w:rsid w:val="00A603D4"/>
    <w:rsid w:val="00A60553"/>
    <w:rsid w:val="00A60596"/>
    <w:rsid w:val="00A6059E"/>
    <w:rsid w:val="00A60660"/>
    <w:rsid w:val="00A606F2"/>
    <w:rsid w:val="00A6077E"/>
    <w:rsid w:val="00A607B6"/>
    <w:rsid w:val="00A607C9"/>
    <w:rsid w:val="00A60868"/>
    <w:rsid w:val="00A60937"/>
    <w:rsid w:val="00A60AAC"/>
    <w:rsid w:val="00A60AE8"/>
    <w:rsid w:val="00A60BDF"/>
    <w:rsid w:val="00A60BE6"/>
    <w:rsid w:val="00A60C52"/>
    <w:rsid w:val="00A60D29"/>
    <w:rsid w:val="00A60D62"/>
    <w:rsid w:val="00A60DC1"/>
    <w:rsid w:val="00A60E22"/>
    <w:rsid w:val="00A60E44"/>
    <w:rsid w:val="00A60ED7"/>
    <w:rsid w:val="00A60F26"/>
    <w:rsid w:val="00A60FA8"/>
    <w:rsid w:val="00A60FD7"/>
    <w:rsid w:val="00A60FF9"/>
    <w:rsid w:val="00A610EC"/>
    <w:rsid w:val="00A6110B"/>
    <w:rsid w:val="00A611E7"/>
    <w:rsid w:val="00A61203"/>
    <w:rsid w:val="00A6122C"/>
    <w:rsid w:val="00A612A3"/>
    <w:rsid w:val="00A61319"/>
    <w:rsid w:val="00A6131F"/>
    <w:rsid w:val="00A61369"/>
    <w:rsid w:val="00A6141B"/>
    <w:rsid w:val="00A61493"/>
    <w:rsid w:val="00A614E6"/>
    <w:rsid w:val="00A614EC"/>
    <w:rsid w:val="00A614FF"/>
    <w:rsid w:val="00A6150F"/>
    <w:rsid w:val="00A616D0"/>
    <w:rsid w:val="00A6175C"/>
    <w:rsid w:val="00A61771"/>
    <w:rsid w:val="00A61780"/>
    <w:rsid w:val="00A61892"/>
    <w:rsid w:val="00A619A1"/>
    <w:rsid w:val="00A619C0"/>
    <w:rsid w:val="00A61ACE"/>
    <w:rsid w:val="00A61C1C"/>
    <w:rsid w:val="00A61D23"/>
    <w:rsid w:val="00A61DCB"/>
    <w:rsid w:val="00A61DF8"/>
    <w:rsid w:val="00A61DFE"/>
    <w:rsid w:val="00A61E07"/>
    <w:rsid w:val="00A61EA9"/>
    <w:rsid w:val="00A61F93"/>
    <w:rsid w:val="00A6205D"/>
    <w:rsid w:val="00A6206C"/>
    <w:rsid w:val="00A620A6"/>
    <w:rsid w:val="00A620DC"/>
    <w:rsid w:val="00A62133"/>
    <w:rsid w:val="00A62240"/>
    <w:rsid w:val="00A62255"/>
    <w:rsid w:val="00A6227C"/>
    <w:rsid w:val="00A622A2"/>
    <w:rsid w:val="00A623C7"/>
    <w:rsid w:val="00A6248D"/>
    <w:rsid w:val="00A6249C"/>
    <w:rsid w:val="00A625C1"/>
    <w:rsid w:val="00A6264D"/>
    <w:rsid w:val="00A62742"/>
    <w:rsid w:val="00A627C6"/>
    <w:rsid w:val="00A627CB"/>
    <w:rsid w:val="00A628F2"/>
    <w:rsid w:val="00A62A2C"/>
    <w:rsid w:val="00A62B9E"/>
    <w:rsid w:val="00A62C81"/>
    <w:rsid w:val="00A62CA9"/>
    <w:rsid w:val="00A62CCD"/>
    <w:rsid w:val="00A62CE6"/>
    <w:rsid w:val="00A62D76"/>
    <w:rsid w:val="00A62DB4"/>
    <w:rsid w:val="00A62DBE"/>
    <w:rsid w:val="00A62E88"/>
    <w:rsid w:val="00A62E8F"/>
    <w:rsid w:val="00A62EC7"/>
    <w:rsid w:val="00A63092"/>
    <w:rsid w:val="00A6318F"/>
    <w:rsid w:val="00A63193"/>
    <w:rsid w:val="00A632F1"/>
    <w:rsid w:val="00A63340"/>
    <w:rsid w:val="00A6341A"/>
    <w:rsid w:val="00A6358E"/>
    <w:rsid w:val="00A635B6"/>
    <w:rsid w:val="00A6360C"/>
    <w:rsid w:val="00A6364D"/>
    <w:rsid w:val="00A637EA"/>
    <w:rsid w:val="00A638BB"/>
    <w:rsid w:val="00A63949"/>
    <w:rsid w:val="00A63A20"/>
    <w:rsid w:val="00A63A79"/>
    <w:rsid w:val="00A63BB2"/>
    <w:rsid w:val="00A63D67"/>
    <w:rsid w:val="00A63E40"/>
    <w:rsid w:val="00A63E93"/>
    <w:rsid w:val="00A63ECD"/>
    <w:rsid w:val="00A63F45"/>
    <w:rsid w:val="00A63F78"/>
    <w:rsid w:val="00A63FB2"/>
    <w:rsid w:val="00A63FD8"/>
    <w:rsid w:val="00A63FE8"/>
    <w:rsid w:val="00A64076"/>
    <w:rsid w:val="00A6412C"/>
    <w:rsid w:val="00A6416C"/>
    <w:rsid w:val="00A64188"/>
    <w:rsid w:val="00A64207"/>
    <w:rsid w:val="00A64357"/>
    <w:rsid w:val="00A64461"/>
    <w:rsid w:val="00A64468"/>
    <w:rsid w:val="00A64520"/>
    <w:rsid w:val="00A64714"/>
    <w:rsid w:val="00A64798"/>
    <w:rsid w:val="00A647D3"/>
    <w:rsid w:val="00A648C3"/>
    <w:rsid w:val="00A648E4"/>
    <w:rsid w:val="00A648E7"/>
    <w:rsid w:val="00A649D4"/>
    <w:rsid w:val="00A649DF"/>
    <w:rsid w:val="00A649E3"/>
    <w:rsid w:val="00A64A2C"/>
    <w:rsid w:val="00A64A92"/>
    <w:rsid w:val="00A64B7D"/>
    <w:rsid w:val="00A64BC2"/>
    <w:rsid w:val="00A64C2F"/>
    <w:rsid w:val="00A64C34"/>
    <w:rsid w:val="00A64C57"/>
    <w:rsid w:val="00A64D0A"/>
    <w:rsid w:val="00A64D5C"/>
    <w:rsid w:val="00A64E8C"/>
    <w:rsid w:val="00A64F12"/>
    <w:rsid w:val="00A64F36"/>
    <w:rsid w:val="00A64F4F"/>
    <w:rsid w:val="00A64F6D"/>
    <w:rsid w:val="00A6509D"/>
    <w:rsid w:val="00A65176"/>
    <w:rsid w:val="00A6517E"/>
    <w:rsid w:val="00A651A2"/>
    <w:rsid w:val="00A651B0"/>
    <w:rsid w:val="00A652F0"/>
    <w:rsid w:val="00A6530E"/>
    <w:rsid w:val="00A6531D"/>
    <w:rsid w:val="00A6534C"/>
    <w:rsid w:val="00A65452"/>
    <w:rsid w:val="00A65479"/>
    <w:rsid w:val="00A6557B"/>
    <w:rsid w:val="00A655D1"/>
    <w:rsid w:val="00A65620"/>
    <w:rsid w:val="00A656F3"/>
    <w:rsid w:val="00A65757"/>
    <w:rsid w:val="00A657FC"/>
    <w:rsid w:val="00A65835"/>
    <w:rsid w:val="00A6587E"/>
    <w:rsid w:val="00A658AF"/>
    <w:rsid w:val="00A658F1"/>
    <w:rsid w:val="00A65A01"/>
    <w:rsid w:val="00A65A34"/>
    <w:rsid w:val="00A65A4A"/>
    <w:rsid w:val="00A65B36"/>
    <w:rsid w:val="00A65C65"/>
    <w:rsid w:val="00A65D5A"/>
    <w:rsid w:val="00A65E0F"/>
    <w:rsid w:val="00A65E47"/>
    <w:rsid w:val="00A6607C"/>
    <w:rsid w:val="00A66159"/>
    <w:rsid w:val="00A6615C"/>
    <w:rsid w:val="00A6623C"/>
    <w:rsid w:val="00A662BB"/>
    <w:rsid w:val="00A662D1"/>
    <w:rsid w:val="00A662E4"/>
    <w:rsid w:val="00A66326"/>
    <w:rsid w:val="00A663A5"/>
    <w:rsid w:val="00A6652E"/>
    <w:rsid w:val="00A66553"/>
    <w:rsid w:val="00A666AB"/>
    <w:rsid w:val="00A667B5"/>
    <w:rsid w:val="00A6680F"/>
    <w:rsid w:val="00A66849"/>
    <w:rsid w:val="00A66886"/>
    <w:rsid w:val="00A668D6"/>
    <w:rsid w:val="00A6696B"/>
    <w:rsid w:val="00A669AA"/>
    <w:rsid w:val="00A66A92"/>
    <w:rsid w:val="00A66AC3"/>
    <w:rsid w:val="00A66B05"/>
    <w:rsid w:val="00A66B07"/>
    <w:rsid w:val="00A66E52"/>
    <w:rsid w:val="00A66EAB"/>
    <w:rsid w:val="00A66EDB"/>
    <w:rsid w:val="00A66F43"/>
    <w:rsid w:val="00A66F46"/>
    <w:rsid w:val="00A67037"/>
    <w:rsid w:val="00A67067"/>
    <w:rsid w:val="00A67107"/>
    <w:rsid w:val="00A67117"/>
    <w:rsid w:val="00A67237"/>
    <w:rsid w:val="00A67246"/>
    <w:rsid w:val="00A67266"/>
    <w:rsid w:val="00A67291"/>
    <w:rsid w:val="00A672E9"/>
    <w:rsid w:val="00A6735E"/>
    <w:rsid w:val="00A6737A"/>
    <w:rsid w:val="00A673D7"/>
    <w:rsid w:val="00A673E5"/>
    <w:rsid w:val="00A67464"/>
    <w:rsid w:val="00A67485"/>
    <w:rsid w:val="00A674FC"/>
    <w:rsid w:val="00A6751D"/>
    <w:rsid w:val="00A67534"/>
    <w:rsid w:val="00A6754A"/>
    <w:rsid w:val="00A675D3"/>
    <w:rsid w:val="00A67635"/>
    <w:rsid w:val="00A6767E"/>
    <w:rsid w:val="00A6774F"/>
    <w:rsid w:val="00A67792"/>
    <w:rsid w:val="00A677FE"/>
    <w:rsid w:val="00A67817"/>
    <w:rsid w:val="00A67A78"/>
    <w:rsid w:val="00A67A88"/>
    <w:rsid w:val="00A67B4B"/>
    <w:rsid w:val="00A67C02"/>
    <w:rsid w:val="00A67D5E"/>
    <w:rsid w:val="00A67D78"/>
    <w:rsid w:val="00A67EC6"/>
    <w:rsid w:val="00A67FF7"/>
    <w:rsid w:val="00A700A5"/>
    <w:rsid w:val="00A700C7"/>
    <w:rsid w:val="00A70109"/>
    <w:rsid w:val="00A70253"/>
    <w:rsid w:val="00A7026B"/>
    <w:rsid w:val="00A70277"/>
    <w:rsid w:val="00A702A9"/>
    <w:rsid w:val="00A7030E"/>
    <w:rsid w:val="00A7048A"/>
    <w:rsid w:val="00A704D0"/>
    <w:rsid w:val="00A70599"/>
    <w:rsid w:val="00A705F6"/>
    <w:rsid w:val="00A706BC"/>
    <w:rsid w:val="00A70866"/>
    <w:rsid w:val="00A7095C"/>
    <w:rsid w:val="00A70965"/>
    <w:rsid w:val="00A7099B"/>
    <w:rsid w:val="00A70A38"/>
    <w:rsid w:val="00A70BDD"/>
    <w:rsid w:val="00A70C1D"/>
    <w:rsid w:val="00A70C32"/>
    <w:rsid w:val="00A70C64"/>
    <w:rsid w:val="00A70CD9"/>
    <w:rsid w:val="00A70E55"/>
    <w:rsid w:val="00A70EE1"/>
    <w:rsid w:val="00A70F38"/>
    <w:rsid w:val="00A70F5C"/>
    <w:rsid w:val="00A71005"/>
    <w:rsid w:val="00A71153"/>
    <w:rsid w:val="00A712D9"/>
    <w:rsid w:val="00A71328"/>
    <w:rsid w:val="00A71389"/>
    <w:rsid w:val="00A7139C"/>
    <w:rsid w:val="00A7146B"/>
    <w:rsid w:val="00A7151E"/>
    <w:rsid w:val="00A7155F"/>
    <w:rsid w:val="00A715C5"/>
    <w:rsid w:val="00A71675"/>
    <w:rsid w:val="00A71717"/>
    <w:rsid w:val="00A71747"/>
    <w:rsid w:val="00A7177A"/>
    <w:rsid w:val="00A71925"/>
    <w:rsid w:val="00A71A35"/>
    <w:rsid w:val="00A71A4D"/>
    <w:rsid w:val="00A71A5F"/>
    <w:rsid w:val="00A71CCF"/>
    <w:rsid w:val="00A71CF8"/>
    <w:rsid w:val="00A71D2D"/>
    <w:rsid w:val="00A71D73"/>
    <w:rsid w:val="00A71DB5"/>
    <w:rsid w:val="00A71E47"/>
    <w:rsid w:val="00A71EA2"/>
    <w:rsid w:val="00A71ECE"/>
    <w:rsid w:val="00A71F0E"/>
    <w:rsid w:val="00A71F1A"/>
    <w:rsid w:val="00A71F30"/>
    <w:rsid w:val="00A7203E"/>
    <w:rsid w:val="00A72095"/>
    <w:rsid w:val="00A720AE"/>
    <w:rsid w:val="00A7211F"/>
    <w:rsid w:val="00A7214C"/>
    <w:rsid w:val="00A72164"/>
    <w:rsid w:val="00A7216B"/>
    <w:rsid w:val="00A72254"/>
    <w:rsid w:val="00A7228E"/>
    <w:rsid w:val="00A72294"/>
    <w:rsid w:val="00A7231A"/>
    <w:rsid w:val="00A72336"/>
    <w:rsid w:val="00A723BF"/>
    <w:rsid w:val="00A723C9"/>
    <w:rsid w:val="00A725B1"/>
    <w:rsid w:val="00A725F9"/>
    <w:rsid w:val="00A726EA"/>
    <w:rsid w:val="00A7275F"/>
    <w:rsid w:val="00A727CA"/>
    <w:rsid w:val="00A727EA"/>
    <w:rsid w:val="00A72827"/>
    <w:rsid w:val="00A728E1"/>
    <w:rsid w:val="00A72A83"/>
    <w:rsid w:val="00A72AED"/>
    <w:rsid w:val="00A72AF3"/>
    <w:rsid w:val="00A72B39"/>
    <w:rsid w:val="00A72B64"/>
    <w:rsid w:val="00A72C1B"/>
    <w:rsid w:val="00A72C67"/>
    <w:rsid w:val="00A72CAA"/>
    <w:rsid w:val="00A72D0B"/>
    <w:rsid w:val="00A72D1F"/>
    <w:rsid w:val="00A72D42"/>
    <w:rsid w:val="00A72DFB"/>
    <w:rsid w:val="00A72E62"/>
    <w:rsid w:val="00A72E96"/>
    <w:rsid w:val="00A72F8B"/>
    <w:rsid w:val="00A72F9E"/>
    <w:rsid w:val="00A72FAB"/>
    <w:rsid w:val="00A7302D"/>
    <w:rsid w:val="00A73073"/>
    <w:rsid w:val="00A730A4"/>
    <w:rsid w:val="00A73172"/>
    <w:rsid w:val="00A731AB"/>
    <w:rsid w:val="00A731DA"/>
    <w:rsid w:val="00A7331E"/>
    <w:rsid w:val="00A7337B"/>
    <w:rsid w:val="00A733AA"/>
    <w:rsid w:val="00A733AB"/>
    <w:rsid w:val="00A733E9"/>
    <w:rsid w:val="00A73421"/>
    <w:rsid w:val="00A73464"/>
    <w:rsid w:val="00A734AB"/>
    <w:rsid w:val="00A734B4"/>
    <w:rsid w:val="00A73511"/>
    <w:rsid w:val="00A7351A"/>
    <w:rsid w:val="00A73534"/>
    <w:rsid w:val="00A73614"/>
    <w:rsid w:val="00A73653"/>
    <w:rsid w:val="00A7377C"/>
    <w:rsid w:val="00A737A2"/>
    <w:rsid w:val="00A73837"/>
    <w:rsid w:val="00A7386B"/>
    <w:rsid w:val="00A738B1"/>
    <w:rsid w:val="00A738EE"/>
    <w:rsid w:val="00A739DB"/>
    <w:rsid w:val="00A739F1"/>
    <w:rsid w:val="00A73AA7"/>
    <w:rsid w:val="00A73B5B"/>
    <w:rsid w:val="00A73B96"/>
    <w:rsid w:val="00A73C55"/>
    <w:rsid w:val="00A73C73"/>
    <w:rsid w:val="00A73E3F"/>
    <w:rsid w:val="00A73EF1"/>
    <w:rsid w:val="00A73F0F"/>
    <w:rsid w:val="00A74006"/>
    <w:rsid w:val="00A74242"/>
    <w:rsid w:val="00A74284"/>
    <w:rsid w:val="00A742D9"/>
    <w:rsid w:val="00A742E1"/>
    <w:rsid w:val="00A74302"/>
    <w:rsid w:val="00A74308"/>
    <w:rsid w:val="00A743B0"/>
    <w:rsid w:val="00A74476"/>
    <w:rsid w:val="00A7454E"/>
    <w:rsid w:val="00A746B3"/>
    <w:rsid w:val="00A746D3"/>
    <w:rsid w:val="00A74763"/>
    <w:rsid w:val="00A747D3"/>
    <w:rsid w:val="00A7482B"/>
    <w:rsid w:val="00A74882"/>
    <w:rsid w:val="00A74927"/>
    <w:rsid w:val="00A7497B"/>
    <w:rsid w:val="00A749AE"/>
    <w:rsid w:val="00A74CC0"/>
    <w:rsid w:val="00A74CCF"/>
    <w:rsid w:val="00A74D38"/>
    <w:rsid w:val="00A74E6F"/>
    <w:rsid w:val="00A74E7C"/>
    <w:rsid w:val="00A74F6A"/>
    <w:rsid w:val="00A74F88"/>
    <w:rsid w:val="00A74FB1"/>
    <w:rsid w:val="00A750D6"/>
    <w:rsid w:val="00A750E0"/>
    <w:rsid w:val="00A751CB"/>
    <w:rsid w:val="00A75291"/>
    <w:rsid w:val="00A752ED"/>
    <w:rsid w:val="00A75354"/>
    <w:rsid w:val="00A75372"/>
    <w:rsid w:val="00A7537A"/>
    <w:rsid w:val="00A753B2"/>
    <w:rsid w:val="00A75436"/>
    <w:rsid w:val="00A75499"/>
    <w:rsid w:val="00A756F0"/>
    <w:rsid w:val="00A7577B"/>
    <w:rsid w:val="00A75782"/>
    <w:rsid w:val="00A757E1"/>
    <w:rsid w:val="00A75814"/>
    <w:rsid w:val="00A75875"/>
    <w:rsid w:val="00A758A8"/>
    <w:rsid w:val="00A75965"/>
    <w:rsid w:val="00A75A09"/>
    <w:rsid w:val="00A75B19"/>
    <w:rsid w:val="00A75B3D"/>
    <w:rsid w:val="00A75B8B"/>
    <w:rsid w:val="00A75C01"/>
    <w:rsid w:val="00A75C52"/>
    <w:rsid w:val="00A75CA7"/>
    <w:rsid w:val="00A75CFE"/>
    <w:rsid w:val="00A75DF6"/>
    <w:rsid w:val="00A75E28"/>
    <w:rsid w:val="00A75E34"/>
    <w:rsid w:val="00A75FD0"/>
    <w:rsid w:val="00A76027"/>
    <w:rsid w:val="00A76059"/>
    <w:rsid w:val="00A76079"/>
    <w:rsid w:val="00A760C0"/>
    <w:rsid w:val="00A7615A"/>
    <w:rsid w:val="00A76160"/>
    <w:rsid w:val="00A7621B"/>
    <w:rsid w:val="00A76333"/>
    <w:rsid w:val="00A7637A"/>
    <w:rsid w:val="00A763CA"/>
    <w:rsid w:val="00A7647A"/>
    <w:rsid w:val="00A764F3"/>
    <w:rsid w:val="00A7651B"/>
    <w:rsid w:val="00A7659D"/>
    <w:rsid w:val="00A7660A"/>
    <w:rsid w:val="00A766F1"/>
    <w:rsid w:val="00A7670D"/>
    <w:rsid w:val="00A76773"/>
    <w:rsid w:val="00A768A5"/>
    <w:rsid w:val="00A76980"/>
    <w:rsid w:val="00A76984"/>
    <w:rsid w:val="00A769A8"/>
    <w:rsid w:val="00A76B96"/>
    <w:rsid w:val="00A76C49"/>
    <w:rsid w:val="00A76CAD"/>
    <w:rsid w:val="00A76D62"/>
    <w:rsid w:val="00A76E34"/>
    <w:rsid w:val="00A76E44"/>
    <w:rsid w:val="00A76E79"/>
    <w:rsid w:val="00A76E7F"/>
    <w:rsid w:val="00A76ED4"/>
    <w:rsid w:val="00A76FC4"/>
    <w:rsid w:val="00A770CE"/>
    <w:rsid w:val="00A77133"/>
    <w:rsid w:val="00A7719D"/>
    <w:rsid w:val="00A771E8"/>
    <w:rsid w:val="00A771FF"/>
    <w:rsid w:val="00A77236"/>
    <w:rsid w:val="00A77265"/>
    <w:rsid w:val="00A7729C"/>
    <w:rsid w:val="00A772D5"/>
    <w:rsid w:val="00A772D6"/>
    <w:rsid w:val="00A772EE"/>
    <w:rsid w:val="00A7738B"/>
    <w:rsid w:val="00A77399"/>
    <w:rsid w:val="00A7739F"/>
    <w:rsid w:val="00A77414"/>
    <w:rsid w:val="00A7742A"/>
    <w:rsid w:val="00A774A8"/>
    <w:rsid w:val="00A775E1"/>
    <w:rsid w:val="00A775ED"/>
    <w:rsid w:val="00A776C7"/>
    <w:rsid w:val="00A77741"/>
    <w:rsid w:val="00A777EB"/>
    <w:rsid w:val="00A77800"/>
    <w:rsid w:val="00A7787B"/>
    <w:rsid w:val="00A77947"/>
    <w:rsid w:val="00A77950"/>
    <w:rsid w:val="00A77954"/>
    <w:rsid w:val="00A77959"/>
    <w:rsid w:val="00A77A86"/>
    <w:rsid w:val="00A77AE8"/>
    <w:rsid w:val="00A77C00"/>
    <w:rsid w:val="00A77C52"/>
    <w:rsid w:val="00A77C99"/>
    <w:rsid w:val="00A77D9C"/>
    <w:rsid w:val="00A77F0E"/>
    <w:rsid w:val="00A77F2A"/>
    <w:rsid w:val="00A77F43"/>
    <w:rsid w:val="00A77F44"/>
    <w:rsid w:val="00A77F54"/>
    <w:rsid w:val="00A77F57"/>
    <w:rsid w:val="00A8004D"/>
    <w:rsid w:val="00A800EA"/>
    <w:rsid w:val="00A80284"/>
    <w:rsid w:val="00A8029E"/>
    <w:rsid w:val="00A8033A"/>
    <w:rsid w:val="00A80368"/>
    <w:rsid w:val="00A8038B"/>
    <w:rsid w:val="00A80397"/>
    <w:rsid w:val="00A80490"/>
    <w:rsid w:val="00A8052E"/>
    <w:rsid w:val="00A805E2"/>
    <w:rsid w:val="00A805F4"/>
    <w:rsid w:val="00A80609"/>
    <w:rsid w:val="00A80832"/>
    <w:rsid w:val="00A80976"/>
    <w:rsid w:val="00A809E8"/>
    <w:rsid w:val="00A80ABE"/>
    <w:rsid w:val="00A80F02"/>
    <w:rsid w:val="00A80F4C"/>
    <w:rsid w:val="00A80F9E"/>
    <w:rsid w:val="00A81008"/>
    <w:rsid w:val="00A8126E"/>
    <w:rsid w:val="00A81304"/>
    <w:rsid w:val="00A8133C"/>
    <w:rsid w:val="00A813AB"/>
    <w:rsid w:val="00A813B2"/>
    <w:rsid w:val="00A8154E"/>
    <w:rsid w:val="00A815B0"/>
    <w:rsid w:val="00A81602"/>
    <w:rsid w:val="00A816DF"/>
    <w:rsid w:val="00A816EA"/>
    <w:rsid w:val="00A8178A"/>
    <w:rsid w:val="00A81791"/>
    <w:rsid w:val="00A817A7"/>
    <w:rsid w:val="00A8181A"/>
    <w:rsid w:val="00A8185D"/>
    <w:rsid w:val="00A81877"/>
    <w:rsid w:val="00A8187A"/>
    <w:rsid w:val="00A81881"/>
    <w:rsid w:val="00A818C0"/>
    <w:rsid w:val="00A818C8"/>
    <w:rsid w:val="00A8192C"/>
    <w:rsid w:val="00A81968"/>
    <w:rsid w:val="00A81ACC"/>
    <w:rsid w:val="00A81BC9"/>
    <w:rsid w:val="00A81D81"/>
    <w:rsid w:val="00A81DCC"/>
    <w:rsid w:val="00A81E4F"/>
    <w:rsid w:val="00A81F63"/>
    <w:rsid w:val="00A81FB2"/>
    <w:rsid w:val="00A82032"/>
    <w:rsid w:val="00A8208F"/>
    <w:rsid w:val="00A82101"/>
    <w:rsid w:val="00A8218F"/>
    <w:rsid w:val="00A821F7"/>
    <w:rsid w:val="00A82207"/>
    <w:rsid w:val="00A82219"/>
    <w:rsid w:val="00A82279"/>
    <w:rsid w:val="00A822F5"/>
    <w:rsid w:val="00A82388"/>
    <w:rsid w:val="00A82452"/>
    <w:rsid w:val="00A8245D"/>
    <w:rsid w:val="00A82464"/>
    <w:rsid w:val="00A824A4"/>
    <w:rsid w:val="00A824EA"/>
    <w:rsid w:val="00A82558"/>
    <w:rsid w:val="00A825B3"/>
    <w:rsid w:val="00A825E5"/>
    <w:rsid w:val="00A825EB"/>
    <w:rsid w:val="00A826EE"/>
    <w:rsid w:val="00A8274B"/>
    <w:rsid w:val="00A827BC"/>
    <w:rsid w:val="00A8289D"/>
    <w:rsid w:val="00A829C5"/>
    <w:rsid w:val="00A82B00"/>
    <w:rsid w:val="00A82BE5"/>
    <w:rsid w:val="00A82BF2"/>
    <w:rsid w:val="00A82CF0"/>
    <w:rsid w:val="00A82D5F"/>
    <w:rsid w:val="00A82DD4"/>
    <w:rsid w:val="00A82DFA"/>
    <w:rsid w:val="00A82EF2"/>
    <w:rsid w:val="00A82F2F"/>
    <w:rsid w:val="00A83035"/>
    <w:rsid w:val="00A83188"/>
    <w:rsid w:val="00A831B3"/>
    <w:rsid w:val="00A832BE"/>
    <w:rsid w:val="00A834DA"/>
    <w:rsid w:val="00A8350B"/>
    <w:rsid w:val="00A83623"/>
    <w:rsid w:val="00A836BE"/>
    <w:rsid w:val="00A8378C"/>
    <w:rsid w:val="00A837E2"/>
    <w:rsid w:val="00A839A0"/>
    <w:rsid w:val="00A83A16"/>
    <w:rsid w:val="00A83AF3"/>
    <w:rsid w:val="00A83AFA"/>
    <w:rsid w:val="00A83AFC"/>
    <w:rsid w:val="00A83B03"/>
    <w:rsid w:val="00A83B45"/>
    <w:rsid w:val="00A83BB3"/>
    <w:rsid w:val="00A83C03"/>
    <w:rsid w:val="00A83C84"/>
    <w:rsid w:val="00A83D0F"/>
    <w:rsid w:val="00A83E01"/>
    <w:rsid w:val="00A83E82"/>
    <w:rsid w:val="00A83EA1"/>
    <w:rsid w:val="00A83F13"/>
    <w:rsid w:val="00A83F85"/>
    <w:rsid w:val="00A83FA6"/>
    <w:rsid w:val="00A83FEA"/>
    <w:rsid w:val="00A84006"/>
    <w:rsid w:val="00A8402A"/>
    <w:rsid w:val="00A8403E"/>
    <w:rsid w:val="00A84077"/>
    <w:rsid w:val="00A8408F"/>
    <w:rsid w:val="00A840C2"/>
    <w:rsid w:val="00A840F2"/>
    <w:rsid w:val="00A84113"/>
    <w:rsid w:val="00A8419A"/>
    <w:rsid w:val="00A842FF"/>
    <w:rsid w:val="00A84300"/>
    <w:rsid w:val="00A843EC"/>
    <w:rsid w:val="00A8444F"/>
    <w:rsid w:val="00A844F0"/>
    <w:rsid w:val="00A84519"/>
    <w:rsid w:val="00A84681"/>
    <w:rsid w:val="00A846D3"/>
    <w:rsid w:val="00A84740"/>
    <w:rsid w:val="00A84867"/>
    <w:rsid w:val="00A84898"/>
    <w:rsid w:val="00A84A61"/>
    <w:rsid w:val="00A84AC5"/>
    <w:rsid w:val="00A84AD5"/>
    <w:rsid w:val="00A84AEB"/>
    <w:rsid w:val="00A84BA1"/>
    <w:rsid w:val="00A84BD8"/>
    <w:rsid w:val="00A84BEE"/>
    <w:rsid w:val="00A84C7A"/>
    <w:rsid w:val="00A84C81"/>
    <w:rsid w:val="00A84D3A"/>
    <w:rsid w:val="00A84DEC"/>
    <w:rsid w:val="00A84E92"/>
    <w:rsid w:val="00A84F13"/>
    <w:rsid w:val="00A85023"/>
    <w:rsid w:val="00A85027"/>
    <w:rsid w:val="00A85061"/>
    <w:rsid w:val="00A8507F"/>
    <w:rsid w:val="00A8513F"/>
    <w:rsid w:val="00A8514D"/>
    <w:rsid w:val="00A8516A"/>
    <w:rsid w:val="00A851ED"/>
    <w:rsid w:val="00A85201"/>
    <w:rsid w:val="00A852EB"/>
    <w:rsid w:val="00A8546F"/>
    <w:rsid w:val="00A85540"/>
    <w:rsid w:val="00A855A1"/>
    <w:rsid w:val="00A8561A"/>
    <w:rsid w:val="00A85632"/>
    <w:rsid w:val="00A856A0"/>
    <w:rsid w:val="00A8574D"/>
    <w:rsid w:val="00A85753"/>
    <w:rsid w:val="00A85793"/>
    <w:rsid w:val="00A8588E"/>
    <w:rsid w:val="00A858A5"/>
    <w:rsid w:val="00A858BB"/>
    <w:rsid w:val="00A858F3"/>
    <w:rsid w:val="00A85936"/>
    <w:rsid w:val="00A859D9"/>
    <w:rsid w:val="00A85A01"/>
    <w:rsid w:val="00A85A7D"/>
    <w:rsid w:val="00A85A96"/>
    <w:rsid w:val="00A85AB8"/>
    <w:rsid w:val="00A85B7F"/>
    <w:rsid w:val="00A85BC6"/>
    <w:rsid w:val="00A85BD9"/>
    <w:rsid w:val="00A85BE8"/>
    <w:rsid w:val="00A85C68"/>
    <w:rsid w:val="00A85C85"/>
    <w:rsid w:val="00A85CE8"/>
    <w:rsid w:val="00A85D1F"/>
    <w:rsid w:val="00A85D52"/>
    <w:rsid w:val="00A85E32"/>
    <w:rsid w:val="00A85EF7"/>
    <w:rsid w:val="00A85F53"/>
    <w:rsid w:val="00A8603D"/>
    <w:rsid w:val="00A8608E"/>
    <w:rsid w:val="00A860E3"/>
    <w:rsid w:val="00A86164"/>
    <w:rsid w:val="00A8627E"/>
    <w:rsid w:val="00A8628A"/>
    <w:rsid w:val="00A86321"/>
    <w:rsid w:val="00A863A0"/>
    <w:rsid w:val="00A863A3"/>
    <w:rsid w:val="00A863CC"/>
    <w:rsid w:val="00A863D6"/>
    <w:rsid w:val="00A863EA"/>
    <w:rsid w:val="00A864A0"/>
    <w:rsid w:val="00A8653C"/>
    <w:rsid w:val="00A8657B"/>
    <w:rsid w:val="00A8670D"/>
    <w:rsid w:val="00A86756"/>
    <w:rsid w:val="00A867A6"/>
    <w:rsid w:val="00A86869"/>
    <w:rsid w:val="00A86887"/>
    <w:rsid w:val="00A868F1"/>
    <w:rsid w:val="00A869E4"/>
    <w:rsid w:val="00A869E9"/>
    <w:rsid w:val="00A86B93"/>
    <w:rsid w:val="00A86E27"/>
    <w:rsid w:val="00A870AC"/>
    <w:rsid w:val="00A87128"/>
    <w:rsid w:val="00A8719A"/>
    <w:rsid w:val="00A87262"/>
    <w:rsid w:val="00A872C7"/>
    <w:rsid w:val="00A872FC"/>
    <w:rsid w:val="00A873BC"/>
    <w:rsid w:val="00A874F7"/>
    <w:rsid w:val="00A8754F"/>
    <w:rsid w:val="00A87562"/>
    <w:rsid w:val="00A875BF"/>
    <w:rsid w:val="00A875E4"/>
    <w:rsid w:val="00A87686"/>
    <w:rsid w:val="00A8768B"/>
    <w:rsid w:val="00A8774F"/>
    <w:rsid w:val="00A87765"/>
    <w:rsid w:val="00A87777"/>
    <w:rsid w:val="00A8780F"/>
    <w:rsid w:val="00A87881"/>
    <w:rsid w:val="00A878A7"/>
    <w:rsid w:val="00A879C2"/>
    <w:rsid w:val="00A87A17"/>
    <w:rsid w:val="00A87A27"/>
    <w:rsid w:val="00A87A66"/>
    <w:rsid w:val="00A87C1E"/>
    <w:rsid w:val="00A87C86"/>
    <w:rsid w:val="00A87CC7"/>
    <w:rsid w:val="00A87E35"/>
    <w:rsid w:val="00A87E63"/>
    <w:rsid w:val="00A87FCD"/>
    <w:rsid w:val="00A9007E"/>
    <w:rsid w:val="00A9008F"/>
    <w:rsid w:val="00A900D1"/>
    <w:rsid w:val="00A90166"/>
    <w:rsid w:val="00A9027C"/>
    <w:rsid w:val="00A9028F"/>
    <w:rsid w:val="00A904B4"/>
    <w:rsid w:val="00A904F7"/>
    <w:rsid w:val="00A90616"/>
    <w:rsid w:val="00A9063C"/>
    <w:rsid w:val="00A9066F"/>
    <w:rsid w:val="00A906D8"/>
    <w:rsid w:val="00A907D6"/>
    <w:rsid w:val="00A9080C"/>
    <w:rsid w:val="00A90824"/>
    <w:rsid w:val="00A90828"/>
    <w:rsid w:val="00A90871"/>
    <w:rsid w:val="00A90936"/>
    <w:rsid w:val="00A90A0B"/>
    <w:rsid w:val="00A90A1B"/>
    <w:rsid w:val="00A90AB6"/>
    <w:rsid w:val="00A90B49"/>
    <w:rsid w:val="00A90CCB"/>
    <w:rsid w:val="00A90CF0"/>
    <w:rsid w:val="00A90DB4"/>
    <w:rsid w:val="00A90DC2"/>
    <w:rsid w:val="00A90E9B"/>
    <w:rsid w:val="00A90ED1"/>
    <w:rsid w:val="00A90EE6"/>
    <w:rsid w:val="00A90F4D"/>
    <w:rsid w:val="00A91132"/>
    <w:rsid w:val="00A91169"/>
    <w:rsid w:val="00A911CF"/>
    <w:rsid w:val="00A911D0"/>
    <w:rsid w:val="00A911F3"/>
    <w:rsid w:val="00A9121A"/>
    <w:rsid w:val="00A91239"/>
    <w:rsid w:val="00A91312"/>
    <w:rsid w:val="00A913DE"/>
    <w:rsid w:val="00A9158A"/>
    <w:rsid w:val="00A916CC"/>
    <w:rsid w:val="00A91749"/>
    <w:rsid w:val="00A91752"/>
    <w:rsid w:val="00A91787"/>
    <w:rsid w:val="00A917AF"/>
    <w:rsid w:val="00A9182C"/>
    <w:rsid w:val="00A9194E"/>
    <w:rsid w:val="00A91A2E"/>
    <w:rsid w:val="00A91A45"/>
    <w:rsid w:val="00A91A46"/>
    <w:rsid w:val="00A91B09"/>
    <w:rsid w:val="00A91C06"/>
    <w:rsid w:val="00A91CCF"/>
    <w:rsid w:val="00A91D42"/>
    <w:rsid w:val="00A91ECF"/>
    <w:rsid w:val="00A91F26"/>
    <w:rsid w:val="00A91FAE"/>
    <w:rsid w:val="00A91FB3"/>
    <w:rsid w:val="00A9202B"/>
    <w:rsid w:val="00A920E6"/>
    <w:rsid w:val="00A920F8"/>
    <w:rsid w:val="00A92111"/>
    <w:rsid w:val="00A922C2"/>
    <w:rsid w:val="00A922F3"/>
    <w:rsid w:val="00A9235B"/>
    <w:rsid w:val="00A9243F"/>
    <w:rsid w:val="00A924C5"/>
    <w:rsid w:val="00A924FA"/>
    <w:rsid w:val="00A9256B"/>
    <w:rsid w:val="00A92603"/>
    <w:rsid w:val="00A9262A"/>
    <w:rsid w:val="00A926DA"/>
    <w:rsid w:val="00A92798"/>
    <w:rsid w:val="00A927BD"/>
    <w:rsid w:val="00A9282A"/>
    <w:rsid w:val="00A92892"/>
    <w:rsid w:val="00A92898"/>
    <w:rsid w:val="00A928B4"/>
    <w:rsid w:val="00A928EA"/>
    <w:rsid w:val="00A928F7"/>
    <w:rsid w:val="00A928FC"/>
    <w:rsid w:val="00A9297F"/>
    <w:rsid w:val="00A92986"/>
    <w:rsid w:val="00A929F4"/>
    <w:rsid w:val="00A92A04"/>
    <w:rsid w:val="00A92A9D"/>
    <w:rsid w:val="00A92BBE"/>
    <w:rsid w:val="00A92BC6"/>
    <w:rsid w:val="00A92BCE"/>
    <w:rsid w:val="00A92C0D"/>
    <w:rsid w:val="00A92D29"/>
    <w:rsid w:val="00A92DB6"/>
    <w:rsid w:val="00A92E57"/>
    <w:rsid w:val="00A92E9E"/>
    <w:rsid w:val="00A92F6A"/>
    <w:rsid w:val="00A92F93"/>
    <w:rsid w:val="00A93019"/>
    <w:rsid w:val="00A93072"/>
    <w:rsid w:val="00A93073"/>
    <w:rsid w:val="00A930CB"/>
    <w:rsid w:val="00A930E6"/>
    <w:rsid w:val="00A9315D"/>
    <w:rsid w:val="00A9316E"/>
    <w:rsid w:val="00A93188"/>
    <w:rsid w:val="00A931BE"/>
    <w:rsid w:val="00A931E8"/>
    <w:rsid w:val="00A93271"/>
    <w:rsid w:val="00A9334B"/>
    <w:rsid w:val="00A93538"/>
    <w:rsid w:val="00A93597"/>
    <w:rsid w:val="00A936CB"/>
    <w:rsid w:val="00A936FC"/>
    <w:rsid w:val="00A937B5"/>
    <w:rsid w:val="00A93955"/>
    <w:rsid w:val="00A93A09"/>
    <w:rsid w:val="00A93ADF"/>
    <w:rsid w:val="00A93AE7"/>
    <w:rsid w:val="00A93B4C"/>
    <w:rsid w:val="00A93C50"/>
    <w:rsid w:val="00A93D1D"/>
    <w:rsid w:val="00A93D91"/>
    <w:rsid w:val="00A93DC4"/>
    <w:rsid w:val="00A93E32"/>
    <w:rsid w:val="00A93E42"/>
    <w:rsid w:val="00A93E6A"/>
    <w:rsid w:val="00A93FDC"/>
    <w:rsid w:val="00A94007"/>
    <w:rsid w:val="00A940B7"/>
    <w:rsid w:val="00A940BF"/>
    <w:rsid w:val="00A9422A"/>
    <w:rsid w:val="00A9425E"/>
    <w:rsid w:val="00A94301"/>
    <w:rsid w:val="00A943C1"/>
    <w:rsid w:val="00A943C6"/>
    <w:rsid w:val="00A94664"/>
    <w:rsid w:val="00A946DD"/>
    <w:rsid w:val="00A947E2"/>
    <w:rsid w:val="00A94914"/>
    <w:rsid w:val="00A949DB"/>
    <w:rsid w:val="00A94A11"/>
    <w:rsid w:val="00A94B13"/>
    <w:rsid w:val="00A94B2A"/>
    <w:rsid w:val="00A94B57"/>
    <w:rsid w:val="00A94C35"/>
    <w:rsid w:val="00A94D9F"/>
    <w:rsid w:val="00A94F9E"/>
    <w:rsid w:val="00A95061"/>
    <w:rsid w:val="00A950A4"/>
    <w:rsid w:val="00A95118"/>
    <w:rsid w:val="00A95124"/>
    <w:rsid w:val="00A95136"/>
    <w:rsid w:val="00A951DE"/>
    <w:rsid w:val="00A95230"/>
    <w:rsid w:val="00A9539A"/>
    <w:rsid w:val="00A953C7"/>
    <w:rsid w:val="00A95511"/>
    <w:rsid w:val="00A95530"/>
    <w:rsid w:val="00A95558"/>
    <w:rsid w:val="00A9563C"/>
    <w:rsid w:val="00A956CF"/>
    <w:rsid w:val="00A956E5"/>
    <w:rsid w:val="00A957F0"/>
    <w:rsid w:val="00A95898"/>
    <w:rsid w:val="00A958C2"/>
    <w:rsid w:val="00A95976"/>
    <w:rsid w:val="00A95A7B"/>
    <w:rsid w:val="00A95A8C"/>
    <w:rsid w:val="00A95AE3"/>
    <w:rsid w:val="00A95B1C"/>
    <w:rsid w:val="00A95C61"/>
    <w:rsid w:val="00A95C62"/>
    <w:rsid w:val="00A95D01"/>
    <w:rsid w:val="00A95D09"/>
    <w:rsid w:val="00A95DBF"/>
    <w:rsid w:val="00A95DF9"/>
    <w:rsid w:val="00A95DFC"/>
    <w:rsid w:val="00A95F9E"/>
    <w:rsid w:val="00A9604D"/>
    <w:rsid w:val="00A9606E"/>
    <w:rsid w:val="00A960F4"/>
    <w:rsid w:val="00A96158"/>
    <w:rsid w:val="00A961F0"/>
    <w:rsid w:val="00A96270"/>
    <w:rsid w:val="00A9627C"/>
    <w:rsid w:val="00A96284"/>
    <w:rsid w:val="00A96335"/>
    <w:rsid w:val="00A9637D"/>
    <w:rsid w:val="00A964AA"/>
    <w:rsid w:val="00A96548"/>
    <w:rsid w:val="00A96586"/>
    <w:rsid w:val="00A965F2"/>
    <w:rsid w:val="00A96671"/>
    <w:rsid w:val="00A9672D"/>
    <w:rsid w:val="00A96771"/>
    <w:rsid w:val="00A96873"/>
    <w:rsid w:val="00A96900"/>
    <w:rsid w:val="00A96946"/>
    <w:rsid w:val="00A9697A"/>
    <w:rsid w:val="00A969BE"/>
    <w:rsid w:val="00A96A06"/>
    <w:rsid w:val="00A96A9D"/>
    <w:rsid w:val="00A96ACB"/>
    <w:rsid w:val="00A96B1E"/>
    <w:rsid w:val="00A96B6A"/>
    <w:rsid w:val="00A96BF7"/>
    <w:rsid w:val="00A96C22"/>
    <w:rsid w:val="00A96CBE"/>
    <w:rsid w:val="00A96E0D"/>
    <w:rsid w:val="00A96E31"/>
    <w:rsid w:val="00A96E7C"/>
    <w:rsid w:val="00A96F1F"/>
    <w:rsid w:val="00A97253"/>
    <w:rsid w:val="00A97277"/>
    <w:rsid w:val="00A9730F"/>
    <w:rsid w:val="00A97380"/>
    <w:rsid w:val="00A97420"/>
    <w:rsid w:val="00A97497"/>
    <w:rsid w:val="00A97555"/>
    <w:rsid w:val="00A975C0"/>
    <w:rsid w:val="00A97619"/>
    <w:rsid w:val="00A97670"/>
    <w:rsid w:val="00A976A4"/>
    <w:rsid w:val="00A97717"/>
    <w:rsid w:val="00A977C2"/>
    <w:rsid w:val="00A977CC"/>
    <w:rsid w:val="00A97811"/>
    <w:rsid w:val="00A97937"/>
    <w:rsid w:val="00A97952"/>
    <w:rsid w:val="00A979A0"/>
    <w:rsid w:val="00A97A77"/>
    <w:rsid w:val="00A97AAE"/>
    <w:rsid w:val="00A97B19"/>
    <w:rsid w:val="00A97C18"/>
    <w:rsid w:val="00A97CB7"/>
    <w:rsid w:val="00A97D72"/>
    <w:rsid w:val="00A97DB5"/>
    <w:rsid w:val="00A97DE4"/>
    <w:rsid w:val="00A97DF9"/>
    <w:rsid w:val="00A97EB0"/>
    <w:rsid w:val="00A97EE9"/>
    <w:rsid w:val="00AA0076"/>
    <w:rsid w:val="00AA0130"/>
    <w:rsid w:val="00AA01DF"/>
    <w:rsid w:val="00AA01E0"/>
    <w:rsid w:val="00AA0243"/>
    <w:rsid w:val="00AA02D2"/>
    <w:rsid w:val="00AA03A2"/>
    <w:rsid w:val="00AA03E4"/>
    <w:rsid w:val="00AA053B"/>
    <w:rsid w:val="00AA058D"/>
    <w:rsid w:val="00AA073B"/>
    <w:rsid w:val="00AA0775"/>
    <w:rsid w:val="00AA07A9"/>
    <w:rsid w:val="00AA08BF"/>
    <w:rsid w:val="00AA08D5"/>
    <w:rsid w:val="00AA08FB"/>
    <w:rsid w:val="00AA08FC"/>
    <w:rsid w:val="00AA0914"/>
    <w:rsid w:val="00AA09AF"/>
    <w:rsid w:val="00AA0A15"/>
    <w:rsid w:val="00AA0BA2"/>
    <w:rsid w:val="00AA0BA6"/>
    <w:rsid w:val="00AA0C19"/>
    <w:rsid w:val="00AA0CD0"/>
    <w:rsid w:val="00AA0CFC"/>
    <w:rsid w:val="00AA0E9E"/>
    <w:rsid w:val="00AA0F12"/>
    <w:rsid w:val="00AA0F13"/>
    <w:rsid w:val="00AA0F77"/>
    <w:rsid w:val="00AA0F8F"/>
    <w:rsid w:val="00AA10B9"/>
    <w:rsid w:val="00AA10BB"/>
    <w:rsid w:val="00AA1199"/>
    <w:rsid w:val="00AA11F8"/>
    <w:rsid w:val="00AA1209"/>
    <w:rsid w:val="00AA1237"/>
    <w:rsid w:val="00AA127A"/>
    <w:rsid w:val="00AA12D3"/>
    <w:rsid w:val="00AA12EC"/>
    <w:rsid w:val="00AA135D"/>
    <w:rsid w:val="00AA13EE"/>
    <w:rsid w:val="00AA140C"/>
    <w:rsid w:val="00AA1460"/>
    <w:rsid w:val="00AA1520"/>
    <w:rsid w:val="00AA1631"/>
    <w:rsid w:val="00AA16A2"/>
    <w:rsid w:val="00AA16A3"/>
    <w:rsid w:val="00AA1782"/>
    <w:rsid w:val="00AA1869"/>
    <w:rsid w:val="00AA187D"/>
    <w:rsid w:val="00AA188F"/>
    <w:rsid w:val="00AA1918"/>
    <w:rsid w:val="00AA1A94"/>
    <w:rsid w:val="00AA1AEE"/>
    <w:rsid w:val="00AA1B05"/>
    <w:rsid w:val="00AA1BB5"/>
    <w:rsid w:val="00AA1C23"/>
    <w:rsid w:val="00AA1C38"/>
    <w:rsid w:val="00AA1C74"/>
    <w:rsid w:val="00AA1C78"/>
    <w:rsid w:val="00AA1D71"/>
    <w:rsid w:val="00AA1DCC"/>
    <w:rsid w:val="00AA1EDB"/>
    <w:rsid w:val="00AA1F3B"/>
    <w:rsid w:val="00AA1F6B"/>
    <w:rsid w:val="00AA1FC3"/>
    <w:rsid w:val="00AA2007"/>
    <w:rsid w:val="00AA200F"/>
    <w:rsid w:val="00AA20A1"/>
    <w:rsid w:val="00AA21A6"/>
    <w:rsid w:val="00AA2291"/>
    <w:rsid w:val="00AA2292"/>
    <w:rsid w:val="00AA2380"/>
    <w:rsid w:val="00AA23CC"/>
    <w:rsid w:val="00AA249A"/>
    <w:rsid w:val="00AA2501"/>
    <w:rsid w:val="00AA2598"/>
    <w:rsid w:val="00AA2627"/>
    <w:rsid w:val="00AA2652"/>
    <w:rsid w:val="00AA268C"/>
    <w:rsid w:val="00AA26D4"/>
    <w:rsid w:val="00AA278D"/>
    <w:rsid w:val="00AA27F0"/>
    <w:rsid w:val="00AA280B"/>
    <w:rsid w:val="00AA2834"/>
    <w:rsid w:val="00AA2841"/>
    <w:rsid w:val="00AA289B"/>
    <w:rsid w:val="00AA28F7"/>
    <w:rsid w:val="00AA2A7C"/>
    <w:rsid w:val="00AA2B0B"/>
    <w:rsid w:val="00AA2B3F"/>
    <w:rsid w:val="00AA2BBF"/>
    <w:rsid w:val="00AA2C3A"/>
    <w:rsid w:val="00AA2C3D"/>
    <w:rsid w:val="00AA2CE0"/>
    <w:rsid w:val="00AA2D1F"/>
    <w:rsid w:val="00AA2ECD"/>
    <w:rsid w:val="00AA2EE1"/>
    <w:rsid w:val="00AA2F7D"/>
    <w:rsid w:val="00AA2FCB"/>
    <w:rsid w:val="00AA3055"/>
    <w:rsid w:val="00AA3077"/>
    <w:rsid w:val="00AA3086"/>
    <w:rsid w:val="00AA308C"/>
    <w:rsid w:val="00AA31B5"/>
    <w:rsid w:val="00AA321C"/>
    <w:rsid w:val="00AA3286"/>
    <w:rsid w:val="00AA32BF"/>
    <w:rsid w:val="00AA32FC"/>
    <w:rsid w:val="00AA33BB"/>
    <w:rsid w:val="00AA3459"/>
    <w:rsid w:val="00AA34BA"/>
    <w:rsid w:val="00AA34DC"/>
    <w:rsid w:val="00AA3560"/>
    <w:rsid w:val="00AA35B2"/>
    <w:rsid w:val="00AA35E7"/>
    <w:rsid w:val="00AA3636"/>
    <w:rsid w:val="00AA364F"/>
    <w:rsid w:val="00AA3654"/>
    <w:rsid w:val="00AA365D"/>
    <w:rsid w:val="00AA3769"/>
    <w:rsid w:val="00AA3813"/>
    <w:rsid w:val="00AA38E2"/>
    <w:rsid w:val="00AA3937"/>
    <w:rsid w:val="00AA393F"/>
    <w:rsid w:val="00AA3992"/>
    <w:rsid w:val="00AA3A02"/>
    <w:rsid w:val="00AA3A1A"/>
    <w:rsid w:val="00AA3A1D"/>
    <w:rsid w:val="00AA3AE3"/>
    <w:rsid w:val="00AA3D01"/>
    <w:rsid w:val="00AA3E37"/>
    <w:rsid w:val="00AA3E7E"/>
    <w:rsid w:val="00AA3F2C"/>
    <w:rsid w:val="00AA3F67"/>
    <w:rsid w:val="00AA3FA1"/>
    <w:rsid w:val="00AA4083"/>
    <w:rsid w:val="00AA40DF"/>
    <w:rsid w:val="00AA41BE"/>
    <w:rsid w:val="00AA4253"/>
    <w:rsid w:val="00AA42AD"/>
    <w:rsid w:val="00AA4347"/>
    <w:rsid w:val="00AA43A6"/>
    <w:rsid w:val="00AA43E3"/>
    <w:rsid w:val="00AA4405"/>
    <w:rsid w:val="00AA457F"/>
    <w:rsid w:val="00AA45BA"/>
    <w:rsid w:val="00AA467A"/>
    <w:rsid w:val="00AA4790"/>
    <w:rsid w:val="00AA47D6"/>
    <w:rsid w:val="00AA4813"/>
    <w:rsid w:val="00AA4834"/>
    <w:rsid w:val="00AA48BE"/>
    <w:rsid w:val="00AA4948"/>
    <w:rsid w:val="00AA4A06"/>
    <w:rsid w:val="00AA4B11"/>
    <w:rsid w:val="00AA4B41"/>
    <w:rsid w:val="00AA4B80"/>
    <w:rsid w:val="00AA4B93"/>
    <w:rsid w:val="00AA4BBD"/>
    <w:rsid w:val="00AA4CA1"/>
    <w:rsid w:val="00AA4E46"/>
    <w:rsid w:val="00AA4E54"/>
    <w:rsid w:val="00AA4E8A"/>
    <w:rsid w:val="00AA4E8F"/>
    <w:rsid w:val="00AA4E9E"/>
    <w:rsid w:val="00AA4EBB"/>
    <w:rsid w:val="00AA4EE7"/>
    <w:rsid w:val="00AA4F00"/>
    <w:rsid w:val="00AA4F26"/>
    <w:rsid w:val="00AA4F94"/>
    <w:rsid w:val="00AA503E"/>
    <w:rsid w:val="00AA5160"/>
    <w:rsid w:val="00AA5255"/>
    <w:rsid w:val="00AA5306"/>
    <w:rsid w:val="00AA53AA"/>
    <w:rsid w:val="00AA5419"/>
    <w:rsid w:val="00AA54AC"/>
    <w:rsid w:val="00AA5583"/>
    <w:rsid w:val="00AA569C"/>
    <w:rsid w:val="00AA57C3"/>
    <w:rsid w:val="00AA5821"/>
    <w:rsid w:val="00AA5973"/>
    <w:rsid w:val="00AA5A20"/>
    <w:rsid w:val="00AA5A30"/>
    <w:rsid w:val="00AA5A4B"/>
    <w:rsid w:val="00AA5A7C"/>
    <w:rsid w:val="00AA5C4C"/>
    <w:rsid w:val="00AA5D49"/>
    <w:rsid w:val="00AA5D75"/>
    <w:rsid w:val="00AA5E3B"/>
    <w:rsid w:val="00AA5E53"/>
    <w:rsid w:val="00AA5E97"/>
    <w:rsid w:val="00AA5F0F"/>
    <w:rsid w:val="00AA5F6E"/>
    <w:rsid w:val="00AA5F7C"/>
    <w:rsid w:val="00AA5FCB"/>
    <w:rsid w:val="00AA5FF7"/>
    <w:rsid w:val="00AA603E"/>
    <w:rsid w:val="00AA621D"/>
    <w:rsid w:val="00AA62A5"/>
    <w:rsid w:val="00AA62B9"/>
    <w:rsid w:val="00AA62FE"/>
    <w:rsid w:val="00AA6412"/>
    <w:rsid w:val="00AA64A4"/>
    <w:rsid w:val="00AA655D"/>
    <w:rsid w:val="00AA6582"/>
    <w:rsid w:val="00AA65B3"/>
    <w:rsid w:val="00AA65F3"/>
    <w:rsid w:val="00AA665A"/>
    <w:rsid w:val="00AA668F"/>
    <w:rsid w:val="00AA66C4"/>
    <w:rsid w:val="00AA66E5"/>
    <w:rsid w:val="00AA672E"/>
    <w:rsid w:val="00AA67A9"/>
    <w:rsid w:val="00AA6873"/>
    <w:rsid w:val="00AA68D4"/>
    <w:rsid w:val="00AA6A80"/>
    <w:rsid w:val="00AA6B45"/>
    <w:rsid w:val="00AA6BB5"/>
    <w:rsid w:val="00AA6BF2"/>
    <w:rsid w:val="00AA6C7A"/>
    <w:rsid w:val="00AA6CBA"/>
    <w:rsid w:val="00AA6E32"/>
    <w:rsid w:val="00AA6F4D"/>
    <w:rsid w:val="00AA717E"/>
    <w:rsid w:val="00AA72DC"/>
    <w:rsid w:val="00AA7353"/>
    <w:rsid w:val="00AA741A"/>
    <w:rsid w:val="00AA74B0"/>
    <w:rsid w:val="00AA74B6"/>
    <w:rsid w:val="00AA74F6"/>
    <w:rsid w:val="00AA750D"/>
    <w:rsid w:val="00AA7545"/>
    <w:rsid w:val="00AA7570"/>
    <w:rsid w:val="00AA75A7"/>
    <w:rsid w:val="00AA75E7"/>
    <w:rsid w:val="00AA7689"/>
    <w:rsid w:val="00AA774F"/>
    <w:rsid w:val="00AA77AC"/>
    <w:rsid w:val="00AA77D7"/>
    <w:rsid w:val="00AA77E8"/>
    <w:rsid w:val="00AA786D"/>
    <w:rsid w:val="00AA7957"/>
    <w:rsid w:val="00AA7A7C"/>
    <w:rsid w:val="00AA7ACF"/>
    <w:rsid w:val="00AA7B2D"/>
    <w:rsid w:val="00AA7B67"/>
    <w:rsid w:val="00AA7B95"/>
    <w:rsid w:val="00AA7B98"/>
    <w:rsid w:val="00AA7CAB"/>
    <w:rsid w:val="00AA7DCE"/>
    <w:rsid w:val="00AA7E95"/>
    <w:rsid w:val="00AA7EC3"/>
    <w:rsid w:val="00AA7F1A"/>
    <w:rsid w:val="00AA7F74"/>
    <w:rsid w:val="00AA7F80"/>
    <w:rsid w:val="00AA7F87"/>
    <w:rsid w:val="00AA7F9A"/>
    <w:rsid w:val="00AA7F9D"/>
    <w:rsid w:val="00AB0014"/>
    <w:rsid w:val="00AB0103"/>
    <w:rsid w:val="00AB010F"/>
    <w:rsid w:val="00AB01C4"/>
    <w:rsid w:val="00AB01D7"/>
    <w:rsid w:val="00AB01F4"/>
    <w:rsid w:val="00AB020C"/>
    <w:rsid w:val="00AB02DC"/>
    <w:rsid w:val="00AB02E1"/>
    <w:rsid w:val="00AB02EF"/>
    <w:rsid w:val="00AB02FC"/>
    <w:rsid w:val="00AB0324"/>
    <w:rsid w:val="00AB0390"/>
    <w:rsid w:val="00AB03BC"/>
    <w:rsid w:val="00AB045A"/>
    <w:rsid w:val="00AB06E2"/>
    <w:rsid w:val="00AB07CB"/>
    <w:rsid w:val="00AB07FD"/>
    <w:rsid w:val="00AB0874"/>
    <w:rsid w:val="00AB08AA"/>
    <w:rsid w:val="00AB08AF"/>
    <w:rsid w:val="00AB08D6"/>
    <w:rsid w:val="00AB091E"/>
    <w:rsid w:val="00AB09AE"/>
    <w:rsid w:val="00AB0A8F"/>
    <w:rsid w:val="00AB0B73"/>
    <w:rsid w:val="00AB0BC5"/>
    <w:rsid w:val="00AB0C07"/>
    <w:rsid w:val="00AB0CF0"/>
    <w:rsid w:val="00AB0D65"/>
    <w:rsid w:val="00AB0DC6"/>
    <w:rsid w:val="00AB0E77"/>
    <w:rsid w:val="00AB0E82"/>
    <w:rsid w:val="00AB0EBC"/>
    <w:rsid w:val="00AB0F59"/>
    <w:rsid w:val="00AB0FAA"/>
    <w:rsid w:val="00AB0FD5"/>
    <w:rsid w:val="00AB0FE2"/>
    <w:rsid w:val="00AB104D"/>
    <w:rsid w:val="00AB10D2"/>
    <w:rsid w:val="00AB11D7"/>
    <w:rsid w:val="00AB11E4"/>
    <w:rsid w:val="00AB11FA"/>
    <w:rsid w:val="00AB120D"/>
    <w:rsid w:val="00AB1217"/>
    <w:rsid w:val="00AB12D6"/>
    <w:rsid w:val="00AB131C"/>
    <w:rsid w:val="00AB1329"/>
    <w:rsid w:val="00AB135D"/>
    <w:rsid w:val="00AB14F7"/>
    <w:rsid w:val="00AB156E"/>
    <w:rsid w:val="00AB15DC"/>
    <w:rsid w:val="00AB15F9"/>
    <w:rsid w:val="00AB1634"/>
    <w:rsid w:val="00AB16CF"/>
    <w:rsid w:val="00AB17F1"/>
    <w:rsid w:val="00AB1865"/>
    <w:rsid w:val="00AB18B8"/>
    <w:rsid w:val="00AB1968"/>
    <w:rsid w:val="00AB1A28"/>
    <w:rsid w:val="00AB1B60"/>
    <w:rsid w:val="00AB1CAB"/>
    <w:rsid w:val="00AB1CC3"/>
    <w:rsid w:val="00AB1CC6"/>
    <w:rsid w:val="00AB1D2B"/>
    <w:rsid w:val="00AB1DC6"/>
    <w:rsid w:val="00AB1E04"/>
    <w:rsid w:val="00AB2064"/>
    <w:rsid w:val="00AB2114"/>
    <w:rsid w:val="00AB2157"/>
    <w:rsid w:val="00AB215B"/>
    <w:rsid w:val="00AB2275"/>
    <w:rsid w:val="00AB22AC"/>
    <w:rsid w:val="00AB233B"/>
    <w:rsid w:val="00AB23B6"/>
    <w:rsid w:val="00AB23B7"/>
    <w:rsid w:val="00AB23E5"/>
    <w:rsid w:val="00AB25BC"/>
    <w:rsid w:val="00AB2649"/>
    <w:rsid w:val="00AB27FA"/>
    <w:rsid w:val="00AB2935"/>
    <w:rsid w:val="00AB2A2B"/>
    <w:rsid w:val="00AB2A54"/>
    <w:rsid w:val="00AB2B1A"/>
    <w:rsid w:val="00AB2B74"/>
    <w:rsid w:val="00AB2BB9"/>
    <w:rsid w:val="00AB2CE3"/>
    <w:rsid w:val="00AB2D23"/>
    <w:rsid w:val="00AB2D3F"/>
    <w:rsid w:val="00AB2D41"/>
    <w:rsid w:val="00AB2DC6"/>
    <w:rsid w:val="00AB2E23"/>
    <w:rsid w:val="00AB2EA6"/>
    <w:rsid w:val="00AB2FEF"/>
    <w:rsid w:val="00AB305E"/>
    <w:rsid w:val="00AB3149"/>
    <w:rsid w:val="00AB3281"/>
    <w:rsid w:val="00AB330F"/>
    <w:rsid w:val="00AB3315"/>
    <w:rsid w:val="00AB338A"/>
    <w:rsid w:val="00AB33AC"/>
    <w:rsid w:val="00AB33C0"/>
    <w:rsid w:val="00AB33DF"/>
    <w:rsid w:val="00AB3431"/>
    <w:rsid w:val="00AB3462"/>
    <w:rsid w:val="00AB34AC"/>
    <w:rsid w:val="00AB34B1"/>
    <w:rsid w:val="00AB34B9"/>
    <w:rsid w:val="00AB3500"/>
    <w:rsid w:val="00AB351F"/>
    <w:rsid w:val="00AB3535"/>
    <w:rsid w:val="00AB3552"/>
    <w:rsid w:val="00AB3560"/>
    <w:rsid w:val="00AB3584"/>
    <w:rsid w:val="00AB35CD"/>
    <w:rsid w:val="00AB3674"/>
    <w:rsid w:val="00AB382A"/>
    <w:rsid w:val="00AB392C"/>
    <w:rsid w:val="00AB3A76"/>
    <w:rsid w:val="00AB3BC5"/>
    <w:rsid w:val="00AB3CA9"/>
    <w:rsid w:val="00AB3D90"/>
    <w:rsid w:val="00AB3DC0"/>
    <w:rsid w:val="00AB3E66"/>
    <w:rsid w:val="00AB3E94"/>
    <w:rsid w:val="00AB3F35"/>
    <w:rsid w:val="00AB4051"/>
    <w:rsid w:val="00AB40DE"/>
    <w:rsid w:val="00AB4149"/>
    <w:rsid w:val="00AB417F"/>
    <w:rsid w:val="00AB420E"/>
    <w:rsid w:val="00AB4319"/>
    <w:rsid w:val="00AB436D"/>
    <w:rsid w:val="00AB446D"/>
    <w:rsid w:val="00AB4508"/>
    <w:rsid w:val="00AB451E"/>
    <w:rsid w:val="00AB45B9"/>
    <w:rsid w:val="00AB462D"/>
    <w:rsid w:val="00AB469A"/>
    <w:rsid w:val="00AB46A0"/>
    <w:rsid w:val="00AB46B9"/>
    <w:rsid w:val="00AB4841"/>
    <w:rsid w:val="00AB4922"/>
    <w:rsid w:val="00AB4936"/>
    <w:rsid w:val="00AB49D4"/>
    <w:rsid w:val="00AB49FF"/>
    <w:rsid w:val="00AB4AB4"/>
    <w:rsid w:val="00AB4B65"/>
    <w:rsid w:val="00AB4BAC"/>
    <w:rsid w:val="00AB4BDD"/>
    <w:rsid w:val="00AB4C41"/>
    <w:rsid w:val="00AB4CBF"/>
    <w:rsid w:val="00AB4D10"/>
    <w:rsid w:val="00AB4D21"/>
    <w:rsid w:val="00AB4F0A"/>
    <w:rsid w:val="00AB5054"/>
    <w:rsid w:val="00AB5304"/>
    <w:rsid w:val="00AB5427"/>
    <w:rsid w:val="00AB5432"/>
    <w:rsid w:val="00AB54B1"/>
    <w:rsid w:val="00AB551A"/>
    <w:rsid w:val="00AB55E7"/>
    <w:rsid w:val="00AB5702"/>
    <w:rsid w:val="00AB5721"/>
    <w:rsid w:val="00AB572C"/>
    <w:rsid w:val="00AB576F"/>
    <w:rsid w:val="00AB57FA"/>
    <w:rsid w:val="00AB5817"/>
    <w:rsid w:val="00AB5868"/>
    <w:rsid w:val="00AB587D"/>
    <w:rsid w:val="00AB5880"/>
    <w:rsid w:val="00AB588F"/>
    <w:rsid w:val="00AB58AE"/>
    <w:rsid w:val="00AB58CB"/>
    <w:rsid w:val="00AB58D8"/>
    <w:rsid w:val="00AB59F8"/>
    <w:rsid w:val="00AB5A11"/>
    <w:rsid w:val="00AB5A56"/>
    <w:rsid w:val="00AB5A66"/>
    <w:rsid w:val="00AB5ACE"/>
    <w:rsid w:val="00AB5B1D"/>
    <w:rsid w:val="00AB5BFE"/>
    <w:rsid w:val="00AB5CB9"/>
    <w:rsid w:val="00AB5CF4"/>
    <w:rsid w:val="00AB5D6E"/>
    <w:rsid w:val="00AB5DE2"/>
    <w:rsid w:val="00AB5E3F"/>
    <w:rsid w:val="00AB5F06"/>
    <w:rsid w:val="00AB5F19"/>
    <w:rsid w:val="00AB5F32"/>
    <w:rsid w:val="00AB5F50"/>
    <w:rsid w:val="00AB5F7B"/>
    <w:rsid w:val="00AB608D"/>
    <w:rsid w:val="00AB63DA"/>
    <w:rsid w:val="00AB646A"/>
    <w:rsid w:val="00AB64F0"/>
    <w:rsid w:val="00AB6545"/>
    <w:rsid w:val="00AB65BF"/>
    <w:rsid w:val="00AB6619"/>
    <w:rsid w:val="00AB662F"/>
    <w:rsid w:val="00AB6662"/>
    <w:rsid w:val="00AB669D"/>
    <w:rsid w:val="00AB66C4"/>
    <w:rsid w:val="00AB66E2"/>
    <w:rsid w:val="00AB6720"/>
    <w:rsid w:val="00AB6787"/>
    <w:rsid w:val="00AB67B6"/>
    <w:rsid w:val="00AB67E5"/>
    <w:rsid w:val="00AB68C8"/>
    <w:rsid w:val="00AB6959"/>
    <w:rsid w:val="00AB6976"/>
    <w:rsid w:val="00AB69FE"/>
    <w:rsid w:val="00AB6A28"/>
    <w:rsid w:val="00AB6A88"/>
    <w:rsid w:val="00AB6A97"/>
    <w:rsid w:val="00AB6B4C"/>
    <w:rsid w:val="00AB6BF8"/>
    <w:rsid w:val="00AB6C4D"/>
    <w:rsid w:val="00AB6CE8"/>
    <w:rsid w:val="00AB6D42"/>
    <w:rsid w:val="00AB6EDD"/>
    <w:rsid w:val="00AB6F38"/>
    <w:rsid w:val="00AB6F77"/>
    <w:rsid w:val="00AB6F78"/>
    <w:rsid w:val="00AB707E"/>
    <w:rsid w:val="00AB719A"/>
    <w:rsid w:val="00AB71BA"/>
    <w:rsid w:val="00AB73A5"/>
    <w:rsid w:val="00AB73B6"/>
    <w:rsid w:val="00AB7521"/>
    <w:rsid w:val="00AB7533"/>
    <w:rsid w:val="00AB7558"/>
    <w:rsid w:val="00AB756C"/>
    <w:rsid w:val="00AB766C"/>
    <w:rsid w:val="00AB7673"/>
    <w:rsid w:val="00AB7746"/>
    <w:rsid w:val="00AB77F6"/>
    <w:rsid w:val="00AB77FE"/>
    <w:rsid w:val="00AB785B"/>
    <w:rsid w:val="00AB7868"/>
    <w:rsid w:val="00AB78D8"/>
    <w:rsid w:val="00AB792E"/>
    <w:rsid w:val="00AB79FF"/>
    <w:rsid w:val="00AB7A2E"/>
    <w:rsid w:val="00AB7C33"/>
    <w:rsid w:val="00AB7C5E"/>
    <w:rsid w:val="00AB7D43"/>
    <w:rsid w:val="00AB7DDF"/>
    <w:rsid w:val="00AB7E3A"/>
    <w:rsid w:val="00AC00A3"/>
    <w:rsid w:val="00AC021D"/>
    <w:rsid w:val="00AC0246"/>
    <w:rsid w:val="00AC02D2"/>
    <w:rsid w:val="00AC0316"/>
    <w:rsid w:val="00AC0332"/>
    <w:rsid w:val="00AC0346"/>
    <w:rsid w:val="00AC0365"/>
    <w:rsid w:val="00AC039A"/>
    <w:rsid w:val="00AC0421"/>
    <w:rsid w:val="00AC04D5"/>
    <w:rsid w:val="00AC0533"/>
    <w:rsid w:val="00AC05C6"/>
    <w:rsid w:val="00AC0935"/>
    <w:rsid w:val="00AC0951"/>
    <w:rsid w:val="00AC099D"/>
    <w:rsid w:val="00AC09BA"/>
    <w:rsid w:val="00AC09D8"/>
    <w:rsid w:val="00AC0A98"/>
    <w:rsid w:val="00AC0B72"/>
    <w:rsid w:val="00AC0BA7"/>
    <w:rsid w:val="00AC0C7A"/>
    <w:rsid w:val="00AC0D15"/>
    <w:rsid w:val="00AC0D17"/>
    <w:rsid w:val="00AC0D47"/>
    <w:rsid w:val="00AC0DAE"/>
    <w:rsid w:val="00AC0E2B"/>
    <w:rsid w:val="00AC0EE2"/>
    <w:rsid w:val="00AC0F07"/>
    <w:rsid w:val="00AC0F45"/>
    <w:rsid w:val="00AC0F4E"/>
    <w:rsid w:val="00AC0FF3"/>
    <w:rsid w:val="00AC1027"/>
    <w:rsid w:val="00AC107F"/>
    <w:rsid w:val="00AC11C1"/>
    <w:rsid w:val="00AC1205"/>
    <w:rsid w:val="00AC1267"/>
    <w:rsid w:val="00AC1274"/>
    <w:rsid w:val="00AC12E9"/>
    <w:rsid w:val="00AC134F"/>
    <w:rsid w:val="00AC1520"/>
    <w:rsid w:val="00AC1594"/>
    <w:rsid w:val="00AC1631"/>
    <w:rsid w:val="00AC16C8"/>
    <w:rsid w:val="00AC1838"/>
    <w:rsid w:val="00AC188B"/>
    <w:rsid w:val="00AC18CB"/>
    <w:rsid w:val="00AC19CA"/>
    <w:rsid w:val="00AC1B42"/>
    <w:rsid w:val="00AC1CBD"/>
    <w:rsid w:val="00AC1D04"/>
    <w:rsid w:val="00AC1D1E"/>
    <w:rsid w:val="00AC1E31"/>
    <w:rsid w:val="00AC1E35"/>
    <w:rsid w:val="00AC1FBC"/>
    <w:rsid w:val="00AC2039"/>
    <w:rsid w:val="00AC203D"/>
    <w:rsid w:val="00AC207A"/>
    <w:rsid w:val="00AC208D"/>
    <w:rsid w:val="00AC2123"/>
    <w:rsid w:val="00AC2143"/>
    <w:rsid w:val="00AC2265"/>
    <w:rsid w:val="00AC236E"/>
    <w:rsid w:val="00AC25AD"/>
    <w:rsid w:val="00AC2674"/>
    <w:rsid w:val="00AC26F0"/>
    <w:rsid w:val="00AC26F7"/>
    <w:rsid w:val="00AC2750"/>
    <w:rsid w:val="00AC288A"/>
    <w:rsid w:val="00AC2A0A"/>
    <w:rsid w:val="00AC2A3E"/>
    <w:rsid w:val="00AC2B28"/>
    <w:rsid w:val="00AC2C21"/>
    <w:rsid w:val="00AC2CD2"/>
    <w:rsid w:val="00AC2D25"/>
    <w:rsid w:val="00AC2D4D"/>
    <w:rsid w:val="00AC2D55"/>
    <w:rsid w:val="00AC2D61"/>
    <w:rsid w:val="00AC2E2C"/>
    <w:rsid w:val="00AC2E4A"/>
    <w:rsid w:val="00AC2E7F"/>
    <w:rsid w:val="00AC2EBD"/>
    <w:rsid w:val="00AC2FC3"/>
    <w:rsid w:val="00AC306B"/>
    <w:rsid w:val="00AC3194"/>
    <w:rsid w:val="00AC3237"/>
    <w:rsid w:val="00AC32AC"/>
    <w:rsid w:val="00AC32F1"/>
    <w:rsid w:val="00AC331E"/>
    <w:rsid w:val="00AC33E0"/>
    <w:rsid w:val="00AC350E"/>
    <w:rsid w:val="00AC3534"/>
    <w:rsid w:val="00AC35AB"/>
    <w:rsid w:val="00AC35ED"/>
    <w:rsid w:val="00AC3600"/>
    <w:rsid w:val="00AC363E"/>
    <w:rsid w:val="00AC3640"/>
    <w:rsid w:val="00AC3695"/>
    <w:rsid w:val="00AC36EE"/>
    <w:rsid w:val="00AC373C"/>
    <w:rsid w:val="00AC373D"/>
    <w:rsid w:val="00AC375A"/>
    <w:rsid w:val="00AC376B"/>
    <w:rsid w:val="00AC376F"/>
    <w:rsid w:val="00AC377A"/>
    <w:rsid w:val="00AC3854"/>
    <w:rsid w:val="00AC3863"/>
    <w:rsid w:val="00AC38F6"/>
    <w:rsid w:val="00AC39FB"/>
    <w:rsid w:val="00AC3A1B"/>
    <w:rsid w:val="00AC3A44"/>
    <w:rsid w:val="00AC3ABE"/>
    <w:rsid w:val="00AC3CC3"/>
    <w:rsid w:val="00AC3DA9"/>
    <w:rsid w:val="00AC3E29"/>
    <w:rsid w:val="00AC3E69"/>
    <w:rsid w:val="00AC3ECB"/>
    <w:rsid w:val="00AC3ED5"/>
    <w:rsid w:val="00AC3ED8"/>
    <w:rsid w:val="00AC3F84"/>
    <w:rsid w:val="00AC4045"/>
    <w:rsid w:val="00AC4189"/>
    <w:rsid w:val="00AC41C6"/>
    <w:rsid w:val="00AC41D8"/>
    <w:rsid w:val="00AC41D9"/>
    <w:rsid w:val="00AC41FA"/>
    <w:rsid w:val="00AC4241"/>
    <w:rsid w:val="00AC42A8"/>
    <w:rsid w:val="00AC462B"/>
    <w:rsid w:val="00AC4651"/>
    <w:rsid w:val="00AC469F"/>
    <w:rsid w:val="00AC4774"/>
    <w:rsid w:val="00AC47CE"/>
    <w:rsid w:val="00AC4897"/>
    <w:rsid w:val="00AC48B5"/>
    <w:rsid w:val="00AC48DD"/>
    <w:rsid w:val="00AC4956"/>
    <w:rsid w:val="00AC4971"/>
    <w:rsid w:val="00AC497D"/>
    <w:rsid w:val="00AC4B03"/>
    <w:rsid w:val="00AC4B3C"/>
    <w:rsid w:val="00AC4B7D"/>
    <w:rsid w:val="00AC4CC5"/>
    <w:rsid w:val="00AC4D53"/>
    <w:rsid w:val="00AC4D6D"/>
    <w:rsid w:val="00AC4E18"/>
    <w:rsid w:val="00AC4E42"/>
    <w:rsid w:val="00AC4F01"/>
    <w:rsid w:val="00AC4F53"/>
    <w:rsid w:val="00AC4FF3"/>
    <w:rsid w:val="00AC50B3"/>
    <w:rsid w:val="00AC51B9"/>
    <w:rsid w:val="00AC51D1"/>
    <w:rsid w:val="00AC51F5"/>
    <w:rsid w:val="00AC52A5"/>
    <w:rsid w:val="00AC52F9"/>
    <w:rsid w:val="00AC5327"/>
    <w:rsid w:val="00AC534B"/>
    <w:rsid w:val="00AC53CF"/>
    <w:rsid w:val="00AC53F0"/>
    <w:rsid w:val="00AC54CD"/>
    <w:rsid w:val="00AC54E1"/>
    <w:rsid w:val="00AC551E"/>
    <w:rsid w:val="00AC55FB"/>
    <w:rsid w:val="00AC56EE"/>
    <w:rsid w:val="00AC576C"/>
    <w:rsid w:val="00AC5816"/>
    <w:rsid w:val="00AC586D"/>
    <w:rsid w:val="00AC58FB"/>
    <w:rsid w:val="00AC5B46"/>
    <w:rsid w:val="00AC5C28"/>
    <w:rsid w:val="00AC5CED"/>
    <w:rsid w:val="00AC5D37"/>
    <w:rsid w:val="00AC5DFF"/>
    <w:rsid w:val="00AC5F2D"/>
    <w:rsid w:val="00AC5F30"/>
    <w:rsid w:val="00AC5FE5"/>
    <w:rsid w:val="00AC6019"/>
    <w:rsid w:val="00AC604A"/>
    <w:rsid w:val="00AC6054"/>
    <w:rsid w:val="00AC6085"/>
    <w:rsid w:val="00AC61CC"/>
    <w:rsid w:val="00AC6216"/>
    <w:rsid w:val="00AC623B"/>
    <w:rsid w:val="00AC6286"/>
    <w:rsid w:val="00AC62AC"/>
    <w:rsid w:val="00AC62B2"/>
    <w:rsid w:val="00AC6396"/>
    <w:rsid w:val="00AC63AA"/>
    <w:rsid w:val="00AC63BB"/>
    <w:rsid w:val="00AC6468"/>
    <w:rsid w:val="00AC648E"/>
    <w:rsid w:val="00AC6493"/>
    <w:rsid w:val="00AC64A6"/>
    <w:rsid w:val="00AC64B6"/>
    <w:rsid w:val="00AC64ED"/>
    <w:rsid w:val="00AC655E"/>
    <w:rsid w:val="00AC659B"/>
    <w:rsid w:val="00AC65E8"/>
    <w:rsid w:val="00AC6644"/>
    <w:rsid w:val="00AC66A3"/>
    <w:rsid w:val="00AC66D6"/>
    <w:rsid w:val="00AC674C"/>
    <w:rsid w:val="00AC67BB"/>
    <w:rsid w:val="00AC68A1"/>
    <w:rsid w:val="00AC6959"/>
    <w:rsid w:val="00AC698B"/>
    <w:rsid w:val="00AC69F2"/>
    <w:rsid w:val="00AC6A75"/>
    <w:rsid w:val="00AC6AB1"/>
    <w:rsid w:val="00AC6AD3"/>
    <w:rsid w:val="00AC6C88"/>
    <w:rsid w:val="00AC6CC8"/>
    <w:rsid w:val="00AC6D38"/>
    <w:rsid w:val="00AC6DA0"/>
    <w:rsid w:val="00AC6DED"/>
    <w:rsid w:val="00AC6DFE"/>
    <w:rsid w:val="00AC6E19"/>
    <w:rsid w:val="00AC6E4A"/>
    <w:rsid w:val="00AC6E91"/>
    <w:rsid w:val="00AC6E9F"/>
    <w:rsid w:val="00AC6EDB"/>
    <w:rsid w:val="00AC6FC4"/>
    <w:rsid w:val="00AC7162"/>
    <w:rsid w:val="00AC7439"/>
    <w:rsid w:val="00AC76A9"/>
    <w:rsid w:val="00AC76F5"/>
    <w:rsid w:val="00AC7809"/>
    <w:rsid w:val="00AC78AA"/>
    <w:rsid w:val="00AC790E"/>
    <w:rsid w:val="00AC797C"/>
    <w:rsid w:val="00AC7A1E"/>
    <w:rsid w:val="00AC7BF4"/>
    <w:rsid w:val="00AC7C0C"/>
    <w:rsid w:val="00AC7D68"/>
    <w:rsid w:val="00AC7E30"/>
    <w:rsid w:val="00AC7E98"/>
    <w:rsid w:val="00AC7F99"/>
    <w:rsid w:val="00AC7FEB"/>
    <w:rsid w:val="00AD000F"/>
    <w:rsid w:val="00AD011E"/>
    <w:rsid w:val="00AD0173"/>
    <w:rsid w:val="00AD01C2"/>
    <w:rsid w:val="00AD0291"/>
    <w:rsid w:val="00AD02F5"/>
    <w:rsid w:val="00AD049F"/>
    <w:rsid w:val="00AD04B9"/>
    <w:rsid w:val="00AD058E"/>
    <w:rsid w:val="00AD0593"/>
    <w:rsid w:val="00AD05A1"/>
    <w:rsid w:val="00AD0622"/>
    <w:rsid w:val="00AD0661"/>
    <w:rsid w:val="00AD06FE"/>
    <w:rsid w:val="00AD0794"/>
    <w:rsid w:val="00AD07B7"/>
    <w:rsid w:val="00AD098E"/>
    <w:rsid w:val="00AD0ACB"/>
    <w:rsid w:val="00AD0ADF"/>
    <w:rsid w:val="00AD0AF8"/>
    <w:rsid w:val="00AD0B3B"/>
    <w:rsid w:val="00AD0BB9"/>
    <w:rsid w:val="00AD0C18"/>
    <w:rsid w:val="00AD0C6F"/>
    <w:rsid w:val="00AD0CA6"/>
    <w:rsid w:val="00AD0CDE"/>
    <w:rsid w:val="00AD0D07"/>
    <w:rsid w:val="00AD0DE2"/>
    <w:rsid w:val="00AD0E10"/>
    <w:rsid w:val="00AD0E17"/>
    <w:rsid w:val="00AD0E3D"/>
    <w:rsid w:val="00AD0EBB"/>
    <w:rsid w:val="00AD0ED4"/>
    <w:rsid w:val="00AD0F30"/>
    <w:rsid w:val="00AD0F43"/>
    <w:rsid w:val="00AD0FF1"/>
    <w:rsid w:val="00AD10BA"/>
    <w:rsid w:val="00AD1116"/>
    <w:rsid w:val="00AD1156"/>
    <w:rsid w:val="00AD119F"/>
    <w:rsid w:val="00AD12D7"/>
    <w:rsid w:val="00AD1431"/>
    <w:rsid w:val="00AD1537"/>
    <w:rsid w:val="00AD156C"/>
    <w:rsid w:val="00AD15BB"/>
    <w:rsid w:val="00AD164E"/>
    <w:rsid w:val="00AD16A3"/>
    <w:rsid w:val="00AD1750"/>
    <w:rsid w:val="00AD17A7"/>
    <w:rsid w:val="00AD1868"/>
    <w:rsid w:val="00AD1952"/>
    <w:rsid w:val="00AD19AB"/>
    <w:rsid w:val="00AD1A01"/>
    <w:rsid w:val="00AD1A1A"/>
    <w:rsid w:val="00AD1A7E"/>
    <w:rsid w:val="00AD1AC0"/>
    <w:rsid w:val="00AD1B8C"/>
    <w:rsid w:val="00AD1BB6"/>
    <w:rsid w:val="00AD1BF6"/>
    <w:rsid w:val="00AD1C21"/>
    <w:rsid w:val="00AD1C30"/>
    <w:rsid w:val="00AD1D29"/>
    <w:rsid w:val="00AD1D83"/>
    <w:rsid w:val="00AD1E5F"/>
    <w:rsid w:val="00AD1F6B"/>
    <w:rsid w:val="00AD203F"/>
    <w:rsid w:val="00AD2057"/>
    <w:rsid w:val="00AD205A"/>
    <w:rsid w:val="00AD2091"/>
    <w:rsid w:val="00AD2115"/>
    <w:rsid w:val="00AD2124"/>
    <w:rsid w:val="00AD2266"/>
    <w:rsid w:val="00AD2363"/>
    <w:rsid w:val="00AD236F"/>
    <w:rsid w:val="00AD2437"/>
    <w:rsid w:val="00AD2537"/>
    <w:rsid w:val="00AD2593"/>
    <w:rsid w:val="00AD2645"/>
    <w:rsid w:val="00AD26BA"/>
    <w:rsid w:val="00AD276A"/>
    <w:rsid w:val="00AD2782"/>
    <w:rsid w:val="00AD2819"/>
    <w:rsid w:val="00AD295F"/>
    <w:rsid w:val="00AD2985"/>
    <w:rsid w:val="00AD2988"/>
    <w:rsid w:val="00AD2A24"/>
    <w:rsid w:val="00AD2A3D"/>
    <w:rsid w:val="00AD2AE1"/>
    <w:rsid w:val="00AD2B06"/>
    <w:rsid w:val="00AD2BB4"/>
    <w:rsid w:val="00AD2BF7"/>
    <w:rsid w:val="00AD2BF8"/>
    <w:rsid w:val="00AD2C1E"/>
    <w:rsid w:val="00AD2C93"/>
    <w:rsid w:val="00AD2CA6"/>
    <w:rsid w:val="00AD2CF3"/>
    <w:rsid w:val="00AD2D2B"/>
    <w:rsid w:val="00AD2ECB"/>
    <w:rsid w:val="00AD2F07"/>
    <w:rsid w:val="00AD2FA0"/>
    <w:rsid w:val="00AD2FAB"/>
    <w:rsid w:val="00AD3047"/>
    <w:rsid w:val="00AD3112"/>
    <w:rsid w:val="00AD3116"/>
    <w:rsid w:val="00AD3145"/>
    <w:rsid w:val="00AD3167"/>
    <w:rsid w:val="00AD327F"/>
    <w:rsid w:val="00AD3293"/>
    <w:rsid w:val="00AD32AF"/>
    <w:rsid w:val="00AD32B1"/>
    <w:rsid w:val="00AD33AD"/>
    <w:rsid w:val="00AD33C8"/>
    <w:rsid w:val="00AD3450"/>
    <w:rsid w:val="00AD3451"/>
    <w:rsid w:val="00AD3478"/>
    <w:rsid w:val="00AD348E"/>
    <w:rsid w:val="00AD34A2"/>
    <w:rsid w:val="00AD34BB"/>
    <w:rsid w:val="00AD3627"/>
    <w:rsid w:val="00AD36CE"/>
    <w:rsid w:val="00AD37BD"/>
    <w:rsid w:val="00AD37D1"/>
    <w:rsid w:val="00AD38D8"/>
    <w:rsid w:val="00AD3926"/>
    <w:rsid w:val="00AD39A0"/>
    <w:rsid w:val="00AD3A59"/>
    <w:rsid w:val="00AD3AA1"/>
    <w:rsid w:val="00AD3AC5"/>
    <w:rsid w:val="00AD3B24"/>
    <w:rsid w:val="00AD3B31"/>
    <w:rsid w:val="00AD3D4D"/>
    <w:rsid w:val="00AD3D7E"/>
    <w:rsid w:val="00AD3E36"/>
    <w:rsid w:val="00AD3E66"/>
    <w:rsid w:val="00AD3FB7"/>
    <w:rsid w:val="00AD4055"/>
    <w:rsid w:val="00AD441B"/>
    <w:rsid w:val="00AD447D"/>
    <w:rsid w:val="00AD452B"/>
    <w:rsid w:val="00AD45A6"/>
    <w:rsid w:val="00AD45EF"/>
    <w:rsid w:val="00AD4604"/>
    <w:rsid w:val="00AD460E"/>
    <w:rsid w:val="00AD4613"/>
    <w:rsid w:val="00AD4825"/>
    <w:rsid w:val="00AD48B9"/>
    <w:rsid w:val="00AD48D0"/>
    <w:rsid w:val="00AD48D9"/>
    <w:rsid w:val="00AD4A68"/>
    <w:rsid w:val="00AD4A86"/>
    <w:rsid w:val="00AD4BF1"/>
    <w:rsid w:val="00AD4E0C"/>
    <w:rsid w:val="00AD4F00"/>
    <w:rsid w:val="00AD52EC"/>
    <w:rsid w:val="00AD52FD"/>
    <w:rsid w:val="00AD53FC"/>
    <w:rsid w:val="00AD5505"/>
    <w:rsid w:val="00AD56A3"/>
    <w:rsid w:val="00AD5864"/>
    <w:rsid w:val="00AD586D"/>
    <w:rsid w:val="00AD5907"/>
    <w:rsid w:val="00AD5927"/>
    <w:rsid w:val="00AD5964"/>
    <w:rsid w:val="00AD5AE6"/>
    <w:rsid w:val="00AD5C46"/>
    <w:rsid w:val="00AD5D07"/>
    <w:rsid w:val="00AD5D65"/>
    <w:rsid w:val="00AD5DAE"/>
    <w:rsid w:val="00AD5DB5"/>
    <w:rsid w:val="00AD5DC9"/>
    <w:rsid w:val="00AD5EB4"/>
    <w:rsid w:val="00AD5ECE"/>
    <w:rsid w:val="00AD5F7D"/>
    <w:rsid w:val="00AD5FB7"/>
    <w:rsid w:val="00AD5FE0"/>
    <w:rsid w:val="00AD60A6"/>
    <w:rsid w:val="00AD60EF"/>
    <w:rsid w:val="00AD61A4"/>
    <w:rsid w:val="00AD63C7"/>
    <w:rsid w:val="00AD63F9"/>
    <w:rsid w:val="00AD6463"/>
    <w:rsid w:val="00AD6479"/>
    <w:rsid w:val="00AD64BC"/>
    <w:rsid w:val="00AD64E0"/>
    <w:rsid w:val="00AD64F9"/>
    <w:rsid w:val="00AD65EE"/>
    <w:rsid w:val="00AD6707"/>
    <w:rsid w:val="00AD6858"/>
    <w:rsid w:val="00AD689B"/>
    <w:rsid w:val="00AD6A74"/>
    <w:rsid w:val="00AD6B20"/>
    <w:rsid w:val="00AD6B83"/>
    <w:rsid w:val="00AD6B8D"/>
    <w:rsid w:val="00AD6BBA"/>
    <w:rsid w:val="00AD6BC6"/>
    <w:rsid w:val="00AD6BCD"/>
    <w:rsid w:val="00AD6C47"/>
    <w:rsid w:val="00AD6C72"/>
    <w:rsid w:val="00AD6CEF"/>
    <w:rsid w:val="00AD6CF2"/>
    <w:rsid w:val="00AD6D4A"/>
    <w:rsid w:val="00AD6DAF"/>
    <w:rsid w:val="00AD6E64"/>
    <w:rsid w:val="00AD6EF7"/>
    <w:rsid w:val="00AD6FC6"/>
    <w:rsid w:val="00AD6FD6"/>
    <w:rsid w:val="00AD70AD"/>
    <w:rsid w:val="00AD70B8"/>
    <w:rsid w:val="00AD716F"/>
    <w:rsid w:val="00AD71CC"/>
    <w:rsid w:val="00AD726F"/>
    <w:rsid w:val="00AD7392"/>
    <w:rsid w:val="00AD741E"/>
    <w:rsid w:val="00AD7481"/>
    <w:rsid w:val="00AD74A0"/>
    <w:rsid w:val="00AD7555"/>
    <w:rsid w:val="00AD7574"/>
    <w:rsid w:val="00AD760A"/>
    <w:rsid w:val="00AD7614"/>
    <w:rsid w:val="00AD76A1"/>
    <w:rsid w:val="00AD76AC"/>
    <w:rsid w:val="00AD7761"/>
    <w:rsid w:val="00AD786A"/>
    <w:rsid w:val="00AD78B8"/>
    <w:rsid w:val="00AD7921"/>
    <w:rsid w:val="00AD7CD5"/>
    <w:rsid w:val="00AD7CE9"/>
    <w:rsid w:val="00AD7DF2"/>
    <w:rsid w:val="00AD7F64"/>
    <w:rsid w:val="00AD7FC0"/>
    <w:rsid w:val="00AE006E"/>
    <w:rsid w:val="00AE007D"/>
    <w:rsid w:val="00AE00F8"/>
    <w:rsid w:val="00AE01D9"/>
    <w:rsid w:val="00AE0239"/>
    <w:rsid w:val="00AE0260"/>
    <w:rsid w:val="00AE0291"/>
    <w:rsid w:val="00AE0394"/>
    <w:rsid w:val="00AE0398"/>
    <w:rsid w:val="00AE04CF"/>
    <w:rsid w:val="00AE04DE"/>
    <w:rsid w:val="00AE066D"/>
    <w:rsid w:val="00AE06E0"/>
    <w:rsid w:val="00AE06EE"/>
    <w:rsid w:val="00AE0831"/>
    <w:rsid w:val="00AE0833"/>
    <w:rsid w:val="00AE084C"/>
    <w:rsid w:val="00AE0893"/>
    <w:rsid w:val="00AE0898"/>
    <w:rsid w:val="00AE08E5"/>
    <w:rsid w:val="00AE0A96"/>
    <w:rsid w:val="00AE0AD8"/>
    <w:rsid w:val="00AE0B0C"/>
    <w:rsid w:val="00AE0CD7"/>
    <w:rsid w:val="00AE0D07"/>
    <w:rsid w:val="00AE0D54"/>
    <w:rsid w:val="00AE0D96"/>
    <w:rsid w:val="00AE0DCE"/>
    <w:rsid w:val="00AE0E1E"/>
    <w:rsid w:val="00AE0ED9"/>
    <w:rsid w:val="00AE0F09"/>
    <w:rsid w:val="00AE0F61"/>
    <w:rsid w:val="00AE10F6"/>
    <w:rsid w:val="00AE112F"/>
    <w:rsid w:val="00AE1171"/>
    <w:rsid w:val="00AE1269"/>
    <w:rsid w:val="00AE12A3"/>
    <w:rsid w:val="00AE142C"/>
    <w:rsid w:val="00AE148D"/>
    <w:rsid w:val="00AE1517"/>
    <w:rsid w:val="00AE151B"/>
    <w:rsid w:val="00AE153E"/>
    <w:rsid w:val="00AE162C"/>
    <w:rsid w:val="00AE162F"/>
    <w:rsid w:val="00AE1675"/>
    <w:rsid w:val="00AE187F"/>
    <w:rsid w:val="00AE1897"/>
    <w:rsid w:val="00AE191B"/>
    <w:rsid w:val="00AE193D"/>
    <w:rsid w:val="00AE1A44"/>
    <w:rsid w:val="00AE1AF0"/>
    <w:rsid w:val="00AE1B78"/>
    <w:rsid w:val="00AE1C09"/>
    <w:rsid w:val="00AE1C17"/>
    <w:rsid w:val="00AE1C48"/>
    <w:rsid w:val="00AE1D65"/>
    <w:rsid w:val="00AE1D76"/>
    <w:rsid w:val="00AE1D7D"/>
    <w:rsid w:val="00AE1DAE"/>
    <w:rsid w:val="00AE1DE0"/>
    <w:rsid w:val="00AE1E3D"/>
    <w:rsid w:val="00AE1E61"/>
    <w:rsid w:val="00AE1F08"/>
    <w:rsid w:val="00AE2019"/>
    <w:rsid w:val="00AE2028"/>
    <w:rsid w:val="00AE2228"/>
    <w:rsid w:val="00AE223C"/>
    <w:rsid w:val="00AE2272"/>
    <w:rsid w:val="00AE22A6"/>
    <w:rsid w:val="00AE235A"/>
    <w:rsid w:val="00AE2391"/>
    <w:rsid w:val="00AE249B"/>
    <w:rsid w:val="00AE258C"/>
    <w:rsid w:val="00AE2719"/>
    <w:rsid w:val="00AE2761"/>
    <w:rsid w:val="00AE27EC"/>
    <w:rsid w:val="00AE2879"/>
    <w:rsid w:val="00AE2886"/>
    <w:rsid w:val="00AE293B"/>
    <w:rsid w:val="00AE295E"/>
    <w:rsid w:val="00AE29A3"/>
    <w:rsid w:val="00AE29B7"/>
    <w:rsid w:val="00AE29B8"/>
    <w:rsid w:val="00AE29C3"/>
    <w:rsid w:val="00AE2A97"/>
    <w:rsid w:val="00AE2BA3"/>
    <w:rsid w:val="00AE2BAC"/>
    <w:rsid w:val="00AE2BBD"/>
    <w:rsid w:val="00AE2BCC"/>
    <w:rsid w:val="00AE2C02"/>
    <w:rsid w:val="00AE2C36"/>
    <w:rsid w:val="00AE2CB9"/>
    <w:rsid w:val="00AE2CE5"/>
    <w:rsid w:val="00AE2D31"/>
    <w:rsid w:val="00AE2D42"/>
    <w:rsid w:val="00AE2DBE"/>
    <w:rsid w:val="00AE2ED5"/>
    <w:rsid w:val="00AE2FEC"/>
    <w:rsid w:val="00AE302A"/>
    <w:rsid w:val="00AE306F"/>
    <w:rsid w:val="00AE30B7"/>
    <w:rsid w:val="00AE3104"/>
    <w:rsid w:val="00AE312E"/>
    <w:rsid w:val="00AE31C1"/>
    <w:rsid w:val="00AE3210"/>
    <w:rsid w:val="00AE3220"/>
    <w:rsid w:val="00AE3279"/>
    <w:rsid w:val="00AE32BB"/>
    <w:rsid w:val="00AE32C1"/>
    <w:rsid w:val="00AE33AE"/>
    <w:rsid w:val="00AE34D5"/>
    <w:rsid w:val="00AE3533"/>
    <w:rsid w:val="00AE356F"/>
    <w:rsid w:val="00AE3582"/>
    <w:rsid w:val="00AE3617"/>
    <w:rsid w:val="00AE36CB"/>
    <w:rsid w:val="00AE36F8"/>
    <w:rsid w:val="00AE3748"/>
    <w:rsid w:val="00AE3994"/>
    <w:rsid w:val="00AE39AE"/>
    <w:rsid w:val="00AE39DE"/>
    <w:rsid w:val="00AE3A45"/>
    <w:rsid w:val="00AE3A86"/>
    <w:rsid w:val="00AE3BC8"/>
    <w:rsid w:val="00AE3BEA"/>
    <w:rsid w:val="00AE3C6F"/>
    <w:rsid w:val="00AE3D35"/>
    <w:rsid w:val="00AE3DC9"/>
    <w:rsid w:val="00AE3E46"/>
    <w:rsid w:val="00AE3F01"/>
    <w:rsid w:val="00AE3FE2"/>
    <w:rsid w:val="00AE406C"/>
    <w:rsid w:val="00AE4108"/>
    <w:rsid w:val="00AE4226"/>
    <w:rsid w:val="00AE423A"/>
    <w:rsid w:val="00AE42DA"/>
    <w:rsid w:val="00AE432B"/>
    <w:rsid w:val="00AE43A4"/>
    <w:rsid w:val="00AE4476"/>
    <w:rsid w:val="00AE44C4"/>
    <w:rsid w:val="00AE4523"/>
    <w:rsid w:val="00AE455E"/>
    <w:rsid w:val="00AE4732"/>
    <w:rsid w:val="00AE47B7"/>
    <w:rsid w:val="00AE489A"/>
    <w:rsid w:val="00AE48A6"/>
    <w:rsid w:val="00AE4904"/>
    <w:rsid w:val="00AE4923"/>
    <w:rsid w:val="00AE4955"/>
    <w:rsid w:val="00AE4982"/>
    <w:rsid w:val="00AE49A1"/>
    <w:rsid w:val="00AE4A15"/>
    <w:rsid w:val="00AE4ABE"/>
    <w:rsid w:val="00AE4B1F"/>
    <w:rsid w:val="00AE4B7C"/>
    <w:rsid w:val="00AE4BF6"/>
    <w:rsid w:val="00AE4C86"/>
    <w:rsid w:val="00AE4CBA"/>
    <w:rsid w:val="00AE4D24"/>
    <w:rsid w:val="00AE4D5C"/>
    <w:rsid w:val="00AE4DBC"/>
    <w:rsid w:val="00AE4E3D"/>
    <w:rsid w:val="00AE4E4F"/>
    <w:rsid w:val="00AE4E7F"/>
    <w:rsid w:val="00AE4FAD"/>
    <w:rsid w:val="00AE50B8"/>
    <w:rsid w:val="00AE50E3"/>
    <w:rsid w:val="00AE52AA"/>
    <w:rsid w:val="00AE52E9"/>
    <w:rsid w:val="00AE52F0"/>
    <w:rsid w:val="00AE53A0"/>
    <w:rsid w:val="00AE5412"/>
    <w:rsid w:val="00AE5458"/>
    <w:rsid w:val="00AE549F"/>
    <w:rsid w:val="00AE5600"/>
    <w:rsid w:val="00AE56D9"/>
    <w:rsid w:val="00AE5732"/>
    <w:rsid w:val="00AE5795"/>
    <w:rsid w:val="00AE5831"/>
    <w:rsid w:val="00AE5899"/>
    <w:rsid w:val="00AE59DA"/>
    <w:rsid w:val="00AE59DE"/>
    <w:rsid w:val="00AE5ABC"/>
    <w:rsid w:val="00AE5C93"/>
    <w:rsid w:val="00AE5CF6"/>
    <w:rsid w:val="00AE5CF9"/>
    <w:rsid w:val="00AE5D01"/>
    <w:rsid w:val="00AE5D31"/>
    <w:rsid w:val="00AE600E"/>
    <w:rsid w:val="00AE6048"/>
    <w:rsid w:val="00AE609C"/>
    <w:rsid w:val="00AE6106"/>
    <w:rsid w:val="00AE6154"/>
    <w:rsid w:val="00AE6173"/>
    <w:rsid w:val="00AE61B8"/>
    <w:rsid w:val="00AE61D2"/>
    <w:rsid w:val="00AE61D3"/>
    <w:rsid w:val="00AE61EB"/>
    <w:rsid w:val="00AE61F8"/>
    <w:rsid w:val="00AE62AF"/>
    <w:rsid w:val="00AE62C6"/>
    <w:rsid w:val="00AE6310"/>
    <w:rsid w:val="00AE6394"/>
    <w:rsid w:val="00AE639F"/>
    <w:rsid w:val="00AE63FA"/>
    <w:rsid w:val="00AE6407"/>
    <w:rsid w:val="00AE644B"/>
    <w:rsid w:val="00AE646D"/>
    <w:rsid w:val="00AE648B"/>
    <w:rsid w:val="00AE6495"/>
    <w:rsid w:val="00AE64A3"/>
    <w:rsid w:val="00AE665B"/>
    <w:rsid w:val="00AE66AE"/>
    <w:rsid w:val="00AE66D0"/>
    <w:rsid w:val="00AE67C7"/>
    <w:rsid w:val="00AE681C"/>
    <w:rsid w:val="00AE694E"/>
    <w:rsid w:val="00AE69DD"/>
    <w:rsid w:val="00AE69EA"/>
    <w:rsid w:val="00AE6A58"/>
    <w:rsid w:val="00AE6A65"/>
    <w:rsid w:val="00AE6C66"/>
    <w:rsid w:val="00AE6C71"/>
    <w:rsid w:val="00AE6D38"/>
    <w:rsid w:val="00AE6D56"/>
    <w:rsid w:val="00AE6D71"/>
    <w:rsid w:val="00AE6D86"/>
    <w:rsid w:val="00AE6E16"/>
    <w:rsid w:val="00AE6E17"/>
    <w:rsid w:val="00AE6EFC"/>
    <w:rsid w:val="00AE6F4C"/>
    <w:rsid w:val="00AE7045"/>
    <w:rsid w:val="00AE704F"/>
    <w:rsid w:val="00AE706E"/>
    <w:rsid w:val="00AE714E"/>
    <w:rsid w:val="00AE71C4"/>
    <w:rsid w:val="00AE7324"/>
    <w:rsid w:val="00AE73F5"/>
    <w:rsid w:val="00AE756E"/>
    <w:rsid w:val="00AE75AC"/>
    <w:rsid w:val="00AE75DC"/>
    <w:rsid w:val="00AE778A"/>
    <w:rsid w:val="00AE7797"/>
    <w:rsid w:val="00AE77D7"/>
    <w:rsid w:val="00AE783A"/>
    <w:rsid w:val="00AE793C"/>
    <w:rsid w:val="00AE7AD0"/>
    <w:rsid w:val="00AE7B22"/>
    <w:rsid w:val="00AE7B53"/>
    <w:rsid w:val="00AE7B5E"/>
    <w:rsid w:val="00AE7B87"/>
    <w:rsid w:val="00AE7D3A"/>
    <w:rsid w:val="00AE7D46"/>
    <w:rsid w:val="00AE7D82"/>
    <w:rsid w:val="00AE7EEF"/>
    <w:rsid w:val="00AE7F18"/>
    <w:rsid w:val="00AF0007"/>
    <w:rsid w:val="00AF002B"/>
    <w:rsid w:val="00AF00DD"/>
    <w:rsid w:val="00AF01B8"/>
    <w:rsid w:val="00AF02D3"/>
    <w:rsid w:val="00AF0575"/>
    <w:rsid w:val="00AF0848"/>
    <w:rsid w:val="00AF086B"/>
    <w:rsid w:val="00AF0870"/>
    <w:rsid w:val="00AF0924"/>
    <w:rsid w:val="00AF0980"/>
    <w:rsid w:val="00AF0AAB"/>
    <w:rsid w:val="00AF0B9C"/>
    <w:rsid w:val="00AF0C4D"/>
    <w:rsid w:val="00AF0C94"/>
    <w:rsid w:val="00AF0CBF"/>
    <w:rsid w:val="00AF0D6F"/>
    <w:rsid w:val="00AF0DD6"/>
    <w:rsid w:val="00AF0E3A"/>
    <w:rsid w:val="00AF0F81"/>
    <w:rsid w:val="00AF0FFF"/>
    <w:rsid w:val="00AF1136"/>
    <w:rsid w:val="00AF115A"/>
    <w:rsid w:val="00AF128B"/>
    <w:rsid w:val="00AF1296"/>
    <w:rsid w:val="00AF13F3"/>
    <w:rsid w:val="00AF1594"/>
    <w:rsid w:val="00AF170B"/>
    <w:rsid w:val="00AF178B"/>
    <w:rsid w:val="00AF181B"/>
    <w:rsid w:val="00AF183F"/>
    <w:rsid w:val="00AF18C7"/>
    <w:rsid w:val="00AF18D2"/>
    <w:rsid w:val="00AF1913"/>
    <w:rsid w:val="00AF1A81"/>
    <w:rsid w:val="00AF1CEC"/>
    <w:rsid w:val="00AF1E49"/>
    <w:rsid w:val="00AF1F5A"/>
    <w:rsid w:val="00AF204F"/>
    <w:rsid w:val="00AF208B"/>
    <w:rsid w:val="00AF216D"/>
    <w:rsid w:val="00AF21AC"/>
    <w:rsid w:val="00AF21D7"/>
    <w:rsid w:val="00AF228F"/>
    <w:rsid w:val="00AF22C3"/>
    <w:rsid w:val="00AF2330"/>
    <w:rsid w:val="00AF249E"/>
    <w:rsid w:val="00AF273F"/>
    <w:rsid w:val="00AF2766"/>
    <w:rsid w:val="00AF2769"/>
    <w:rsid w:val="00AF2775"/>
    <w:rsid w:val="00AF277C"/>
    <w:rsid w:val="00AF28EF"/>
    <w:rsid w:val="00AF293E"/>
    <w:rsid w:val="00AF2978"/>
    <w:rsid w:val="00AF2AD4"/>
    <w:rsid w:val="00AF2AFB"/>
    <w:rsid w:val="00AF2BEB"/>
    <w:rsid w:val="00AF2C2F"/>
    <w:rsid w:val="00AF2CC7"/>
    <w:rsid w:val="00AF2D35"/>
    <w:rsid w:val="00AF2E54"/>
    <w:rsid w:val="00AF2EA9"/>
    <w:rsid w:val="00AF2F1B"/>
    <w:rsid w:val="00AF3051"/>
    <w:rsid w:val="00AF3057"/>
    <w:rsid w:val="00AF3070"/>
    <w:rsid w:val="00AF31B8"/>
    <w:rsid w:val="00AF3236"/>
    <w:rsid w:val="00AF329A"/>
    <w:rsid w:val="00AF32EF"/>
    <w:rsid w:val="00AF3376"/>
    <w:rsid w:val="00AF3428"/>
    <w:rsid w:val="00AF34B8"/>
    <w:rsid w:val="00AF35D3"/>
    <w:rsid w:val="00AF3667"/>
    <w:rsid w:val="00AF3673"/>
    <w:rsid w:val="00AF36A0"/>
    <w:rsid w:val="00AF379E"/>
    <w:rsid w:val="00AF39F7"/>
    <w:rsid w:val="00AF3ABF"/>
    <w:rsid w:val="00AF3B5C"/>
    <w:rsid w:val="00AF3BD7"/>
    <w:rsid w:val="00AF3C41"/>
    <w:rsid w:val="00AF3DAF"/>
    <w:rsid w:val="00AF403C"/>
    <w:rsid w:val="00AF405F"/>
    <w:rsid w:val="00AF415E"/>
    <w:rsid w:val="00AF41CF"/>
    <w:rsid w:val="00AF4252"/>
    <w:rsid w:val="00AF428D"/>
    <w:rsid w:val="00AF4400"/>
    <w:rsid w:val="00AF44B7"/>
    <w:rsid w:val="00AF44ED"/>
    <w:rsid w:val="00AF454F"/>
    <w:rsid w:val="00AF45AB"/>
    <w:rsid w:val="00AF4604"/>
    <w:rsid w:val="00AF4645"/>
    <w:rsid w:val="00AF468D"/>
    <w:rsid w:val="00AF46D0"/>
    <w:rsid w:val="00AF4707"/>
    <w:rsid w:val="00AF484D"/>
    <w:rsid w:val="00AF4887"/>
    <w:rsid w:val="00AF496E"/>
    <w:rsid w:val="00AF4A82"/>
    <w:rsid w:val="00AF4B58"/>
    <w:rsid w:val="00AF4CA2"/>
    <w:rsid w:val="00AF4D92"/>
    <w:rsid w:val="00AF4DD8"/>
    <w:rsid w:val="00AF4EDC"/>
    <w:rsid w:val="00AF4EE0"/>
    <w:rsid w:val="00AF4F70"/>
    <w:rsid w:val="00AF4F94"/>
    <w:rsid w:val="00AF5014"/>
    <w:rsid w:val="00AF5095"/>
    <w:rsid w:val="00AF50B3"/>
    <w:rsid w:val="00AF5123"/>
    <w:rsid w:val="00AF51EB"/>
    <w:rsid w:val="00AF51F4"/>
    <w:rsid w:val="00AF520A"/>
    <w:rsid w:val="00AF5229"/>
    <w:rsid w:val="00AF52B6"/>
    <w:rsid w:val="00AF5313"/>
    <w:rsid w:val="00AF539F"/>
    <w:rsid w:val="00AF5437"/>
    <w:rsid w:val="00AF5450"/>
    <w:rsid w:val="00AF54AD"/>
    <w:rsid w:val="00AF54D1"/>
    <w:rsid w:val="00AF5614"/>
    <w:rsid w:val="00AF56F5"/>
    <w:rsid w:val="00AF57D6"/>
    <w:rsid w:val="00AF590E"/>
    <w:rsid w:val="00AF597C"/>
    <w:rsid w:val="00AF5B0D"/>
    <w:rsid w:val="00AF5DD5"/>
    <w:rsid w:val="00AF5E2C"/>
    <w:rsid w:val="00AF5EA6"/>
    <w:rsid w:val="00AF5EB0"/>
    <w:rsid w:val="00AF601C"/>
    <w:rsid w:val="00AF608D"/>
    <w:rsid w:val="00AF620A"/>
    <w:rsid w:val="00AF6246"/>
    <w:rsid w:val="00AF6342"/>
    <w:rsid w:val="00AF63B1"/>
    <w:rsid w:val="00AF63CB"/>
    <w:rsid w:val="00AF645E"/>
    <w:rsid w:val="00AF6460"/>
    <w:rsid w:val="00AF6676"/>
    <w:rsid w:val="00AF6761"/>
    <w:rsid w:val="00AF6830"/>
    <w:rsid w:val="00AF68CD"/>
    <w:rsid w:val="00AF6AD8"/>
    <w:rsid w:val="00AF6B22"/>
    <w:rsid w:val="00AF6C28"/>
    <w:rsid w:val="00AF6CAA"/>
    <w:rsid w:val="00AF6CCF"/>
    <w:rsid w:val="00AF6CE9"/>
    <w:rsid w:val="00AF6D46"/>
    <w:rsid w:val="00AF6DA9"/>
    <w:rsid w:val="00AF6E15"/>
    <w:rsid w:val="00AF6E80"/>
    <w:rsid w:val="00AF6F19"/>
    <w:rsid w:val="00AF6F34"/>
    <w:rsid w:val="00AF6F8E"/>
    <w:rsid w:val="00AF6FB8"/>
    <w:rsid w:val="00AF6FDD"/>
    <w:rsid w:val="00AF70E5"/>
    <w:rsid w:val="00AF710F"/>
    <w:rsid w:val="00AF7284"/>
    <w:rsid w:val="00AF72C6"/>
    <w:rsid w:val="00AF7376"/>
    <w:rsid w:val="00AF73D2"/>
    <w:rsid w:val="00AF744A"/>
    <w:rsid w:val="00AF744D"/>
    <w:rsid w:val="00AF7480"/>
    <w:rsid w:val="00AF7571"/>
    <w:rsid w:val="00AF75B8"/>
    <w:rsid w:val="00AF75DC"/>
    <w:rsid w:val="00AF76F2"/>
    <w:rsid w:val="00AF77A6"/>
    <w:rsid w:val="00AF77CB"/>
    <w:rsid w:val="00AF7812"/>
    <w:rsid w:val="00AF7829"/>
    <w:rsid w:val="00AF79EB"/>
    <w:rsid w:val="00AF7A5D"/>
    <w:rsid w:val="00AF7B23"/>
    <w:rsid w:val="00AF7B3B"/>
    <w:rsid w:val="00AF7BAB"/>
    <w:rsid w:val="00AF7BD3"/>
    <w:rsid w:val="00AF7D7A"/>
    <w:rsid w:val="00AF7EF1"/>
    <w:rsid w:val="00AF7FA4"/>
    <w:rsid w:val="00AFEB5F"/>
    <w:rsid w:val="00B00052"/>
    <w:rsid w:val="00B00081"/>
    <w:rsid w:val="00B0009E"/>
    <w:rsid w:val="00B000A4"/>
    <w:rsid w:val="00B000DC"/>
    <w:rsid w:val="00B000F0"/>
    <w:rsid w:val="00B00111"/>
    <w:rsid w:val="00B002A6"/>
    <w:rsid w:val="00B002EC"/>
    <w:rsid w:val="00B00363"/>
    <w:rsid w:val="00B00368"/>
    <w:rsid w:val="00B003C1"/>
    <w:rsid w:val="00B00493"/>
    <w:rsid w:val="00B004EB"/>
    <w:rsid w:val="00B0057A"/>
    <w:rsid w:val="00B00626"/>
    <w:rsid w:val="00B0073B"/>
    <w:rsid w:val="00B0087F"/>
    <w:rsid w:val="00B008DC"/>
    <w:rsid w:val="00B008F3"/>
    <w:rsid w:val="00B0097B"/>
    <w:rsid w:val="00B009A8"/>
    <w:rsid w:val="00B00A35"/>
    <w:rsid w:val="00B00A8C"/>
    <w:rsid w:val="00B00AC7"/>
    <w:rsid w:val="00B00B4C"/>
    <w:rsid w:val="00B00C3E"/>
    <w:rsid w:val="00B00CFF"/>
    <w:rsid w:val="00B00D33"/>
    <w:rsid w:val="00B00D41"/>
    <w:rsid w:val="00B00EBE"/>
    <w:rsid w:val="00B00FB1"/>
    <w:rsid w:val="00B01072"/>
    <w:rsid w:val="00B010CE"/>
    <w:rsid w:val="00B01124"/>
    <w:rsid w:val="00B011A9"/>
    <w:rsid w:val="00B01238"/>
    <w:rsid w:val="00B012BE"/>
    <w:rsid w:val="00B013CA"/>
    <w:rsid w:val="00B014DB"/>
    <w:rsid w:val="00B01618"/>
    <w:rsid w:val="00B01623"/>
    <w:rsid w:val="00B01718"/>
    <w:rsid w:val="00B017CF"/>
    <w:rsid w:val="00B017F0"/>
    <w:rsid w:val="00B01860"/>
    <w:rsid w:val="00B01960"/>
    <w:rsid w:val="00B01B51"/>
    <w:rsid w:val="00B01BDB"/>
    <w:rsid w:val="00B01CB0"/>
    <w:rsid w:val="00B01E27"/>
    <w:rsid w:val="00B01EA7"/>
    <w:rsid w:val="00B01F43"/>
    <w:rsid w:val="00B02086"/>
    <w:rsid w:val="00B0213F"/>
    <w:rsid w:val="00B023BA"/>
    <w:rsid w:val="00B023E1"/>
    <w:rsid w:val="00B0254F"/>
    <w:rsid w:val="00B025C8"/>
    <w:rsid w:val="00B025CC"/>
    <w:rsid w:val="00B025E9"/>
    <w:rsid w:val="00B02676"/>
    <w:rsid w:val="00B028A0"/>
    <w:rsid w:val="00B028AC"/>
    <w:rsid w:val="00B028E1"/>
    <w:rsid w:val="00B028F8"/>
    <w:rsid w:val="00B0296C"/>
    <w:rsid w:val="00B0296D"/>
    <w:rsid w:val="00B02B1C"/>
    <w:rsid w:val="00B02B2B"/>
    <w:rsid w:val="00B02B6F"/>
    <w:rsid w:val="00B02B94"/>
    <w:rsid w:val="00B02E8E"/>
    <w:rsid w:val="00B02F27"/>
    <w:rsid w:val="00B02F38"/>
    <w:rsid w:val="00B02FFF"/>
    <w:rsid w:val="00B03144"/>
    <w:rsid w:val="00B0329A"/>
    <w:rsid w:val="00B033BC"/>
    <w:rsid w:val="00B03412"/>
    <w:rsid w:val="00B0342F"/>
    <w:rsid w:val="00B03432"/>
    <w:rsid w:val="00B0357D"/>
    <w:rsid w:val="00B0358F"/>
    <w:rsid w:val="00B03610"/>
    <w:rsid w:val="00B03712"/>
    <w:rsid w:val="00B037B4"/>
    <w:rsid w:val="00B03827"/>
    <w:rsid w:val="00B03899"/>
    <w:rsid w:val="00B038CC"/>
    <w:rsid w:val="00B0392B"/>
    <w:rsid w:val="00B03957"/>
    <w:rsid w:val="00B03966"/>
    <w:rsid w:val="00B03A0B"/>
    <w:rsid w:val="00B03AEC"/>
    <w:rsid w:val="00B03B0E"/>
    <w:rsid w:val="00B03B9D"/>
    <w:rsid w:val="00B03C68"/>
    <w:rsid w:val="00B03D1B"/>
    <w:rsid w:val="00B03E9F"/>
    <w:rsid w:val="00B03EBE"/>
    <w:rsid w:val="00B03F39"/>
    <w:rsid w:val="00B03F5B"/>
    <w:rsid w:val="00B03F71"/>
    <w:rsid w:val="00B03F8A"/>
    <w:rsid w:val="00B03FD1"/>
    <w:rsid w:val="00B040C8"/>
    <w:rsid w:val="00B040EF"/>
    <w:rsid w:val="00B04147"/>
    <w:rsid w:val="00B04161"/>
    <w:rsid w:val="00B04296"/>
    <w:rsid w:val="00B04341"/>
    <w:rsid w:val="00B043D3"/>
    <w:rsid w:val="00B04440"/>
    <w:rsid w:val="00B04564"/>
    <w:rsid w:val="00B04587"/>
    <w:rsid w:val="00B0459C"/>
    <w:rsid w:val="00B045E8"/>
    <w:rsid w:val="00B04620"/>
    <w:rsid w:val="00B04746"/>
    <w:rsid w:val="00B047AC"/>
    <w:rsid w:val="00B04981"/>
    <w:rsid w:val="00B0498B"/>
    <w:rsid w:val="00B049CE"/>
    <w:rsid w:val="00B04A78"/>
    <w:rsid w:val="00B04AA3"/>
    <w:rsid w:val="00B04CC0"/>
    <w:rsid w:val="00B04D9E"/>
    <w:rsid w:val="00B04DD7"/>
    <w:rsid w:val="00B04E7F"/>
    <w:rsid w:val="00B05102"/>
    <w:rsid w:val="00B0515B"/>
    <w:rsid w:val="00B051C7"/>
    <w:rsid w:val="00B05263"/>
    <w:rsid w:val="00B052F0"/>
    <w:rsid w:val="00B05350"/>
    <w:rsid w:val="00B053EC"/>
    <w:rsid w:val="00B054CB"/>
    <w:rsid w:val="00B054FD"/>
    <w:rsid w:val="00B05603"/>
    <w:rsid w:val="00B05645"/>
    <w:rsid w:val="00B05657"/>
    <w:rsid w:val="00B0565B"/>
    <w:rsid w:val="00B056B4"/>
    <w:rsid w:val="00B0571B"/>
    <w:rsid w:val="00B05749"/>
    <w:rsid w:val="00B057E0"/>
    <w:rsid w:val="00B059F6"/>
    <w:rsid w:val="00B05B14"/>
    <w:rsid w:val="00B05B3F"/>
    <w:rsid w:val="00B05BDF"/>
    <w:rsid w:val="00B05C2F"/>
    <w:rsid w:val="00B05D62"/>
    <w:rsid w:val="00B05DA9"/>
    <w:rsid w:val="00B05DB4"/>
    <w:rsid w:val="00B05E40"/>
    <w:rsid w:val="00B05E5F"/>
    <w:rsid w:val="00B05F05"/>
    <w:rsid w:val="00B05F6D"/>
    <w:rsid w:val="00B061CC"/>
    <w:rsid w:val="00B0623B"/>
    <w:rsid w:val="00B0636C"/>
    <w:rsid w:val="00B063C6"/>
    <w:rsid w:val="00B06524"/>
    <w:rsid w:val="00B06536"/>
    <w:rsid w:val="00B0668C"/>
    <w:rsid w:val="00B06694"/>
    <w:rsid w:val="00B066E4"/>
    <w:rsid w:val="00B06765"/>
    <w:rsid w:val="00B06768"/>
    <w:rsid w:val="00B06867"/>
    <w:rsid w:val="00B0689D"/>
    <w:rsid w:val="00B068F6"/>
    <w:rsid w:val="00B06956"/>
    <w:rsid w:val="00B06AE3"/>
    <w:rsid w:val="00B06BF8"/>
    <w:rsid w:val="00B06C6B"/>
    <w:rsid w:val="00B06C7F"/>
    <w:rsid w:val="00B06C90"/>
    <w:rsid w:val="00B06C9C"/>
    <w:rsid w:val="00B06D40"/>
    <w:rsid w:val="00B06D68"/>
    <w:rsid w:val="00B06D84"/>
    <w:rsid w:val="00B06E6C"/>
    <w:rsid w:val="00B06E7B"/>
    <w:rsid w:val="00B06F4E"/>
    <w:rsid w:val="00B06F4F"/>
    <w:rsid w:val="00B06F6C"/>
    <w:rsid w:val="00B0700C"/>
    <w:rsid w:val="00B07031"/>
    <w:rsid w:val="00B07085"/>
    <w:rsid w:val="00B070B0"/>
    <w:rsid w:val="00B0717D"/>
    <w:rsid w:val="00B07185"/>
    <w:rsid w:val="00B07186"/>
    <w:rsid w:val="00B07259"/>
    <w:rsid w:val="00B072C4"/>
    <w:rsid w:val="00B073AC"/>
    <w:rsid w:val="00B07538"/>
    <w:rsid w:val="00B0755F"/>
    <w:rsid w:val="00B075C4"/>
    <w:rsid w:val="00B075F1"/>
    <w:rsid w:val="00B0761B"/>
    <w:rsid w:val="00B0768B"/>
    <w:rsid w:val="00B07714"/>
    <w:rsid w:val="00B0775B"/>
    <w:rsid w:val="00B077B9"/>
    <w:rsid w:val="00B0780A"/>
    <w:rsid w:val="00B07841"/>
    <w:rsid w:val="00B07879"/>
    <w:rsid w:val="00B0788F"/>
    <w:rsid w:val="00B078CB"/>
    <w:rsid w:val="00B07A6E"/>
    <w:rsid w:val="00B07CEE"/>
    <w:rsid w:val="00B07D9D"/>
    <w:rsid w:val="00B07E17"/>
    <w:rsid w:val="00B07E60"/>
    <w:rsid w:val="00B07EC4"/>
    <w:rsid w:val="00B07F41"/>
    <w:rsid w:val="00B100EC"/>
    <w:rsid w:val="00B101E3"/>
    <w:rsid w:val="00B1023A"/>
    <w:rsid w:val="00B102A3"/>
    <w:rsid w:val="00B102FD"/>
    <w:rsid w:val="00B10307"/>
    <w:rsid w:val="00B1036A"/>
    <w:rsid w:val="00B10372"/>
    <w:rsid w:val="00B103C8"/>
    <w:rsid w:val="00B10423"/>
    <w:rsid w:val="00B10515"/>
    <w:rsid w:val="00B10521"/>
    <w:rsid w:val="00B10596"/>
    <w:rsid w:val="00B1067F"/>
    <w:rsid w:val="00B10685"/>
    <w:rsid w:val="00B10696"/>
    <w:rsid w:val="00B1076F"/>
    <w:rsid w:val="00B10900"/>
    <w:rsid w:val="00B1090D"/>
    <w:rsid w:val="00B10A6E"/>
    <w:rsid w:val="00B10AEA"/>
    <w:rsid w:val="00B10B0A"/>
    <w:rsid w:val="00B10CEE"/>
    <w:rsid w:val="00B10E45"/>
    <w:rsid w:val="00B10E89"/>
    <w:rsid w:val="00B10ED3"/>
    <w:rsid w:val="00B10F02"/>
    <w:rsid w:val="00B10F49"/>
    <w:rsid w:val="00B10F9C"/>
    <w:rsid w:val="00B10FBD"/>
    <w:rsid w:val="00B110BC"/>
    <w:rsid w:val="00B110CB"/>
    <w:rsid w:val="00B11124"/>
    <w:rsid w:val="00B11132"/>
    <w:rsid w:val="00B1114E"/>
    <w:rsid w:val="00B111BB"/>
    <w:rsid w:val="00B111CE"/>
    <w:rsid w:val="00B111D8"/>
    <w:rsid w:val="00B11276"/>
    <w:rsid w:val="00B11277"/>
    <w:rsid w:val="00B1127A"/>
    <w:rsid w:val="00B11289"/>
    <w:rsid w:val="00B112F2"/>
    <w:rsid w:val="00B1132B"/>
    <w:rsid w:val="00B1137E"/>
    <w:rsid w:val="00B1138B"/>
    <w:rsid w:val="00B113D0"/>
    <w:rsid w:val="00B11453"/>
    <w:rsid w:val="00B11461"/>
    <w:rsid w:val="00B114A7"/>
    <w:rsid w:val="00B114A9"/>
    <w:rsid w:val="00B115E9"/>
    <w:rsid w:val="00B1170F"/>
    <w:rsid w:val="00B1180A"/>
    <w:rsid w:val="00B1183A"/>
    <w:rsid w:val="00B11895"/>
    <w:rsid w:val="00B118C8"/>
    <w:rsid w:val="00B119B8"/>
    <w:rsid w:val="00B11ABE"/>
    <w:rsid w:val="00B11C31"/>
    <w:rsid w:val="00B11C54"/>
    <w:rsid w:val="00B11C89"/>
    <w:rsid w:val="00B11C9C"/>
    <w:rsid w:val="00B11D34"/>
    <w:rsid w:val="00B11D9B"/>
    <w:rsid w:val="00B11EA3"/>
    <w:rsid w:val="00B11F23"/>
    <w:rsid w:val="00B11FD2"/>
    <w:rsid w:val="00B11FF9"/>
    <w:rsid w:val="00B12056"/>
    <w:rsid w:val="00B120B8"/>
    <w:rsid w:val="00B1219B"/>
    <w:rsid w:val="00B1229F"/>
    <w:rsid w:val="00B122FA"/>
    <w:rsid w:val="00B123A7"/>
    <w:rsid w:val="00B123BA"/>
    <w:rsid w:val="00B12417"/>
    <w:rsid w:val="00B12452"/>
    <w:rsid w:val="00B12521"/>
    <w:rsid w:val="00B1253A"/>
    <w:rsid w:val="00B125C0"/>
    <w:rsid w:val="00B12658"/>
    <w:rsid w:val="00B12673"/>
    <w:rsid w:val="00B126B2"/>
    <w:rsid w:val="00B12701"/>
    <w:rsid w:val="00B127ED"/>
    <w:rsid w:val="00B12970"/>
    <w:rsid w:val="00B12A7D"/>
    <w:rsid w:val="00B12B05"/>
    <w:rsid w:val="00B12B0F"/>
    <w:rsid w:val="00B12B22"/>
    <w:rsid w:val="00B12B67"/>
    <w:rsid w:val="00B12BFC"/>
    <w:rsid w:val="00B12C0D"/>
    <w:rsid w:val="00B12C9A"/>
    <w:rsid w:val="00B12CEA"/>
    <w:rsid w:val="00B12D07"/>
    <w:rsid w:val="00B12DBB"/>
    <w:rsid w:val="00B12EB3"/>
    <w:rsid w:val="00B12ED6"/>
    <w:rsid w:val="00B12F12"/>
    <w:rsid w:val="00B12F6B"/>
    <w:rsid w:val="00B12FA5"/>
    <w:rsid w:val="00B12FFD"/>
    <w:rsid w:val="00B13027"/>
    <w:rsid w:val="00B13107"/>
    <w:rsid w:val="00B13124"/>
    <w:rsid w:val="00B13187"/>
    <w:rsid w:val="00B131B8"/>
    <w:rsid w:val="00B1321B"/>
    <w:rsid w:val="00B132C5"/>
    <w:rsid w:val="00B132F1"/>
    <w:rsid w:val="00B132F8"/>
    <w:rsid w:val="00B13368"/>
    <w:rsid w:val="00B13547"/>
    <w:rsid w:val="00B135DE"/>
    <w:rsid w:val="00B135F3"/>
    <w:rsid w:val="00B136E3"/>
    <w:rsid w:val="00B137F8"/>
    <w:rsid w:val="00B13841"/>
    <w:rsid w:val="00B1384F"/>
    <w:rsid w:val="00B138DE"/>
    <w:rsid w:val="00B1395D"/>
    <w:rsid w:val="00B13968"/>
    <w:rsid w:val="00B13A67"/>
    <w:rsid w:val="00B13A6B"/>
    <w:rsid w:val="00B13A78"/>
    <w:rsid w:val="00B13B9A"/>
    <w:rsid w:val="00B13BF8"/>
    <w:rsid w:val="00B13CA7"/>
    <w:rsid w:val="00B13E08"/>
    <w:rsid w:val="00B13F89"/>
    <w:rsid w:val="00B14008"/>
    <w:rsid w:val="00B1409D"/>
    <w:rsid w:val="00B140E9"/>
    <w:rsid w:val="00B14188"/>
    <w:rsid w:val="00B14195"/>
    <w:rsid w:val="00B1423F"/>
    <w:rsid w:val="00B143D1"/>
    <w:rsid w:val="00B14488"/>
    <w:rsid w:val="00B144C3"/>
    <w:rsid w:val="00B14578"/>
    <w:rsid w:val="00B145A8"/>
    <w:rsid w:val="00B145C7"/>
    <w:rsid w:val="00B146B0"/>
    <w:rsid w:val="00B146FE"/>
    <w:rsid w:val="00B14780"/>
    <w:rsid w:val="00B14790"/>
    <w:rsid w:val="00B14819"/>
    <w:rsid w:val="00B1489D"/>
    <w:rsid w:val="00B148AD"/>
    <w:rsid w:val="00B14939"/>
    <w:rsid w:val="00B14A78"/>
    <w:rsid w:val="00B14A8F"/>
    <w:rsid w:val="00B14A9D"/>
    <w:rsid w:val="00B14B36"/>
    <w:rsid w:val="00B14B4D"/>
    <w:rsid w:val="00B14C41"/>
    <w:rsid w:val="00B14D2F"/>
    <w:rsid w:val="00B14EED"/>
    <w:rsid w:val="00B14FA2"/>
    <w:rsid w:val="00B1501B"/>
    <w:rsid w:val="00B1509D"/>
    <w:rsid w:val="00B15202"/>
    <w:rsid w:val="00B15211"/>
    <w:rsid w:val="00B15273"/>
    <w:rsid w:val="00B15275"/>
    <w:rsid w:val="00B152BB"/>
    <w:rsid w:val="00B15323"/>
    <w:rsid w:val="00B15343"/>
    <w:rsid w:val="00B1541F"/>
    <w:rsid w:val="00B1548C"/>
    <w:rsid w:val="00B156A8"/>
    <w:rsid w:val="00B156D1"/>
    <w:rsid w:val="00B15798"/>
    <w:rsid w:val="00B157F1"/>
    <w:rsid w:val="00B158A3"/>
    <w:rsid w:val="00B15901"/>
    <w:rsid w:val="00B15969"/>
    <w:rsid w:val="00B15B51"/>
    <w:rsid w:val="00B15BD3"/>
    <w:rsid w:val="00B15CB5"/>
    <w:rsid w:val="00B15D33"/>
    <w:rsid w:val="00B15DA3"/>
    <w:rsid w:val="00B15DB0"/>
    <w:rsid w:val="00B15DEA"/>
    <w:rsid w:val="00B15DF7"/>
    <w:rsid w:val="00B15E47"/>
    <w:rsid w:val="00B15E6F"/>
    <w:rsid w:val="00B15E7E"/>
    <w:rsid w:val="00B15F87"/>
    <w:rsid w:val="00B16053"/>
    <w:rsid w:val="00B160D7"/>
    <w:rsid w:val="00B16154"/>
    <w:rsid w:val="00B1617B"/>
    <w:rsid w:val="00B161A9"/>
    <w:rsid w:val="00B161D4"/>
    <w:rsid w:val="00B1622F"/>
    <w:rsid w:val="00B1638F"/>
    <w:rsid w:val="00B163A4"/>
    <w:rsid w:val="00B16403"/>
    <w:rsid w:val="00B164C4"/>
    <w:rsid w:val="00B164C5"/>
    <w:rsid w:val="00B16565"/>
    <w:rsid w:val="00B16751"/>
    <w:rsid w:val="00B16857"/>
    <w:rsid w:val="00B16863"/>
    <w:rsid w:val="00B16888"/>
    <w:rsid w:val="00B168C1"/>
    <w:rsid w:val="00B168D9"/>
    <w:rsid w:val="00B1695B"/>
    <w:rsid w:val="00B1697A"/>
    <w:rsid w:val="00B169E9"/>
    <w:rsid w:val="00B16A10"/>
    <w:rsid w:val="00B16A47"/>
    <w:rsid w:val="00B16A49"/>
    <w:rsid w:val="00B16A4B"/>
    <w:rsid w:val="00B16A5A"/>
    <w:rsid w:val="00B16A7B"/>
    <w:rsid w:val="00B16B43"/>
    <w:rsid w:val="00B16B5D"/>
    <w:rsid w:val="00B16C17"/>
    <w:rsid w:val="00B16C3D"/>
    <w:rsid w:val="00B16C8F"/>
    <w:rsid w:val="00B16CF3"/>
    <w:rsid w:val="00B16D04"/>
    <w:rsid w:val="00B16D68"/>
    <w:rsid w:val="00B16E50"/>
    <w:rsid w:val="00B16E56"/>
    <w:rsid w:val="00B16E63"/>
    <w:rsid w:val="00B16F17"/>
    <w:rsid w:val="00B16F32"/>
    <w:rsid w:val="00B16F58"/>
    <w:rsid w:val="00B16FB7"/>
    <w:rsid w:val="00B17029"/>
    <w:rsid w:val="00B170C0"/>
    <w:rsid w:val="00B17128"/>
    <w:rsid w:val="00B17139"/>
    <w:rsid w:val="00B17258"/>
    <w:rsid w:val="00B17306"/>
    <w:rsid w:val="00B1733E"/>
    <w:rsid w:val="00B174A5"/>
    <w:rsid w:val="00B1754E"/>
    <w:rsid w:val="00B17590"/>
    <w:rsid w:val="00B175C4"/>
    <w:rsid w:val="00B17665"/>
    <w:rsid w:val="00B1776F"/>
    <w:rsid w:val="00B17786"/>
    <w:rsid w:val="00B177CC"/>
    <w:rsid w:val="00B17845"/>
    <w:rsid w:val="00B1784E"/>
    <w:rsid w:val="00B17871"/>
    <w:rsid w:val="00B178AD"/>
    <w:rsid w:val="00B178FA"/>
    <w:rsid w:val="00B179AF"/>
    <w:rsid w:val="00B179CA"/>
    <w:rsid w:val="00B17A24"/>
    <w:rsid w:val="00B17A4B"/>
    <w:rsid w:val="00B17A4C"/>
    <w:rsid w:val="00B17AAB"/>
    <w:rsid w:val="00B17AF7"/>
    <w:rsid w:val="00B17B45"/>
    <w:rsid w:val="00B17B48"/>
    <w:rsid w:val="00B17B7B"/>
    <w:rsid w:val="00B17B8E"/>
    <w:rsid w:val="00B17BAA"/>
    <w:rsid w:val="00B17FB5"/>
    <w:rsid w:val="00B2016C"/>
    <w:rsid w:val="00B20274"/>
    <w:rsid w:val="00B2031F"/>
    <w:rsid w:val="00B20397"/>
    <w:rsid w:val="00B20467"/>
    <w:rsid w:val="00B204BF"/>
    <w:rsid w:val="00B20530"/>
    <w:rsid w:val="00B2058E"/>
    <w:rsid w:val="00B205D5"/>
    <w:rsid w:val="00B205E0"/>
    <w:rsid w:val="00B205EB"/>
    <w:rsid w:val="00B20640"/>
    <w:rsid w:val="00B20822"/>
    <w:rsid w:val="00B20914"/>
    <w:rsid w:val="00B20A55"/>
    <w:rsid w:val="00B20B46"/>
    <w:rsid w:val="00B20B76"/>
    <w:rsid w:val="00B20B7A"/>
    <w:rsid w:val="00B20DB8"/>
    <w:rsid w:val="00B20E70"/>
    <w:rsid w:val="00B20EEB"/>
    <w:rsid w:val="00B20F11"/>
    <w:rsid w:val="00B20F5B"/>
    <w:rsid w:val="00B20F6A"/>
    <w:rsid w:val="00B2101C"/>
    <w:rsid w:val="00B210E5"/>
    <w:rsid w:val="00B21154"/>
    <w:rsid w:val="00B211F8"/>
    <w:rsid w:val="00B21270"/>
    <w:rsid w:val="00B21276"/>
    <w:rsid w:val="00B21337"/>
    <w:rsid w:val="00B21500"/>
    <w:rsid w:val="00B21588"/>
    <w:rsid w:val="00B216E1"/>
    <w:rsid w:val="00B2171B"/>
    <w:rsid w:val="00B21720"/>
    <w:rsid w:val="00B2197D"/>
    <w:rsid w:val="00B21994"/>
    <w:rsid w:val="00B219E6"/>
    <w:rsid w:val="00B21A70"/>
    <w:rsid w:val="00B21B83"/>
    <w:rsid w:val="00B21CBF"/>
    <w:rsid w:val="00B21D7E"/>
    <w:rsid w:val="00B21DF8"/>
    <w:rsid w:val="00B21E88"/>
    <w:rsid w:val="00B21ED4"/>
    <w:rsid w:val="00B21EDC"/>
    <w:rsid w:val="00B21F08"/>
    <w:rsid w:val="00B21F4B"/>
    <w:rsid w:val="00B21F74"/>
    <w:rsid w:val="00B22204"/>
    <w:rsid w:val="00B223C0"/>
    <w:rsid w:val="00B22403"/>
    <w:rsid w:val="00B224E7"/>
    <w:rsid w:val="00B2255A"/>
    <w:rsid w:val="00B225A9"/>
    <w:rsid w:val="00B2280A"/>
    <w:rsid w:val="00B2287E"/>
    <w:rsid w:val="00B228E3"/>
    <w:rsid w:val="00B22952"/>
    <w:rsid w:val="00B229CA"/>
    <w:rsid w:val="00B22A07"/>
    <w:rsid w:val="00B22A17"/>
    <w:rsid w:val="00B22A2E"/>
    <w:rsid w:val="00B22A6D"/>
    <w:rsid w:val="00B22AFA"/>
    <w:rsid w:val="00B22BA4"/>
    <w:rsid w:val="00B22DAE"/>
    <w:rsid w:val="00B22DC7"/>
    <w:rsid w:val="00B22DD6"/>
    <w:rsid w:val="00B22E3A"/>
    <w:rsid w:val="00B22E56"/>
    <w:rsid w:val="00B22F31"/>
    <w:rsid w:val="00B22FCE"/>
    <w:rsid w:val="00B22FE9"/>
    <w:rsid w:val="00B2300F"/>
    <w:rsid w:val="00B23021"/>
    <w:rsid w:val="00B23039"/>
    <w:rsid w:val="00B2308C"/>
    <w:rsid w:val="00B230A0"/>
    <w:rsid w:val="00B23118"/>
    <w:rsid w:val="00B23121"/>
    <w:rsid w:val="00B23132"/>
    <w:rsid w:val="00B23179"/>
    <w:rsid w:val="00B23347"/>
    <w:rsid w:val="00B2335A"/>
    <w:rsid w:val="00B233CA"/>
    <w:rsid w:val="00B233F5"/>
    <w:rsid w:val="00B23560"/>
    <w:rsid w:val="00B235A0"/>
    <w:rsid w:val="00B235B7"/>
    <w:rsid w:val="00B235C1"/>
    <w:rsid w:val="00B2364D"/>
    <w:rsid w:val="00B236E8"/>
    <w:rsid w:val="00B2380E"/>
    <w:rsid w:val="00B23840"/>
    <w:rsid w:val="00B23924"/>
    <w:rsid w:val="00B2394E"/>
    <w:rsid w:val="00B2395F"/>
    <w:rsid w:val="00B2399A"/>
    <w:rsid w:val="00B23A88"/>
    <w:rsid w:val="00B23B33"/>
    <w:rsid w:val="00B23B4F"/>
    <w:rsid w:val="00B23BA1"/>
    <w:rsid w:val="00B23BF3"/>
    <w:rsid w:val="00B23CAC"/>
    <w:rsid w:val="00B23D3C"/>
    <w:rsid w:val="00B23DFB"/>
    <w:rsid w:val="00B23E23"/>
    <w:rsid w:val="00B23E31"/>
    <w:rsid w:val="00B23E58"/>
    <w:rsid w:val="00B23E5D"/>
    <w:rsid w:val="00B23FD9"/>
    <w:rsid w:val="00B24200"/>
    <w:rsid w:val="00B2432C"/>
    <w:rsid w:val="00B2453D"/>
    <w:rsid w:val="00B2454C"/>
    <w:rsid w:val="00B24585"/>
    <w:rsid w:val="00B245EC"/>
    <w:rsid w:val="00B246A8"/>
    <w:rsid w:val="00B246AF"/>
    <w:rsid w:val="00B246B9"/>
    <w:rsid w:val="00B246D9"/>
    <w:rsid w:val="00B2472F"/>
    <w:rsid w:val="00B24817"/>
    <w:rsid w:val="00B24885"/>
    <w:rsid w:val="00B24BA2"/>
    <w:rsid w:val="00B24BA9"/>
    <w:rsid w:val="00B24BB8"/>
    <w:rsid w:val="00B24BFE"/>
    <w:rsid w:val="00B24C6B"/>
    <w:rsid w:val="00B24D83"/>
    <w:rsid w:val="00B24D9C"/>
    <w:rsid w:val="00B24DD1"/>
    <w:rsid w:val="00B24E0F"/>
    <w:rsid w:val="00B250BE"/>
    <w:rsid w:val="00B250C4"/>
    <w:rsid w:val="00B251DC"/>
    <w:rsid w:val="00B25210"/>
    <w:rsid w:val="00B25270"/>
    <w:rsid w:val="00B25285"/>
    <w:rsid w:val="00B2531E"/>
    <w:rsid w:val="00B25386"/>
    <w:rsid w:val="00B253D8"/>
    <w:rsid w:val="00B25462"/>
    <w:rsid w:val="00B2549B"/>
    <w:rsid w:val="00B25513"/>
    <w:rsid w:val="00B25523"/>
    <w:rsid w:val="00B257FD"/>
    <w:rsid w:val="00B258DD"/>
    <w:rsid w:val="00B25925"/>
    <w:rsid w:val="00B2592D"/>
    <w:rsid w:val="00B25958"/>
    <w:rsid w:val="00B2599A"/>
    <w:rsid w:val="00B2599F"/>
    <w:rsid w:val="00B25A18"/>
    <w:rsid w:val="00B25A39"/>
    <w:rsid w:val="00B25AA9"/>
    <w:rsid w:val="00B25B96"/>
    <w:rsid w:val="00B25BB8"/>
    <w:rsid w:val="00B25C3F"/>
    <w:rsid w:val="00B25C55"/>
    <w:rsid w:val="00B25CF3"/>
    <w:rsid w:val="00B25D39"/>
    <w:rsid w:val="00B25D64"/>
    <w:rsid w:val="00B26112"/>
    <w:rsid w:val="00B26126"/>
    <w:rsid w:val="00B2614C"/>
    <w:rsid w:val="00B2616F"/>
    <w:rsid w:val="00B26175"/>
    <w:rsid w:val="00B26336"/>
    <w:rsid w:val="00B26340"/>
    <w:rsid w:val="00B2639E"/>
    <w:rsid w:val="00B265E6"/>
    <w:rsid w:val="00B266F4"/>
    <w:rsid w:val="00B26751"/>
    <w:rsid w:val="00B267C4"/>
    <w:rsid w:val="00B2680E"/>
    <w:rsid w:val="00B2682C"/>
    <w:rsid w:val="00B2683B"/>
    <w:rsid w:val="00B26846"/>
    <w:rsid w:val="00B26886"/>
    <w:rsid w:val="00B26892"/>
    <w:rsid w:val="00B2689E"/>
    <w:rsid w:val="00B268C8"/>
    <w:rsid w:val="00B268EE"/>
    <w:rsid w:val="00B26906"/>
    <w:rsid w:val="00B2690B"/>
    <w:rsid w:val="00B26B7C"/>
    <w:rsid w:val="00B26C62"/>
    <w:rsid w:val="00B26CDD"/>
    <w:rsid w:val="00B26D1A"/>
    <w:rsid w:val="00B26D63"/>
    <w:rsid w:val="00B26DB3"/>
    <w:rsid w:val="00B26DD4"/>
    <w:rsid w:val="00B26DD9"/>
    <w:rsid w:val="00B26DE9"/>
    <w:rsid w:val="00B26E15"/>
    <w:rsid w:val="00B26E2B"/>
    <w:rsid w:val="00B26E89"/>
    <w:rsid w:val="00B26ED3"/>
    <w:rsid w:val="00B26F86"/>
    <w:rsid w:val="00B270AC"/>
    <w:rsid w:val="00B270CD"/>
    <w:rsid w:val="00B2720D"/>
    <w:rsid w:val="00B2728B"/>
    <w:rsid w:val="00B272D5"/>
    <w:rsid w:val="00B2731F"/>
    <w:rsid w:val="00B273BC"/>
    <w:rsid w:val="00B273E3"/>
    <w:rsid w:val="00B27421"/>
    <w:rsid w:val="00B27457"/>
    <w:rsid w:val="00B27519"/>
    <w:rsid w:val="00B27584"/>
    <w:rsid w:val="00B27686"/>
    <w:rsid w:val="00B2778B"/>
    <w:rsid w:val="00B27844"/>
    <w:rsid w:val="00B27886"/>
    <w:rsid w:val="00B2799B"/>
    <w:rsid w:val="00B27A18"/>
    <w:rsid w:val="00B27A52"/>
    <w:rsid w:val="00B27BDD"/>
    <w:rsid w:val="00B27D06"/>
    <w:rsid w:val="00B27D3E"/>
    <w:rsid w:val="00B27D5B"/>
    <w:rsid w:val="00B27E8A"/>
    <w:rsid w:val="00B27F8D"/>
    <w:rsid w:val="00B27FCA"/>
    <w:rsid w:val="00B27FE8"/>
    <w:rsid w:val="00B30003"/>
    <w:rsid w:val="00B30168"/>
    <w:rsid w:val="00B301B0"/>
    <w:rsid w:val="00B3022A"/>
    <w:rsid w:val="00B302DB"/>
    <w:rsid w:val="00B302F9"/>
    <w:rsid w:val="00B30332"/>
    <w:rsid w:val="00B3037C"/>
    <w:rsid w:val="00B303CD"/>
    <w:rsid w:val="00B3046B"/>
    <w:rsid w:val="00B304AA"/>
    <w:rsid w:val="00B304E8"/>
    <w:rsid w:val="00B3073F"/>
    <w:rsid w:val="00B307A0"/>
    <w:rsid w:val="00B307BD"/>
    <w:rsid w:val="00B308A3"/>
    <w:rsid w:val="00B308C8"/>
    <w:rsid w:val="00B30967"/>
    <w:rsid w:val="00B309A6"/>
    <w:rsid w:val="00B309BA"/>
    <w:rsid w:val="00B309CB"/>
    <w:rsid w:val="00B30A62"/>
    <w:rsid w:val="00B30A83"/>
    <w:rsid w:val="00B30B21"/>
    <w:rsid w:val="00B30B3B"/>
    <w:rsid w:val="00B30C43"/>
    <w:rsid w:val="00B30CE1"/>
    <w:rsid w:val="00B30CE8"/>
    <w:rsid w:val="00B30E48"/>
    <w:rsid w:val="00B30F67"/>
    <w:rsid w:val="00B30FD3"/>
    <w:rsid w:val="00B3102E"/>
    <w:rsid w:val="00B3104E"/>
    <w:rsid w:val="00B3105C"/>
    <w:rsid w:val="00B31310"/>
    <w:rsid w:val="00B313C6"/>
    <w:rsid w:val="00B314C1"/>
    <w:rsid w:val="00B315C7"/>
    <w:rsid w:val="00B316D1"/>
    <w:rsid w:val="00B31716"/>
    <w:rsid w:val="00B317A5"/>
    <w:rsid w:val="00B3186E"/>
    <w:rsid w:val="00B318B5"/>
    <w:rsid w:val="00B318F9"/>
    <w:rsid w:val="00B31A81"/>
    <w:rsid w:val="00B31AE1"/>
    <w:rsid w:val="00B31C49"/>
    <w:rsid w:val="00B31D9E"/>
    <w:rsid w:val="00B31DE5"/>
    <w:rsid w:val="00B31DEC"/>
    <w:rsid w:val="00B31DF0"/>
    <w:rsid w:val="00B31F90"/>
    <w:rsid w:val="00B31FB0"/>
    <w:rsid w:val="00B31FB6"/>
    <w:rsid w:val="00B32030"/>
    <w:rsid w:val="00B320F5"/>
    <w:rsid w:val="00B32115"/>
    <w:rsid w:val="00B32219"/>
    <w:rsid w:val="00B322A4"/>
    <w:rsid w:val="00B322EB"/>
    <w:rsid w:val="00B323B0"/>
    <w:rsid w:val="00B32465"/>
    <w:rsid w:val="00B324BA"/>
    <w:rsid w:val="00B324DB"/>
    <w:rsid w:val="00B325B0"/>
    <w:rsid w:val="00B32720"/>
    <w:rsid w:val="00B32736"/>
    <w:rsid w:val="00B32751"/>
    <w:rsid w:val="00B327C9"/>
    <w:rsid w:val="00B327E1"/>
    <w:rsid w:val="00B327F7"/>
    <w:rsid w:val="00B32861"/>
    <w:rsid w:val="00B32866"/>
    <w:rsid w:val="00B3288C"/>
    <w:rsid w:val="00B3290B"/>
    <w:rsid w:val="00B32934"/>
    <w:rsid w:val="00B32A20"/>
    <w:rsid w:val="00B32A52"/>
    <w:rsid w:val="00B32A76"/>
    <w:rsid w:val="00B32B2F"/>
    <w:rsid w:val="00B32C01"/>
    <w:rsid w:val="00B32CA4"/>
    <w:rsid w:val="00B32CB2"/>
    <w:rsid w:val="00B32CB6"/>
    <w:rsid w:val="00B32D8F"/>
    <w:rsid w:val="00B32E0F"/>
    <w:rsid w:val="00B32E83"/>
    <w:rsid w:val="00B32EDB"/>
    <w:rsid w:val="00B32F13"/>
    <w:rsid w:val="00B32F65"/>
    <w:rsid w:val="00B32F89"/>
    <w:rsid w:val="00B32FA2"/>
    <w:rsid w:val="00B32FCB"/>
    <w:rsid w:val="00B33038"/>
    <w:rsid w:val="00B33044"/>
    <w:rsid w:val="00B330D7"/>
    <w:rsid w:val="00B33297"/>
    <w:rsid w:val="00B33363"/>
    <w:rsid w:val="00B33430"/>
    <w:rsid w:val="00B33705"/>
    <w:rsid w:val="00B337A2"/>
    <w:rsid w:val="00B33859"/>
    <w:rsid w:val="00B338AC"/>
    <w:rsid w:val="00B338EA"/>
    <w:rsid w:val="00B33ADC"/>
    <w:rsid w:val="00B33B01"/>
    <w:rsid w:val="00B33BFE"/>
    <w:rsid w:val="00B33C37"/>
    <w:rsid w:val="00B33C41"/>
    <w:rsid w:val="00B33CCE"/>
    <w:rsid w:val="00B33CFA"/>
    <w:rsid w:val="00B33D60"/>
    <w:rsid w:val="00B33DA9"/>
    <w:rsid w:val="00B33DEE"/>
    <w:rsid w:val="00B33E80"/>
    <w:rsid w:val="00B33F98"/>
    <w:rsid w:val="00B33FDC"/>
    <w:rsid w:val="00B33FF1"/>
    <w:rsid w:val="00B3408F"/>
    <w:rsid w:val="00B340C7"/>
    <w:rsid w:val="00B34163"/>
    <w:rsid w:val="00B3419C"/>
    <w:rsid w:val="00B34228"/>
    <w:rsid w:val="00B342E4"/>
    <w:rsid w:val="00B342FF"/>
    <w:rsid w:val="00B343B9"/>
    <w:rsid w:val="00B34414"/>
    <w:rsid w:val="00B34572"/>
    <w:rsid w:val="00B345B0"/>
    <w:rsid w:val="00B345F9"/>
    <w:rsid w:val="00B3462D"/>
    <w:rsid w:val="00B346D6"/>
    <w:rsid w:val="00B3480C"/>
    <w:rsid w:val="00B34852"/>
    <w:rsid w:val="00B348EC"/>
    <w:rsid w:val="00B34993"/>
    <w:rsid w:val="00B3499D"/>
    <w:rsid w:val="00B34A51"/>
    <w:rsid w:val="00B34AB7"/>
    <w:rsid w:val="00B34B29"/>
    <w:rsid w:val="00B34B3F"/>
    <w:rsid w:val="00B34C82"/>
    <w:rsid w:val="00B34E6E"/>
    <w:rsid w:val="00B34EB2"/>
    <w:rsid w:val="00B34F08"/>
    <w:rsid w:val="00B34F2E"/>
    <w:rsid w:val="00B35079"/>
    <w:rsid w:val="00B35088"/>
    <w:rsid w:val="00B350B5"/>
    <w:rsid w:val="00B351AF"/>
    <w:rsid w:val="00B351EA"/>
    <w:rsid w:val="00B35206"/>
    <w:rsid w:val="00B35266"/>
    <w:rsid w:val="00B35330"/>
    <w:rsid w:val="00B35332"/>
    <w:rsid w:val="00B3537B"/>
    <w:rsid w:val="00B3540B"/>
    <w:rsid w:val="00B3541D"/>
    <w:rsid w:val="00B35485"/>
    <w:rsid w:val="00B354D3"/>
    <w:rsid w:val="00B3551E"/>
    <w:rsid w:val="00B35576"/>
    <w:rsid w:val="00B356CB"/>
    <w:rsid w:val="00B356FC"/>
    <w:rsid w:val="00B357D4"/>
    <w:rsid w:val="00B357E9"/>
    <w:rsid w:val="00B35889"/>
    <w:rsid w:val="00B358F6"/>
    <w:rsid w:val="00B3591C"/>
    <w:rsid w:val="00B3593F"/>
    <w:rsid w:val="00B35A58"/>
    <w:rsid w:val="00B35AB1"/>
    <w:rsid w:val="00B35B18"/>
    <w:rsid w:val="00B35B72"/>
    <w:rsid w:val="00B35B94"/>
    <w:rsid w:val="00B35D1D"/>
    <w:rsid w:val="00B35D40"/>
    <w:rsid w:val="00B35D5A"/>
    <w:rsid w:val="00B35E1D"/>
    <w:rsid w:val="00B35E38"/>
    <w:rsid w:val="00B35EA6"/>
    <w:rsid w:val="00B35EC1"/>
    <w:rsid w:val="00B35FE1"/>
    <w:rsid w:val="00B360D9"/>
    <w:rsid w:val="00B36108"/>
    <w:rsid w:val="00B36110"/>
    <w:rsid w:val="00B361F7"/>
    <w:rsid w:val="00B3621D"/>
    <w:rsid w:val="00B36234"/>
    <w:rsid w:val="00B36235"/>
    <w:rsid w:val="00B3625A"/>
    <w:rsid w:val="00B36360"/>
    <w:rsid w:val="00B363D3"/>
    <w:rsid w:val="00B363F9"/>
    <w:rsid w:val="00B36425"/>
    <w:rsid w:val="00B36431"/>
    <w:rsid w:val="00B36542"/>
    <w:rsid w:val="00B36701"/>
    <w:rsid w:val="00B36786"/>
    <w:rsid w:val="00B367BE"/>
    <w:rsid w:val="00B368A9"/>
    <w:rsid w:val="00B368C1"/>
    <w:rsid w:val="00B36A14"/>
    <w:rsid w:val="00B36A71"/>
    <w:rsid w:val="00B36AB3"/>
    <w:rsid w:val="00B36ADF"/>
    <w:rsid w:val="00B36C0D"/>
    <w:rsid w:val="00B36CA6"/>
    <w:rsid w:val="00B36D27"/>
    <w:rsid w:val="00B36D3B"/>
    <w:rsid w:val="00B36D96"/>
    <w:rsid w:val="00B36DDB"/>
    <w:rsid w:val="00B36DED"/>
    <w:rsid w:val="00B36E03"/>
    <w:rsid w:val="00B36E0F"/>
    <w:rsid w:val="00B36F73"/>
    <w:rsid w:val="00B37032"/>
    <w:rsid w:val="00B37049"/>
    <w:rsid w:val="00B37058"/>
    <w:rsid w:val="00B37064"/>
    <w:rsid w:val="00B37097"/>
    <w:rsid w:val="00B37295"/>
    <w:rsid w:val="00B372C4"/>
    <w:rsid w:val="00B372DB"/>
    <w:rsid w:val="00B37421"/>
    <w:rsid w:val="00B37531"/>
    <w:rsid w:val="00B375EA"/>
    <w:rsid w:val="00B3773B"/>
    <w:rsid w:val="00B377ED"/>
    <w:rsid w:val="00B37817"/>
    <w:rsid w:val="00B37842"/>
    <w:rsid w:val="00B378A1"/>
    <w:rsid w:val="00B378C0"/>
    <w:rsid w:val="00B378CF"/>
    <w:rsid w:val="00B37A42"/>
    <w:rsid w:val="00B37ADD"/>
    <w:rsid w:val="00B37B16"/>
    <w:rsid w:val="00B37BEE"/>
    <w:rsid w:val="00B37C59"/>
    <w:rsid w:val="00B37CC9"/>
    <w:rsid w:val="00B37CFB"/>
    <w:rsid w:val="00B37DD2"/>
    <w:rsid w:val="00B37E82"/>
    <w:rsid w:val="00B37FAD"/>
    <w:rsid w:val="00B37FF4"/>
    <w:rsid w:val="00B400D3"/>
    <w:rsid w:val="00B40119"/>
    <w:rsid w:val="00B4017A"/>
    <w:rsid w:val="00B40242"/>
    <w:rsid w:val="00B402EE"/>
    <w:rsid w:val="00B40513"/>
    <w:rsid w:val="00B4070A"/>
    <w:rsid w:val="00B4070D"/>
    <w:rsid w:val="00B409FD"/>
    <w:rsid w:val="00B40B2A"/>
    <w:rsid w:val="00B40B34"/>
    <w:rsid w:val="00B40C2A"/>
    <w:rsid w:val="00B40CFF"/>
    <w:rsid w:val="00B40DAF"/>
    <w:rsid w:val="00B40DBB"/>
    <w:rsid w:val="00B40DC1"/>
    <w:rsid w:val="00B4117C"/>
    <w:rsid w:val="00B4118C"/>
    <w:rsid w:val="00B41221"/>
    <w:rsid w:val="00B41226"/>
    <w:rsid w:val="00B41233"/>
    <w:rsid w:val="00B4126A"/>
    <w:rsid w:val="00B412C3"/>
    <w:rsid w:val="00B41371"/>
    <w:rsid w:val="00B4138B"/>
    <w:rsid w:val="00B414C2"/>
    <w:rsid w:val="00B41555"/>
    <w:rsid w:val="00B4157F"/>
    <w:rsid w:val="00B4159F"/>
    <w:rsid w:val="00B415EB"/>
    <w:rsid w:val="00B41749"/>
    <w:rsid w:val="00B4183B"/>
    <w:rsid w:val="00B41854"/>
    <w:rsid w:val="00B4186C"/>
    <w:rsid w:val="00B41931"/>
    <w:rsid w:val="00B41A3F"/>
    <w:rsid w:val="00B41A7E"/>
    <w:rsid w:val="00B41AA4"/>
    <w:rsid w:val="00B41AD4"/>
    <w:rsid w:val="00B41AEE"/>
    <w:rsid w:val="00B41B33"/>
    <w:rsid w:val="00B41BC6"/>
    <w:rsid w:val="00B41D04"/>
    <w:rsid w:val="00B41DEC"/>
    <w:rsid w:val="00B41E71"/>
    <w:rsid w:val="00B41E87"/>
    <w:rsid w:val="00B4203B"/>
    <w:rsid w:val="00B4204A"/>
    <w:rsid w:val="00B4208D"/>
    <w:rsid w:val="00B420A8"/>
    <w:rsid w:val="00B420D0"/>
    <w:rsid w:val="00B420DB"/>
    <w:rsid w:val="00B42122"/>
    <w:rsid w:val="00B42200"/>
    <w:rsid w:val="00B42264"/>
    <w:rsid w:val="00B422B8"/>
    <w:rsid w:val="00B42342"/>
    <w:rsid w:val="00B42548"/>
    <w:rsid w:val="00B42578"/>
    <w:rsid w:val="00B4260B"/>
    <w:rsid w:val="00B4271B"/>
    <w:rsid w:val="00B42835"/>
    <w:rsid w:val="00B42857"/>
    <w:rsid w:val="00B42868"/>
    <w:rsid w:val="00B42885"/>
    <w:rsid w:val="00B428CA"/>
    <w:rsid w:val="00B42975"/>
    <w:rsid w:val="00B42A1E"/>
    <w:rsid w:val="00B42B06"/>
    <w:rsid w:val="00B42C42"/>
    <w:rsid w:val="00B42C46"/>
    <w:rsid w:val="00B42D18"/>
    <w:rsid w:val="00B42D8A"/>
    <w:rsid w:val="00B42DED"/>
    <w:rsid w:val="00B42E2A"/>
    <w:rsid w:val="00B4306C"/>
    <w:rsid w:val="00B43085"/>
    <w:rsid w:val="00B43092"/>
    <w:rsid w:val="00B43285"/>
    <w:rsid w:val="00B432C1"/>
    <w:rsid w:val="00B43349"/>
    <w:rsid w:val="00B4339E"/>
    <w:rsid w:val="00B43491"/>
    <w:rsid w:val="00B43592"/>
    <w:rsid w:val="00B43651"/>
    <w:rsid w:val="00B43753"/>
    <w:rsid w:val="00B43772"/>
    <w:rsid w:val="00B43801"/>
    <w:rsid w:val="00B4381C"/>
    <w:rsid w:val="00B43843"/>
    <w:rsid w:val="00B4386D"/>
    <w:rsid w:val="00B4388B"/>
    <w:rsid w:val="00B438B4"/>
    <w:rsid w:val="00B439FE"/>
    <w:rsid w:val="00B43AF5"/>
    <w:rsid w:val="00B43AF9"/>
    <w:rsid w:val="00B43CDA"/>
    <w:rsid w:val="00B43DAE"/>
    <w:rsid w:val="00B43DE8"/>
    <w:rsid w:val="00B43E29"/>
    <w:rsid w:val="00B43E2A"/>
    <w:rsid w:val="00B43E54"/>
    <w:rsid w:val="00B43F37"/>
    <w:rsid w:val="00B43F55"/>
    <w:rsid w:val="00B43F85"/>
    <w:rsid w:val="00B440A5"/>
    <w:rsid w:val="00B440B2"/>
    <w:rsid w:val="00B441A1"/>
    <w:rsid w:val="00B441A8"/>
    <w:rsid w:val="00B442B9"/>
    <w:rsid w:val="00B443FF"/>
    <w:rsid w:val="00B44507"/>
    <w:rsid w:val="00B4456A"/>
    <w:rsid w:val="00B445A2"/>
    <w:rsid w:val="00B445F6"/>
    <w:rsid w:val="00B44600"/>
    <w:rsid w:val="00B44624"/>
    <w:rsid w:val="00B4464A"/>
    <w:rsid w:val="00B447FE"/>
    <w:rsid w:val="00B44903"/>
    <w:rsid w:val="00B4497B"/>
    <w:rsid w:val="00B449D1"/>
    <w:rsid w:val="00B449E6"/>
    <w:rsid w:val="00B44AA5"/>
    <w:rsid w:val="00B44AE8"/>
    <w:rsid w:val="00B44BB5"/>
    <w:rsid w:val="00B44C82"/>
    <w:rsid w:val="00B45038"/>
    <w:rsid w:val="00B45055"/>
    <w:rsid w:val="00B4506C"/>
    <w:rsid w:val="00B45083"/>
    <w:rsid w:val="00B450F0"/>
    <w:rsid w:val="00B45101"/>
    <w:rsid w:val="00B451A0"/>
    <w:rsid w:val="00B451AD"/>
    <w:rsid w:val="00B45205"/>
    <w:rsid w:val="00B4537C"/>
    <w:rsid w:val="00B453B7"/>
    <w:rsid w:val="00B4559C"/>
    <w:rsid w:val="00B45632"/>
    <w:rsid w:val="00B4564B"/>
    <w:rsid w:val="00B456DA"/>
    <w:rsid w:val="00B45720"/>
    <w:rsid w:val="00B4582B"/>
    <w:rsid w:val="00B45846"/>
    <w:rsid w:val="00B4592B"/>
    <w:rsid w:val="00B45963"/>
    <w:rsid w:val="00B459B1"/>
    <w:rsid w:val="00B45B63"/>
    <w:rsid w:val="00B45C75"/>
    <w:rsid w:val="00B45C8B"/>
    <w:rsid w:val="00B45CF7"/>
    <w:rsid w:val="00B45D79"/>
    <w:rsid w:val="00B45E02"/>
    <w:rsid w:val="00B45E3F"/>
    <w:rsid w:val="00B45E8F"/>
    <w:rsid w:val="00B45ED5"/>
    <w:rsid w:val="00B45EE1"/>
    <w:rsid w:val="00B45FA1"/>
    <w:rsid w:val="00B45FE0"/>
    <w:rsid w:val="00B460CB"/>
    <w:rsid w:val="00B460D9"/>
    <w:rsid w:val="00B461D4"/>
    <w:rsid w:val="00B46298"/>
    <w:rsid w:val="00B4629B"/>
    <w:rsid w:val="00B46327"/>
    <w:rsid w:val="00B4635A"/>
    <w:rsid w:val="00B46376"/>
    <w:rsid w:val="00B463A2"/>
    <w:rsid w:val="00B463AB"/>
    <w:rsid w:val="00B46415"/>
    <w:rsid w:val="00B46459"/>
    <w:rsid w:val="00B464A6"/>
    <w:rsid w:val="00B464AE"/>
    <w:rsid w:val="00B46508"/>
    <w:rsid w:val="00B4654A"/>
    <w:rsid w:val="00B46569"/>
    <w:rsid w:val="00B465B5"/>
    <w:rsid w:val="00B465CF"/>
    <w:rsid w:val="00B465FA"/>
    <w:rsid w:val="00B4662A"/>
    <w:rsid w:val="00B4672B"/>
    <w:rsid w:val="00B46742"/>
    <w:rsid w:val="00B4677B"/>
    <w:rsid w:val="00B467E9"/>
    <w:rsid w:val="00B467F0"/>
    <w:rsid w:val="00B46865"/>
    <w:rsid w:val="00B46889"/>
    <w:rsid w:val="00B4688E"/>
    <w:rsid w:val="00B468CD"/>
    <w:rsid w:val="00B469D3"/>
    <w:rsid w:val="00B46C52"/>
    <w:rsid w:val="00B46C96"/>
    <w:rsid w:val="00B46CAD"/>
    <w:rsid w:val="00B46D32"/>
    <w:rsid w:val="00B46D53"/>
    <w:rsid w:val="00B46DEE"/>
    <w:rsid w:val="00B46ECF"/>
    <w:rsid w:val="00B46F16"/>
    <w:rsid w:val="00B46F70"/>
    <w:rsid w:val="00B46FDB"/>
    <w:rsid w:val="00B47004"/>
    <w:rsid w:val="00B470AA"/>
    <w:rsid w:val="00B470AE"/>
    <w:rsid w:val="00B470B6"/>
    <w:rsid w:val="00B470EA"/>
    <w:rsid w:val="00B47127"/>
    <w:rsid w:val="00B47138"/>
    <w:rsid w:val="00B47264"/>
    <w:rsid w:val="00B4730E"/>
    <w:rsid w:val="00B4733A"/>
    <w:rsid w:val="00B47385"/>
    <w:rsid w:val="00B47559"/>
    <w:rsid w:val="00B47680"/>
    <w:rsid w:val="00B47794"/>
    <w:rsid w:val="00B4781F"/>
    <w:rsid w:val="00B47836"/>
    <w:rsid w:val="00B47937"/>
    <w:rsid w:val="00B47994"/>
    <w:rsid w:val="00B479D1"/>
    <w:rsid w:val="00B47A2C"/>
    <w:rsid w:val="00B47AB9"/>
    <w:rsid w:val="00B47AF3"/>
    <w:rsid w:val="00B47B75"/>
    <w:rsid w:val="00B47BC8"/>
    <w:rsid w:val="00B47C55"/>
    <w:rsid w:val="00B47C7E"/>
    <w:rsid w:val="00B47CC3"/>
    <w:rsid w:val="00B47D2A"/>
    <w:rsid w:val="00B47D6A"/>
    <w:rsid w:val="00B47DD4"/>
    <w:rsid w:val="00B47DEF"/>
    <w:rsid w:val="00B47E9A"/>
    <w:rsid w:val="00B47EC0"/>
    <w:rsid w:val="00B47F01"/>
    <w:rsid w:val="00B47F38"/>
    <w:rsid w:val="00B4F69D"/>
    <w:rsid w:val="00B50045"/>
    <w:rsid w:val="00B500FD"/>
    <w:rsid w:val="00B50122"/>
    <w:rsid w:val="00B50186"/>
    <w:rsid w:val="00B501F9"/>
    <w:rsid w:val="00B5023E"/>
    <w:rsid w:val="00B502C6"/>
    <w:rsid w:val="00B50379"/>
    <w:rsid w:val="00B50428"/>
    <w:rsid w:val="00B5048D"/>
    <w:rsid w:val="00B504AF"/>
    <w:rsid w:val="00B504DA"/>
    <w:rsid w:val="00B5050D"/>
    <w:rsid w:val="00B50555"/>
    <w:rsid w:val="00B50566"/>
    <w:rsid w:val="00B50596"/>
    <w:rsid w:val="00B50625"/>
    <w:rsid w:val="00B5066C"/>
    <w:rsid w:val="00B50689"/>
    <w:rsid w:val="00B506A7"/>
    <w:rsid w:val="00B507DF"/>
    <w:rsid w:val="00B50846"/>
    <w:rsid w:val="00B509A2"/>
    <w:rsid w:val="00B509CF"/>
    <w:rsid w:val="00B50A25"/>
    <w:rsid w:val="00B50A6A"/>
    <w:rsid w:val="00B50A70"/>
    <w:rsid w:val="00B50B49"/>
    <w:rsid w:val="00B50BAC"/>
    <w:rsid w:val="00B50C0F"/>
    <w:rsid w:val="00B50C19"/>
    <w:rsid w:val="00B50C6D"/>
    <w:rsid w:val="00B50E60"/>
    <w:rsid w:val="00B50E95"/>
    <w:rsid w:val="00B50EC5"/>
    <w:rsid w:val="00B50EC9"/>
    <w:rsid w:val="00B50F71"/>
    <w:rsid w:val="00B51042"/>
    <w:rsid w:val="00B5105E"/>
    <w:rsid w:val="00B51073"/>
    <w:rsid w:val="00B51116"/>
    <w:rsid w:val="00B5111C"/>
    <w:rsid w:val="00B51169"/>
    <w:rsid w:val="00B51201"/>
    <w:rsid w:val="00B51347"/>
    <w:rsid w:val="00B51396"/>
    <w:rsid w:val="00B5147F"/>
    <w:rsid w:val="00B5150B"/>
    <w:rsid w:val="00B5152C"/>
    <w:rsid w:val="00B5158E"/>
    <w:rsid w:val="00B515D6"/>
    <w:rsid w:val="00B51624"/>
    <w:rsid w:val="00B51730"/>
    <w:rsid w:val="00B51743"/>
    <w:rsid w:val="00B5190D"/>
    <w:rsid w:val="00B519E1"/>
    <w:rsid w:val="00B519EF"/>
    <w:rsid w:val="00B51A14"/>
    <w:rsid w:val="00B51A1D"/>
    <w:rsid w:val="00B51A4D"/>
    <w:rsid w:val="00B51A8F"/>
    <w:rsid w:val="00B51E82"/>
    <w:rsid w:val="00B51F1C"/>
    <w:rsid w:val="00B51F35"/>
    <w:rsid w:val="00B51F90"/>
    <w:rsid w:val="00B51F95"/>
    <w:rsid w:val="00B51FF0"/>
    <w:rsid w:val="00B52051"/>
    <w:rsid w:val="00B52052"/>
    <w:rsid w:val="00B520A2"/>
    <w:rsid w:val="00B520D7"/>
    <w:rsid w:val="00B52121"/>
    <w:rsid w:val="00B5214B"/>
    <w:rsid w:val="00B521A0"/>
    <w:rsid w:val="00B52270"/>
    <w:rsid w:val="00B5232C"/>
    <w:rsid w:val="00B523ED"/>
    <w:rsid w:val="00B52479"/>
    <w:rsid w:val="00B524BF"/>
    <w:rsid w:val="00B5258C"/>
    <w:rsid w:val="00B525B6"/>
    <w:rsid w:val="00B525CD"/>
    <w:rsid w:val="00B52609"/>
    <w:rsid w:val="00B5267C"/>
    <w:rsid w:val="00B5269C"/>
    <w:rsid w:val="00B526A2"/>
    <w:rsid w:val="00B527C7"/>
    <w:rsid w:val="00B529D9"/>
    <w:rsid w:val="00B52A57"/>
    <w:rsid w:val="00B52A83"/>
    <w:rsid w:val="00B52C08"/>
    <w:rsid w:val="00B52C71"/>
    <w:rsid w:val="00B52CC2"/>
    <w:rsid w:val="00B52CC4"/>
    <w:rsid w:val="00B52CE4"/>
    <w:rsid w:val="00B52D7F"/>
    <w:rsid w:val="00B52DCE"/>
    <w:rsid w:val="00B52E22"/>
    <w:rsid w:val="00B52EF3"/>
    <w:rsid w:val="00B52F99"/>
    <w:rsid w:val="00B53012"/>
    <w:rsid w:val="00B53070"/>
    <w:rsid w:val="00B530E7"/>
    <w:rsid w:val="00B5313B"/>
    <w:rsid w:val="00B53356"/>
    <w:rsid w:val="00B533D7"/>
    <w:rsid w:val="00B5346F"/>
    <w:rsid w:val="00B535B5"/>
    <w:rsid w:val="00B53625"/>
    <w:rsid w:val="00B5366A"/>
    <w:rsid w:val="00B537B1"/>
    <w:rsid w:val="00B537C2"/>
    <w:rsid w:val="00B5380C"/>
    <w:rsid w:val="00B538A1"/>
    <w:rsid w:val="00B539A5"/>
    <w:rsid w:val="00B53A19"/>
    <w:rsid w:val="00B53BF0"/>
    <w:rsid w:val="00B53C24"/>
    <w:rsid w:val="00B53C46"/>
    <w:rsid w:val="00B53C97"/>
    <w:rsid w:val="00B53D6D"/>
    <w:rsid w:val="00B53E19"/>
    <w:rsid w:val="00B53E1C"/>
    <w:rsid w:val="00B53E7A"/>
    <w:rsid w:val="00B53FF2"/>
    <w:rsid w:val="00B53FFB"/>
    <w:rsid w:val="00B5403B"/>
    <w:rsid w:val="00B5408D"/>
    <w:rsid w:val="00B540AD"/>
    <w:rsid w:val="00B540C5"/>
    <w:rsid w:val="00B54114"/>
    <w:rsid w:val="00B54213"/>
    <w:rsid w:val="00B54246"/>
    <w:rsid w:val="00B54295"/>
    <w:rsid w:val="00B542A2"/>
    <w:rsid w:val="00B542A4"/>
    <w:rsid w:val="00B542F6"/>
    <w:rsid w:val="00B543FE"/>
    <w:rsid w:val="00B54455"/>
    <w:rsid w:val="00B544C5"/>
    <w:rsid w:val="00B544E1"/>
    <w:rsid w:val="00B546D9"/>
    <w:rsid w:val="00B54707"/>
    <w:rsid w:val="00B54710"/>
    <w:rsid w:val="00B54725"/>
    <w:rsid w:val="00B5472C"/>
    <w:rsid w:val="00B547B4"/>
    <w:rsid w:val="00B547D5"/>
    <w:rsid w:val="00B548A0"/>
    <w:rsid w:val="00B548B0"/>
    <w:rsid w:val="00B54A37"/>
    <w:rsid w:val="00B54BBC"/>
    <w:rsid w:val="00B54CDC"/>
    <w:rsid w:val="00B54D85"/>
    <w:rsid w:val="00B54E8C"/>
    <w:rsid w:val="00B54F0A"/>
    <w:rsid w:val="00B54F53"/>
    <w:rsid w:val="00B54F6D"/>
    <w:rsid w:val="00B54FB3"/>
    <w:rsid w:val="00B54FBB"/>
    <w:rsid w:val="00B55055"/>
    <w:rsid w:val="00B550B8"/>
    <w:rsid w:val="00B550C0"/>
    <w:rsid w:val="00B550EC"/>
    <w:rsid w:val="00B55188"/>
    <w:rsid w:val="00B5520E"/>
    <w:rsid w:val="00B5522A"/>
    <w:rsid w:val="00B55243"/>
    <w:rsid w:val="00B55311"/>
    <w:rsid w:val="00B55487"/>
    <w:rsid w:val="00B554C3"/>
    <w:rsid w:val="00B55526"/>
    <w:rsid w:val="00B5553F"/>
    <w:rsid w:val="00B55684"/>
    <w:rsid w:val="00B55715"/>
    <w:rsid w:val="00B55879"/>
    <w:rsid w:val="00B55974"/>
    <w:rsid w:val="00B55A31"/>
    <w:rsid w:val="00B55AC7"/>
    <w:rsid w:val="00B55BA2"/>
    <w:rsid w:val="00B55C5E"/>
    <w:rsid w:val="00B55C71"/>
    <w:rsid w:val="00B55CE0"/>
    <w:rsid w:val="00B55D17"/>
    <w:rsid w:val="00B55D23"/>
    <w:rsid w:val="00B55D2E"/>
    <w:rsid w:val="00B55D4B"/>
    <w:rsid w:val="00B55E7F"/>
    <w:rsid w:val="00B55F6A"/>
    <w:rsid w:val="00B55F98"/>
    <w:rsid w:val="00B560A6"/>
    <w:rsid w:val="00B5615B"/>
    <w:rsid w:val="00B56184"/>
    <w:rsid w:val="00B56192"/>
    <w:rsid w:val="00B56209"/>
    <w:rsid w:val="00B562EF"/>
    <w:rsid w:val="00B562FC"/>
    <w:rsid w:val="00B5643A"/>
    <w:rsid w:val="00B5656E"/>
    <w:rsid w:val="00B56581"/>
    <w:rsid w:val="00B565A3"/>
    <w:rsid w:val="00B565AE"/>
    <w:rsid w:val="00B566D6"/>
    <w:rsid w:val="00B56796"/>
    <w:rsid w:val="00B5684A"/>
    <w:rsid w:val="00B5689C"/>
    <w:rsid w:val="00B56A68"/>
    <w:rsid w:val="00B56ADC"/>
    <w:rsid w:val="00B56C2B"/>
    <w:rsid w:val="00B56C40"/>
    <w:rsid w:val="00B56C7C"/>
    <w:rsid w:val="00B56C9F"/>
    <w:rsid w:val="00B56EF8"/>
    <w:rsid w:val="00B5700F"/>
    <w:rsid w:val="00B5707A"/>
    <w:rsid w:val="00B570C2"/>
    <w:rsid w:val="00B5713B"/>
    <w:rsid w:val="00B57141"/>
    <w:rsid w:val="00B57171"/>
    <w:rsid w:val="00B571E0"/>
    <w:rsid w:val="00B57281"/>
    <w:rsid w:val="00B57426"/>
    <w:rsid w:val="00B57480"/>
    <w:rsid w:val="00B5750D"/>
    <w:rsid w:val="00B575C1"/>
    <w:rsid w:val="00B57764"/>
    <w:rsid w:val="00B578C8"/>
    <w:rsid w:val="00B57952"/>
    <w:rsid w:val="00B57A2C"/>
    <w:rsid w:val="00B57A9B"/>
    <w:rsid w:val="00B57B58"/>
    <w:rsid w:val="00B57D84"/>
    <w:rsid w:val="00B57DED"/>
    <w:rsid w:val="00B57DF6"/>
    <w:rsid w:val="00B57E10"/>
    <w:rsid w:val="00B57E1C"/>
    <w:rsid w:val="00B57E31"/>
    <w:rsid w:val="00B57E6A"/>
    <w:rsid w:val="00B57E9D"/>
    <w:rsid w:val="00B57E9E"/>
    <w:rsid w:val="00B57F19"/>
    <w:rsid w:val="00B57F5E"/>
    <w:rsid w:val="00B57F8E"/>
    <w:rsid w:val="00B57FFE"/>
    <w:rsid w:val="00B60116"/>
    <w:rsid w:val="00B60153"/>
    <w:rsid w:val="00B601A1"/>
    <w:rsid w:val="00B60293"/>
    <w:rsid w:val="00B602EB"/>
    <w:rsid w:val="00B6036F"/>
    <w:rsid w:val="00B6041E"/>
    <w:rsid w:val="00B604A1"/>
    <w:rsid w:val="00B6061B"/>
    <w:rsid w:val="00B60632"/>
    <w:rsid w:val="00B606C8"/>
    <w:rsid w:val="00B6079B"/>
    <w:rsid w:val="00B608A6"/>
    <w:rsid w:val="00B608E3"/>
    <w:rsid w:val="00B60936"/>
    <w:rsid w:val="00B6094A"/>
    <w:rsid w:val="00B609A2"/>
    <w:rsid w:val="00B60A68"/>
    <w:rsid w:val="00B60B30"/>
    <w:rsid w:val="00B60B87"/>
    <w:rsid w:val="00B60CDB"/>
    <w:rsid w:val="00B60D8E"/>
    <w:rsid w:val="00B60EC8"/>
    <w:rsid w:val="00B60ECE"/>
    <w:rsid w:val="00B60EFD"/>
    <w:rsid w:val="00B60FD0"/>
    <w:rsid w:val="00B61136"/>
    <w:rsid w:val="00B612C3"/>
    <w:rsid w:val="00B61332"/>
    <w:rsid w:val="00B613BF"/>
    <w:rsid w:val="00B61472"/>
    <w:rsid w:val="00B61491"/>
    <w:rsid w:val="00B615AF"/>
    <w:rsid w:val="00B616D4"/>
    <w:rsid w:val="00B616EE"/>
    <w:rsid w:val="00B61755"/>
    <w:rsid w:val="00B61765"/>
    <w:rsid w:val="00B61783"/>
    <w:rsid w:val="00B61846"/>
    <w:rsid w:val="00B6184C"/>
    <w:rsid w:val="00B61905"/>
    <w:rsid w:val="00B61948"/>
    <w:rsid w:val="00B619A9"/>
    <w:rsid w:val="00B61A22"/>
    <w:rsid w:val="00B61A33"/>
    <w:rsid w:val="00B61A4A"/>
    <w:rsid w:val="00B61ABE"/>
    <w:rsid w:val="00B61B8B"/>
    <w:rsid w:val="00B61C90"/>
    <w:rsid w:val="00B61CCB"/>
    <w:rsid w:val="00B62142"/>
    <w:rsid w:val="00B62184"/>
    <w:rsid w:val="00B621E4"/>
    <w:rsid w:val="00B62283"/>
    <w:rsid w:val="00B62319"/>
    <w:rsid w:val="00B62450"/>
    <w:rsid w:val="00B6251E"/>
    <w:rsid w:val="00B625CA"/>
    <w:rsid w:val="00B626A8"/>
    <w:rsid w:val="00B6273E"/>
    <w:rsid w:val="00B62750"/>
    <w:rsid w:val="00B62765"/>
    <w:rsid w:val="00B627BA"/>
    <w:rsid w:val="00B62846"/>
    <w:rsid w:val="00B628AB"/>
    <w:rsid w:val="00B628E4"/>
    <w:rsid w:val="00B628F4"/>
    <w:rsid w:val="00B62B1E"/>
    <w:rsid w:val="00B62B58"/>
    <w:rsid w:val="00B62C07"/>
    <w:rsid w:val="00B62C12"/>
    <w:rsid w:val="00B62C59"/>
    <w:rsid w:val="00B62C6A"/>
    <w:rsid w:val="00B62E21"/>
    <w:rsid w:val="00B62EC9"/>
    <w:rsid w:val="00B62F95"/>
    <w:rsid w:val="00B63024"/>
    <w:rsid w:val="00B630A0"/>
    <w:rsid w:val="00B630C9"/>
    <w:rsid w:val="00B630F6"/>
    <w:rsid w:val="00B6310C"/>
    <w:rsid w:val="00B631E6"/>
    <w:rsid w:val="00B63295"/>
    <w:rsid w:val="00B632AF"/>
    <w:rsid w:val="00B63387"/>
    <w:rsid w:val="00B6344A"/>
    <w:rsid w:val="00B63496"/>
    <w:rsid w:val="00B634E8"/>
    <w:rsid w:val="00B634F8"/>
    <w:rsid w:val="00B6355C"/>
    <w:rsid w:val="00B635D9"/>
    <w:rsid w:val="00B635DC"/>
    <w:rsid w:val="00B6361D"/>
    <w:rsid w:val="00B6367C"/>
    <w:rsid w:val="00B63683"/>
    <w:rsid w:val="00B63724"/>
    <w:rsid w:val="00B6373C"/>
    <w:rsid w:val="00B637D5"/>
    <w:rsid w:val="00B638B4"/>
    <w:rsid w:val="00B63B78"/>
    <w:rsid w:val="00B63CE1"/>
    <w:rsid w:val="00B63D6B"/>
    <w:rsid w:val="00B63DB0"/>
    <w:rsid w:val="00B63E5D"/>
    <w:rsid w:val="00B63E99"/>
    <w:rsid w:val="00B63EC7"/>
    <w:rsid w:val="00B640A2"/>
    <w:rsid w:val="00B6424F"/>
    <w:rsid w:val="00B642B8"/>
    <w:rsid w:val="00B642F4"/>
    <w:rsid w:val="00B64353"/>
    <w:rsid w:val="00B64383"/>
    <w:rsid w:val="00B6447B"/>
    <w:rsid w:val="00B644F2"/>
    <w:rsid w:val="00B644FA"/>
    <w:rsid w:val="00B64576"/>
    <w:rsid w:val="00B64583"/>
    <w:rsid w:val="00B647A6"/>
    <w:rsid w:val="00B647C4"/>
    <w:rsid w:val="00B64832"/>
    <w:rsid w:val="00B648E3"/>
    <w:rsid w:val="00B64912"/>
    <w:rsid w:val="00B64ACA"/>
    <w:rsid w:val="00B64AE0"/>
    <w:rsid w:val="00B64BEA"/>
    <w:rsid w:val="00B64C4C"/>
    <w:rsid w:val="00B64E2C"/>
    <w:rsid w:val="00B64E36"/>
    <w:rsid w:val="00B64E66"/>
    <w:rsid w:val="00B64E6A"/>
    <w:rsid w:val="00B64FE2"/>
    <w:rsid w:val="00B6501B"/>
    <w:rsid w:val="00B6517B"/>
    <w:rsid w:val="00B65185"/>
    <w:rsid w:val="00B651EE"/>
    <w:rsid w:val="00B65208"/>
    <w:rsid w:val="00B652C4"/>
    <w:rsid w:val="00B652DA"/>
    <w:rsid w:val="00B65355"/>
    <w:rsid w:val="00B653C8"/>
    <w:rsid w:val="00B653DC"/>
    <w:rsid w:val="00B65477"/>
    <w:rsid w:val="00B65495"/>
    <w:rsid w:val="00B654E2"/>
    <w:rsid w:val="00B6554B"/>
    <w:rsid w:val="00B65594"/>
    <w:rsid w:val="00B655CE"/>
    <w:rsid w:val="00B6567D"/>
    <w:rsid w:val="00B656E3"/>
    <w:rsid w:val="00B656FE"/>
    <w:rsid w:val="00B65754"/>
    <w:rsid w:val="00B65795"/>
    <w:rsid w:val="00B657A6"/>
    <w:rsid w:val="00B657CE"/>
    <w:rsid w:val="00B65841"/>
    <w:rsid w:val="00B6587A"/>
    <w:rsid w:val="00B658AA"/>
    <w:rsid w:val="00B659AD"/>
    <w:rsid w:val="00B65A6D"/>
    <w:rsid w:val="00B65A87"/>
    <w:rsid w:val="00B65B0A"/>
    <w:rsid w:val="00B65BB2"/>
    <w:rsid w:val="00B65CF9"/>
    <w:rsid w:val="00B65D14"/>
    <w:rsid w:val="00B65D87"/>
    <w:rsid w:val="00B65DA6"/>
    <w:rsid w:val="00B65DF6"/>
    <w:rsid w:val="00B65E65"/>
    <w:rsid w:val="00B65E69"/>
    <w:rsid w:val="00B65F5C"/>
    <w:rsid w:val="00B65F75"/>
    <w:rsid w:val="00B6604B"/>
    <w:rsid w:val="00B66197"/>
    <w:rsid w:val="00B661CF"/>
    <w:rsid w:val="00B66296"/>
    <w:rsid w:val="00B66426"/>
    <w:rsid w:val="00B66443"/>
    <w:rsid w:val="00B66473"/>
    <w:rsid w:val="00B66586"/>
    <w:rsid w:val="00B6668F"/>
    <w:rsid w:val="00B666D7"/>
    <w:rsid w:val="00B668D0"/>
    <w:rsid w:val="00B6697C"/>
    <w:rsid w:val="00B66ABC"/>
    <w:rsid w:val="00B66AC0"/>
    <w:rsid w:val="00B66B06"/>
    <w:rsid w:val="00B66BB5"/>
    <w:rsid w:val="00B66BE5"/>
    <w:rsid w:val="00B66C0C"/>
    <w:rsid w:val="00B66C12"/>
    <w:rsid w:val="00B66D65"/>
    <w:rsid w:val="00B66F8F"/>
    <w:rsid w:val="00B66F94"/>
    <w:rsid w:val="00B670DD"/>
    <w:rsid w:val="00B67124"/>
    <w:rsid w:val="00B671A9"/>
    <w:rsid w:val="00B671E1"/>
    <w:rsid w:val="00B671F2"/>
    <w:rsid w:val="00B672DF"/>
    <w:rsid w:val="00B6735A"/>
    <w:rsid w:val="00B67477"/>
    <w:rsid w:val="00B674D6"/>
    <w:rsid w:val="00B67560"/>
    <w:rsid w:val="00B67599"/>
    <w:rsid w:val="00B67601"/>
    <w:rsid w:val="00B67696"/>
    <w:rsid w:val="00B67752"/>
    <w:rsid w:val="00B677AE"/>
    <w:rsid w:val="00B677F1"/>
    <w:rsid w:val="00B67818"/>
    <w:rsid w:val="00B67A2B"/>
    <w:rsid w:val="00B67A34"/>
    <w:rsid w:val="00B67A92"/>
    <w:rsid w:val="00B67B85"/>
    <w:rsid w:val="00B67BCA"/>
    <w:rsid w:val="00B67CAF"/>
    <w:rsid w:val="00B67D9A"/>
    <w:rsid w:val="00B67E70"/>
    <w:rsid w:val="00B67F15"/>
    <w:rsid w:val="00B67F3E"/>
    <w:rsid w:val="00B67F4F"/>
    <w:rsid w:val="00B67F5D"/>
    <w:rsid w:val="00B67F6E"/>
    <w:rsid w:val="00B67FC8"/>
    <w:rsid w:val="00B7004B"/>
    <w:rsid w:val="00B700B5"/>
    <w:rsid w:val="00B70289"/>
    <w:rsid w:val="00B7029C"/>
    <w:rsid w:val="00B702F1"/>
    <w:rsid w:val="00B7030F"/>
    <w:rsid w:val="00B703E2"/>
    <w:rsid w:val="00B7047F"/>
    <w:rsid w:val="00B70590"/>
    <w:rsid w:val="00B70663"/>
    <w:rsid w:val="00B70790"/>
    <w:rsid w:val="00B7088C"/>
    <w:rsid w:val="00B708B7"/>
    <w:rsid w:val="00B7095F"/>
    <w:rsid w:val="00B709EF"/>
    <w:rsid w:val="00B70AC7"/>
    <w:rsid w:val="00B70B45"/>
    <w:rsid w:val="00B70C68"/>
    <w:rsid w:val="00B70C6E"/>
    <w:rsid w:val="00B70CB5"/>
    <w:rsid w:val="00B70D30"/>
    <w:rsid w:val="00B70DC1"/>
    <w:rsid w:val="00B70E0A"/>
    <w:rsid w:val="00B70E4B"/>
    <w:rsid w:val="00B70EF7"/>
    <w:rsid w:val="00B70F22"/>
    <w:rsid w:val="00B70F36"/>
    <w:rsid w:val="00B71079"/>
    <w:rsid w:val="00B71101"/>
    <w:rsid w:val="00B71115"/>
    <w:rsid w:val="00B7115B"/>
    <w:rsid w:val="00B7115F"/>
    <w:rsid w:val="00B71166"/>
    <w:rsid w:val="00B71319"/>
    <w:rsid w:val="00B713AA"/>
    <w:rsid w:val="00B713F7"/>
    <w:rsid w:val="00B7159D"/>
    <w:rsid w:val="00B71642"/>
    <w:rsid w:val="00B71804"/>
    <w:rsid w:val="00B7185C"/>
    <w:rsid w:val="00B7186D"/>
    <w:rsid w:val="00B7195A"/>
    <w:rsid w:val="00B7197C"/>
    <w:rsid w:val="00B71AEC"/>
    <w:rsid w:val="00B71C20"/>
    <w:rsid w:val="00B71C24"/>
    <w:rsid w:val="00B71C5F"/>
    <w:rsid w:val="00B71C89"/>
    <w:rsid w:val="00B71CD3"/>
    <w:rsid w:val="00B71D08"/>
    <w:rsid w:val="00B71D09"/>
    <w:rsid w:val="00B71D9B"/>
    <w:rsid w:val="00B71E39"/>
    <w:rsid w:val="00B71E9C"/>
    <w:rsid w:val="00B71F1A"/>
    <w:rsid w:val="00B71FC6"/>
    <w:rsid w:val="00B720EA"/>
    <w:rsid w:val="00B7210D"/>
    <w:rsid w:val="00B7215C"/>
    <w:rsid w:val="00B7218F"/>
    <w:rsid w:val="00B721B6"/>
    <w:rsid w:val="00B721BA"/>
    <w:rsid w:val="00B7231E"/>
    <w:rsid w:val="00B72460"/>
    <w:rsid w:val="00B724D3"/>
    <w:rsid w:val="00B7261F"/>
    <w:rsid w:val="00B7265B"/>
    <w:rsid w:val="00B726F9"/>
    <w:rsid w:val="00B72752"/>
    <w:rsid w:val="00B7276C"/>
    <w:rsid w:val="00B728BD"/>
    <w:rsid w:val="00B729A1"/>
    <w:rsid w:val="00B729B4"/>
    <w:rsid w:val="00B72D68"/>
    <w:rsid w:val="00B72E15"/>
    <w:rsid w:val="00B72E49"/>
    <w:rsid w:val="00B72EBA"/>
    <w:rsid w:val="00B72F02"/>
    <w:rsid w:val="00B72F34"/>
    <w:rsid w:val="00B72F72"/>
    <w:rsid w:val="00B72F88"/>
    <w:rsid w:val="00B7307F"/>
    <w:rsid w:val="00B7309B"/>
    <w:rsid w:val="00B7315F"/>
    <w:rsid w:val="00B73166"/>
    <w:rsid w:val="00B73187"/>
    <w:rsid w:val="00B731AD"/>
    <w:rsid w:val="00B731D1"/>
    <w:rsid w:val="00B731E9"/>
    <w:rsid w:val="00B73302"/>
    <w:rsid w:val="00B73348"/>
    <w:rsid w:val="00B73368"/>
    <w:rsid w:val="00B734CD"/>
    <w:rsid w:val="00B734FA"/>
    <w:rsid w:val="00B7357B"/>
    <w:rsid w:val="00B7358B"/>
    <w:rsid w:val="00B735EB"/>
    <w:rsid w:val="00B73631"/>
    <w:rsid w:val="00B73655"/>
    <w:rsid w:val="00B73670"/>
    <w:rsid w:val="00B73689"/>
    <w:rsid w:val="00B7369D"/>
    <w:rsid w:val="00B736AF"/>
    <w:rsid w:val="00B7371D"/>
    <w:rsid w:val="00B7379A"/>
    <w:rsid w:val="00B7383E"/>
    <w:rsid w:val="00B7387A"/>
    <w:rsid w:val="00B73A36"/>
    <w:rsid w:val="00B73AE0"/>
    <w:rsid w:val="00B73BD3"/>
    <w:rsid w:val="00B73C23"/>
    <w:rsid w:val="00B73C90"/>
    <w:rsid w:val="00B73CCD"/>
    <w:rsid w:val="00B73CF8"/>
    <w:rsid w:val="00B73D0B"/>
    <w:rsid w:val="00B73D14"/>
    <w:rsid w:val="00B73D4F"/>
    <w:rsid w:val="00B73F74"/>
    <w:rsid w:val="00B73FEF"/>
    <w:rsid w:val="00B73FFE"/>
    <w:rsid w:val="00B7404C"/>
    <w:rsid w:val="00B74124"/>
    <w:rsid w:val="00B74134"/>
    <w:rsid w:val="00B74169"/>
    <w:rsid w:val="00B74176"/>
    <w:rsid w:val="00B74232"/>
    <w:rsid w:val="00B742A0"/>
    <w:rsid w:val="00B74321"/>
    <w:rsid w:val="00B74350"/>
    <w:rsid w:val="00B743A1"/>
    <w:rsid w:val="00B743F0"/>
    <w:rsid w:val="00B74410"/>
    <w:rsid w:val="00B744D9"/>
    <w:rsid w:val="00B744F0"/>
    <w:rsid w:val="00B744F5"/>
    <w:rsid w:val="00B74564"/>
    <w:rsid w:val="00B745BB"/>
    <w:rsid w:val="00B745DE"/>
    <w:rsid w:val="00B7463D"/>
    <w:rsid w:val="00B74642"/>
    <w:rsid w:val="00B74650"/>
    <w:rsid w:val="00B74797"/>
    <w:rsid w:val="00B7481A"/>
    <w:rsid w:val="00B7482E"/>
    <w:rsid w:val="00B7492B"/>
    <w:rsid w:val="00B749B1"/>
    <w:rsid w:val="00B74B16"/>
    <w:rsid w:val="00B74BB3"/>
    <w:rsid w:val="00B74BC4"/>
    <w:rsid w:val="00B74C00"/>
    <w:rsid w:val="00B74C1B"/>
    <w:rsid w:val="00B74C59"/>
    <w:rsid w:val="00B74D1D"/>
    <w:rsid w:val="00B74D79"/>
    <w:rsid w:val="00B74EAF"/>
    <w:rsid w:val="00B74EC0"/>
    <w:rsid w:val="00B74EE4"/>
    <w:rsid w:val="00B7512C"/>
    <w:rsid w:val="00B75140"/>
    <w:rsid w:val="00B75144"/>
    <w:rsid w:val="00B7516E"/>
    <w:rsid w:val="00B751EB"/>
    <w:rsid w:val="00B751F6"/>
    <w:rsid w:val="00B75203"/>
    <w:rsid w:val="00B7524D"/>
    <w:rsid w:val="00B75420"/>
    <w:rsid w:val="00B7545F"/>
    <w:rsid w:val="00B75462"/>
    <w:rsid w:val="00B7546A"/>
    <w:rsid w:val="00B754A0"/>
    <w:rsid w:val="00B755B1"/>
    <w:rsid w:val="00B755B3"/>
    <w:rsid w:val="00B755C9"/>
    <w:rsid w:val="00B75650"/>
    <w:rsid w:val="00B75674"/>
    <w:rsid w:val="00B7568D"/>
    <w:rsid w:val="00B75758"/>
    <w:rsid w:val="00B7578D"/>
    <w:rsid w:val="00B75828"/>
    <w:rsid w:val="00B75850"/>
    <w:rsid w:val="00B75973"/>
    <w:rsid w:val="00B75A5B"/>
    <w:rsid w:val="00B75AA7"/>
    <w:rsid w:val="00B75B59"/>
    <w:rsid w:val="00B75B7B"/>
    <w:rsid w:val="00B75BDC"/>
    <w:rsid w:val="00B75C59"/>
    <w:rsid w:val="00B75D13"/>
    <w:rsid w:val="00B75DB3"/>
    <w:rsid w:val="00B75E9E"/>
    <w:rsid w:val="00B75EC2"/>
    <w:rsid w:val="00B75F04"/>
    <w:rsid w:val="00B75F3A"/>
    <w:rsid w:val="00B75F47"/>
    <w:rsid w:val="00B75FE9"/>
    <w:rsid w:val="00B75FF2"/>
    <w:rsid w:val="00B76050"/>
    <w:rsid w:val="00B76207"/>
    <w:rsid w:val="00B76241"/>
    <w:rsid w:val="00B76311"/>
    <w:rsid w:val="00B763A9"/>
    <w:rsid w:val="00B763E8"/>
    <w:rsid w:val="00B7646A"/>
    <w:rsid w:val="00B7652F"/>
    <w:rsid w:val="00B76530"/>
    <w:rsid w:val="00B765D3"/>
    <w:rsid w:val="00B76638"/>
    <w:rsid w:val="00B7668F"/>
    <w:rsid w:val="00B766BF"/>
    <w:rsid w:val="00B766CB"/>
    <w:rsid w:val="00B76804"/>
    <w:rsid w:val="00B76938"/>
    <w:rsid w:val="00B76961"/>
    <w:rsid w:val="00B76A52"/>
    <w:rsid w:val="00B76AF8"/>
    <w:rsid w:val="00B76AFF"/>
    <w:rsid w:val="00B76B36"/>
    <w:rsid w:val="00B76BD5"/>
    <w:rsid w:val="00B76C0F"/>
    <w:rsid w:val="00B76C78"/>
    <w:rsid w:val="00B76CA7"/>
    <w:rsid w:val="00B76E20"/>
    <w:rsid w:val="00B76E90"/>
    <w:rsid w:val="00B76E94"/>
    <w:rsid w:val="00B76EA7"/>
    <w:rsid w:val="00B76F10"/>
    <w:rsid w:val="00B76F27"/>
    <w:rsid w:val="00B76F76"/>
    <w:rsid w:val="00B76F90"/>
    <w:rsid w:val="00B76F94"/>
    <w:rsid w:val="00B76FAC"/>
    <w:rsid w:val="00B76FB1"/>
    <w:rsid w:val="00B76FC4"/>
    <w:rsid w:val="00B76FDD"/>
    <w:rsid w:val="00B76FF1"/>
    <w:rsid w:val="00B77084"/>
    <w:rsid w:val="00B77124"/>
    <w:rsid w:val="00B77134"/>
    <w:rsid w:val="00B77139"/>
    <w:rsid w:val="00B771D1"/>
    <w:rsid w:val="00B77257"/>
    <w:rsid w:val="00B772D3"/>
    <w:rsid w:val="00B772F4"/>
    <w:rsid w:val="00B77342"/>
    <w:rsid w:val="00B7735D"/>
    <w:rsid w:val="00B77389"/>
    <w:rsid w:val="00B77583"/>
    <w:rsid w:val="00B77705"/>
    <w:rsid w:val="00B7782B"/>
    <w:rsid w:val="00B77845"/>
    <w:rsid w:val="00B77895"/>
    <w:rsid w:val="00B77924"/>
    <w:rsid w:val="00B77A1C"/>
    <w:rsid w:val="00B77A57"/>
    <w:rsid w:val="00B77A5E"/>
    <w:rsid w:val="00B77AFD"/>
    <w:rsid w:val="00B77B28"/>
    <w:rsid w:val="00B77B78"/>
    <w:rsid w:val="00B77C99"/>
    <w:rsid w:val="00B77D05"/>
    <w:rsid w:val="00B77E3E"/>
    <w:rsid w:val="00B77EC9"/>
    <w:rsid w:val="00B77F71"/>
    <w:rsid w:val="00B80018"/>
    <w:rsid w:val="00B8011F"/>
    <w:rsid w:val="00B80198"/>
    <w:rsid w:val="00B80331"/>
    <w:rsid w:val="00B80389"/>
    <w:rsid w:val="00B8041C"/>
    <w:rsid w:val="00B80480"/>
    <w:rsid w:val="00B80524"/>
    <w:rsid w:val="00B805F4"/>
    <w:rsid w:val="00B80748"/>
    <w:rsid w:val="00B80820"/>
    <w:rsid w:val="00B8083D"/>
    <w:rsid w:val="00B8085B"/>
    <w:rsid w:val="00B808CF"/>
    <w:rsid w:val="00B8093D"/>
    <w:rsid w:val="00B80A67"/>
    <w:rsid w:val="00B80B6D"/>
    <w:rsid w:val="00B80BA5"/>
    <w:rsid w:val="00B80BFA"/>
    <w:rsid w:val="00B80CB4"/>
    <w:rsid w:val="00B80CB8"/>
    <w:rsid w:val="00B80CFD"/>
    <w:rsid w:val="00B80D07"/>
    <w:rsid w:val="00B80DE0"/>
    <w:rsid w:val="00B80DEA"/>
    <w:rsid w:val="00B80DF7"/>
    <w:rsid w:val="00B80DFC"/>
    <w:rsid w:val="00B80FB5"/>
    <w:rsid w:val="00B8101E"/>
    <w:rsid w:val="00B810E1"/>
    <w:rsid w:val="00B8112F"/>
    <w:rsid w:val="00B8114C"/>
    <w:rsid w:val="00B81154"/>
    <w:rsid w:val="00B81161"/>
    <w:rsid w:val="00B81195"/>
    <w:rsid w:val="00B8119B"/>
    <w:rsid w:val="00B811DE"/>
    <w:rsid w:val="00B811F6"/>
    <w:rsid w:val="00B8141C"/>
    <w:rsid w:val="00B81424"/>
    <w:rsid w:val="00B81493"/>
    <w:rsid w:val="00B814D1"/>
    <w:rsid w:val="00B81553"/>
    <w:rsid w:val="00B81775"/>
    <w:rsid w:val="00B81779"/>
    <w:rsid w:val="00B817CF"/>
    <w:rsid w:val="00B817F4"/>
    <w:rsid w:val="00B8182D"/>
    <w:rsid w:val="00B81836"/>
    <w:rsid w:val="00B8184C"/>
    <w:rsid w:val="00B818C0"/>
    <w:rsid w:val="00B8193C"/>
    <w:rsid w:val="00B81975"/>
    <w:rsid w:val="00B8197F"/>
    <w:rsid w:val="00B81997"/>
    <w:rsid w:val="00B819A8"/>
    <w:rsid w:val="00B81A8A"/>
    <w:rsid w:val="00B81BA8"/>
    <w:rsid w:val="00B81D2D"/>
    <w:rsid w:val="00B81E7A"/>
    <w:rsid w:val="00B81EDC"/>
    <w:rsid w:val="00B81F1F"/>
    <w:rsid w:val="00B81FF3"/>
    <w:rsid w:val="00B8208B"/>
    <w:rsid w:val="00B820B1"/>
    <w:rsid w:val="00B8213C"/>
    <w:rsid w:val="00B82264"/>
    <w:rsid w:val="00B823B5"/>
    <w:rsid w:val="00B823F0"/>
    <w:rsid w:val="00B824BC"/>
    <w:rsid w:val="00B8256D"/>
    <w:rsid w:val="00B8257E"/>
    <w:rsid w:val="00B825A6"/>
    <w:rsid w:val="00B8265F"/>
    <w:rsid w:val="00B826AA"/>
    <w:rsid w:val="00B8282F"/>
    <w:rsid w:val="00B82895"/>
    <w:rsid w:val="00B82A96"/>
    <w:rsid w:val="00B82A9B"/>
    <w:rsid w:val="00B82AA2"/>
    <w:rsid w:val="00B82AA3"/>
    <w:rsid w:val="00B82AEB"/>
    <w:rsid w:val="00B82AF1"/>
    <w:rsid w:val="00B82B2B"/>
    <w:rsid w:val="00B82B34"/>
    <w:rsid w:val="00B82B89"/>
    <w:rsid w:val="00B82CD9"/>
    <w:rsid w:val="00B82CED"/>
    <w:rsid w:val="00B82CF3"/>
    <w:rsid w:val="00B82D2C"/>
    <w:rsid w:val="00B82D9A"/>
    <w:rsid w:val="00B82EB1"/>
    <w:rsid w:val="00B82FAE"/>
    <w:rsid w:val="00B83074"/>
    <w:rsid w:val="00B830DC"/>
    <w:rsid w:val="00B83101"/>
    <w:rsid w:val="00B8317B"/>
    <w:rsid w:val="00B8319C"/>
    <w:rsid w:val="00B8320A"/>
    <w:rsid w:val="00B83248"/>
    <w:rsid w:val="00B833CC"/>
    <w:rsid w:val="00B8348F"/>
    <w:rsid w:val="00B834E7"/>
    <w:rsid w:val="00B8351F"/>
    <w:rsid w:val="00B836FA"/>
    <w:rsid w:val="00B83803"/>
    <w:rsid w:val="00B83827"/>
    <w:rsid w:val="00B83838"/>
    <w:rsid w:val="00B83862"/>
    <w:rsid w:val="00B83938"/>
    <w:rsid w:val="00B83A18"/>
    <w:rsid w:val="00B83B74"/>
    <w:rsid w:val="00B83B9E"/>
    <w:rsid w:val="00B83BA0"/>
    <w:rsid w:val="00B83CAB"/>
    <w:rsid w:val="00B83CBB"/>
    <w:rsid w:val="00B83CC3"/>
    <w:rsid w:val="00B83CDE"/>
    <w:rsid w:val="00B83D03"/>
    <w:rsid w:val="00B83D4C"/>
    <w:rsid w:val="00B83D90"/>
    <w:rsid w:val="00B83DB5"/>
    <w:rsid w:val="00B83E65"/>
    <w:rsid w:val="00B83F1E"/>
    <w:rsid w:val="00B83F89"/>
    <w:rsid w:val="00B8401C"/>
    <w:rsid w:val="00B841F3"/>
    <w:rsid w:val="00B842D6"/>
    <w:rsid w:val="00B84346"/>
    <w:rsid w:val="00B843CB"/>
    <w:rsid w:val="00B844AB"/>
    <w:rsid w:val="00B844E0"/>
    <w:rsid w:val="00B845A3"/>
    <w:rsid w:val="00B8465A"/>
    <w:rsid w:val="00B8477A"/>
    <w:rsid w:val="00B847D9"/>
    <w:rsid w:val="00B84824"/>
    <w:rsid w:val="00B8485A"/>
    <w:rsid w:val="00B8491C"/>
    <w:rsid w:val="00B8494D"/>
    <w:rsid w:val="00B849D3"/>
    <w:rsid w:val="00B849E5"/>
    <w:rsid w:val="00B84B50"/>
    <w:rsid w:val="00B84C43"/>
    <w:rsid w:val="00B84D81"/>
    <w:rsid w:val="00B84D9C"/>
    <w:rsid w:val="00B84DF3"/>
    <w:rsid w:val="00B84E07"/>
    <w:rsid w:val="00B84E99"/>
    <w:rsid w:val="00B85078"/>
    <w:rsid w:val="00B850AE"/>
    <w:rsid w:val="00B85102"/>
    <w:rsid w:val="00B852C8"/>
    <w:rsid w:val="00B852DF"/>
    <w:rsid w:val="00B85332"/>
    <w:rsid w:val="00B8534E"/>
    <w:rsid w:val="00B8535B"/>
    <w:rsid w:val="00B853AC"/>
    <w:rsid w:val="00B853F3"/>
    <w:rsid w:val="00B854BD"/>
    <w:rsid w:val="00B85507"/>
    <w:rsid w:val="00B8550B"/>
    <w:rsid w:val="00B85531"/>
    <w:rsid w:val="00B85558"/>
    <w:rsid w:val="00B85736"/>
    <w:rsid w:val="00B85843"/>
    <w:rsid w:val="00B85921"/>
    <w:rsid w:val="00B85B9A"/>
    <w:rsid w:val="00B85CD6"/>
    <w:rsid w:val="00B85CEB"/>
    <w:rsid w:val="00B85E7F"/>
    <w:rsid w:val="00B85F4C"/>
    <w:rsid w:val="00B85F9B"/>
    <w:rsid w:val="00B85FA0"/>
    <w:rsid w:val="00B8600C"/>
    <w:rsid w:val="00B8604B"/>
    <w:rsid w:val="00B8604E"/>
    <w:rsid w:val="00B860D2"/>
    <w:rsid w:val="00B860D7"/>
    <w:rsid w:val="00B86170"/>
    <w:rsid w:val="00B8622B"/>
    <w:rsid w:val="00B8636D"/>
    <w:rsid w:val="00B863D5"/>
    <w:rsid w:val="00B864A3"/>
    <w:rsid w:val="00B864D0"/>
    <w:rsid w:val="00B86509"/>
    <w:rsid w:val="00B86563"/>
    <w:rsid w:val="00B865DF"/>
    <w:rsid w:val="00B86607"/>
    <w:rsid w:val="00B8668F"/>
    <w:rsid w:val="00B866AC"/>
    <w:rsid w:val="00B866D1"/>
    <w:rsid w:val="00B8670B"/>
    <w:rsid w:val="00B86715"/>
    <w:rsid w:val="00B86739"/>
    <w:rsid w:val="00B86884"/>
    <w:rsid w:val="00B8688D"/>
    <w:rsid w:val="00B86965"/>
    <w:rsid w:val="00B86AC9"/>
    <w:rsid w:val="00B86B30"/>
    <w:rsid w:val="00B86ECA"/>
    <w:rsid w:val="00B86F13"/>
    <w:rsid w:val="00B86F4D"/>
    <w:rsid w:val="00B870AB"/>
    <w:rsid w:val="00B87105"/>
    <w:rsid w:val="00B87224"/>
    <w:rsid w:val="00B87275"/>
    <w:rsid w:val="00B87367"/>
    <w:rsid w:val="00B87396"/>
    <w:rsid w:val="00B8747F"/>
    <w:rsid w:val="00B87638"/>
    <w:rsid w:val="00B876AB"/>
    <w:rsid w:val="00B876AD"/>
    <w:rsid w:val="00B87786"/>
    <w:rsid w:val="00B877EF"/>
    <w:rsid w:val="00B87806"/>
    <w:rsid w:val="00B878BD"/>
    <w:rsid w:val="00B878FE"/>
    <w:rsid w:val="00B8790E"/>
    <w:rsid w:val="00B8799B"/>
    <w:rsid w:val="00B87A2A"/>
    <w:rsid w:val="00B87B67"/>
    <w:rsid w:val="00B87B9E"/>
    <w:rsid w:val="00B87BFC"/>
    <w:rsid w:val="00B87D45"/>
    <w:rsid w:val="00B87DB6"/>
    <w:rsid w:val="00B87DCA"/>
    <w:rsid w:val="00B87EEB"/>
    <w:rsid w:val="00B87F69"/>
    <w:rsid w:val="00B901FE"/>
    <w:rsid w:val="00B90339"/>
    <w:rsid w:val="00B903AA"/>
    <w:rsid w:val="00B903B5"/>
    <w:rsid w:val="00B90482"/>
    <w:rsid w:val="00B904E1"/>
    <w:rsid w:val="00B9056D"/>
    <w:rsid w:val="00B905B2"/>
    <w:rsid w:val="00B9076D"/>
    <w:rsid w:val="00B90866"/>
    <w:rsid w:val="00B908FE"/>
    <w:rsid w:val="00B90917"/>
    <w:rsid w:val="00B90B2B"/>
    <w:rsid w:val="00B90CAD"/>
    <w:rsid w:val="00B90CC0"/>
    <w:rsid w:val="00B90CC5"/>
    <w:rsid w:val="00B90CD6"/>
    <w:rsid w:val="00B90DC8"/>
    <w:rsid w:val="00B90FF9"/>
    <w:rsid w:val="00B91042"/>
    <w:rsid w:val="00B91083"/>
    <w:rsid w:val="00B9113A"/>
    <w:rsid w:val="00B91182"/>
    <w:rsid w:val="00B91232"/>
    <w:rsid w:val="00B9128C"/>
    <w:rsid w:val="00B912D8"/>
    <w:rsid w:val="00B912E0"/>
    <w:rsid w:val="00B9134B"/>
    <w:rsid w:val="00B91366"/>
    <w:rsid w:val="00B913DB"/>
    <w:rsid w:val="00B9143D"/>
    <w:rsid w:val="00B915FC"/>
    <w:rsid w:val="00B9167F"/>
    <w:rsid w:val="00B91681"/>
    <w:rsid w:val="00B916CB"/>
    <w:rsid w:val="00B91728"/>
    <w:rsid w:val="00B91766"/>
    <w:rsid w:val="00B917A5"/>
    <w:rsid w:val="00B917BF"/>
    <w:rsid w:val="00B917E4"/>
    <w:rsid w:val="00B918B4"/>
    <w:rsid w:val="00B919A2"/>
    <w:rsid w:val="00B919F4"/>
    <w:rsid w:val="00B91A5B"/>
    <w:rsid w:val="00B91A78"/>
    <w:rsid w:val="00B91AB8"/>
    <w:rsid w:val="00B91CC4"/>
    <w:rsid w:val="00B91CCE"/>
    <w:rsid w:val="00B91D9A"/>
    <w:rsid w:val="00B91DB9"/>
    <w:rsid w:val="00B91E29"/>
    <w:rsid w:val="00B91E70"/>
    <w:rsid w:val="00B91E96"/>
    <w:rsid w:val="00B91F05"/>
    <w:rsid w:val="00B91F0F"/>
    <w:rsid w:val="00B91F59"/>
    <w:rsid w:val="00B92052"/>
    <w:rsid w:val="00B9211A"/>
    <w:rsid w:val="00B9220D"/>
    <w:rsid w:val="00B92361"/>
    <w:rsid w:val="00B92445"/>
    <w:rsid w:val="00B924A7"/>
    <w:rsid w:val="00B926D8"/>
    <w:rsid w:val="00B92723"/>
    <w:rsid w:val="00B927E7"/>
    <w:rsid w:val="00B92879"/>
    <w:rsid w:val="00B92934"/>
    <w:rsid w:val="00B92989"/>
    <w:rsid w:val="00B92ADC"/>
    <w:rsid w:val="00B92BBB"/>
    <w:rsid w:val="00B92D07"/>
    <w:rsid w:val="00B92D21"/>
    <w:rsid w:val="00B92E64"/>
    <w:rsid w:val="00B92F35"/>
    <w:rsid w:val="00B92FBD"/>
    <w:rsid w:val="00B93012"/>
    <w:rsid w:val="00B930B6"/>
    <w:rsid w:val="00B930BB"/>
    <w:rsid w:val="00B930D7"/>
    <w:rsid w:val="00B930F3"/>
    <w:rsid w:val="00B9311E"/>
    <w:rsid w:val="00B93260"/>
    <w:rsid w:val="00B932E9"/>
    <w:rsid w:val="00B9337D"/>
    <w:rsid w:val="00B933DE"/>
    <w:rsid w:val="00B9348E"/>
    <w:rsid w:val="00B934A4"/>
    <w:rsid w:val="00B934EC"/>
    <w:rsid w:val="00B93577"/>
    <w:rsid w:val="00B935AF"/>
    <w:rsid w:val="00B936D2"/>
    <w:rsid w:val="00B936EC"/>
    <w:rsid w:val="00B936F9"/>
    <w:rsid w:val="00B937FF"/>
    <w:rsid w:val="00B93828"/>
    <w:rsid w:val="00B9382C"/>
    <w:rsid w:val="00B938DA"/>
    <w:rsid w:val="00B938DC"/>
    <w:rsid w:val="00B939FC"/>
    <w:rsid w:val="00B93B02"/>
    <w:rsid w:val="00B93B89"/>
    <w:rsid w:val="00B93BCC"/>
    <w:rsid w:val="00B93E3F"/>
    <w:rsid w:val="00B93E62"/>
    <w:rsid w:val="00B93E7B"/>
    <w:rsid w:val="00B93E8D"/>
    <w:rsid w:val="00B93F3D"/>
    <w:rsid w:val="00B93F47"/>
    <w:rsid w:val="00B94067"/>
    <w:rsid w:val="00B94153"/>
    <w:rsid w:val="00B94155"/>
    <w:rsid w:val="00B9418E"/>
    <w:rsid w:val="00B941CA"/>
    <w:rsid w:val="00B941F3"/>
    <w:rsid w:val="00B94234"/>
    <w:rsid w:val="00B94390"/>
    <w:rsid w:val="00B94441"/>
    <w:rsid w:val="00B94468"/>
    <w:rsid w:val="00B944A6"/>
    <w:rsid w:val="00B944B9"/>
    <w:rsid w:val="00B944F4"/>
    <w:rsid w:val="00B94562"/>
    <w:rsid w:val="00B94604"/>
    <w:rsid w:val="00B9467F"/>
    <w:rsid w:val="00B9477A"/>
    <w:rsid w:val="00B94857"/>
    <w:rsid w:val="00B9485E"/>
    <w:rsid w:val="00B9490A"/>
    <w:rsid w:val="00B9492D"/>
    <w:rsid w:val="00B94A2C"/>
    <w:rsid w:val="00B94B0D"/>
    <w:rsid w:val="00B94BA6"/>
    <w:rsid w:val="00B94BD0"/>
    <w:rsid w:val="00B94C19"/>
    <w:rsid w:val="00B94C1A"/>
    <w:rsid w:val="00B94CAF"/>
    <w:rsid w:val="00B94E15"/>
    <w:rsid w:val="00B94EC9"/>
    <w:rsid w:val="00B94F25"/>
    <w:rsid w:val="00B94FEA"/>
    <w:rsid w:val="00B94FFB"/>
    <w:rsid w:val="00B95087"/>
    <w:rsid w:val="00B950FD"/>
    <w:rsid w:val="00B951D4"/>
    <w:rsid w:val="00B95268"/>
    <w:rsid w:val="00B95306"/>
    <w:rsid w:val="00B95436"/>
    <w:rsid w:val="00B95664"/>
    <w:rsid w:val="00B956AD"/>
    <w:rsid w:val="00B956D8"/>
    <w:rsid w:val="00B9570C"/>
    <w:rsid w:val="00B9578E"/>
    <w:rsid w:val="00B95806"/>
    <w:rsid w:val="00B95939"/>
    <w:rsid w:val="00B9593A"/>
    <w:rsid w:val="00B95978"/>
    <w:rsid w:val="00B959FA"/>
    <w:rsid w:val="00B95A74"/>
    <w:rsid w:val="00B95AB3"/>
    <w:rsid w:val="00B95ABF"/>
    <w:rsid w:val="00B95AD2"/>
    <w:rsid w:val="00B95B76"/>
    <w:rsid w:val="00B95C16"/>
    <w:rsid w:val="00B95C76"/>
    <w:rsid w:val="00B95E0A"/>
    <w:rsid w:val="00B95F9D"/>
    <w:rsid w:val="00B960C7"/>
    <w:rsid w:val="00B960C8"/>
    <w:rsid w:val="00B960CA"/>
    <w:rsid w:val="00B961C4"/>
    <w:rsid w:val="00B961D2"/>
    <w:rsid w:val="00B9627C"/>
    <w:rsid w:val="00B963C6"/>
    <w:rsid w:val="00B9642C"/>
    <w:rsid w:val="00B96470"/>
    <w:rsid w:val="00B96493"/>
    <w:rsid w:val="00B964A5"/>
    <w:rsid w:val="00B965B1"/>
    <w:rsid w:val="00B96605"/>
    <w:rsid w:val="00B9660F"/>
    <w:rsid w:val="00B966DA"/>
    <w:rsid w:val="00B968F1"/>
    <w:rsid w:val="00B96979"/>
    <w:rsid w:val="00B969AC"/>
    <w:rsid w:val="00B96B14"/>
    <w:rsid w:val="00B96BDB"/>
    <w:rsid w:val="00B96C13"/>
    <w:rsid w:val="00B96C28"/>
    <w:rsid w:val="00B96D39"/>
    <w:rsid w:val="00B96DB4"/>
    <w:rsid w:val="00B96EA2"/>
    <w:rsid w:val="00B96ED5"/>
    <w:rsid w:val="00B96F39"/>
    <w:rsid w:val="00B970D3"/>
    <w:rsid w:val="00B97142"/>
    <w:rsid w:val="00B97196"/>
    <w:rsid w:val="00B971B1"/>
    <w:rsid w:val="00B97247"/>
    <w:rsid w:val="00B97252"/>
    <w:rsid w:val="00B972AD"/>
    <w:rsid w:val="00B9730B"/>
    <w:rsid w:val="00B9731C"/>
    <w:rsid w:val="00B9736D"/>
    <w:rsid w:val="00B9738E"/>
    <w:rsid w:val="00B973A0"/>
    <w:rsid w:val="00B97569"/>
    <w:rsid w:val="00B97713"/>
    <w:rsid w:val="00B9778D"/>
    <w:rsid w:val="00B97815"/>
    <w:rsid w:val="00B97836"/>
    <w:rsid w:val="00B978E8"/>
    <w:rsid w:val="00B9790A"/>
    <w:rsid w:val="00B9795A"/>
    <w:rsid w:val="00B979D6"/>
    <w:rsid w:val="00B97A28"/>
    <w:rsid w:val="00B97A41"/>
    <w:rsid w:val="00B97A43"/>
    <w:rsid w:val="00B97AF3"/>
    <w:rsid w:val="00B97C94"/>
    <w:rsid w:val="00B97CE4"/>
    <w:rsid w:val="00B97CED"/>
    <w:rsid w:val="00B97EDC"/>
    <w:rsid w:val="00B97F36"/>
    <w:rsid w:val="00B97F45"/>
    <w:rsid w:val="00BA0015"/>
    <w:rsid w:val="00BA00AC"/>
    <w:rsid w:val="00BA00B8"/>
    <w:rsid w:val="00BA0130"/>
    <w:rsid w:val="00BA015B"/>
    <w:rsid w:val="00BA02F4"/>
    <w:rsid w:val="00BA03B5"/>
    <w:rsid w:val="00BA04D4"/>
    <w:rsid w:val="00BA054F"/>
    <w:rsid w:val="00BA0569"/>
    <w:rsid w:val="00BA0587"/>
    <w:rsid w:val="00BA0598"/>
    <w:rsid w:val="00BA0607"/>
    <w:rsid w:val="00BA062F"/>
    <w:rsid w:val="00BA06CE"/>
    <w:rsid w:val="00BA06E0"/>
    <w:rsid w:val="00BA07F5"/>
    <w:rsid w:val="00BA0810"/>
    <w:rsid w:val="00BA08CB"/>
    <w:rsid w:val="00BA08DD"/>
    <w:rsid w:val="00BA09F9"/>
    <w:rsid w:val="00BA0A07"/>
    <w:rsid w:val="00BA0A2E"/>
    <w:rsid w:val="00BA0AD5"/>
    <w:rsid w:val="00BA0B0F"/>
    <w:rsid w:val="00BA0CD3"/>
    <w:rsid w:val="00BA0D5B"/>
    <w:rsid w:val="00BA0E0E"/>
    <w:rsid w:val="00BA0E61"/>
    <w:rsid w:val="00BA0E6A"/>
    <w:rsid w:val="00BA0ED4"/>
    <w:rsid w:val="00BA0ED5"/>
    <w:rsid w:val="00BA0EF7"/>
    <w:rsid w:val="00BA0F24"/>
    <w:rsid w:val="00BA0F6A"/>
    <w:rsid w:val="00BA0F95"/>
    <w:rsid w:val="00BA100E"/>
    <w:rsid w:val="00BA10D4"/>
    <w:rsid w:val="00BA1185"/>
    <w:rsid w:val="00BA1187"/>
    <w:rsid w:val="00BA11A8"/>
    <w:rsid w:val="00BA11C6"/>
    <w:rsid w:val="00BA1220"/>
    <w:rsid w:val="00BA12C2"/>
    <w:rsid w:val="00BA130C"/>
    <w:rsid w:val="00BA1375"/>
    <w:rsid w:val="00BA139C"/>
    <w:rsid w:val="00BA13AE"/>
    <w:rsid w:val="00BA13DB"/>
    <w:rsid w:val="00BA1458"/>
    <w:rsid w:val="00BA147C"/>
    <w:rsid w:val="00BA1499"/>
    <w:rsid w:val="00BA14B3"/>
    <w:rsid w:val="00BA154E"/>
    <w:rsid w:val="00BA1564"/>
    <w:rsid w:val="00BA1588"/>
    <w:rsid w:val="00BA1601"/>
    <w:rsid w:val="00BA1636"/>
    <w:rsid w:val="00BA174A"/>
    <w:rsid w:val="00BA177C"/>
    <w:rsid w:val="00BA18E2"/>
    <w:rsid w:val="00BA19D6"/>
    <w:rsid w:val="00BA1A6B"/>
    <w:rsid w:val="00BA1B5B"/>
    <w:rsid w:val="00BA1C56"/>
    <w:rsid w:val="00BA1C58"/>
    <w:rsid w:val="00BA1D28"/>
    <w:rsid w:val="00BA1D69"/>
    <w:rsid w:val="00BA1E81"/>
    <w:rsid w:val="00BA1E87"/>
    <w:rsid w:val="00BA1E95"/>
    <w:rsid w:val="00BA1EED"/>
    <w:rsid w:val="00BA20DB"/>
    <w:rsid w:val="00BA210D"/>
    <w:rsid w:val="00BA2114"/>
    <w:rsid w:val="00BA21E4"/>
    <w:rsid w:val="00BA21EA"/>
    <w:rsid w:val="00BA21FF"/>
    <w:rsid w:val="00BA2268"/>
    <w:rsid w:val="00BA227A"/>
    <w:rsid w:val="00BA22CF"/>
    <w:rsid w:val="00BA2319"/>
    <w:rsid w:val="00BA232B"/>
    <w:rsid w:val="00BA24D9"/>
    <w:rsid w:val="00BA2542"/>
    <w:rsid w:val="00BA2583"/>
    <w:rsid w:val="00BA264C"/>
    <w:rsid w:val="00BA269A"/>
    <w:rsid w:val="00BA27F7"/>
    <w:rsid w:val="00BA285C"/>
    <w:rsid w:val="00BA2909"/>
    <w:rsid w:val="00BA290B"/>
    <w:rsid w:val="00BA29A1"/>
    <w:rsid w:val="00BA2B1A"/>
    <w:rsid w:val="00BA2B41"/>
    <w:rsid w:val="00BA2BF1"/>
    <w:rsid w:val="00BA2D2B"/>
    <w:rsid w:val="00BA2EB3"/>
    <w:rsid w:val="00BA2EB5"/>
    <w:rsid w:val="00BA2EB9"/>
    <w:rsid w:val="00BA2ECA"/>
    <w:rsid w:val="00BA2EDC"/>
    <w:rsid w:val="00BA2F63"/>
    <w:rsid w:val="00BA2FA8"/>
    <w:rsid w:val="00BA30F1"/>
    <w:rsid w:val="00BA312D"/>
    <w:rsid w:val="00BA314E"/>
    <w:rsid w:val="00BA315D"/>
    <w:rsid w:val="00BA316D"/>
    <w:rsid w:val="00BA31F5"/>
    <w:rsid w:val="00BA32BA"/>
    <w:rsid w:val="00BA33AB"/>
    <w:rsid w:val="00BA33B9"/>
    <w:rsid w:val="00BA340C"/>
    <w:rsid w:val="00BA3609"/>
    <w:rsid w:val="00BA3631"/>
    <w:rsid w:val="00BA364F"/>
    <w:rsid w:val="00BA36D8"/>
    <w:rsid w:val="00BA3708"/>
    <w:rsid w:val="00BA3719"/>
    <w:rsid w:val="00BA37C8"/>
    <w:rsid w:val="00BA380C"/>
    <w:rsid w:val="00BA38C9"/>
    <w:rsid w:val="00BA393B"/>
    <w:rsid w:val="00BA3987"/>
    <w:rsid w:val="00BA39E6"/>
    <w:rsid w:val="00BA3A30"/>
    <w:rsid w:val="00BA3A32"/>
    <w:rsid w:val="00BA3A52"/>
    <w:rsid w:val="00BA3AA5"/>
    <w:rsid w:val="00BA3AD1"/>
    <w:rsid w:val="00BA3B71"/>
    <w:rsid w:val="00BA3C21"/>
    <w:rsid w:val="00BA3E02"/>
    <w:rsid w:val="00BA3E12"/>
    <w:rsid w:val="00BA3EC1"/>
    <w:rsid w:val="00BA3FC4"/>
    <w:rsid w:val="00BA4000"/>
    <w:rsid w:val="00BA4088"/>
    <w:rsid w:val="00BA40F8"/>
    <w:rsid w:val="00BA40FA"/>
    <w:rsid w:val="00BA410F"/>
    <w:rsid w:val="00BA4276"/>
    <w:rsid w:val="00BA431B"/>
    <w:rsid w:val="00BA441B"/>
    <w:rsid w:val="00BA462B"/>
    <w:rsid w:val="00BA4748"/>
    <w:rsid w:val="00BA480F"/>
    <w:rsid w:val="00BA481F"/>
    <w:rsid w:val="00BA4829"/>
    <w:rsid w:val="00BA4AB8"/>
    <w:rsid w:val="00BA4AED"/>
    <w:rsid w:val="00BA4B51"/>
    <w:rsid w:val="00BA4B66"/>
    <w:rsid w:val="00BA4C0E"/>
    <w:rsid w:val="00BA4C27"/>
    <w:rsid w:val="00BA4C8A"/>
    <w:rsid w:val="00BA4CD8"/>
    <w:rsid w:val="00BA4D27"/>
    <w:rsid w:val="00BA4D37"/>
    <w:rsid w:val="00BA4E8C"/>
    <w:rsid w:val="00BA4F1B"/>
    <w:rsid w:val="00BA4F8C"/>
    <w:rsid w:val="00BA4FDE"/>
    <w:rsid w:val="00BA5028"/>
    <w:rsid w:val="00BA506C"/>
    <w:rsid w:val="00BA512B"/>
    <w:rsid w:val="00BA5237"/>
    <w:rsid w:val="00BA5289"/>
    <w:rsid w:val="00BA5332"/>
    <w:rsid w:val="00BA5387"/>
    <w:rsid w:val="00BA5407"/>
    <w:rsid w:val="00BA5416"/>
    <w:rsid w:val="00BA5422"/>
    <w:rsid w:val="00BA5473"/>
    <w:rsid w:val="00BA54A0"/>
    <w:rsid w:val="00BA54DC"/>
    <w:rsid w:val="00BA5541"/>
    <w:rsid w:val="00BA556E"/>
    <w:rsid w:val="00BA5609"/>
    <w:rsid w:val="00BA5637"/>
    <w:rsid w:val="00BA577F"/>
    <w:rsid w:val="00BA57A8"/>
    <w:rsid w:val="00BA590B"/>
    <w:rsid w:val="00BA593A"/>
    <w:rsid w:val="00BA5983"/>
    <w:rsid w:val="00BA59A1"/>
    <w:rsid w:val="00BA59C1"/>
    <w:rsid w:val="00BA59CB"/>
    <w:rsid w:val="00BA5A1B"/>
    <w:rsid w:val="00BA5AC5"/>
    <w:rsid w:val="00BA5B2B"/>
    <w:rsid w:val="00BA5C61"/>
    <w:rsid w:val="00BA5CDF"/>
    <w:rsid w:val="00BA5D5B"/>
    <w:rsid w:val="00BA5D64"/>
    <w:rsid w:val="00BA5DA1"/>
    <w:rsid w:val="00BA5DFB"/>
    <w:rsid w:val="00BA5E45"/>
    <w:rsid w:val="00BA5F4A"/>
    <w:rsid w:val="00BA6127"/>
    <w:rsid w:val="00BA6190"/>
    <w:rsid w:val="00BA61E2"/>
    <w:rsid w:val="00BA61EC"/>
    <w:rsid w:val="00BA6340"/>
    <w:rsid w:val="00BA6449"/>
    <w:rsid w:val="00BA6458"/>
    <w:rsid w:val="00BA64E5"/>
    <w:rsid w:val="00BA64FB"/>
    <w:rsid w:val="00BA6533"/>
    <w:rsid w:val="00BA653B"/>
    <w:rsid w:val="00BA65A6"/>
    <w:rsid w:val="00BA65AA"/>
    <w:rsid w:val="00BA668B"/>
    <w:rsid w:val="00BA675C"/>
    <w:rsid w:val="00BA6786"/>
    <w:rsid w:val="00BA67C8"/>
    <w:rsid w:val="00BA67F9"/>
    <w:rsid w:val="00BA6800"/>
    <w:rsid w:val="00BA694E"/>
    <w:rsid w:val="00BA6994"/>
    <w:rsid w:val="00BA6A9E"/>
    <w:rsid w:val="00BA6AD3"/>
    <w:rsid w:val="00BA6AE2"/>
    <w:rsid w:val="00BA6B3D"/>
    <w:rsid w:val="00BA6BDC"/>
    <w:rsid w:val="00BA6C4B"/>
    <w:rsid w:val="00BA6D5E"/>
    <w:rsid w:val="00BA6D7D"/>
    <w:rsid w:val="00BA6DC4"/>
    <w:rsid w:val="00BA6E9F"/>
    <w:rsid w:val="00BA6F07"/>
    <w:rsid w:val="00BA6F4B"/>
    <w:rsid w:val="00BA6F70"/>
    <w:rsid w:val="00BA6FBF"/>
    <w:rsid w:val="00BA6FE6"/>
    <w:rsid w:val="00BA6FF8"/>
    <w:rsid w:val="00BA70B2"/>
    <w:rsid w:val="00BA70C2"/>
    <w:rsid w:val="00BA70FD"/>
    <w:rsid w:val="00BA71C4"/>
    <w:rsid w:val="00BA71C9"/>
    <w:rsid w:val="00BA71CD"/>
    <w:rsid w:val="00BA734F"/>
    <w:rsid w:val="00BA73FF"/>
    <w:rsid w:val="00BA7452"/>
    <w:rsid w:val="00BA745A"/>
    <w:rsid w:val="00BA7488"/>
    <w:rsid w:val="00BA74BC"/>
    <w:rsid w:val="00BA74D8"/>
    <w:rsid w:val="00BA7506"/>
    <w:rsid w:val="00BA7641"/>
    <w:rsid w:val="00BA76EC"/>
    <w:rsid w:val="00BA775F"/>
    <w:rsid w:val="00BA780E"/>
    <w:rsid w:val="00BA78EA"/>
    <w:rsid w:val="00BA78EB"/>
    <w:rsid w:val="00BA7901"/>
    <w:rsid w:val="00BA7917"/>
    <w:rsid w:val="00BA7947"/>
    <w:rsid w:val="00BA794D"/>
    <w:rsid w:val="00BA799D"/>
    <w:rsid w:val="00BA7A05"/>
    <w:rsid w:val="00BA7B62"/>
    <w:rsid w:val="00BA7B89"/>
    <w:rsid w:val="00BA7B9D"/>
    <w:rsid w:val="00BA7D21"/>
    <w:rsid w:val="00BA7DB7"/>
    <w:rsid w:val="00BA7E2A"/>
    <w:rsid w:val="00BA7E38"/>
    <w:rsid w:val="00BA7E48"/>
    <w:rsid w:val="00BA7EA1"/>
    <w:rsid w:val="00BA7ECA"/>
    <w:rsid w:val="00BA7F50"/>
    <w:rsid w:val="00BA7FAB"/>
    <w:rsid w:val="00BAB9E6"/>
    <w:rsid w:val="00BB0008"/>
    <w:rsid w:val="00BB0067"/>
    <w:rsid w:val="00BB00D6"/>
    <w:rsid w:val="00BB0102"/>
    <w:rsid w:val="00BB0261"/>
    <w:rsid w:val="00BB026C"/>
    <w:rsid w:val="00BB0316"/>
    <w:rsid w:val="00BB0388"/>
    <w:rsid w:val="00BB0394"/>
    <w:rsid w:val="00BB03E2"/>
    <w:rsid w:val="00BB03F4"/>
    <w:rsid w:val="00BB047B"/>
    <w:rsid w:val="00BB04B7"/>
    <w:rsid w:val="00BB04C5"/>
    <w:rsid w:val="00BB05A7"/>
    <w:rsid w:val="00BB06F8"/>
    <w:rsid w:val="00BB07BF"/>
    <w:rsid w:val="00BB0813"/>
    <w:rsid w:val="00BB08BE"/>
    <w:rsid w:val="00BB098C"/>
    <w:rsid w:val="00BB0996"/>
    <w:rsid w:val="00BB0A2A"/>
    <w:rsid w:val="00BB0A4C"/>
    <w:rsid w:val="00BB0A77"/>
    <w:rsid w:val="00BB0A8F"/>
    <w:rsid w:val="00BB0B25"/>
    <w:rsid w:val="00BB0B6F"/>
    <w:rsid w:val="00BB0BB9"/>
    <w:rsid w:val="00BB0C36"/>
    <w:rsid w:val="00BB0C78"/>
    <w:rsid w:val="00BB0CE3"/>
    <w:rsid w:val="00BB0F1C"/>
    <w:rsid w:val="00BB0F54"/>
    <w:rsid w:val="00BB0F68"/>
    <w:rsid w:val="00BB1075"/>
    <w:rsid w:val="00BB10CD"/>
    <w:rsid w:val="00BB1196"/>
    <w:rsid w:val="00BB11D6"/>
    <w:rsid w:val="00BB122E"/>
    <w:rsid w:val="00BB1232"/>
    <w:rsid w:val="00BB1235"/>
    <w:rsid w:val="00BB1290"/>
    <w:rsid w:val="00BB12B4"/>
    <w:rsid w:val="00BB136D"/>
    <w:rsid w:val="00BB13B1"/>
    <w:rsid w:val="00BB13F2"/>
    <w:rsid w:val="00BB15E9"/>
    <w:rsid w:val="00BB1660"/>
    <w:rsid w:val="00BB1671"/>
    <w:rsid w:val="00BB168A"/>
    <w:rsid w:val="00BB16BA"/>
    <w:rsid w:val="00BB16C6"/>
    <w:rsid w:val="00BB1711"/>
    <w:rsid w:val="00BB182D"/>
    <w:rsid w:val="00BB1872"/>
    <w:rsid w:val="00BB187C"/>
    <w:rsid w:val="00BB1A82"/>
    <w:rsid w:val="00BB1AF1"/>
    <w:rsid w:val="00BB1B26"/>
    <w:rsid w:val="00BB1BFB"/>
    <w:rsid w:val="00BB1C23"/>
    <w:rsid w:val="00BB1C74"/>
    <w:rsid w:val="00BB1D53"/>
    <w:rsid w:val="00BB1DA6"/>
    <w:rsid w:val="00BB1E74"/>
    <w:rsid w:val="00BB2141"/>
    <w:rsid w:val="00BB2181"/>
    <w:rsid w:val="00BB21C4"/>
    <w:rsid w:val="00BB2222"/>
    <w:rsid w:val="00BB22F5"/>
    <w:rsid w:val="00BB257C"/>
    <w:rsid w:val="00BB2609"/>
    <w:rsid w:val="00BB26BC"/>
    <w:rsid w:val="00BB2776"/>
    <w:rsid w:val="00BB27AE"/>
    <w:rsid w:val="00BB28FD"/>
    <w:rsid w:val="00BB2914"/>
    <w:rsid w:val="00BB2975"/>
    <w:rsid w:val="00BB29CD"/>
    <w:rsid w:val="00BB29CE"/>
    <w:rsid w:val="00BB2A32"/>
    <w:rsid w:val="00BB2AC8"/>
    <w:rsid w:val="00BB2B2E"/>
    <w:rsid w:val="00BB2B95"/>
    <w:rsid w:val="00BB2BC6"/>
    <w:rsid w:val="00BB2BD9"/>
    <w:rsid w:val="00BB2BDF"/>
    <w:rsid w:val="00BB2C31"/>
    <w:rsid w:val="00BB2C65"/>
    <w:rsid w:val="00BB2CF3"/>
    <w:rsid w:val="00BB2E35"/>
    <w:rsid w:val="00BB2E3A"/>
    <w:rsid w:val="00BB2EE8"/>
    <w:rsid w:val="00BB2F60"/>
    <w:rsid w:val="00BB2FF0"/>
    <w:rsid w:val="00BB3004"/>
    <w:rsid w:val="00BB3116"/>
    <w:rsid w:val="00BB32CC"/>
    <w:rsid w:val="00BB3302"/>
    <w:rsid w:val="00BB3305"/>
    <w:rsid w:val="00BB3365"/>
    <w:rsid w:val="00BB33AE"/>
    <w:rsid w:val="00BB33BD"/>
    <w:rsid w:val="00BB365C"/>
    <w:rsid w:val="00BB3682"/>
    <w:rsid w:val="00BB369B"/>
    <w:rsid w:val="00BB3719"/>
    <w:rsid w:val="00BB3832"/>
    <w:rsid w:val="00BB398A"/>
    <w:rsid w:val="00BB3A2E"/>
    <w:rsid w:val="00BB3AA0"/>
    <w:rsid w:val="00BB3AD2"/>
    <w:rsid w:val="00BB3B23"/>
    <w:rsid w:val="00BB3BCD"/>
    <w:rsid w:val="00BB3CA5"/>
    <w:rsid w:val="00BB3CD0"/>
    <w:rsid w:val="00BB3D04"/>
    <w:rsid w:val="00BB3DC7"/>
    <w:rsid w:val="00BB3DDF"/>
    <w:rsid w:val="00BB3E9F"/>
    <w:rsid w:val="00BB3EE9"/>
    <w:rsid w:val="00BB3F0F"/>
    <w:rsid w:val="00BB3F4C"/>
    <w:rsid w:val="00BB3FBB"/>
    <w:rsid w:val="00BB3FF2"/>
    <w:rsid w:val="00BB4037"/>
    <w:rsid w:val="00BB40A4"/>
    <w:rsid w:val="00BB4136"/>
    <w:rsid w:val="00BB4482"/>
    <w:rsid w:val="00BB44BB"/>
    <w:rsid w:val="00BB4538"/>
    <w:rsid w:val="00BB4548"/>
    <w:rsid w:val="00BB4566"/>
    <w:rsid w:val="00BB473A"/>
    <w:rsid w:val="00BB47C2"/>
    <w:rsid w:val="00BB47F6"/>
    <w:rsid w:val="00BB481D"/>
    <w:rsid w:val="00BB4828"/>
    <w:rsid w:val="00BB48AE"/>
    <w:rsid w:val="00BB4904"/>
    <w:rsid w:val="00BB4946"/>
    <w:rsid w:val="00BB49C5"/>
    <w:rsid w:val="00BB4A07"/>
    <w:rsid w:val="00BB4A21"/>
    <w:rsid w:val="00BB4AA0"/>
    <w:rsid w:val="00BB4AB1"/>
    <w:rsid w:val="00BB4C4C"/>
    <w:rsid w:val="00BB4CFC"/>
    <w:rsid w:val="00BB4D90"/>
    <w:rsid w:val="00BB4DFD"/>
    <w:rsid w:val="00BB5097"/>
    <w:rsid w:val="00BB5140"/>
    <w:rsid w:val="00BB5143"/>
    <w:rsid w:val="00BB523F"/>
    <w:rsid w:val="00BB52BA"/>
    <w:rsid w:val="00BB52F5"/>
    <w:rsid w:val="00BB5300"/>
    <w:rsid w:val="00BB531A"/>
    <w:rsid w:val="00BB536A"/>
    <w:rsid w:val="00BB5475"/>
    <w:rsid w:val="00BB5569"/>
    <w:rsid w:val="00BB5575"/>
    <w:rsid w:val="00BB55FA"/>
    <w:rsid w:val="00BB5630"/>
    <w:rsid w:val="00BB57B2"/>
    <w:rsid w:val="00BB57F1"/>
    <w:rsid w:val="00BB5881"/>
    <w:rsid w:val="00BB58A8"/>
    <w:rsid w:val="00BB59C8"/>
    <w:rsid w:val="00BB59F1"/>
    <w:rsid w:val="00BB5A24"/>
    <w:rsid w:val="00BB5A3A"/>
    <w:rsid w:val="00BB5A66"/>
    <w:rsid w:val="00BB5ACE"/>
    <w:rsid w:val="00BB5B1A"/>
    <w:rsid w:val="00BB5BCA"/>
    <w:rsid w:val="00BB5D11"/>
    <w:rsid w:val="00BB5D2C"/>
    <w:rsid w:val="00BB5DCF"/>
    <w:rsid w:val="00BB5EF2"/>
    <w:rsid w:val="00BB5F19"/>
    <w:rsid w:val="00BB6005"/>
    <w:rsid w:val="00BB6047"/>
    <w:rsid w:val="00BB61E5"/>
    <w:rsid w:val="00BB62C0"/>
    <w:rsid w:val="00BB6302"/>
    <w:rsid w:val="00BB6338"/>
    <w:rsid w:val="00BB6475"/>
    <w:rsid w:val="00BB64F2"/>
    <w:rsid w:val="00BB6566"/>
    <w:rsid w:val="00BB6760"/>
    <w:rsid w:val="00BB67B9"/>
    <w:rsid w:val="00BB680B"/>
    <w:rsid w:val="00BB685E"/>
    <w:rsid w:val="00BB68B3"/>
    <w:rsid w:val="00BB699F"/>
    <w:rsid w:val="00BB69D8"/>
    <w:rsid w:val="00BB6AD8"/>
    <w:rsid w:val="00BB6C51"/>
    <w:rsid w:val="00BB6C9B"/>
    <w:rsid w:val="00BB6CB0"/>
    <w:rsid w:val="00BB6CBE"/>
    <w:rsid w:val="00BB6D84"/>
    <w:rsid w:val="00BB6DA3"/>
    <w:rsid w:val="00BB6DB9"/>
    <w:rsid w:val="00BB6F62"/>
    <w:rsid w:val="00BB6FB9"/>
    <w:rsid w:val="00BB7006"/>
    <w:rsid w:val="00BB7011"/>
    <w:rsid w:val="00BB7191"/>
    <w:rsid w:val="00BB71C5"/>
    <w:rsid w:val="00BB7228"/>
    <w:rsid w:val="00BB72BC"/>
    <w:rsid w:val="00BB73C4"/>
    <w:rsid w:val="00BB746C"/>
    <w:rsid w:val="00BB74AC"/>
    <w:rsid w:val="00BB74C7"/>
    <w:rsid w:val="00BB7523"/>
    <w:rsid w:val="00BB758E"/>
    <w:rsid w:val="00BB75CE"/>
    <w:rsid w:val="00BB75F7"/>
    <w:rsid w:val="00BB773D"/>
    <w:rsid w:val="00BB784A"/>
    <w:rsid w:val="00BB7901"/>
    <w:rsid w:val="00BB79CD"/>
    <w:rsid w:val="00BB79D8"/>
    <w:rsid w:val="00BB79EF"/>
    <w:rsid w:val="00BB7A6B"/>
    <w:rsid w:val="00BB7AF3"/>
    <w:rsid w:val="00BB7AFD"/>
    <w:rsid w:val="00BB7B90"/>
    <w:rsid w:val="00BB7C5A"/>
    <w:rsid w:val="00BB7C9B"/>
    <w:rsid w:val="00BB7CC6"/>
    <w:rsid w:val="00BB7D12"/>
    <w:rsid w:val="00BB7D7D"/>
    <w:rsid w:val="00BB7E9C"/>
    <w:rsid w:val="00BB7FF0"/>
    <w:rsid w:val="00BB8533"/>
    <w:rsid w:val="00BC001B"/>
    <w:rsid w:val="00BC0080"/>
    <w:rsid w:val="00BC01C9"/>
    <w:rsid w:val="00BC0289"/>
    <w:rsid w:val="00BC02BB"/>
    <w:rsid w:val="00BC0340"/>
    <w:rsid w:val="00BC036E"/>
    <w:rsid w:val="00BC038A"/>
    <w:rsid w:val="00BC047F"/>
    <w:rsid w:val="00BC05B4"/>
    <w:rsid w:val="00BC05C3"/>
    <w:rsid w:val="00BC075F"/>
    <w:rsid w:val="00BC0835"/>
    <w:rsid w:val="00BC08CF"/>
    <w:rsid w:val="00BC08FE"/>
    <w:rsid w:val="00BC098A"/>
    <w:rsid w:val="00BC0BFD"/>
    <w:rsid w:val="00BC0C40"/>
    <w:rsid w:val="00BC0C5F"/>
    <w:rsid w:val="00BC0FE0"/>
    <w:rsid w:val="00BC100B"/>
    <w:rsid w:val="00BC115F"/>
    <w:rsid w:val="00BC11E4"/>
    <w:rsid w:val="00BC123B"/>
    <w:rsid w:val="00BC1344"/>
    <w:rsid w:val="00BC13B0"/>
    <w:rsid w:val="00BC140B"/>
    <w:rsid w:val="00BC14A7"/>
    <w:rsid w:val="00BC1619"/>
    <w:rsid w:val="00BC1718"/>
    <w:rsid w:val="00BC171B"/>
    <w:rsid w:val="00BC1836"/>
    <w:rsid w:val="00BC1847"/>
    <w:rsid w:val="00BC18E8"/>
    <w:rsid w:val="00BC1939"/>
    <w:rsid w:val="00BC199E"/>
    <w:rsid w:val="00BC19FA"/>
    <w:rsid w:val="00BC1AF8"/>
    <w:rsid w:val="00BC1B19"/>
    <w:rsid w:val="00BC1C76"/>
    <w:rsid w:val="00BC1D1D"/>
    <w:rsid w:val="00BC1D45"/>
    <w:rsid w:val="00BC1DA6"/>
    <w:rsid w:val="00BC1EBB"/>
    <w:rsid w:val="00BC2036"/>
    <w:rsid w:val="00BC2099"/>
    <w:rsid w:val="00BC20E5"/>
    <w:rsid w:val="00BC2109"/>
    <w:rsid w:val="00BC2229"/>
    <w:rsid w:val="00BC2254"/>
    <w:rsid w:val="00BC2261"/>
    <w:rsid w:val="00BC22E9"/>
    <w:rsid w:val="00BC2365"/>
    <w:rsid w:val="00BC23D4"/>
    <w:rsid w:val="00BC2401"/>
    <w:rsid w:val="00BC2449"/>
    <w:rsid w:val="00BC2461"/>
    <w:rsid w:val="00BC249A"/>
    <w:rsid w:val="00BC2528"/>
    <w:rsid w:val="00BC25E5"/>
    <w:rsid w:val="00BC276E"/>
    <w:rsid w:val="00BC27EA"/>
    <w:rsid w:val="00BC27EC"/>
    <w:rsid w:val="00BC281A"/>
    <w:rsid w:val="00BC2868"/>
    <w:rsid w:val="00BC288C"/>
    <w:rsid w:val="00BC2921"/>
    <w:rsid w:val="00BC2989"/>
    <w:rsid w:val="00BC29F3"/>
    <w:rsid w:val="00BC2A21"/>
    <w:rsid w:val="00BC2A40"/>
    <w:rsid w:val="00BC2B40"/>
    <w:rsid w:val="00BC2B42"/>
    <w:rsid w:val="00BC2B54"/>
    <w:rsid w:val="00BC2C54"/>
    <w:rsid w:val="00BC2C9C"/>
    <w:rsid w:val="00BC2D1B"/>
    <w:rsid w:val="00BC2DF8"/>
    <w:rsid w:val="00BC2E08"/>
    <w:rsid w:val="00BC2E21"/>
    <w:rsid w:val="00BC2E2A"/>
    <w:rsid w:val="00BC2EBB"/>
    <w:rsid w:val="00BC2EC2"/>
    <w:rsid w:val="00BC2FF2"/>
    <w:rsid w:val="00BC30C5"/>
    <w:rsid w:val="00BC3105"/>
    <w:rsid w:val="00BC3139"/>
    <w:rsid w:val="00BC3189"/>
    <w:rsid w:val="00BC3199"/>
    <w:rsid w:val="00BC31BD"/>
    <w:rsid w:val="00BC3248"/>
    <w:rsid w:val="00BC32E9"/>
    <w:rsid w:val="00BC3421"/>
    <w:rsid w:val="00BC349A"/>
    <w:rsid w:val="00BC34AB"/>
    <w:rsid w:val="00BC354A"/>
    <w:rsid w:val="00BC3581"/>
    <w:rsid w:val="00BC3849"/>
    <w:rsid w:val="00BC386C"/>
    <w:rsid w:val="00BC38D1"/>
    <w:rsid w:val="00BC3906"/>
    <w:rsid w:val="00BC391A"/>
    <w:rsid w:val="00BC392A"/>
    <w:rsid w:val="00BC397A"/>
    <w:rsid w:val="00BC3AA6"/>
    <w:rsid w:val="00BC3AD9"/>
    <w:rsid w:val="00BC3BC0"/>
    <w:rsid w:val="00BC3E21"/>
    <w:rsid w:val="00BC3E25"/>
    <w:rsid w:val="00BC3E2C"/>
    <w:rsid w:val="00BC3E3B"/>
    <w:rsid w:val="00BC3F2F"/>
    <w:rsid w:val="00BC3FDB"/>
    <w:rsid w:val="00BC408F"/>
    <w:rsid w:val="00BC41D3"/>
    <w:rsid w:val="00BC41FC"/>
    <w:rsid w:val="00BC437F"/>
    <w:rsid w:val="00BC4399"/>
    <w:rsid w:val="00BC4432"/>
    <w:rsid w:val="00BC45E8"/>
    <w:rsid w:val="00BC4749"/>
    <w:rsid w:val="00BC4781"/>
    <w:rsid w:val="00BC47E7"/>
    <w:rsid w:val="00BC47EF"/>
    <w:rsid w:val="00BC48A8"/>
    <w:rsid w:val="00BC4957"/>
    <w:rsid w:val="00BC49C5"/>
    <w:rsid w:val="00BC4A2F"/>
    <w:rsid w:val="00BC4A3F"/>
    <w:rsid w:val="00BC4BBF"/>
    <w:rsid w:val="00BC4C41"/>
    <w:rsid w:val="00BC4DD5"/>
    <w:rsid w:val="00BC4DDE"/>
    <w:rsid w:val="00BC4E32"/>
    <w:rsid w:val="00BC4F0D"/>
    <w:rsid w:val="00BC4F0F"/>
    <w:rsid w:val="00BC513B"/>
    <w:rsid w:val="00BC518B"/>
    <w:rsid w:val="00BC51E2"/>
    <w:rsid w:val="00BC5203"/>
    <w:rsid w:val="00BC52DF"/>
    <w:rsid w:val="00BC5358"/>
    <w:rsid w:val="00BC5359"/>
    <w:rsid w:val="00BC53D9"/>
    <w:rsid w:val="00BC544C"/>
    <w:rsid w:val="00BC547E"/>
    <w:rsid w:val="00BC5497"/>
    <w:rsid w:val="00BC54E7"/>
    <w:rsid w:val="00BC5503"/>
    <w:rsid w:val="00BC5571"/>
    <w:rsid w:val="00BC55AC"/>
    <w:rsid w:val="00BC5699"/>
    <w:rsid w:val="00BC58EF"/>
    <w:rsid w:val="00BC59DC"/>
    <w:rsid w:val="00BC5A59"/>
    <w:rsid w:val="00BC5A7C"/>
    <w:rsid w:val="00BC5B38"/>
    <w:rsid w:val="00BC5B8D"/>
    <w:rsid w:val="00BC5BE0"/>
    <w:rsid w:val="00BC5C30"/>
    <w:rsid w:val="00BC5CCD"/>
    <w:rsid w:val="00BC5D4B"/>
    <w:rsid w:val="00BC5D87"/>
    <w:rsid w:val="00BC5DFD"/>
    <w:rsid w:val="00BC5E10"/>
    <w:rsid w:val="00BC5EF8"/>
    <w:rsid w:val="00BC5F50"/>
    <w:rsid w:val="00BC5FD8"/>
    <w:rsid w:val="00BC604B"/>
    <w:rsid w:val="00BC607D"/>
    <w:rsid w:val="00BC60BE"/>
    <w:rsid w:val="00BC60F0"/>
    <w:rsid w:val="00BC62B0"/>
    <w:rsid w:val="00BC630E"/>
    <w:rsid w:val="00BC633A"/>
    <w:rsid w:val="00BC6353"/>
    <w:rsid w:val="00BC6391"/>
    <w:rsid w:val="00BC65B2"/>
    <w:rsid w:val="00BC65FC"/>
    <w:rsid w:val="00BC6686"/>
    <w:rsid w:val="00BC66D5"/>
    <w:rsid w:val="00BC6769"/>
    <w:rsid w:val="00BC6782"/>
    <w:rsid w:val="00BC67E2"/>
    <w:rsid w:val="00BC67F2"/>
    <w:rsid w:val="00BC69A6"/>
    <w:rsid w:val="00BC6A79"/>
    <w:rsid w:val="00BC6AB5"/>
    <w:rsid w:val="00BC6B12"/>
    <w:rsid w:val="00BC6C06"/>
    <w:rsid w:val="00BC6C29"/>
    <w:rsid w:val="00BC6C47"/>
    <w:rsid w:val="00BC6CBB"/>
    <w:rsid w:val="00BC6CC9"/>
    <w:rsid w:val="00BC6D05"/>
    <w:rsid w:val="00BC6D3F"/>
    <w:rsid w:val="00BC6DC4"/>
    <w:rsid w:val="00BC6E19"/>
    <w:rsid w:val="00BC6EA2"/>
    <w:rsid w:val="00BC702D"/>
    <w:rsid w:val="00BC702E"/>
    <w:rsid w:val="00BC7087"/>
    <w:rsid w:val="00BC7125"/>
    <w:rsid w:val="00BC7154"/>
    <w:rsid w:val="00BC7186"/>
    <w:rsid w:val="00BC71EA"/>
    <w:rsid w:val="00BC71EB"/>
    <w:rsid w:val="00BC7293"/>
    <w:rsid w:val="00BC729E"/>
    <w:rsid w:val="00BC72CA"/>
    <w:rsid w:val="00BC7370"/>
    <w:rsid w:val="00BC73C3"/>
    <w:rsid w:val="00BC73F9"/>
    <w:rsid w:val="00BC74FD"/>
    <w:rsid w:val="00BC75D3"/>
    <w:rsid w:val="00BC7627"/>
    <w:rsid w:val="00BC7644"/>
    <w:rsid w:val="00BC764A"/>
    <w:rsid w:val="00BC76D5"/>
    <w:rsid w:val="00BC7728"/>
    <w:rsid w:val="00BC7765"/>
    <w:rsid w:val="00BC78EF"/>
    <w:rsid w:val="00BC7902"/>
    <w:rsid w:val="00BC791C"/>
    <w:rsid w:val="00BC7963"/>
    <w:rsid w:val="00BC7995"/>
    <w:rsid w:val="00BC7A07"/>
    <w:rsid w:val="00BC7A9E"/>
    <w:rsid w:val="00BC7B19"/>
    <w:rsid w:val="00BC7B64"/>
    <w:rsid w:val="00BC7B78"/>
    <w:rsid w:val="00BC7C4B"/>
    <w:rsid w:val="00BC7C8D"/>
    <w:rsid w:val="00BC7D2F"/>
    <w:rsid w:val="00BC7D47"/>
    <w:rsid w:val="00BC7D99"/>
    <w:rsid w:val="00BC7E0A"/>
    <w:rsid w:val="00BD01E2"/>
    <w:rsid w:val="00BD0214"/>
    <w:rsid w:val="00BD04EC"/>
    <w:rsid w:val="00BD061F"/>
    <w:rsid w:val="00BD0677"/>
    <w:rsid w:val="00BD06B1"/>
    <w:rsid w:val="00BD06EA"/>
    <w:rsid w:val="00BD071E"/>
    <w:rsid w:val="00BD075B"/>
    <w:rsid w:val="00BD0764"/>
    <w:rsid w:val="00BD07EF"/>
    <w:rsid w:val="00BD0819"/>
    <w:rsid w:val="00BD0849"/>
    <w:rsid w:val="00BD0909"/>
    <w:rsid w:val="00BD0986"/>
    <w:rsid w:val="00BD0A15"/>
    <w:rsid w:val="00BD0AE6"/>
    <w:rsid w:val="00BD0B0E"/>
    <w:rsid w:val="00BD0BB8"/>
    <w:rsid w:val="00BD0C1A"/>
    <w:rsid w:val="00BD0C81"/>
    <w:rsid w:val="00BD0CD9"/>
    <w:rsid w:val="00BD0E08"/>
    <w:rsid w:val="00BD0E34"/>
    <w:rsid w:val="00BD0F11"/>
    <w:rsid w:val="00BD1003"/>
    <w:rsid w:val="00BD1009"/>
    <w:rsid w:val="00BD100D"/>
    <w:rsid w:val="00BD10FD"/>
    <w:rsid w:val="00BD1155"/>
    <w:rsid w:val="00BD11FD"/>
    <w:rsid w:val="00BD1205"/>
    <w:rsid w:val="00BD13C1"/>
    <w:rsid w:val="00BD147A"/>
    <w:rsid w:val="00BD1482"/>
    <w:rsid w:val="00BD15D3"/>
    <w:rsid w:val="00BD15E7"/>
    <w:rsid w:val="00BD166D"/>
    <w:rsid w:val="00BD168F"/>
    <w:rsid w:val="00BD1738"/>
    <w:rsid w:val="00BD1809"/>
    <w:rsid w:val="00BD191E"/>
    <w:rsid w:val="00BD1B2B"/>
    <w:rsid w:val="00BD1B51"/>
    <w:rsid w:val="00BD1BC9"/>
    <w:rsid w:val="00BD1BD2"/>
    <w:rsid w:val="00BD1C76"/>
    <w:rsid w:val="00BD1D59"/>
    <w:rsid w:val="00BD1DBC"/>
    <w:rsid w:val="00BD1DF6"/>
    <w:rsid w:val="00BD1E4B"/>
    <w:rsid w:val="00BD1F82"/>
    <w:rsid w:val="00BD1FA7"/>
    <w:rsid w:val="00BD1FEB"/>
    <w:rsid w:val="00BD1FFB"/>
    <w:rsid w:val="00BD204A"/>
    <w:rsid w:val="00BD2197"/>
    <w:rsid w:val="00BD22F0"/>
    <w:rsid w:val="00BD2413"/>
    <w:rsid w:val="00BD2423"/>
    <w:rsid w:val="00BD2487"/>
    <w:rsid w:val="00BD24DA"/>
    <w:rsid w:val="00BD24E6"/>
    <w:rsid w:val="00BD2517"/>
    <w:rsid w:val="00BD25B0"/>
    <w:rsid w:val="00BD2716"/>
    <w:rsid w:val="00BD281D"/>
    <w:rsid w:val="00BD283B"/>
    <w:rsid w:val="00BD28E4"/>
    <w:rsid w:val="00BD292C"/>
    <w:rsid w:val="00BD2972"/>
    <w:rsid w:val="00BD29D4"/>
    <w:rsid w:val="00BD29F6"/>
    <w:rsid w:val="00BD2B26"/>
    <w:rsid w:val="00BD2BCB"/>
    <w:rsid w:val="00BD2C4C"/>
    <w:rsid w:val="00BD2C83"/>
    <w:rsid w:val="00BD2CA4"/>
    <w:rsid w:val="00BD2D19"/>
    <w:rsid w:val="00BD2D72"/>
    <w:rsid w:val="00BD2D8D"/>
    <w:rsid w:val="00BD2DE7"/>
    <w:rsid w:val="00BD2DED"/>
    <w:rsid w:val="00BD2E71"/>
    <w:rsid w:val="00BD2E77"/>
    <w:rsid w:val="00BD2EE0"/>
    <w:rsid w:val="00BD2EE8"/>
    <w:rsid w:val="00BD2EFC"/>
    <w:rsid w:val="00BD2F04"/>
    <w:rsid w:val="00BD2F3C"/>
    <w:rsid w:val="00BD301A"/>
    <w:rsid w:val="00BD3094"/>
    <w:rsid w:val="00BD3105"/>
    <w:rsid w:val="00BD3114"/>
    <w:rsid w:val="00BD31D7"/>
    <w:rsid w:val="00BD322C"/>
    <w:rsid w:val="00BD3418"/>
    <w:rsid w:val="00BD34DC"/>
    <w:rsid w:val="00BD34F4"/>
    <w:rsid w:val="00BD360E"/>
    <w:rsid w:val="00BD3649"/>
    <w:rsid w:val="00BD366D"/>
    <w:rsid w:val="00BD3673"/>
    <w:rsid w:val="00BD36C4"/>
    <w:rsid w:val="00BD3797"/>
    <w:rsid w:val="00BD37FC"/>
    <w:rsid w:val="00BD388A"/>
    <w:rsid w:val="00BD3929"/>
    <w:rsid w:val="00BD398C"/>
    <w:rsid w:val="00BD3AC1"/>
    <w:rsid w:val="00BD3B13"/>
    <w:rsid w:val="00BD3BA0"/>
    <w:rsid w:val="00BD3BFE"/>
    <w:rsid w:val="00BD3C69"/>
    <w:rsid w:val="00BD3CA9"/>
    <w:rsid w:val="00BD3D22"/>
    <w:rsid w:val="00BD3D77"/>
    <w:rsid w:val="00BD3D91"/>
    <w:rsid w:val="00BD3DB0"/>
    <w:rsid w:val="00BD3DB5"/>
    <w:rsid w:val="00BD3E91"/>
    <w:rsid w:val="00BD3EBF"/>
    <w:rsid w:val="00BD3EE8"/>
    <w:rsid w:val="00BD3F34"/>
    <w:rsid w:val="00BD3FF2"/>
    <w:rsid w:val="00BD4066"/>
    <w:rsid w:val="00BD414B"/>
    <w:rsid w:val="00BD4173"/>
    <w:rsid w:val="00BD41BC"/>
    <w:rsid w:val="00BD41C6"/>
    <w:rsid w:val="00BD422A"/>
    <w:rsid w:val="00BD42DF"/>
    <w:rsid w:val="00BD4314"/>
    <w:rsid w:val="00BD43CC"/>
    <w:rsid w:val="00BD44C1"/>
    <w:rsid w:val="00BD4513"/>
    <w:rsid w:val="00BD4552"/>
    <w:rsid w:val="00BD463E"/>
    <w:rsid w:val="00BD46FB"/>
    <w:rsid w:val="00BD472A"/>
    <w:rsid w:val="00BD481B"/>
    <w:rsid w:val="00BD483D"/>
    <w:rsid w:val="00BD4857"/>
    <w:rsid w:val="00BD4880"/>
    <w:rsid w:val="00BD48CC"/>
    <w:rsid w:val="00BD4992"/>
    <w:rsid w:val="00BD4996"/>
    <w:rsid w:val="00BD4A57"/>
    <w:rsid w:val="00BD4A6B"/>
    <w:rsid w:val="00BD4A9B"/>
    <w:rsid w:val="00BD4AEA"/>
    <w:rsid w:val="00BD4B1A"/>
    <w:rsid w:val="00BD4B5A"/>
    <w:rsid w:val="00BD4B7F"/>
    <w:rsid w:val="00BD4B85"/>
    <w:rsid w:val="00BD4BE7"/>
    <w:rsid w:val="00BD4BF6"/>
    <w:rsid w:val="00BD4C4F"/>
    <w:rsid w:val="00BD4CDE"/>
    <w:rsid w:val="00BD4CE7"/>
    <w:rsid w:val="00BD4D48"/>
    <w:rsid w:val="00BD4D8C"/>
    <w:rsid w:val="00BD4E59"/>
    <w:rsid w:val="00BD4E6D"/>
    <w:rsid w:val="00BD4E75"/>
    <w:rsid w:val="00BD4F5E"/>
    <w:rsid w:val="00BD4FD2"/>
    <w:rsid w:val="00BD5085"/>
    <w:rsid w:val="00BD50EE"/>
    <w:rsid w:val="00BD5314"/>
    <w:rsid w:val="00BD546B"/>
    <w:rsid w:val="00BD549B"/>
    <w:rsid w:val="00BD54BB"/>
    <w:rsid w:val="00BD5517"/>
    <w:rsid w:val="00BD5528"/>
    <w:rsid w:val="00BD5610"/>
    <w:rsid w:val="00BD5612"/>
    <w:rsid w:val="00BD5690"/>
    <w:rsid w:val="00BD56F1"/>
    <w:rsid w:val="00BD570F"/>
    <w:rsid w:val="00BD57A4"/>
    <w:rsid w:val="00BD57DB"/>
    <w:rsid w:val="00BD5845"/>
    <w:rsid w:val="00BD58B1"/>
    <w:rsid w:val="00BD58E5"/>
    <w:rsid w:val="00BD590A"/>
    <w:rsid w:val="00BD5A1F"/>
    <w:rsid w:val="00BD5A5D"/>
    <w:rsid w:val="00BD5A73"/>
    <w:rsid w:val="00BD5A9A"/>
    <w:rsid w:val="00BD5ACA"/>
    <w:rsid w:val="00BD5B52"/>
    <w:rsid w:val="00BD5C57"/>
    <w:rsid w:val="00BD5D44"/>
    <w:rsid w:val="00BD5D7C"/>
    <w:rsid w:val="00BD5DB8"/>
    <w:rsid w:val="00BD5DDF"/>
    <w:rsid w:val="00BD5EC5"/>
    <w:rsid w:val="00BD5EEA"/>
    <w:rsid w:val="00BD5EFE"/>
    <w:rsid w:val="00BD5F05"/>
    <w:rsid w:val="00BD5F55"/>
    <w:rsid w:val="00BD5FFB"/>
    <w:rsid w:val="00BD6087"/>
    <w:rsid w:val="00BD608C"/>
    <w:rsid w:val="00BD611C"/>
    <w:rsid w:val="00BD6375"/>
    <w:rsid w:val="00BD638C"/>
    <w:rsid w:val="00BD63B5"/>
    <w:rsid w:val="00BD63E3"/>
    <w:rsid w:val="00BD63FD"/>
    <w:rsid w:val="00BD6788"/>
    <w:rsid w:val="00BD6806"/>
    <w:rsid w:val="00BD6994"/>
    <w:rsid w:val="00BD6A9B"/>
    <w:rsid w:val="00BD6ADB"/>
    <w:rsid w:val="00BD6BAB"/>
    <w:rsid w:val="00BD6E06"/>
    <w:rsid w:val="00BD6E81"/>
    <w:rsid w:val="00BD6EDA"/>
    <w:rsid w:val="00BD6FA1"/>
    <w:rsid w:val="00BD6FB9"/>
    <w:rsid w:val="00BD719C"/>
    <w:rsid w:val="00BD72C2"/>
    <w:rsid w:val="00BD731F"/>
    <w:rsid w:val="00BD7333"/>
    <w:rsid w:val="00BD7384"/>
    <w:rsid w:val="00BD749C"/>
    <w:rsid w:val="00BD75B0"/>
    <w:rsid w:val="00BD7614"/>
    <w:rsid w:val="00BD762F"/>
    <w:rsid w:val="00BD7639"/>
    <w:rsid w:val="00BD76EE"/>
    <w:rsid w:val="00BD7714"/>
    <w:rsid w:val="00BD7756"/>
    <w:rsid w:val="00BD784F"/>
    <w:rsid w:val="00BD78E9"/>
    <w:rsid w:val="00BD7958"/>
    <w:rsid w:val="00BD7A02"/>
    <w:rsid w:val="00BD7A31"/>
    <w:rsid w:val="00BD7A74"/>
    <w:rsid w:val="00BD7B77"/>
    <w:rsid w:val="00BD7C05"/>
    <w:rsid w:val="00BD7C18"/>
    <w:rsid w:val="00BD7C6A"/>
    <w:rsid w:val="00BD7C70"/>
    <w:rsid w:val="00BD7C77"/>
    <w:rsid w:val="00BD7C87"/>
    <w:rsid w:val="00BD7CBC"/>
    <w:rsid w:val="00BD7D05"/>
    <w:rsid w:val="00BD7D2A"/>
    <w:rsid w:val="00BD7D4F"/>
    <w:rsid w:val="00BD7D63"/>
    <w:rsid w:val="00BD7E0A"/>
    <w:rsid w:val="00BD7EC6"/>
    <w:rsid w:val="00BD7EF3"/>
    <w:rsid w:val="00BD7F1E"/>
    <w:rsid w:val="00BD7F39"/>
    <w:rsid w:val="00BD7F8B"/>
    <w:rsid w:val="00BD7F8D"/>
    <w:rsid w:val="00BDC682"/>
    <w:rsid w:val="00BE005B"/>
    <w:rsid w:val="00BE00A3"/>
    <w:rsid w:val="00BE0147"/>
    <w:rsid w:val="00BE0195"/>
    <w:rsid w:val="00BE01B9"/>
    <w:rsid w:val="00BE01F6"/>
    <w:rsid w:val="00BE0219"/>
    <w:rsid w:val="00BE026D"/>
    <w:rsid w:val="00BE02C3"/>
    <w:rsid w:val="00BE02D7"/>
    <w:rsid w:val="00BE0301"/>
    <w:rsid w:val="00BE035F"/>
    <w:rsid w:val="00BE04A2"/>
    <w:rsid w:val="00BE069D"/>
    <w:rsid w:val="00BE06C3"/>
    <w:rsid w:val="00BE06F3"/>
    <w:rsid w:val="00BE075F"/>
    <w:rsid w:val="00BE0763"/>
    <w:rsid w:val="00BE0938"/>
    <w:rsid w:val="00BE0975"/>
    <w:rsid w:val="00BE09B2"/>
    <w:rsid w:val="00BE0A27"/>
    <w:rsid w:val="00BE0A77"/>
    <w:rsid w:val="00BE0A8B"/>
    <w:rsid w:val="00BE0A8F"/>
    <w:rsid w:val="00BE0A9E"/>
    <w:rsid w:val="00BE0BE7"/>
    <w:rsid w:val="00BE0CF2"/>
    <w:rsid w:val="00BE0D0C"/>
    <w:rsid w:val="00BE0D6C"/>
    <w:rsid w:val="00BE0D99"/>
    <w:rsid w:val="00BE0F33"/>
    <w:rsid w:val="00BE0FB3"/>
    <w:rsid w:val="00BE0FF3"/>
    <w:rsid w:val="00BE1186"/>
    <w:rsid w:val="00BE11BD"/>
    <w:rsid w:val="00BE1203"/>
    <w:rsid w:val="00BE12DC"/>
    <w:rsid w:val="00BE13F2"/>
    <w:rsid w:val="00BE1496"/>
    <w:rsid w:val="00BE14D8"/>
    <w:rsid w:val="00BE151F"/>
    <w:rsid w:val="00BE15FE"/>
    <w:rsid w:val="00BE1652"/>
    <w:rsid w:val="00BE166B"/>
    <w:rsid w:val="00BE168A"/>
    <w:rsid w:val="00BE1697"/>
    <w:rsid w:val="00BE18DE"/>
    <w:rsid w:val="00BE19CD"/>
    <w:rsid w:val="00BE1AD3"/>
    <w:rsid w:val="00BE1B0D"/>
    <w:rsid w:val="00BE1B65"/>
    <w:rsid w:val="00BE1C1B"/>
    <w:rsid w:val="00BE1DE3"/>
    <w:rsid w:val="00BE1E10"/>
    <w:rsid w:val="00BE1E14"/>
    <w:rsid w:val="00BE1E22"/>
    <w:rsid w:val="00BE1F32"/>
    <w:rsid w:val="00BE204D"/>
    <w:rsid w:val="00BE2274"/>
    <w:rsid w:val="00BE2277"/>
    <w:rsid w:val="00BE2292"/>
    <w:rsid w:val="00BE25C6"/>
    <w:rsid w:val="00BE25E3"/>
    <w:rsid w:val="00BE26E0"/>
    <w:rsid w:val="00BE27F2"/>
    <w:rsid w:val="00BE289A"/>
    <w:rsid w:val="00BE295D"/>
    <w:rsid w:val="00BE2ACB"/>
    <w:rsid w:val="00BE2AE0"/>
    <w:rsid w:val="00BE2C32"/>
    <w:rsid w:val="00BE2D2E"/>
    <w:rsid w:val="00BE2DB2"/>
    <w:rsid w:val="00BE2E0F"/>
    <w:rsid w:val="00BE2E6B"/>
    <w:rsid w:val="00BE2E8E"/>
    <w:rsid w:val="00BE2EB3"/>
    <w:rsid w:val="00BE2ED8"/>
    <w:rsid w:val="00BE2EF0"/>
    <w:rsid w:val="00BE301B"/>
    <w:rsid w:val="00BE301C"/>
    <w:rsid w:val="00BE311A"/>
    <w:rsid w:val="00BE312D"/>
    <w:rsid w:val="00BE3147"/>
    <w:rsid w:val="00BE31FB"/>
    <w:rsid w:val="00BE3297"/>
    <w:rsid w:val="00BE32A8"/>
    <w:rsid w:val="00BE32FD"/>
    <w:rsid w:val="00BE33DC"/>
    <w:rsid w:val="00BE34AA"/>
    <w:rsid w:val="00BE34AD"/>
    <w:rsid w:val="00BE359C"/>
    <w:rsid w:val="00BE37FE"/>
    <w:rsid w:val="00BE387E"/>
    <w:rsid w:val="00BE3940"/>
    <w:rsid w:val="00BE3ADA"/>
    <w:rsid w:val="00BE3B3F"/>
    <w:rsid w:val="00BE3CE0"/>
    <w:rsid w:val="00BE3E42"/>
    <w:rsid w:val="00BE40D1"/>
    <w:rsid w:val="00BE412C"/>
    <w:rsid w:val="00BE413E"/>
    <w:rsid w:val="00BE41DD"/>
    <w:rsid w:val="00BE428B"/>
    <w:rsid w:val="00BE42B8"/>
    <w:rsid w:val="00BE42D3"/>
    <w:rsid w:val="00BE42E1"/>
    <w:rsid w:val="00BE4315"/>
    <w:rsid w:val="00BE4318"/>
    <w:rsid w:val="00BE43FA"/>
    <w:rsid w:val="00BE4430"/>
    <w:rsid w:val="00BE4450"/>
    <w:rsid w:val="00BE4495"/>
    <w:rsid w:val="00BE4569"/>
    <w:rsid w:val="00BE4689"/>
    <w:rsid w:val="00BE469F"/>
    <w:rsid w:val="00BE46A8"/>
    <w:rsid w:val="00BE4726"/>
    <w:rsid w:val="00BE4729"/>
    <w:rsid w:val="00BE498B"/>
    <w:rsid w:val="00BE49B7"/>
    <w:rsid w:val="00BE4A16"/>
    <w:rsid w:val="00BE4B29"/>
    <w:rsid w:val="00BE4BCE"/>
    <w:rsid w:val="00BE4C0A"/>
    <w:rsid w:val="00BE4C4A"/>
    <w:rsid w:val="00BE4CB9"/>
    <w:rsid w:val="00BE4E71"/>
    <w:rsid w:val="00BE4E75"/>
    <w:rsid w:val="00BE4EBE"/>
    <w:rsid w:val="00BE4F14"/>
    <w:rsid w:val="00BE506B"/>
    <w:rsid w:val="00BE5087"/>
    <w:rsid w:val="00BE50A3"/>
    <w:rsid w:val="00BE50A9"/>
    <w:rsid w:val="00BE50D1"/>
    <w:rsid w:val="00BE5266"/>
    <w:rsid w:val="00BE5359"/>
    <w:rsid w:val="00BE53BE"/>
    <w:rsid w:val="00BE545D"/>
    <w:rsid w:val="00BE552C"/>
    <w:rsid w:val="00BE557C"/>
    <w:rsid w:val="00BE5626"/>
    <w:rsid w:val="00BE5645"/>
    <w:rsid w:val="00BE5683"/>
    <w:rsid w:val="00BE572B"/>
    <w:rsid w:val="00BE575A"/>
    <w:rsid w:val="00BE57B0"/>
    <w:rsid w:val="00BE5864"/>
    <w:rsid w:val="00BE5886"/>
    <w:rsid w:val="00BE5963"/>
    <w:rsid w:val="00BE59AE"/>
    <w:rsid w:val="00BE5AA2"/>
    <w:rsid w:val="00BE5ADC"/>
    <w:rsid w:val="00BE5BFB"/>
    <w:rsid w:val="00BE5C06"/>
    <w:rsid w:val="00BE5C6C"/>
    <w:rsid w:val="00BE5E32"/>
    <w:rsid w:val="00BE5EB8"/>
    <w:rsid w:val="00BE6060"/>
    <w:rsid w:val="00BE60D4"/>
    <w:rsid w:val="00BE6118"/>
    <w:rsid w:val="00BE6170"/>
    <w:rsid w:val="00BE62FB"/>
    <w:rsid w:val="00BE63A0"/>
    <w:rsid w:val="00BE63DC"/>
    <w:rsid w:val="00BE644F"/>
    <w:rsid w:val="00BE6450"/>
    <w:rsid w:val="00BE65F7"/>
    <w:rsid w:val="00BE662F"/>
    <w:rsid w:val="00BE66F1"/>
    <w:rsid w:val="00BE6725"/>
    <w:rsid w:val="00BE675A"/>
    <w:rsid w:val="00BE6779"/>
    <w:rsid w:val="00BE678D"/>
    <w:rsid w:val="00BE67E4"/>
    <w:rsid w:val="00BE6805"/>
    <w:rsid w:val="00BE6834"/>
    <w:rsid w:val="00BE683A"/>
    <w:rsid w:val="00BE69B4"/>
    <w:rsid w:val="00BE6A67"/>
    <w:rsid w:val="00BE6B65"/>
    <w:rsid w:val="00BE6C36"/>
    <w:rsid w:val="00BE6CD3"/>
    <w:rsid w:val="00BE6CE7"/>
    <w:rsid w:val="00BE6D10"/>
    <w:rsid w:val="00BE6D78"/>
    <w:rsid w:val="00BE6DAD"/>
    <w:rsid w:val="00BE6E06"/>
    <w:rsid w:val="00BE6E12"/>
    <w:rsid w:val="00BE6E29"/>
    <w:rsid w:val="00BE6E89"/>
    <w:rsid w:val="00BE6EAF"/>
    <w:rsid w:val="00BE6F0A"/>
    <w:rsid w:val="00BE6F17"/>
    <w:rsid w:val="00BE6FAF"/>
    <w:rsid w:val="00BE6FBE"/>
    <w:rsid w:val="00BE7044"/>
    <w:rsid w:val="00BE705D"/>
    <w:rsid w:val="00BE7114"/>
    <w:rsid w:val="00BE713F"/>
    <w:rsid w:val="00BE724F"/>
    <w:rsid w:val="00BE72C5"/>
    <w:rsid w:val="00BE7306"/>
    <w:rsid w:val="00BE7314"/>
    <w:rsid w:val="00BE7334"/>
    <w:rsid w:val="00BE7688"/>
    <w:rsid w:val="00BE76A8"/>
    <w:rsid w:val="00BE77A2"/>
    <w:rsid w:val="00BE77DF"/>
    <w:rsid w:val="00BE79BF"/>
    <w:rsid w:val="00BE79F2"/>
    <w:rsid w:val="00BE7A82"/>
    <w:rsid w:val="00BE7AF4"/>
    <w:rsid w:val="00BE7D11"/>
    <w:rsid w:val="00BE7DC9"/>
    <w:rsid w:val="00BE7FA1"/>
    <w:rsid w:val="00BF0002"/>
    <w:rsid w:val="00BF01E5"/>
    <w:rsid w:val="00BF0332"/>
    <w:rsid w:val="00BF034B"/>
    <w:rsid w:val="00BF0377"/>
    <w:rsid w:val="00BF03A6"/>
    <w:rsid w:val="00BF0443"/>
    <w:rsid w:val="00BF04AC"/>
    <w:rsid w:val="00BF054D"/>
    <w:rsid w:val="00BF0574"/>
    <w:rsid w:val="00BF068A"/>
    <w:rsid w:val="00BF07E5"/>
    <w:rsid w:val="00BF084E"/>
    <w:rsid w:val="00BF088B"/>
    <w:rsid w:val="00BF08A4"/>
    <w:rsid w:val="00BF0ADB"/>
    <w:rsid w:val="00BF0AE6"/>
    <w:rsid w:val="00BF0B81"/>
    <w:rsid w:val="00BF0C50"/>
    <w:rsid w:val="00BF0C8D"/>
    <w:rsid w:val="00BF0CA4"/>
    <w:rsid w:val="00BF0E32"/>
    <w:rsid w:val="00BF0E46"/>
    <w:rsid w:val="00BF0E52"/>
    <w:rsid w:val="00BF0E60"/>
    <w:rsid w:val="00BF0F2A"/>
    <w:rsid w:val="00BF1063"/>
    <w:rsid w:val="00BF1191"/>
    <w:rsid w:val="00BF1264"/>
    <w:rsid w:val="00BF12B3"/>
    <w:rsid w:val="00BF1342"/>
    <w:rsid w:val="00BF1421"/>
    <w:rsid w:val="00BF1445"/>
    <w:rsid w:val="00BF1464"/>
    <w:rsid w:val="00BF147C"/>
    <w:rsid w:val="00BF1507"/>
    <w:rsid w:val="00BF15D2"/>
    <w:rsid w:val="00BF15D6"/>
    <w:rsid w:val="00BF16AE"/>
    <w:rsid w:val="00BF173A"/>
    <w:rsid w:val="00BF182D"/>
    <w:rsid w:val="00BF1913"/>
    <w:rsid w:val="00BF191E"/>
    <w:rsid w:val="00BF1A67"/>
    <w:rsid w:val="00BF1AE1"/>
    <w:rsid w:val="00BF1B0B"/>
    <w:rsid w:val="00BF1C60"/>
    <w:rsid w:val="00BF1CD5"/>
    <w:rsid w:val="00BF1CDE"/>
    <w:rsid w:val="00BF1CF9"/>
    <w:rsid w:val="00BF1E2D"/>
    <w:rsid w:val="00BF1E45"/>
    <w:rsid w:val="00BF1E71"/>
    <w:rsid w:val="00BF1EF0"/>
    <w:rsid w:val="00BF1F63"/>
    <w:rsid w:val="00BF205C"/>
    <w:rsid w:val="00BF20AC"/>
    <w:rsid w:val="00BF20D9"/>
    <w:rsid w:val="00BF20E3"/>
    <w:rsid w:val="00BF2127"/>
    <w:rsid w:val="00BF2171"/>
    <w:rsid w:val="00BF2176"/>
    <w:rsid w:val="00BF2198"/>
    <w:rsid w:val="00BF2206"/>
    <w:rsid w:val="00BF2291"/>
    <w:rsid w:val="00BF2373"/>
    <w:rsid w:val="00BF23B3"/>
    <w:rsid w:val="00BF23B9"/>
    <w:rsid w:val="00BF23C3"/>
    <w:rsid w:val="00BF253A"/>
    <w:rsid w:val="00BF254F"/>
    <w:rsid w:val="00BF25AE"/>
    <w:rsid w:val="00BF25AF"/>
    <w:rsid w:val="00BF26C1"/>
    <w:rsid w:val="00BF2710"/>
    <w:rsid w:val="00BF2752"/>
    <w:rsid w:val="00BF27B1"/>
    <w:rsid w:val="00BF2801"/>
    <w:rsid w:val="00BF2A2B"/>
    <w:rsid w:val="00BF2A6D"/>
    <w:rsid w:val="00BF2AA7"/>
    <w:rsid w:val="00BF2AAA"/>
    <w:rsid w:val="00BF2BC6"/>
    <w:rsid w:val="00BF2BED"/>
    <w:rsid w:val="00BF2C9C"/>
    <w:rsid w:val="00BF2CEF"/>
    <w:rsid w:val="00BF2DF5"/>
    <w:rsid w:val="00BF2E0D"/>
    <w:rsid w:val="00BF304D"/>
    <w:rsid w:val="00BF30A7"/>
    <w:rsid w:val="00BF30F1"/>
    <w:rsid w:val="00BF3104"/>
    <w:rsid w:val="00BF315C"/>
    <w:rsid w:val="00BF3169"/>
    <w:rsid w:val="00BF32A3"/>
    <w:rsid w:val="00BF32A8"/>
    <w:rsid w:val="00BF32EA"/>
    <w:rsid w:val="00BF3349"/>
    <w:rsid w:val="00BF3516"/>
    <w:rsid w:val="00BF3597"/>
    <w:rsid w:val="00BF360A"/>
    <w:rsid w:val="00BF36AC"/>
    <w:rsid w:val="00BF36C0"/>
    <w:rsid w:val="00BF3711"/>
    <w:rsid w:val="00BF37B3"/>
    <w:rsid w:val="00BF37E9"/>
    <w:rsid w:val="00BF3804"/>
    <w:rsid w:val="00BF38BA"/>
    <w:rsid w:val="00BF394F"/>
    <w:rsid w:val="00BF398B"/>
    <w:rsid w:val="00BF39AF"/>
    <w:rsid w:val="00BF3A0E"/>
    <w:rsid w:val="00BF3A52"/>
    <w:rsid w:val="00BF3B1A"/>
    <w:rsid w:val="00BF3B86"/>
    <w:rsid w:val="00BF3BA4"/>
    <w:rsid w:val="00BF3BAA"/>
    <w:rsid w:val="00BF3BFC"/>
    <w:rsid w:val="00BF3C12"/>
    <w:rsid w:val="00BF3CE2"/>
    <w:rsid w:val="00BF3DA7"/>
    <w:rsid w:val="00BF3E07"/>
    <w:rsid w:val="00BF3E27"/>
    <w:rsid w:val="00BF3E81"/>
    <w:rsid w:val="00BF3F1D"/>
    <w:rsid w:val="00BF3F54"/>
    <w:rsid w:val="00BF3FF3"/>
    <w:rsid w:val="00BF4014"/>
    <w:rsid w:val="00BF4116"/>
    <w:rsid w:val="00BF411B"/>
    <w:rsid w:val="00BF42DC"/>
    <w:rsid w:val="00BF4381"/>
    <w:rsid w:val="00BF440D"/>
    <w:rsid w:val="00BF4455"/>
    <w:rsid w:val="00BF445B"/>
    <w:rsid w:val="00BF45A8"/>
    <w:rsid w:val="00BF469F"/>
    <w:rsid w:val="00BF47A8"/>
    <w:rsid w:val="00BF47C8"/>
    <w:rsid w:val="00BF4879"/>
    <w:rsid w:val="00BF48B5"/>
    <w:rsid w:val="00BF48EE"/>
    <w:rsid w:val="00BF498B"/>
    <w:rsid w:val="00BF49AB"/>
    <w:rsid w:val="00BF4A9D"/>
    <w:rsid w:val="00BF4B12"/>
    <w:rsid w:val="00BF4B1B"/>
    <w:rsid w:val="00BF4B2A"/>
    <w:rsid w:val="00BF4B8C"/>
    <w:rsid w:val="00BF4BC7"/>
    <w:rsid w:val="00BF4C78"/>
    <w:rsid w:val="00BF4D4D"/>
    <w:rsid w:val="00BF4D94"/>
    <w:rsid w:val="00BF4DFE"/>
    <w:rsid w:val="00BF4E05"/>
    <w:rsid w:val="00BF4E25"/>
    <w:rsid w:val="00BF4E35"/>
    <w:rsid w:val="00BF4E6E"/>
    <w:rsid w:val="00BF4F3A"/>
    <w:rsid w:val="00BF4FBE"/>
    <w:rsid w:val="00BF503A"/>
    <w:rsid w:val="00BF50A7"/>
    <w:rsid w:val="00BF5160"/>
    <w:rsid w:val="00BF51A6"/>
    <w:rsid w:val="00BF521C"/>
    <w:rsid w:val="00BF5224"/>
    <w:rsid w:val="00BF5256"/>
    <w:rsid w:val="00BF526A"/>
    <w:rsid w:val="00BF526F"/>
    <w:rsid w:val="00BF52DB"/>
    <w:rsid w:val="00BF52EB"/>
    <w:rsid w:val="00BF5381"/>
    <w:rsid w:val="00BF5412"/>
    <w:rsid w:val="00BF54F3"/>
    <w:rsid w:val="00BF5625"/>
    <w:rsid w:val="00BF56B4"/>
    <w:rsid w:val="00BF5810"/>
    <w:rsid w:val="00BF584C"/>
    <w:rsid w:val="00BF58E6"/>
    <w:rsid w:val="00BF5936"/>
    <w:rsid w:val="00BF5AE8"/>
    <w:rsid w:val="00BF5BD4"/>
    <w:rsid w:val="00BF5BE2"/>
    <w:rsid w:val="00BF5C2B"/>
    <w:rsid w:val="00BF5C92"/>
    <w:rsid w:val="00BF5EA7"/>
    <w:rsid w:val="00BF5EDD"/>
    <w:rsid w:val="00BF5F56"/>
    <w:rsid w:val="00BF605F"/>
    <w:rsid w:val="00BF60F5"/>
    <w:rsid w:val="00BF62AB"/>
    <w:rsid w:val="00BF637C"/>
    <w:rsid w:val="00BF6390"/>
    <w:rsid w:val="00BF6395"/>
    <w:rsid w:val="00BF63A0"/>
    <w:rsid w:val="00BF641C"/>
    <w:rsid w:val="00BF6459"/>
    <w:rsid w:val="00BF665A"/>
    <w:rsid w:val="00BF66D6"/>
    <w:rsid w:val="00BF6844"/>
    <w:rsid w:val="00BF6889"/>
    <w:rsid w:val="00BF6991"/>
    <w:rsid w:val="00BF69E2"/>
    <w:rsid w:val="00BF6A63"/>
    <w:rsid w:val="00BF6ADA"/>
    <w:rsid w:val="00BF6B05"/>
    <w:rsid w:val="00BF6D07"/>
    <w:rsid w:val="00BF6D49"/>
    <w:rsid w:val="00BF6DE7"/>
    <w:rsid w:val="00BF6E8F"/>
    <w:rsid w:val="00BF6E9E"/>
    <w:rsid w:val="00BF7011"/>
    <w:rsid w:val="00BF709A"/>
    <w:rsid w:val="00BF70CC"/>
    <w:rsid w:val="00BF70EA"/>
    <w:rsid w:val="00BF7276"/>
    <w:rsid w:val="00BF72B8"/>
    <w:rsid w:val="00BF72EE"/>
    <w:rsid w:val="00BF7571"/>
    <w:rsid w:val="00BF7672"/>
    <w:rsid w:val="00BF768F"/>
    <w:rsid w:val="00BF7784"/>
    <w:rsid w:val="00BF7996"/>
    <w:rsid w:val="00BF79E0"/>
    <w:rsid w:val="00BF7A26"/>
    <w:rsid w:val="00BF7A33"/>
    <w:rsid w:val="00BF7AC0"/>
    <w:rsid w:val="00BF7BC9"/>
    <w:rsid w:val="00BF7C1A"/>
    <w:rsid w:val="00BF7C4F"/>
    <w:rsid w:val="00BF7C6A"/>
    <w:rsid w:val="00BF7C82"/>
    <w:rsid w:val="00BF7C9C"/>
    <w:rsid w:val="00BF7F5C"/>
    <w:rsid w:val="00BF7F71"/>
    <w:rsid w:val="00C00185"/>
    <w:rsid w:val="00C001B4"/>
    <w:rsid w:val="00C0025F"/>
    <w:rsid w:val="00C002B8"/>
    <w:rsid w:val="00C002DA"/>
    <w:rsid w:val="00C002E3"/>
    <w:rsid w:val="00C00324"/>
    <w:rsid w:val="00C0034D"/>
    <w:rsid w:val="00C0034F"/>
    <w:rsid w:val="00C003FD"/>
    <w:rsid w:val="00C00408"/>
    <w:rsid w:val="00C00479"/>
    <w:rsid w:val="00C004DD"/>
    <w:rsid w:val="00C0054F"/>
    <w:rsid w:val="00C0058B"/>
    <w:rsid w:val="00C00652"/>
    <w:rsid w:val="00C006A4"/>
    <w:rsid w:val="00C007A6"/>
    <w:rsid w:val="00C00875"/>
    <w:rsid w:val="00C00892"/>
    <w:rsid w:val="00C008A8"/>
    <w:rsid w:val="00C00A71"/>
    <w:rsid w:val="00C00A7A"/>
    <w:rsid w:val="00C00A9D"/>
    <w:rsid w:val="00C00BBC"/>
    <w:rsid w:val="00C00C32"/>
    <w:rsid w:val="00C00CC1"/>
    <w:rsid w:val="00C00CD0"/>
    <w:rsid w:val="00C00DD6"/>
    <w:rsid w:val="00C00E42"/>
    <w:rsid w:val="00C00E6A"/>
    <w:rsid w:val="00C00F92"/>
    <w:rsid w:val="00C01133"/>
    <w:rsid w:val="00C01140"/>
    <w:rsid w:val="00C011C2"/>
    <w:rsid w:val="00C01232"/>
    <w:rsid w:val="00C01245"/>
    <w:rsid w:val="00C01299"/>
    <w:rsid w:val="00C012B4"/>
    <w:rsid w:val="00C012C8"/>
    <w:rsid w:val="00C012EC"/>
    <w:rsid w:val="00C01308"/>
    <w:rsid w:val="00C01346"/>
    <w:rsid w:val="00C0137C"/>
    <w:rsid w:val="00C013E6"/>
    <w:rsid w:val="00C013FE"/>
    <w:rsid w:val="00C014A4"/>
    <w:rsid w:val="00C014E9"/>
    <w:rsid w:val="00C01584"/>
    <w:rsid w:val="00C01656"/>
    <w:rsid w:val="00C01800"/>
    <w:rsid w:val="00C01837"/>
    <w:rsid w:val="00C018E1"/>
    <w:rsid w:val="00C018EC"/>
    <w:rsid w:val="00C01965"/>
    <w:rsid w:val="00C01A29"/>
    <w:rsid w:val="00C01A32"/>
    <w:rsid w:val="00C01A9D"/>
    <w:rsid w:val="00C01ABB"/>
    <w:rsid w:val="00C01AF1"/>
    <w:rsid w:val="00C01D14"/>
    <w:rsid w:val="00C01D7D"/>
    <w:rsid w:val="00C01E86"/>
    <w:rsid w:val="00C01EB5"/>
    <w:rsid w:val="00C01EB8"/>
    <w:rsid w:val="00C01EF0"/>
    <w:rsid w:val="00C01F20"/>
    <w:rsid w:val="00C01F38"/>
    <w:rsid w:val="00C01F7E"/>
    <w:rsid w:val="00C02016"/>
    <w:rsid w:val="00C02064"/>
    <w:rsid w:val="00C02072"/>
    <w:rsid w:val="00C02099"/>
    <w:rsid w:val="00C02187"/>
    <w:rsid w:val="00C022B9"/>
    <w:rsid w:val="00C023D4"/>
    <w:rsid w:val="00C023EF"/>
    <w:rsid w:val="00C0244D"/>
    <w:rsid w:val="00C02529"/>
    <w:rsid w:val="00C025FC"/>
    <w:rsid w:val="00C02639"/>
    <w:rsid w:val="00C0264D"/>
    <w:rsid w:val="00C02657"/>
    <w:rsid w:val="00C0270D"/>
    <w:rsid w:val="00C02735"/>
    <w:rsid w:val="00C02740"/>
    <w:rsid w:val="00C028CA"/>
    <w:rsid w:val="00C0294B"/>
    <w:rsid w:val="00C02951"/>
    <w:rsid w:val="00C02961"/>
    <w:rsid w:val="00C029A9"/>
    <w:rsid w:val="00C029E2"/>
    <w:rsid w:val="00C029F0"/>
    <w:rsid w:val="00C02ACE"/>
    <w:rsid w:val="00C02AEB"/>
    <w:rsid w:val="00C02F60"/>
    <w:rsid w:val="00C030BD"/>
    <w:rsid w:val="00C030F9"/>
    <w:rsid w:val="00C0316A"/>
    <w:rsid w:val="00C031B6"/>
    <w:rsid w:val="00C031EE"/>
    <w:rsid w:val="00C03299"/>
    <w:rsid w:val="00C03412"/>
    <w:rsid w:val="00C03470"/>
    <w:rsid w:val="00C03477"/>
    <w:rsid w:val="00C03536"/>
    <w:rsid w:val="00C03574"/>
    <w:rsid w:val="00C03575"/>
    <w:rsid w:val="00C0358B"/>
    <w:rsid w:val="00C035AA"/>
    <w:rsid w:val="00C03627"/>
    <w:rsid w:val="00C03889"/>
    <w:rsid w:val="00C03919"/>
    <w:rsid w:val="00C03967"/>
    <w:rsid w:val="00C0398C"/>
    <w:rsid w:val="00C039C5"/>
    <w:rsid w:val="00C03A30"/>
    <w:rsid w:val="00C03A4B"/>
    <w:rsid w:val="00C03A6C"/>
    <w:rsid w:val="00C03A9F"/>
    <w:rsid w:val="00C03AAA"/>
    <w:rsid w:val="00C03B9D"/>
    <w:rsid w:val="00C03BFC"/>
    <w:rsid w:val="00C03C1B"/>
    <w:rsid w:val="00C03C55"/>
    <w:rsid w:val="00C03C5B"/>
    <w:rsid w:val="00C03D99"/>
    <w:rsid w:val="00C03E8B"/>
    <w:rsid w:val="00C03F09"/>
    <w:rsid w:val="00C03F6A"/>
    <w:rsid w:val="00C03FA6"/>
    <w:rsid w:val="00C04090"/>
    <w:rsid w:val="00C040D7"/>
    <w:rsid w:val="00C040F9"/>
    <w:rsid w:val="00C04113"/>
    <w:rsid w:val="00C04271"/>
    <w:rsid w:val="00C042FF"/>
    <w:rsid w:val="00C0431F"/>
    <w:rsid w:val="00C04347"/>
    <w:rsid w:val="00C04372"/>
    <w:rsid w:val="00C043A4"/>
    <w:rsid w:val="00C043BC"/>
    <w:rsid w:val="00C043EF"/>
    <w:rsid w:val="00C044C7"/>
    <w:rsid w:val="00C0456B"/>
    <w:rsid w:val="00C0458B"/>
    <w:rsid w:val="00C045A7"/>
    <w:rsid w:val="00C04667"/>
    <w:rsid w:val="00C046D1"/>
    <w:rsid w:val="00C046FB"/>
    <w:rsid w:val="00C0471F"/>
    <w:rsid w:val="00C0472A"/>
    <w:rsid w:val="00C047CA"/>
    <w:rsid w:val="00C048C5"/>
    <w:rsid w:val="00C048DA"/>
    <w:rsid w:val="00C048F2"/>
    <w:rsid w:val="00C04971"/>
    <w:rsid w:val="00C04975"/>
    <w:rsid w:val="00C0499B"/>
    <w:rsid w:val="00C04A08"/>
    <w:rsid w:val="00C04A60"/>
    <w:rsid w:val="00C04A6F"/>
    <w:rsid w:val="00C04B88"/>
    <w:rsid w:val="00C04BB8"/>
    <w:rsid w:val="00C04BF9"/>
    <w:rsid w:val="00C04C4D"/>
    <w:rsid w:val="00C04D41"/>
    <w:rsid w:val="00C04D63"/>
    <w:rsid w:val="00C04E08"/>
    <w:rsid w:val="00C04E0F"/>
    <w:rsid w:val="00C04F18"/>
    <w:rsid w:val="00C04F47"/>
    <w:rsid w:val="00C04F4C"/>
    <w:rsid w:val="00C04F56"/>
    <w:rsid w:val="00C05043"/>
    <w:rsid w:val="00C050A9"/>
    <w:rsid w:val="00C051AA"/>
    <w:rsid w:val="00C051B4"/>
    <w:rsid w:val="00C0534E"/>
    <w:rsid w:val="00C053DB"/>
    <w:rsid w:val="00C053F0"/>
    <w:rsid w:val="00C05401"/>
    <w:rsid w:val="00C05482"/>
    <w:rsid w:val="00C054F0"/>
    <w:rsid w:val="00C0550B"/>
    <w:rsid w:val="00C0557F"/>
    <w:rsid w:val="00C056F4"/>
    <w:rsid w:val="00C058A4"/>
    <w:rsid w:val="00C05935"/>
    <w:rsid w:val="00C05977"/>
    <w:rsid w:val="00C059AA"/>
    <w:rsid w:val="00C05A1E"/>
    <w:rsid w:val="00C05A9D"/>
    <w:rsid w:val="00C05AA7"/>
    <w:rsid w:val="00C05BD6"/>
    <w:rsid w:val="00C05C07"/>
    <w:rsid w:val="00C05C8A"/>
    <w:rsid w:val="00C05CCD"/>
    <w:rsid w:val="00C05F95"/>
    <w:rsid w:val="00C05FA6"/>
    <w:rsid w:val="00C06128"/>
    <w:rsid w:val="00C06131"/>
    <w:rsid w:val="00C06208"/>
    <w:rsid w:val="00C06213"/>
    <w:rsid w:val="00C0621D"/>
    <w:rsid w:val="00C063FC"/>
    <w:rsid w:val="00C0641E"/>
    <w:rsid w:val="00C0646B"/>
    <w:rsid w:val="00C0650C"/>
    <w:rsid w:val="00C0654E"/>
    <w:rsid w:val="00C0655C"/>
    <w:rsid w:val="00C06563"/>
    <w:rsid w:val="00C065B3"/>
    <w:rsid w:val="00C06732"/>
    <w:rsid w:val="00C0678A"/>
    <w:rsid w:val="00C067F8"/>
    <w:rsid w:val="00C0689C"/>
    <w:rsid w:val="00C0696A"/>
    <w:rsid w:val="00C06A07"/>
    <w:rsid w:val="00C06A74"/>
    <w:rsid w:val="00C06ACD"/>
    <w:rsid w:val="00C06B08"/>
    <w:rsid w:val="00C06D37"/>
    <w:rsid w:val="00C06E49"/>
    <w:rsid w:val="00C06E57"/>
    <w:rsid w:val="00C06E58"/>
    <w:rsid w:val="00C06E88"/>
    <w:rsid w:val="00C06E93"/>
    <w:rsid w:val="00C06FEE"/>
    <w:rsid w:val="00C07067"/>
    <w:rsid w:val="00C0709C"/>
    <w:rsid w:val="00C07108"/>
    <w:rsid w:val="00C0710F"/>
    <w:rsid w:val="00C07173"/>
    <w:rsid w:val="00C07231"/>
    <w:rsid w:val="00C0748C"/>
    <w:rsid w:val="00C0756F"/>
    <w:rsid w:val="00C07572"/>
    <w:rsid w:val="00C0765D"/>
    <w:rsid w:val="00C078DA"/>
    <w:rsid w:val="00C07996"/>
    <w:rsid w:val="00C07A1F"/>
    <w:rsid w:val="00C07ADA"/>
    <w:rsid w:val="00C07B7F"/>
    <w:rsid w:val="00C07BA3"/>
    <w:rsid w:val="00C07C00"/>
    <w:rsid w:val="00C07C98"/>
    <w:rsid w:val="00C07CFB"/>
    <w:rsid w:val="00C07EDA"/>
    <w:rsid w:val="00C07F71"/>
    <w:rsid w:val="00C07F8A"/>
    <w:rsid w:val="00C07FA3"/>
    <w:rsid w:val="00C07FC7"/>
    <w:rsid w:val="00C10095"/>
    <w:rsid w:val="00C100E9"/>
    <w:rsid w:val="00C101DC"/>
    <w:rsid w:val="00C10233"/>
    <w:rsid w:val="00C102C4"/>
    <w:rsid w:val="00C10344"/>
    <w:rsid w:val="00C103E0"/>
    <w:rsid w:val="00C103E3"/>
    <w:rsid w:val="00C1057B"/>
    <w:rsid w:val="00C105BA"/>
    <w:rsid w:val="00C105C4"/>
    <w:rsid w:val="00C105FB"/>
    <w:rsid w:val="00C1062A"/>
    <w:rsid w:val="00C106C2"/>
    <w:rsid w:val="00C106EA"/>
    <w:rsid w:val="00C10724"/>
    <w:rsid w:val="00C10748"/>
    <w:rsid w:val="00C10772"/>
    <w:rsid w:val="00C1081D"/>
    <w:rsid w:val="00C10891"/>
    <w:rsid w:val="00C108C5"/>
    <w:rsid w:val="00C10922"/>
    <w:rsid w:val="00C10927"/>
    <w:rsid w:val="00C10A02"/>
    <w:rsid w:val="00C10A41"/>
    <w:rsid w:val="00C10A5F"/>
    <w:rsid w:val="00C10A97"/>
    <w:rsid w:val="00C10AA2"/>
    <w:rsid w:val="00C10AA4"/>
    <w:rsid w:val="00C10B39"/>
    <w:rsid w:val="00C10B4D"/>
    <w:rsid w:val="00C10B82"/>
    <w:rsid w:val="00C10B91"/>
    <w:rsid w:val="00C10BC3"/>
    <w:rsid w:val="00C10C26"/>
    <w:rsid w:val="00C10D88"/>
    <w:rsid w:val="00C10DAC"/>
    <w:rsid w:val="00C10DE2"/>
    <w:rsid w:val="00C10E28"/>
    <w:rsid w:val="00C10ECF"/>
    <w:rsid w:val="00C10EF5"/>
    <w:rsid w:val="00C11028"/>
    <w:rsid w:val="00C111A9"/>
    <w:rsid w:val="00C111AD"/>
    <w:rsid w:val="00C113EC"/>
    <w:rsid w:val="00C11426"/>
    <w:rsid w:val="00C11532"/>
    <w:rsid w:val="00C11593"/>
    <w:rsid w:val="00C11665"/>
    <w:rsid w:val="00C116F7"/>
    <w:rsid w:val="00C11737"/>
    <w:rsid w:val="00C117C5"/>
    <w:rsid w:val="00C117D8"/>
    <w:rsid w:val="00C11832"/>
    <w:rsid w:val="00C11838"/>
    <w:rsid w:val="00C118F3"/>
    <w:rsid w:val="00C11936"/>
    <w:rsid w:val="00C11A32"/>
    <w:rsid w:val="00C11A9B"/>
    <w:rsid w:val="00C11ADF"/>
    <w:rsid w:val="00C11C2C"/>
    <w:rsid w:val="00C11C44"/>
    <w:rsid w:val="00C11D5E"/>
    <w:rsid w:val="00C11E94"/>
    <w:rsid w:val="00C11FD4"/>
    <w:rsid w:val="00C1212A"/>
    <w:rsid w:val="00C121F8"/>
    <w:rsid w:val="00C12430"/>
    <w:rsid w:val="00C12451"/>
    <w:rsid w:val="00C1245D"/>
    <w:rsid w:val="00C124BB"/>
    <w:rsid w:val="00C124DE"/>
    <w:rsid w:val="00C12554"/>
    <w:rsid w:val="00C12567"/>
    <w:rsid w:val="00C12573"/>
    <w:rsid w:val="00C12597"/>
    <w:rsid w:val="00C125F2"/>
    <w:rsid w:val="00C12629"/>
    <w:rsid w:val="00C126F5"/>
    <w:rsid w:val="00C1279D"/>
    <w:rsid w:val="00C12837"/>
    <w:rsid w:val="00C12882"/>
    <w:rsid w:val="00C12916"/>
    <w:rsid w:val="00C12986"/>
    <w:rsid w:val="00C12A17"/>
    <w:rsid w:val="00C12A1A"/>
    <w:rsid w:val="00C12C8B"/>
    <w:rsid w:val="00C12D0D"/>
    <w:rsid w:val="00C12D76"/>
    <w:rsid w:val="00C12DBE"/>
    <w:rsid w:val="00C12DC5"/>
    <w:rsid w:val="00C12F70"/>
    <w:rsid w:val="00C12F8A"/>
    <w:rsid w:val="00C130D2"/>
    <w:rsid w:val="00C1317C"/>
    <w:rsid w:val="00C131BA"/>
    <w:rsid w:val="00C13212"/>
    <w:rsid w:val="00C13233"/>
    <w:rsid w:val="00C1326C"/>
    <w:rsid w:val="00C13294"/>
    <w:rsid w:val="00C13506"/>
    <w:rsid w:val="00C1357F"/>
    <w:rsid w:val="00C135E4"/>
    <w:rsid w:val="00C1361B"/>
    <w:rsid w:val="00C1367D"/>
    <w:rsid w:val="00C136E7"/>
    <w:rsid w:val="00C136FF"/>
    <w:rsid w:val="00C13733"/>
    <w:rsid w:val="00C137B3"/>
    <w:rsid w:val="00C1380C"/>
    <w:rsid w:val="00C13951"/>
    <w:rsid w:val="00C1398F"/>
    <w:rsid w:val="00C13AA2"/>
    <w:rsid w:val="00C13AB9"/>
    <w:rsid w:val="00C13B33"/>
    <w:rsid w:val="00C13B5F"/>
    <w:rsid w:val="00C13BE6"/>
    <w:rsid w:val="00C13C2E"/>
    <w:rsid w:val="00C13DF2"/>
    <w:rsid w:val="00C13F13"/>
    <w:rsid w:val="00C13F43"/>
    <w:rsid w:val="00C13FB2"/>
    <w:rsid w:val="00C13FB4"/>
    <w:rsid w:val="00C1406B"/>
    <w:rsid w:val="00C140A8"/>
    <w:rsid w:val="00C1422A"/>
    <w:rsid w:val="00C1428B"/>
    <w:rsid w:val="00C14331"/>
    <w:rsid w:val="00C1438D"/>
    <w:rsid w:val="00C143A1"/>
    <w:rsid w:val="00C143C9"/>
    <w:rsid w:val="00C143FB"/>
    <w:rsid w:val="00C14401"/>
    <w:rsid w:val="00C14407"/>
    <w:rsid w:val="00C14444"/>
    <w:rsid w:val="00C14511"/>
    <w:rsid w:val="00C145F9"/>
    <w:rsid w:val="00C14635"/>
    <w:rsid w:val="00C146BB"/>
    <w:rsid w:val="00C14704"/>
    <w:rsid w:val="00C1479F"/>
    <w:rsid w:val="00C147A5"/>
    <w:rsid w:val="00C147B5"/>
    <w:rsid w:val="00C14803"/>
    <w:rsid w:val="00C14825"/>
    <w:rsid w:val="00C1482D"/>
    <w:rsid w:val="00C148CA"/>
    <w:rsid w:val="00C148F1"/>
    <w:rsid w:val="00C14957"/>
    <w:rsid w:val="00C14972"/>
    <w:rsid w:val="00C14988"/>
    <w:rsid w:val="00C149DD"/>
    <w:rsid w:val="00C14A16"/>
    <w:rsid w:val="00C14B05"/>
    <w:rsid w:val="00C14B16"/>
    <w:rsid w:val="00C14B4D"/>
    <w:rsid w:val="00C14B81"/>
    <w:rsid w:val="00C14C1F"/>
    <w:rsid w:val="00C14C72"/>
    <w:rsid w:val="00C14C8A"/>
    <w:rsid w:val="00C14CDD"/>
    <w:rsid w:val="00C14ED2"/>
    <w:rsid w:val="00C14F6C"/>
    <w:rsid w:val="00C15014"/>
    <w:rsid w:val="00C150EC"/>
    <w:rsid w:val="00C1511C"/>
    <w:rsid w:val="00C1515D"/>
    <w:rsid w:val="00C1519C"/>
    <w:rsid w:val="00C15204"/>
    <w:rsid w:val="00C1520B"/>
    <w:rsid w:val="00C152A9"/>
    <w:rsid w:val="00C1534F"/>
    <w:rsid w:val="00C15378"/>
    <w:rsid w:val="00C154C6"/>
    <w:rsid w:val="00C154DF"/>
    <w:rsid w:val="00C15550"/>
    <w:rsid w:val="00C155E1"/>
    <w:rsid w:val="00C15614"/>
    <w:rsid w:val="00C15680"/>
    <w:rsid w:val="00C1569B"/>
    <w:rsid w:val="00C156E1"/>
    <w:rsid w:val="00C15794"/>
    <w:rsid w:val="00C1583D"/>
    <w:rsid w:val="00C15972"/>
    <w:rsid w:val="00C15AC4"/>
    <w:rsid w:val="00C15C14"/>
    <w:rsid w:val="00C15DC6"/>
    <w:rsid w:val="00C15DC7"/>
    <w:rsid w:val="00C15E2C"/>
    <w:rsid w:val="00C15EE3"/>
    <w:rsid w:val="00C15F03"/>
    <w:rsid w:val="00C15F71"/>
    <w:rsid w:val="00C15F7B"/>
    <w:rsid w:val="00C15FA4"/>
    <w:rsid w:val="00C1600A"/>
    <w:rsid w:val="00C1612F"/>
    <w:rsid w:val="00C161B8"/>
    <w:rsid w:val="00C161D9"/>
    <w:rsid w:val="00C161E7"/>
    <w:rsid w:val="00C16286"/>
    <w:rsid w:val="00C162A9"/>
    <w:rsid w:val="00C1631B"/>
    <w:rsid w:val="00C1631D"/>
    <w:rsid w:val="00C16359"/>
    <w:rsid w:val="00C16476"/>
    <w:rsid w:val="00C1651A"/>
    <w:rsid w:val="00C1652F"/>
    <w:rsid w:val="00C1653E"/>
    <w:rsid w:val="00C16735"/>
    <w:rsid w:val="00C16744"/>
    <w:rsid w:val="00C1679F"/>
    <w:rsid w:val="00C167A1"/>
    <w:rsid w:val="00C167E1"/>
    <w:rsid w:val="00C168AD"/>
    <w:rsid w:val="00C168DE"/>
    <w:rsid w:val="00C168FA"/>
    <w:rsid w:val="00C16974"/>
    <w:rsid w:val="00C1697E"/>
    <w:rsid w:val="00C169EB"/>
    <w:rsid w:val="00C16ABA"/>
    <w:rsid w:val="00C16C46"/>
    <w:rsid w:val="00C16CC6"/>
    <w:rsid w:val="00C16CCB"/>
    <w:rsid w:val="00C16CE0"/>
    <w:rsid w:val="00C16DB4"/>
    <w:rsid w:val="00C16E7C"/>
    <w:rsid w:val="00C16EA9"/>
    <w:rsid w:val="00C16EF5"/>
    <w:rsid w:val="00C16FA8"/>
    <w:rsid w:val="00C16FF3"/>
    <w:rsid w:val="00C1719E"/>
    <w:rsid w:val="00C171F6"/>
    <w:rsid w:val="00C1724B"/>
    <w:rsid w:val="00C1727D"/>
    <w:rsid w:val="00C172D0"/>
    <w:rsid w:val="00C17312"/>
    <w:rsid w:val="00C1732F"/>
    <w:rsid w:val="00C17379"/>
    <w:rsid w:val="00C1742C"/>
    <w:rsid w:val="00C174AD"/>
    <w:rsid w:val="00C174CF"/>
    <w:rsid w:val="00C175CC"/>
    <w:rsid w:val="00C175F5"/>
    <w:rsid w:val="00C175F6"/>
    <w:rsid w:val="00C17601"/>
    <w:rsid w:val="00C1775F"/>
    <w:rsid w:val="00C17823"/>
    <w:rsid w:val="00C17839"/>
    <w:rsid w:val="00C1794D"/>
    <w:rsid w:val="00C179B3"/>
    <w:rsid w:val="00C17A4B"/>
    <w:rsid w:val="00C17A96"/>
    <w:rsid w:val="00C17AEF"/>
    <w:rsid w:val="00C17B29"/>
    <w:rsid w:val="00C17BCC"/>
    <w:rsid w:val="00C17BFC"/>
    <w:rsid w:val="00C17CCB"/>
    <w:rsid w:val="00C17CF6"/>
    <w:rsid w:val="00C17DDA"/>
    <w:rsid w:val="00C17E09"/>
    <w:rsid w:val="00C17E49"/>
    <w:rsid w:val="00C17F06"/>
    <w:rsid w:val="00C188E5"/>
    <w:rsid w:val="00C2004D"/>
    <w:rsid w:val="00C20098"/>
    <w:rsid w:val="00C200ED"/>
    <w:rsid w:val="00C20124"/>
    <w:rsid w:val="00C201B7"/>
    <w:rsid w:val="00C20281"/>
    <w:rsid w:val="00C20467"/>
    <w:rsid w:val="00C204F4"/>
    <w:rsid w:val="00C20555"/>
    <w:rsid w:val="00C205AF"/>
    <w:rsid w:val="00C205CF"/>
    <w:rsid w:val="00C206A3"/>
    <w:rsid w:val="00C207C0"/>
    <w:rsid w:val="00C207CF"/>
    <w:rsid w:val="00C20800"/>
    <w:rsid w:val="00C20848"/>
    <w:rsid w:val="00C2086E"/>
    <w:rsid w:val="00C208A0"/>
    <w:rsid w:val="00C20902"/>
    <w:rsid w:val="00C20923"/>
    <w:rsid w:val="00C20961"/>
    <w:rsid w:val="00C20969"/>
    <w:rsid w:val="00C20AB8"/>
    <w:rsid w:val="00C20ACA"/>
    <w:rsid w:val="00C20BF4"/>
    <w:rsid w:val="00C20CAA"/>
    <w:rsid w:val="00C20D3D"/>
    <w:rsid w:val="00C20D98"/>
    <w:rsid w:val="00C20DD2"/>
    <w:rsid w:val="00C20E45"/>
    <w:rsid w:val="00C20E8D"/>
    <w:rsid w:val="00C20EC8"/>
    <w:rsid w:val="00C20F50"/>
    <w:rsid w:val="00C20FDF"/>
    <w:rsid w:val="00C21033"/>
    <w:rsid w:val="00C2109E"/>
    <w:rsid w:val="00C210ED"/>
    <w:rsid w:val="00C21126"/>
    <w:rsid w:val="00C2112E"/>
    <w:rsid w:val="00C212E6"/>
    <w:rsid w:val="00C212F7"/>
    <w:rsid w:val="00C21457"/>
    <w:rsid w:val="00C2147A"/>
    <w:rsid w:val="00C21530"/>
    <w:rsid w:val="00C215C3"/>
    <w:rsid w:val="00C215CF"/>
    <w:rsid w:val="00C21603"/>
    <w:rsid w:val="00C21613"/>
    <w:rsid w:val="00C21685"/>
    <w:rsid w:val="00C21752"/>
    <w:rsid w:val="00C2177B"/>
    <w:rsid w:val="00C2181C"/>
    <w:rsid w:val="00C21869"/>
    <w:rsid w:val="00C21CC6"/>
    <w:rsid w:val="00C21CF2"/>
    <w:rsid w:val="00C21D04"/>
    <w:rsid w:val="00C21DB5"/>
    <w:rsid w:val="00C21DD3"/>
    <w:rsid w:val="00C21E1A"/>
    <w:rsid w:val="00C21F6A"/>
    <w:rsid w:val="00C2202E"/>
    <w:rsid w:val="00C22079"/>
    <w:rsid w:val="00C22190"/>
    <w:rsid w:val="00C221BA"/>
    <w:rsid w:val="00C22309"/>
    <w:rsid w:val="00C224AC"/>
    <w:rsid w:val="00C224CD"/>
    <w:rsid w:val="00C224DB"/>
    <w:rsid w:val="00C22512"/>
    <w:rsid w:val="00C225DB"/>
    <w:rsid w:val="00C22631"/>
    <w:rsid w:val="00C22692"/>
    <w:rsid w:val="00C22694"/>
    <w:rsid w:val="00C226C2"/>
    <w:rsid w:val="00C22786"/>
    <w:rsid w:val="00C2279B"/>
    <w:rsid w:val="00C227C1"/>
    <w:rsid w:val="00C227E6"/>
    <w:rsid w:val="00C22835"/>
    <w:rsid w:val="00C22998"/>
    <w:rsid w:val="00C229D9"/>
    <w:rsid w:val="00C22A1A"/>
    <w:rsid w:val="00C22AB4"/>
    <w:rsid w:val="00C22B18"/>
    <w:rsid w:val="00C22B65"/>
    <w:rsid w:val="00C22BB1"/>
    <w:rsid w:val="00C22BCA"/>
    <w:rsid w:val="00C22C8D"/>
    <w:rsid w:val="00C22DB3"/>
    <w:rsid w:val="00C22DC9"/>
    <w:rsid w:val="00C22FC3"/>
    <w:rsid w:val="00C22FE0"/>
    <w:rsid w:val="00C231F1"/>
    <w:rsid w:val="00C23208"/>
    <w:rsid w:val="00C23258"/>
    <w:rsid w:val="00C232CD"/>
    <w:rsid w:val="00C232D9"/>
    <w:rsid w:val="00C2332F"/>
    <w:rsid w:val="00C23443"/>
    <w:rsid w:val="00C23457"/>
    <w:rsid w:val="00C234BF"/>
    <w:rsid w:val="00C234D7"/>
    <w:rsid w:val="00C235B3"/>
    <w:rsid w:val="00C235E4"/>
    <w:rsid w:val="00C23657"/>
    <w:rsid w:val="00C237BE"/>
    <w:rsid w:val="00C237C2"/>
    <w:rsid w:val="00C23873"/>
    <w:rsid w:val="00C238BE"/>
    <w:rsid w:val="00C23993"/>
    <w:rsid w:val="00C239D4"/>
    <w:rsid w:val="00C23A15"/>
    <w:rsid w:val="00C23B3C"/>
    <w:rsid w:val="00C23B50"/>
    <w:rsid w:val="00C23B71"/>
    <w:rsid w:val="00C23C19"/>
    <w:rsid w:val="00C23CB1"/>
    <w:rsid w:val="00C23CB5"/>
    <w:rsid w:val="00C23CDF"/>
    <w:rsid w:val="00C23D3D"/>
    <w:rsid w:val="00C23DA1"/>
    <w:rsid w:val="00C23E04"/>
    <w:rsid w:val="00C23E9F"/>
    <w:rsid w:val="00C23EEA"/>
    <w:rsid w:val="00C23F42"/>
    <w:rsid w:val="00C24067"/>
    <w:rsid w:val="00C2407B"/>
    <w:rsid w:val="00C24221"/>
    <w:rsid w:val="00C2422D"/>
    <w:rsid w:val="00C24287"/>
    <w:rsid w:val="00C24295"/>
    <w:rsid w:val="00C242C2"/>
    <w:rsid w:val="00C24309"/>
    <w:rsid w:val="00C24332"/>
    <w:rsid w:val="00C243BA"/>
    <w:rsid w:val="00C243C5"/>
    <w:rsid w:val="00C24477"/>
    <w:rsid w:val="00C244B9"/>
    <w:rsid w:val="00C245A5"/>
    <w:rsid w:val="00C24660"/>
    <w:rsid w:val="00C2469F"/>
    <w:rsid w:val="00C247E7"/>
    <w:rsid w:val="00C24848"/>
    <w:rsid w:val="00C2490D"/>
    <w:rsid w:val="00C24911"/>
    <w:rsid w:val="00C24996"/>
    <w:rsid w:val="00C24B43"/>
    <w:rsid w:val="00C24B84"/>
    <w:rsid w:val="00C24C73"/>
    <w:rsid w:val="00C24CB3"/>
    <w:rsid w:val="00C24CB4"/>
    <w:rsid w:val="00C24CE3"/>
    <w:rsid w:val="00C24D1E"/>
    <w:rsid w:val="00C24D6A"/>
    <w:rsid w:val="00C24D7D"/>
    <w:rsid w:val="00C24FA2"/>
    <w:rsid w:val="00C25066"/>
    <w:rsid w:val="00C2509D"/>
    <w:rsid w:val="00C250D6"/>
    <w:rsid w:val="00C2545C"/>
    <w:rsid w:val="00C2545E"/>
    <w:rsid w:val="00C25566"/>
    <w:rsid w:val="00C256E3"/>
    <w:rsid w:val="00C256E8"/>
    <w:rsid w:val="00C2570C"/>
    <w:rsid w:val="00C25792"/>
    <w:rsid w:val="00C257CD"/>
    <w:rsid w:val="00C257D5"/>
    <w:rsid w:val="00C257E7"/>
    <w:rsid w:val="00C25B7A"/>
    <w:rsid w:val="00C25B95"/>
    <w:rsid w:val="00C25C90"/>
    <w:rsid w:val="00C25D5F"/>
    <w:rsid w:val="00C25D86"/>
    <w:rsid w:val="00C25F4E"/>
    <w:rsid w:val="00C25FBC"/>
    <w:rsid w:val="00C25FFC"/>
    <w:rsid w:val="00C2604F"/>
    <w:rsid w:val="00C2619F"/>
    <w:rsid w:val="00C261EB"/>
    <w:rsid w:val="00C2631E"/>
    <w:rsid w:val="00C26320"/>
    <w:rsid w:val="00C26344"/>
    <w:rsid w:val="00C26349"/>
    <w:rsid w:val="00C263E7"/>
    <w:rsid w:val="00C26437"/>
    <w:rsid w:val="00C2644B"/>
    <w:rsid w:val="00C264E7"/>
    <w:rsid w:val="00C2652C"/>
    <w:rsid w:val="00C2659E"/>
    <w:rsid w:val="00C26601"/>
    <w:rsid w:val="00C2662D"/>
    <w:rsid w:val="00C26778"/>
    <w:rsid w:val="00C2677E"/>
    <w:rsid w:val="00C26A5C"/>
    <w:rsid w:val="00C26AD8"/>
    <w:rsid w:val="00C26BC7"/>
    <w:rsid w:val="00C26C3A"/>
    <w:rsid w:val="00C26D33"/>
    <w:rsid w:val="00C26D66"/>
    <w:rsid w:val="00C26DEB"/>
    <w:rsid w:val="00C26E43"/>
    <w:rsid w:val="00C26EFD"/>
    <w:rsid w:val="00C26F6D"/>
    <w:rsid w:val="00C26F86"/>
    <w:rsid w:val="00C26FC9"/>
    <w:rsid w:val="00C27035"/>
    <w:rsid w:val="00C2704A"/>
    <w:rsid w:val="00C27051"/>
    <w:rsid w:val="00C2711D"/>
    <w:rsid w:val="00C27256"/>
    <w:rsid w:val="00C27280"/>
    <w:rsid w:val="00C272E3"/>
    <w:rsid w:val="00C273DC"/>
    <w:rsid w:val="00C2741E"/>
    <w:rsid w:val="00C2743C"/>
    <w:rsid w:val="00C274C4"/>
    <w:rsid w:val="00C274ED"/>
    <w:rsid w:val="00C275EB"/>
    <w:rsid w:val="00C27645"/>
    <w:rsid w:val="00C27696"/>
    <w:rsid w:val="00C27881"/>
    <w:rsid w:val="00C27913"/>
    <w:rsid w:val="00C27A56"/>
    <w:rsid w:val="00C27A71"/>
    <w:rsid w:val="00C27AFA"/>
    <w:rsid w:val="00C27B80"/>
    <w:rsid w:val="00C27B8E"/>
    <w:rsid w:val="00C27CF8"/>
    <w:rsid w:val="00C27DE3"/>
    <w:rsid w:val="00C27DF9"/>
    <w:rsid w:val="00C27E52"/>
    <w:rsid w:val="00C27E6A"/>
    <w:rsid w:val="00C27E79"/>
    <w:rsid w:val="00C27EE4"/>
    <w:rsid w:val="00C27F3D"/>
    <w:rsid w:val="00C27FEF"/>
    <w:rsid w:val="00C27FFD"/>
    <w:rsid w:val="00C300BC"/>
    <w:rsid w:val="00C3016C"/>
    <w:rsid w:val="00C301A4"/>
    <w:rsid w:val="00C302DB"/>
    <w:rsid w:val="00C30390"/>
    <w:rsid w:val="00C303A6"/>
    <w:rsid w:val="00C303CE"/>
    <w:rsid w:val="00C303DA"/>
    <w:rsid w:val="00C30445"/>
    <w:rsid w:val="00C30450"/>
    <w:rsid w:val="00C304E6"/>
    <w:rsid w:val="00C3051E"/>
    <w:rsid w:val="00C3052F"/>
    <w:rsid w:val="00C3055B"/>
    <w:rsid w:val="00C30759"/>
    <w:rsid w:val="00C3079F"/>
    <w:rsid w:val="00C307FE"/>
    <w:rsid w:val="00C30814"/>
    <w:rsid w:val="00C30830"/>
    <w:rsid w:val="00C30855"/>
    <w:rsid w:val="00C308A2"/>
    <w:rsid w:val="00C30967"/>
    <w:rsid w:val="00C30AA4"/>
    <w:rsid w:val="00C30AC7"/>
    <w:rsid w:val="00C30C02"/>
    <w:rsid w:val="00C30C8C"/>
    <w:rsid w:val="00C30C99"/>
    <w:rsid w:val="00C30DAB"/>
    <w:rsid w:val="00C30DE8"/>
    <w:rsid w:val="00C30EFD"/>
    <w:rsid w:val="00C30FD4"/>
    <w:rsid w:val="00C31127"/>
    <w:rsid w:val="00C311C9"/>
    <w:rsid w:val="00C31263"/>
    <w:rsid w:val="00C312A6"/>
    <w:rsid w:val="00C312E1"/>
    <w:rsid w:val="00C3130B"/>
    <w:rsid w:val="00C3130D"/>
    <w:rsid w:val="00C3132B"/>
    <w:rsid w:val="00C31376"/>
    <w:rsid w:val="00C3143B"/>
    <w:rsid w:val="00C315AB"/>
    <w:rsid w:val="00C31711"/>
    <w:rsid w:val="00C31830"/>
    <w:rsid w:val="00C31892"/>
    <w:rsid w:val="00C31917"/>
    <w:rsid w:val="00C3194C"/>
    <w:rsid w:val="00C31996"/>
    <w:rsid w:val="00C3199A"/>
    <w:rsid w:val="00C31B34"/>
    <w:rsid w:val="00C31CA0"/>
    <w:rsid w:val="00C31DEF"/>
    <w:rsid w:val="00C31E8E"/>
    <w:rsid w:val="00C31EA8"/>
    <w:rsid w:val="00C31F58"/>
    <w:rsid w:val="00C32064"/>
    <w:rsid w:val="00C32146"/>
    <w:rsid w:val="00C3216D"/>
    <w:rsid w:val="00C321BC"/>
    <w:rsid w:val="00C321C8"/>
    <w:rsid w:val="00C321FF"/>
    <w:rsid w:val="00C322EE"/>
    <w:rsid w:val="00C323B7"/>
    <w:rsid w:val="00C323C5"/>
    <w:rsid w:val="00C323F0"/>
    <w:rsid w:val="00C32486"/>
    <w:rsid w:val="00C324CD"/>
    <w:rsid w:val="00C3250C"/>
    <w:rsid w:val="00C32547"/>
    <w:rsid w:val="00C32599"/>
    <w:rsid w:val="00C3259C"/>
    <w:rsid w:val="00C32616"/>
    <w:rsid w:val="00C3279D"/>
    <w:rsid w:val="00C327D5"/>
    <w:rsid w:val="00C32840"/>
    <w:rsid w:val="00C329B5"/>
    <w:rsid w:val="00C32AF1"/>
    <w:rsid w:val="00C32B40"/>
    <w:rsid w:val="00C32B83"/>
    <w:rsid w:val="00C32C4B"/>
    <w:rsid w:val="00C32C69"/>
    <w:rsid w:val="00C32CD1"/>
    <w:rsid w:val="00C32DA8"/>
    <w:rsid w:val="00C32F73"/>
    <w:rsid w:val="00C32F8D"/>
    <w:rsid w:val="00C32FBB"/>
    <w:rsid w:val="00C3301B"/>
    <w:rsid w:val="00C331B9"/>
    <w:rsid w:val="00C33264"/>
    <w:rsid w:val="00C33267"/>
    <w:rsid w:val="00C33406"/>
    <w:rsid w:val="00C3344A"/>
    <w:rsid w:val="00C33525"/>
    <w:rsid w:val="00C3353F"/>
    <w:rsid w:val="00C335C9"/>
    <w:rsid w:val="00C335D9"/>
    <w:rsid w:val="00C33677"/>
    <w:rsid w:val="00C33794"/>
    <w:rsid w:val="00C337BF"/>
    <w:rsid w:val="00C337D5"/>
    <w:rsid w:val="00C338C9"/>
    <w:rsid w:val="00C33950"/>
    <w:rsid w:val="00C33962"/>
    <w:rsid w:val="00C33A38"/>
    <w:rsid w:val="00C33A73"/>
    <w:rsid w:val="00C33B32"/>
    <w:rsid w:val="00C33B5C"/>
    <w:rsid w:val="00C33CBB"/>
    <w:rsid w:val="00C33D32"/>
    <w:rsid w:val="00C33E13"/>
    <w:rsid w:val="00C33E27"/>
    <w:rsid w:val="00C33E44"/>
    <w:rsid w:val="00C33E52"/>
    <w:rsid w:val="00C34011"/>
    <w:rsid w:val="00C34115"/>
    <w:rsid w:val="00C34128"/>
    <w:rsid w:val="00C341EB"/>
    <w:rsid w:val="00C34213"/>
    <w:rsid w:val="00C34242"/>
    <w:rsid w:val="00C342DC"/>
    <w:rsid w:val="00C34338"/>
    <w:rsid w:val="00C34440"/>
    <w:rsid w:val="00C34441"/>
    <w:rsid w:val="00C34478"/>
    <w:rsid w:val="00C344AF"/>
    <w:rsid w:val="00C34501"/>
    <w:rsid w:val="00C3453A"/>
    <w:rsid w:val="00C34543"/>
    <w:rsid w:val="00C346A1"/>
    <w:rsid w:val="00C34700"/>
    <w:rsid w:val="00C34727"/>
    <w:rsid w:val="00C34832"/>
    <w:rsid w:val="00C3487D"/>
    <w:rsid w:val="00C3489F"/>
    <w:rsid w:val="00C349D8"/>
    <w:rsid w:val="00C34A8A"/>
    <w:rsid w:val="00C34AB3"/>
    <w:rsid w:val="00C34AB5"/>
    <w:rsid w:val="00C34B8F"/>
    <w:rsid w:val="00C34C3B"/>
    <w:rsid w:val="00C34CB5"/>
    <w:rsid w:val="00C34D1E"/>
    <w:rsid w:val="00C34E78"/>
    <w:rsid w:val="00C34F68"/>
    <w:rsid w:val="00C34F7C"/>
    <w:rsid w:val="00C34F9F"/>
    <w:rsid w:val="00C350DC"/>
    <w:rsid w:val="00C35242"/>
    <w:rsid w:val="00C35391"/>
    <w:rsid w:val="00C353A3"/>
    <w:rsid w:val="00C353DF"/>
    <w:rsid w:val="00C3543E"/>
    <w:rsid w:val="00C3551E"/>
    <w:rsid w:val="00C355B2"/>
    <w:rsid w:val="00C355D9"/>
    <w:rsid w:val="00C355E7"/>
    <w:rsid w:val="00C3561B"/>
    <w:rsid w:val="00C356BB"/>
    <w:rsid w:val="00C357CA"/>
    <w:rsid w:val="00C35872"/>
    <w:rsid w:val="00C3587B"/>
    <w:rsid w:val="00C35915"/>
    <w:rsid w:val="00C35922"/>
    <w:rsid w:val="00C35944"/>
    <w:rsid w:val="00C359B7"/>
    <w:rsid w:val="00C35A1C"/>
    <w:rsid w:val="00C35B33"/>
    <w:rsid w:val="00C35B96"/>
    <w:rsid w:val="00C35BD6"/>
    <w:rsid w:val="00C35C09"/>
    <w:rsid w:val="00C35C2E"/>
    <w:rsid w:val="00C35C32"/>
    <w:rsid w:val="00C35CDA"/>
    <w:rsid w:val="00C35CEB"/>
    <w:rsid w:val="00C35F49"/>
    <w:rsid w:val="00C35F75"/>
    <w:rsid w:val="00C360C5"/>
    <w:rsid w:val="00C360CB"/>
    <w:rsid w:val="00C360E0"/>
    <w:rsid w:val="00C36172"/>
    <w:rsid w:val="00C36203"/>
    <w:rsid w:val="00C36245"/>
    <w:rsid w:val="00C362DE"/>
    <w:rsid w:val="00C3636A"/>
    <w:rsid w:val="00C3638C"/>
    <w:rsid w:val="00C3638F"/>
    <w:rsid w:val="00C363AD"/>
    <w:rsid w:val="00C364C4"/>
    <w:rsid w:val="00C364CA"/>
    <w:rsid w:val="00C364F7"/>
    <w:rsid w:val="00C36573"/>
    <w:rsid w:val="00C36577"/>
    <w:rsid w:val="00C365DA"/>
    <w:rsid w:val="00C365E4"/>
    <w:rsid w:val="00C36613"/>
    <w:rsid w:val="00C36662"/>
    <w:rsid w:val="00C366B0"/>
    <w:rsid w:val="00C366ED"/>
    <w:rsid w:val="00C36779"/>
    <w:rsid w:val="00C367BD"/>
    <w:rsid w:val="00C36822"/>
    <w:rsid w:val="00C368EF"/>
    <w:rsid w:val="00C36951"/>
    <w:rsid w:val="00C36A36"/>
    <w:rsid w:val="00C36A75"/>
    <w:rsid w:val="00C36AC1"/>
    <w:rsid w:val="00C36DAF"/>
    <w:rsid w:val="00C36E2C"/>
    <w:rsid w:val="00C36E52"/>
    <w:rsid w:val="00C36EB2"/>
    <w:rsid w:val="00C36EE6"/>
    <w:rsid w:val="00C36F06"/>
    <w:rsid w:val="00C36F54"/>
    <w:rsid w:val="00C36F65"/>
    <w:rsid w:val="00C37023"/>
    <w:rsid w:val="00C37086"/>
    <w:rsid w:val="00C37094"/>
    <w:rsid w:val="00C370DF"/>
    <w:rsid w:val="00C370E5"/>
    <w:rsid w:val="00C371A6"/>
    <w:rsid w:val="00C371EE"/>
    <w:rsid w:val="00C371FA"/>
    <w:rsid w:val="00C371FF"/>
    <w:rsid w:val="00C37334"/>
    <w:rsid w:val="00C3737B"/>
    <w:rsid w:val="00C37381"/>
    <w:rsid w:val="00C37400"/>
    <w:rsid w:val="00C37491"/>
    <w:rsid w:val="00C37597"/>
    <w:rsid w:val="00C375AD"/>
    <w:rsid w:val="00C375F4"/>
    <w:rsid w:val="00C376D1"/>
    <w:rsid w:val="00C3780B"/>
    <w:rsid w:val="00C3781E"/>
    <w:rsid w:val="00C378B7"/>
    <w:rsid w:val="00C37986"/>
    <w:rsid w:val="00C37987"/>
    <w:rsid w:val="00C37A45"/>
    <w:rsid w:val="00C37B13"/>
    <w:rsid w:val="00C37C13"/>
    <w:rsid w:val="00C37CEA"/>
    <w:rsid w:val="00C37D59"/>
    <w:rsid w:val="00C37D99"/>
    <w:rsid w:val="00C37DA3"/>
    <w:rsid w:val="00C37DD3"/>
    <w:rsid w:val="00C37E8D"/>
    <w:rsid w:val="00C37EE5"/>
    <w:rsid w:val="00C37FAA"/>
    <w:rsid w:val="00C3B17F"/>
    <w:rsid w:val="00C400CF"/>
    <w:rsid w:val="00C40135"/>
    <w:rsid w:val="00C40215"/>
    <w:rsid w:val="00C40240"/>
    <w:rsid w:val="00C40246"/>
    <w:rsid w:val="00C402B3"/>
    <w:rsid w:val="00C402BB"/>
    <w:rsid w:val="00C402EA"/>
    <w:rsid w:val="00C4040B"/>
    <w:rsid w:val="00C4044F"/>
    <w:rsid w:val="00C404C6"/>
    <w:rsid w:val="00C404D7"/>
    <w:rsid w:val="00C4059E"/>
    <w:rsid w:val="00C405C7"/>
    <w:rsid w:val="00C40605"/>
    <w:rsid w:val="00C406B4"/>
    <w:rsid w:val="00C407E6"/>
    <w:rsid w:val="00C4082E"/>
    <w:rsid w:val="00C4083E"/>
    <w:rsid w:val="00C408B8"/>
    <w:rsid w:val="00C408F1"/>
    <w:rsid w:val="00C40A0A"/>
    <w:rsid w:val="00C40A5D"/>
    <w:rsid w:val="00C40BA8"/>
    <w:rsid w:val="00C40BD9"/>
    <w:rsid w:val="00C40C54"/>
    <w:rsid w:val="00C40CD6"/>
    <w:rsid w:val="00C40D5A"/>
    <w:rsid w:val="00C40E5A"/>
    <w:rsid w:val="00C40EA9"/>
    <w:rsid w:val="00C40EDC"/>
    <w:rsid w:val="00C41286"/>
    <w:rsid w:val="00C412DA"/>
    <w:rsid w:val="00C4130B"/>
    <w:rsid w:val="00C41326"/>
    <w:rsid w:val="00C4137C"/>
    <w:rsid w:val="00C4142A"/>
    <w:rsid w:val="00C41473"/>
    <w:rsid w:val="00C414BE"/>
    <w:rsid w:val="00C414D8"/>
    <w:rsid w:val="00C4152C"/>
    <w:rsid w:val="00C4153A"/>
    <w:rsid w:val="00C415F8"/>
    <w:rsid w:val="00C41616"/>
    <w:rsid w:val="00C41622"/>
    <w:rsid w:val="00C4163A"/>
    <w:rsid w:val="00C41696"/>
    <w:rsid w:val="00C416CE"/>
    <w:rsid w:val="00C4174A"/>
    <w:rsid w:val="00C41770"/>
    <w:rsid w:val="00C41781"/>
    <w:rsid w:val="00C41991"/>
    <w:rsid w:val="00C41A1D"/>
    <w:rsid w:val="00C41AA9"/>
    <w:rsid w:val="00C41B65"/>
    <w:rsid w:val="00C41BA0"/>
    <w:rsid w:val="00C41BDF"/>
    <w:rsid w:val="00C41BFE"/>
    <w:rsid w:val="00C41C0E"/>
    <w:rsid w:val="00C41C6D"/>
    <w:rsid w:val="00C41CA7"/>
    <w:rsid w:val="00C41CDF"/>
    <w:rsid w:val="00C41CEA"/>
    <w:rsid w:val="00C41D61"/>
    <w:rsid w:val="00C41E94"/>
    <w:rsid w:val="00C41EAD"/>
    <w:rsid w:val="00C41F5D"/>
    <w:rsid w:val="00C41F6A"/>
    <w:rsid w:val="00C4202C"/>
    <w:rsid w:val="00C42054"/>
    <w:rsid w:val="00C420D7"/>
    <w:rsid w:val="00C42133"/>
    <w:rsid w:val="00C4228E"/>
    <w:rsid w:val="00C42448"/>
    <w:rsid w:val="00C42454"/>
    <w:rsid w:val="00C4252D"/>
    <w:rsid w:val="00C4252F"/>
    <w:rsid w:val="00C42542"/>
    <w:rsid w:val="00C42598"/>
    <w:rsid w:val="00C42694"/>
    <w:rsid w:val="00C42749"/>
    <w:rsid w:val="00C4275B"/>
    <w:rsid w:val="00C4285A"/>
    <w:rsid w:val="00C428CE"/>
    <w:rsid w:val="00C428DB"/>
    <w:rsid w:val="00C428E0"/>
    <w:rsid w:val="00C4294B"/>
    <w:rsid w:val="00C42A43"/>
    <w:rsid w:val="00C42A71"/>
    <w:rsid w:val="00C42AD4"/>
    <w:rsid w:val="00C42B1A"/>
    <w:rsid w:val="00C42BE8"/>
    <w:rsid w:val="00C42C2D"/>
    <w:rsid w:val="00C42CFB"/>
    <w:rsid w:val="00C42D63"/>
    <w:rsid w:val="00C42F60"/>
    <w:rsid w:val="00C432F5"/>
    <w:rsid w:val="00C43306"/>
    <w:rsid w:val="00C433E4"/>
    <w:rsid w:val="00C434A5"/>
    <w:rsid w:val="00C4357E"/>
    <w:rsid w:val="00C435F6"/>
    <w:rsid w:val="00C4365F"/>
    <w:rsid w:val="00C436F7"/>
    <w:rsid w:val="00C43766"/>
    <w:rsid w:val="00C437E1"/>
    <w:rsid w:val="00C4380D"/>
    <w:rsid w:val="00C43872"/>
    <w:rsid w:val="00C438A4"/>
    <w:rsid w:val="00C438B9"/>
    <w:rsid w:val="00C43A0F"/>
    <w:rsid w:val="00C43A11"/>
    <w:rsid w:val="00C43A22"/>
    <w:rsid w:val="00C43ADA"/>
    <w:rsid w:val="00C43B2A"/>
    <w:rsid w:val="00C43B97"/>
    <w:rsid w:val="00C43BC9"/>
    <w:rsid w:val="00C43BCC"/>
    <w:rsid w:val="00C43C4E"/>
    <w:rsid w:val="00C43C8E"/>
    <w:rsid w:val="00C43CB0"/>
    <w:rsid w:val="00C43D25"/>
    <w:rsid w:val="00C43D3E"/>
    <w:rsid w:val="00C43DC1"/>
    <w:rsid w:val="00C43EA4"/>
    <w:rsid w:val="00C43F67"/>
    <w:rsid w:val="00C43F9E"/>
    <w:rsid w:val="00C43FC2"/>
    <w:rsid w:val="00C43FF7"/>
    <w:rsid w:val="00C44035"/>
    <w:rsid w:val="00C4408B"/>
    <w:rsid w:val="00C440B0"/>
    <w:rsid w:val="00C4412A"/>
    <w:rsid w:val="00C4422D"/>
    <w:rsid w:val="00C44262"/>
    <w:rsid w:val="00C442C2"/>
    <w:rsid w:val="00C443DE"/>
    <w:rsid w:val="00C443ED"/>
    <w:rsid w:val="00C4443E"/>
    <w:rsid w:val="00C444A3"/>
    <w:rsid w:val="00C444E8"/>
    <w:rsid w:val="00C44586"/>
    <w:rsid w:val="00C445EE"/>
    <w:rsid w:val="00C445F1"/>
    <w:rsid w:val="00C447B0"/>
    <w:rsid w:val="00C447CE"/>
    <w:rsid w:val="00C4487A"/>
    <w:rsid w:val="00C448B4"/>
    <w:rsid w:val="00C449F5"/>
    <w:rsid w:val="00C44B19"/>
    <w:rsid w:val="00C44B85"/>
    <w:rsid w:val="00C44BF1"/>
    <w:rsid w:val="00C44C0E"/>
    <w:rsid w:val="00C44CF1"/>
    <w:rsid w:val="00C44D29"/>
    <w:rsid w:val="00C44D50"/>
    <w:rsid w:val="00C44D6D"/>
    <w:rsid w:val="00C44D7F"/>
    <w:rsid w:val="00C44E82"/>
    <w:rsid w:val="00C44F1A"/>
    <w:rsid w:val="00C44FA0"/>
    <w:rsid w:val="00C45028"/>
    <w:rsid w:val="00C45048"/>
    <w:rsid w:val="00C45255"/>
    <w:rsid w:val="00C45280"/>
    <w:rsid w:val="00C452E9"/>
    <w:rsid w:val="00C45339"/>
    <w:rsid w:val="00C45349"/>
    <w:rsid w:val="00C453EB"/>
    <w:rsid w:val="00C4551B"/>
    <w:rsid w:val="00C45663"/>
    <w:rsid w:val="00C4573D"/>
    <w:rsid w:val="00C45890"/>
    <w:rsid w:val="00C459D1"/>
    <w:rsid w:val="00C45A08"/>
    <w:rsid w:val="00C45B59"/>
    <w:rsid w:val="00C45BD3"/>
    <w:rsid w:val="00C45C6A"/>
    <w:rsid w:val="00C45F67"/>
    <w:rsid w:val="00C45F87"/>
    <w:rsid w:val="00C45FD4"/>
    <w:rsid w:val="00C4601F"/>
    <w:rsid w:val="00C460A7"/>
    <w:rsid w:val="00C460F1"/>
    <w:rsid w:val="00C461BF"/>
    <w:rsid w:val="00C461DF"/>
    <w:rsid w:val="00C46349"/>
    <w:rsid w:val="00C46498"/>
    <w:rsid w:val="00C464AE"/>
    <w:rsid w:val="00C464BF"/>
    <w:rsid w:val="00C464F8"/>
    <w:rsid w:val="00C465E0"/>
    <w:rsid w:val="00C467E0"/>
    <w:rsid w:val="00C46825"/>
    <w:rsid w:val="00C4683E"/>
    <w:rsid w:val="00C4686C"/>
    <w:rsid w:val="00C46949"/>
    <w:rsid w:val="00C4697F"/>
    <w:rsid w:val="00C46AA4"/>
    <w:rsid w:val="00C46ACB"/>
    <w:rsid w:val="00C46B15"/>
    <w:rsid w:val="00C46B3E"/>
    <w:rsid w:val="00C46C15"/>
    <w:rsid w:val="00C46C70"/>
    <w:rsid w:val="00C46DB2"/>
    <w:rsid w:val="00C46E54"/>
    <w:rsid w:val="00C46EE3"/>
    <w:rsid w:val="00C46FA2"/>
    <w:rsid w:val="00C46FDA"/>
    <w:rsid w:val="00C470EE"/>
    <w:rsid w:val="00C47153"/>
    <w:rsid w:val="00C4723B"/>
    <w:rsid w:val="00C47252"/>
    <w:rsid w:val="00C472ED"/>
    <w:rsid w:val="00C4733C"/>
    <w:rsid w:val="00C47398"/>
    <w:rsid w:val="00C47453"/>
    <w:rsid w:val="00C47464"/>
    <w:rsid w:val="00C474A8"/>
    <w:rsid w:val="00C47572"/>
    <w:rsid w:val="00C475E1"/>
    <w:rsid w:val="00C4773F"/>
    <w:rsid w:val="00C47798"/>
    <w:rsid w:val="00C477DC"/>
    <w:rsid w:val="00C477E1"/>
    <w:rsid w:val="00C47814"/>
    <w:rsid w:val="00C47874"/>
    <w:rsid w:val="00C47982"/>
    <w:rsid w:val="00C47A12"/>
    <w:rsid w:val="00C47A31"/>
    <w:rsid w:val="00C47AEB"/>
    <w:rsid w:val="00C47AED"/>
    <w:rsid w:val="00C47BA7"/>
    <w:rsid w:val="00C47BF4"/>
    <w:rsid w:val="00C47C4C"/>
    <w:rsid w:val="00C47CDF"/>
    <w:rsid w:val="00C47DCA"/>
    <w:rsid w:val="00C47E6C"/>
    <w:rsid w:val="00C47F29"/>
    <w:rsid w:val="00C47FF5"/>
    <w:rsid w:val="00C5001B"/>
    <w:rsid w:val="00C50036"/>
    <w:rsid w:val="00C500C4"/>
    <w:rsid w:val="00C500CF"/>
    <w:rsid w:val="00C50220"/>
    <w:rsid w:val="00C50258"/>
    <w:rsid w:val="00C5028B"/>
    <w:rsid w:val="00C50290"/>
    <w:rsid w:val="00C50368"/>
    <w:rsid w:val="00C503F1"/>
    <w:rsid w:val="00C5048D"/>
    <w:rsid w:val="00C504C1"/>
    <w:rsid w:val="00C5051E"/>
    <w:rsid w:val="00C50595"/>
    <w:rsid w:val="00C5062B"/>
    <w:rsid w:val="00C5065D"/>
    <w:rsid w:val="00C5078C"/>
    <w:rsid w:val="00C507B3"/>
    <w:rsid w:val="00C507E3"/>
    <w:rsid w:val="00C507E8"/>
    <w:rsid w:val="00C5085A"/>
    <w:rsid w:val="00C509DA"/>
    <w:rsid w:val="00C50BC5"/>
    <w:rsid w:val="00C50CEE"/>
    <w:rsid w:val="00C50DDB"/>
    <w:rsid w:val="00C50EC9"/>
    <w:rsid w:val="00C50EF2"/>
    <w:rsid w:val="00C50F23"/>
    <w:rsid w:val="00C50F76"/>
    <w:rsid w:val="00C50F8E"/>
    <w:rsid w:val="00C50FDF"/>
    <w:rsid w:val="00C5101D"/>
    <w:rsid w:val="00C5109A"/>
    <w:rsid w:val="00C510BD"/>
    <w:rsid w:val="00C51190"/>
    <w:rsid w:val="00C51230"/>
    <w:rsid w:val="00C512C3"/>
    <w:rsid w:val="00C51308"/>
    <w:rsid w:val="00C5137C"/>
    <w:rsid w:val="00C51406"/>
    <w:rsid w:val="00C5148E"/>
    <w:rsid w:val="00C5154C"/>
    <w:rsid w:val="00C515A0"/>
    <w:rsid w:val="00C51662"/>
    <w:rsid w:val="00C516E6"/>
    <w:rsid w:val="00C517EB"/>
    <w:rsid w:val="00C5180D"/>
    <w:rsid w:val="00C5185E"/>
    <w:rsid w:val="00C518AC"/>
    <w:rsid w:val="00C518BE"/>
    <w:rsid w:val="00C51918"/>
    <w:rsid w:val="00C51920"/>
    <w:rsid w:val="00C51A43"/>
    <w:rsid w:val="00C51BA4"/>
    <w:rsid w:val="00C51D82"/>
    <w:rsid w:val="00C51ED0"/>
    <w:rsid w:val="00C51ED9"/>
    <w:rsid w:val="00C51EE4"/>
    <w:rsid w:val="00C51FA0"/>
    <w:rsid w:val="00C520C2"/>
    <w:rsid w:val="00C520C4"/>
    <w:rsid w:val="00C5225E"/>
    <w:rsid w:val="00C522B9"/>
    <w:rsid w:val="00C523F5"/>
    <w:rsid w:val="00C52476"/>
    <w:rsid w:val="00C5248F"/>
    <w:rsid w:val="00C524B9"/>
    <w:rsid w:val="00C5251C"/>
    <w:rsid w:val="00C52594"/>
    <w:rsid w:val="00C5261C"/>
    <w:rsid w:val="00C52662"/>
    <w:rsid w:val="00C52738"/>
    <w:rsid w:val="00C5274E"/>
    <w:rsid w:val="00C527A3"/>
    <w:rsid w:val="00C527E1"/>
    <w:rsid w:val="00C52841"/>
    <w:rsid w:val="00C5287A"/>
    <w:rsid w:val="00C528E6"/>
    <w:rsid w:val="00C529CA"/>
    <w:rsid w:val="00C52A0E"/>
    <w:rsid w:val="00C52AD3"/>
    <w:rsid w:val="00C52CA4"/>
    <w:rsid w:val="00C52D26"/>
    <w:rsid w:val="00C52D64"/>
    <w:rsid w:val="00C52DD0"/>
    <w:rsid w:val="00C52E9E"/>
    <w:rsid w:val="00C52EBE"/>
    <w:rsid w:val="00C52EDF"/>
    <w:rsid w:val="00C53113"/>
    <w:rsid w:val="00C53159"/>
    <w:rsid w:val="00C5319D"/>
    <w:rsid w:val="00C531D8"/>
    <w:rsid w:val="00C532AF"/>
    <w:rsid w:val="00C532F6"/>
    <w:rsid w:val="00C5337F"/>
    <w:rsid w:val="00C534F1"/>
    <w:rsid w:val="00C53510"/>
    <w:rsid w:val="00C5359B"/>
    <w:rsid w:val="00C535BE"/>
    <w:rsid w:val="00C536BE"/>
    <w:rsid w:val="00C537B5"/>
    <w:rsid w:val="00C537D0"/>
    <w:rsid w:val="00C537D7"/>
    <w:rsid w:val="00C53801"/>
    <w:rsid w:val="00C53917"/>
    <w:rsid w:val="00C53988"/>
    <w:rsid w:val="00C539DE"/>
    <w:rsid w:val="00C539F6"/>
    <w:rsid w:val="00C53A0D"/>
    <w:rsid w:val="00C53A44"/>
    <w:rsid w:val="00C53A91"/>
    <w:rsid w:val="00C53B24"/>
    <w:rsid w:val="00C53B42"/>
    <w:rsid w:val="00C53C0A"/>
    <w:rsid w:val="00C53CAE"/>
    <w:rsid w:val="00C53CE3"/>
    <w:rsid w:val="00C53CEB"/>
    <w:rsid w:val="00C53D2A"/>
    <w:rsid w:val="00C53E02"/>
    <w:rsid w:val="00C53E2B"/>
    <w:rsid w:val="00C53F44"/>
    <w:rsid w:val="00C54068"/>
    <w:rsid w:val="00C5411B"/>
    <w:rsid w:val="00C5429D"/>
    <w:rsid w:val="00C54372"/>
    <w:rsid w:val="00C5445C"/>
    <w:rsid w:val="00C544E4"/>
    <w:rsid w:val="00C54546"/>
    <w:rsid w:val="00C54577"/>
    <w:rsid w:val="00C54635"/>
    <w:rsid w:val="00C5464C"/>
    <w:rsid w:val="00C546D0"/>
    <w:rsid w:val="00C547C1"/>
    <w:rsid w:val="00C54847"/>
    <w:rsid w:val="00C549B7"/>
    <w:rsid w:val="00C549ED"/>
    <w:rsid w:val="00C54A69"/>
    <w:rsid w:val="00C54A97"/>
    <w:rsid w:val="00C54AEF"/>
    <w:rsid w:val="00C54C38"/>
    <w:rsid w:val="00C54D64"/>
    <w:rsid w:val="00C54D98"/>
    <w:rsid w:val="00C54EF3"/>
    <w:rsid w:val="00C54FAE"/>
    <w:rsid w:val="00C55021"/>
    <w:rsid w:val="00C550B4"/>
    <w:rsid w:val="00C550DA"/>
    <w:rsid w:val="00C550ED"/>
    <w:rsid w:val="00C55131"/>
    <w:rsid w:val="00C5515E"/>
    <w:rsid w:val="00C551F5"/>
    <w:rsid w:val="00C5523D"/>
    <w:rsid w:val="00C552B7"/>
    <w:rsid w:val="00C5533D"/>
    <w:rsid w:val="00C553D2"/>
    <w:rsid w:val="00C55588"/>
    <w:rsid w:val="00C5558F"/>
    <w:rsid w:val="00C55590"/>
    <w:rsid w:val="00C55651"/>
    <w:rsid w:val="00C55773"/>
    <w:rsid w:val="00C5577C"/>
    <w:rsid w:val="00C55869"/>
    <w:rsid w:val="00C558A2"/>
    <w:rsid w:val="00C558AF"/>
    <w:rsid w:val="00C5597A"/>
    <w:rsid w:val="00C55A1F"/>
    <w:rsid w:val="00C55B6C"/>
    <w:rsid w:val="00C55DA5"/>
    <w:rsid w:val="00C55DD2"/>
    <w:rsid w:val="00C55DED"/>
    <w:rsid w:val="00C55EC9"/>
    <w:rsid w:val="00C55EF2"/>
    <w:rsid w:val="00C56056"/>
    <w:rsid w:val="00C560AC"/>
    <w:rsid w:val="00C560EB"/>
    <w:rsid w:val="00C56196"/>
    <w:rsid w:val="00C5639F"/>
    <w:rsid w:val="00C563DF"/>
    <w:rsid w:val="00C5647D"/>
    <w:rsid w:val="00C564CA"/>
    <w:rsid w:val="00C564CE"/>
    <w:rsid w:val="00C56510"/>
    <w:rsid w:val="00C56536"/>
    <w:rsid w:val="00C5659E"/>
    <w:rsid w:val="00C5682C"/>
    <w:rsid w:val="00C56850"/>
    <w:rsid w:val="00C5698C"/>
    <w:rsid w:val="00C569EA"/>
    <w:rsid w:val="00C569EE"/>
    <w:rsid w:val="00C56AA5"/>
    <w:rsid w:val="00C56AF2"/>
    <w:rsid w:val="00C56B09"/>
    <w:rsid w:val="00C56B7D"/>
    <w:rsid w:val="00C56C46"/>
    <w:rsid w:val="00C56EDD"/>
    <w:rsid w:val="00C5700E"/>
    <w:rsid w:val="00C57020"/>
    <w:rsid w:val="00C570B9"/>
    <w:rsid w:val="00C571CA"/>
    <w:rsid w:val="00C5736A"/>
    <w:rsid w:val="00C5739B"/>
    <w:rsid w:val="00C573D9"/>
    <w:rsid w:val="00C5741C"/>
    <w:rsid w:val="00C5749A"/>
    <w:rsid w:val="00C5753C"/>
    <w:rsid w:val="00C575B0"/>
    <w:rsid w:val="00C575C0"/>
    <w:rsid w:val="00C57612"/>
    <w:rsid w:val="00C5761B"/>
    <w:rsid w:val="00C57651"/>
    <w:rsid w:val="00C57698"/>
    <w:rsid w:val="00C5789D"/>
    <w:rsid w:val="00C578BE"/>
    <w:rsid w:val="00C57966"/>
    <w:rsid w:val="00C579D1"/>
    <w:rsid w:val="00C579DB"/>
    <w:rsid w:val="00C579FF"/>
    <w:rsid w:val="00C57A27"/>
    <w:rsid w:val="00C57B3C"/>
    <w:rsid w:val="00C57B80"/>
    <w:rsid w:val="00C57BC5"/>
    <w:rsid w:val="00C57BFF"/>
    <w:rsid w:val="00C57C4E"/>
    <w:rsid w:val="00C57CD7"/>
    <w:rsid w:val="00C57D0D"/>
    <w:rsid w:val="00C57D33"/>
    <w:rsid w:val="00C57D71"/>
    <w:rsid w:val="00C57DF6"/>
    <w:rsid w:val="00C57E7D"/>
    <w:rsid w:val="00C57E87"/>
    <w:rsid w:val="00C57EA8"/>
    <w:rsid w:val="00C57ECE"/>
    <w:rsid w:val="00C57EDF"/>
    <w:rsid w:val="00C57F6E"/>
    <w:rsid w:val="00C60040"/>
    <w:rsid w:val="00C60105"/>
    <w:rsid w:val="00C601E7"/>
    <w:rsid w:val="00C60271"/>
    <w:rsid w:val="00C60369"/>
    <w:rsid w:val="00C603B1"/>
    <w:rsid w:val="00C603BD"/>
    <w:rsid w:val="00C606A0"/>
    <w:rsid w:val="00C606DB"/>
    <w:rsid w:val="00C606FB"/>
    <w:rsid w:val="00C60777"/>
    <w:rsid w:val="00C607E2"/>
    <w:rsid w:val="00C60834"/>
    <w:rsid w:val="00C60A31"/>
    <w:rsid w:val="00C60A56"/>
    <w:rsid w:val="00C60B0A"/>
    <w:rsid w:val="00C60C84"/>
    <w:rsid w:val="00C60DF8"/>
    <w:rsid w:val="00C60EB2"/>
    <w:rsid w:val="00C60ED2"/>
    <w:rsid w:val="00C60EFD"/>
    <w:rsid w:val="00C6108A"/>
    <w:rsid w:val="00C610DD"/>
    <w:rsid w:val="00C6115A"/>
    <w:rsid w:val="00C6119D"/>
    <w:rsid w:val="00C611EB"/>
    <w:rsid w:val="00C61369"/>
    <w:rsid w:val="00C6141A"/>
    <w:rsid w:val="00C61501"/>
    <w:rsid w:val="00C61520"/>
    <w:rsid w:val="00C61569"/>
    <w:rsid w:val="00C615D3"/>
    <w:rsid w:val="00C6164B"/>
    <w:rsid w:val="00C617A4"/>
    <w:rsid w:val="00C617F3"/>
    <w:rsid w:val="00C61983"/>
    <w:rsid w:val="00C619BA"/>
    <w:rsid w:val="00C61A1C"/>
    <w:rsid w:val="00C61A57"/>
    <w:rsid w:val="00C61A81"/>
    <w:rsid w:val="00C61BF2"/>
    <w:rsid w:val="00C61C91"/>
    <w:rsid w:val="00C61D36"/>
    <w:rsid w:val="00C61D83"/>
    <w:rsid w:val="00C61E27"/>
    <w:rsid w:val="00C61F00"/>
    <w:rsid w:val="00C62098"/>
    <w:rsid w:val="00C6209A"/>
    <w:rsid w:val="00C621BA"/>
    <w:rsid w:val="00C621D2"/>
    <w:rsid w:val="00C622E2"/>
    <w:rsid w:val="00C6231B"/>
    <w:rsid w:val="00C624C2"/>
    <w:rsid w:val="00C62548"/>
    <w:rsid w:val="00C6261E"/>
    <w:rsid w:val="00C6268B"/>
    <w:rsid w:val="00C6269F"/>
    <w:rsid w:val="00C626EE"/>
    <w:rsid w:val="00C6272C"/>
    <w:rsid w:val="00C6283E"/>
    <w:rsid w:val="00C6286C"/>
    <w:rsid w:val="00C629C9"/>
    <w:rsid w:val="00C62A54"/>
    <w:rsid w:val="00C62A82"/>
    <w:rsid w:val="00C62B77"/>
    <w:rsid w:val="00C62BB1"/>
    <w:rsid w:val="00C62C9E"/>
    <w:rsid w:val="00C62DC3"/>
    <w:rsid w:val="00C62E87"/>
    <w:rsid w:val="00C6300C"/>
    <w:rsid w:val="00C631D1"/>
    <w:rsid w:val="00C632BF"/>
    <w:rsid w:val="00C6330E"/>
    <w:rsid w:val="00C63387"/>
    <w:rsid w:val="00C633A6"/>
    <w:rsid w:val="00C633DC"/>
    <w:rsid w:val="00C63423"/>
    <w:rsid w:val="00C63483"/>
    <w:rsid w:val="00C635D3"/>
    <w:rsid w:val="00C635EA"/>
    <w:rsid w:val="00C6363B"/>
    <w:rsid w:val="00C636D9"/>
    <w:rsid w:val="00C6374E"/>
    <w:rsid w:val="00C63765"/>
    <w:rsid w:val="00C63768"/>
    <w:rsid w:val="00C637E1"/>
    <w:rsid w:val="00C637F2"/>
    <w:rsid w:val="00C637F5"/>
    <w:rsid w:val="00C638E5"/>
    <w:rsid w:val="00C638FA"/>
    <w:rsid w:val="00C639AB"/>
    <w:rsid w:val="00C63A99"/>
    <w:rsid w:val="00C63AC2"/>
    <w:rsid w:val="00C63B0D"/>
    <w:rsid w:val="00C63B82"/>
    <w:rsid w:val="00C63CA2"/>
    <w:rsid w:val="00C63CED"/>
    <w:rsid w:val="00C63D28"/>
    <w:rsid w:val="00C63D2E"/>
    <w:rsid w:val="00C63DD9"/>
    <w:rsid w:val="00C63E2A"/>
    <w:rsid w:val="00C63F09"/>
    <w:rsid w:val="00C63F90"/>
    <w:rsid w:val="00C63FA9"/>
    <w:rsid w:val="00C63FAF"/>
    <w:rsid w:val="00C640F1"/>
    <w:rsid w:val="00C641CD"/>
    <w:rsid w:val="00C64261"/>
    <w:rsid w:val="00C64279"/>
    <w:rsid w:val="00C642BC"/>
    <w:rsid w:val="00C64395"/>
    <w:rsid w:val="00C6439E"/>
    <w:rsid w:val="00C64434"/>
    <w:rsid w:val="00C645A1"/>
    <w:rsid w:val="00C645A9"/>
    <w:rsid w:val="00C646BA"/>
    <w:rsid w:val="00C646CF"/>
    <w:rsid w:val="00C64757"/>
    <w:rsid w:val="00C64889"/>
    <w:rsid w:val="00C648C6"/>
    <w:rsid w:val="00C648D1"/>
    <w:rsid w:val="00C64911"/>
    <w:rsid w:val="00C649DB"/>
    <w:rsid w:val="00C64B43"/>
    <w:rsid w:val="00C64BDE"/>
    <w:rsid w:val="00C64C17"/>
    <w:rsid w:val="00C64D77"/>
    <w:rsid w:val="00C64DA9"/>
    <w:rsid w:val="00C64E62"/>
    <w:rsid w:val="00C64F5D"/>
    <w:rsid w:val="00C64FE5"/>
    <w:rsid w:val="00C6507C"/>
    <w:rsid w:val="00C6512A"/>
    <w:rsid w:val="00C651CB"/>
    <w:rsid w:val="00C65204"/>
    <w:rsid w:val="00C65213"/>
    <w:rsid w:val="00C652D8"/>
    <w:rsid w:val="00C6534F"/>
    <w:rsid w:val="00C6537A"/>
    <w:rsid w:val="00C653E8"/>
    <w:rsid w:val="00C6541B"/>
    <w:rsid w:val="00C65532"/>
    <w:rsid w:val="00C6555F"/>
    <w:rsid w:val="00C655D7"/>
    <w:rsid w:val="00C65656"/>
    <w:rsid w:val="00C65698"/>
    <w:rsid w:val="00C6578D"/>
    <w:rsid w:val="00C657A8"/>
    <w:rsid w:val="00C65B0B"/>
    <w:rsid w:val="00C65B42"/>
    <w:rsid w:val="00C65B67"/>
    <w:rsid w:val="00C65B6F"/>
    <w:rsid w:val="00C65C50"/>
    <w:rsid w:val="00C65D0E"/>
    <w:rsid w:val="00C65E99"/>
    <w:rsid w:val="00C660A0"/>
    <w:rsid w:val="00C66107"/>
    <w:rsid w:val="00C6614B"/>
    <w:rsid w:val="00C6617D"/>
    <w:rsid w:val="00C661EB"/>
    <w:rsid w:val="00C6620C"/>
    <w:rsid w:val="00C66240"/>
    <w:rsid w:val="00C662B0"/>
    <w:rsid w:val="00C663FA"/>
    <w:rsid w:val="00C664A8"/>
    <w:rsid w:val="00C664E8"/>
    <w:rsid w:val="00C6653C"/>
    <w:rsid w:val="00C66576"/>
    <w:rsid w:val="00C665FE"/>
    <w:rsid w:val="00C66716"/>
    <w:rsid w:val="00C66768"/>
    <w:rsid w:val="00C667C5"/>
    <w:rsid w:val="00C6682B"/>
    <w:rsid w:val="00C66936"/>
    <w:rsid w:val="00C6694A"/>
    <w:rsid w:val="00C669D0"/>
    <w:rsid w:val="00C669D6"/>
    <w:rsid w:val="00C66AB8"/>
    <w:rsid w:val="00C66B3C"/>
    <w:rsid w:val="00C66BD9"/>
    <w:rsid w:val="00C66C2D"/>
    <w:rsid w:val="00C66C8D"/>
    <w:rsid w:val="00C66CE8"/>
    <w:rsid w:val="00C66DB9"/>
    <w:rsid w:val="00C66DC2"/>
    <w:rsid w:val="00C66DDB"/>
    <w:rsid w:val="00C66DFF"/>
    <w:rsid w:val="00C66F1E"/>
    <w:rsid w:val="00C670C3"/>
    <w:rsid w:val="00C6721F"/>
    <w:rsid w:val="00C6729F"/>
    <w:rsid w:val="00C674A5"/>
    <w:rsid w:val="00C67519"/>
    <w:rsid w:val="00C6772A"/>
    <w:rsid w:val="00C67737"/>
    <w:rsid w:val="00C6786F"/>
    <w:rsid w:val="00C678C2"/>
    <w:rsid w:val="00C678F6"/>
    <w:rsid w:val="00C67902"/>
    <w:rsid w:val="00C6793B"/>
    <w:rsid w:val="00C6793F"/>
    <w:rsid w:val="00C67969"/>
    <w:rsid w:val="00C679B6"/>
    <w:rsid w:val="00C67AA1"/>
    <w:rsid w:val="00C67AB1"/>
    <w:rsid w:val="00C67AD4"/>
    <w:rsid w:val="00C67ADA"/>
    <w:rsid w:val="00C67ADB"/>
    <w:rsid w:val="00C67AE8"/>
    <w:rsid w:val="00C67CD4"/>
    <w:rsid w:val="00C67CF1"/>
    <w:rsid w:val="00C67D07"/>
    <w:rsid w:val="00C67E6E"/>
    <w:rsid w:val="00C67EF2"/>
    <w:rsid w:val="00C67F50"/>
    <w:rsid w:val="00C67F9C"/>
    <w:rsid w:val="00C67FC1"/>
    <w:rsid w:val="00C7021F"/>
    <w:rsid w:val="00C7032C"/>
    <w:rsid w:val="00C70345"/>
    <w:rsid w:val="00C7034F"/>
    <w:rsid w:val="00C70362"/>
    <w:rsid w:val="00C70395"/>
    <w:rsid w:val="00C704D3"/>
    <w:rsid w:val="00C70510"/>
    <w:rsid w:val="00C70525"/>
    <w:rsid w:val="00C705E8"/>
    <w:rsid w:val="00C70607"/>
    <w:rsid w:val="00C70661"/>
    <w:rsid w:val="00C70679"/>
    <w:rsid w:val="00C70AB5"/>
    <w:rsid w:val="00C70B60"/>
    <w:rsid w:val="00C70BCA"/>
    <w:rsid w:val="00C70C74"/>
    <w:rsid w:val="00C70C85"/>
    <w:rsid w:val="00C70D30"/>
    <w:rsid w:val="00C70E50"/>
    <w:rsid w:val="00C70EBF"/>
    <w:rsid w:val="00C70F16"/>
    <w:rsid w:val="00C7102D"/>
    <w:rsid w:val="00C7113A"/>
    <w:rsid w:val="00C711A1"/>
    <w:rsid w:val="00C7133F"/>
    <w:rsid w:val="00C71361"/>
    <w:rsid w:val="00C71386"/>
    <w:rsid w:val="00C71459"/>
    <w:rsid w:val="00C71486"/>
    <w:rsid w:val="00C714A0"/>
    <w:rsid w:val="00C714FC"/>
    <w:rsid w:val="00C7152D"/>
    <w:rsid w:val="00C715D3"/>
    <w:rsid w:val="00C7162B"/>
    <w:rsid w:val="00C71673"/>
    <w:rsid w:val="00C7187B"/>
    <w:rsid w:val="00C718CE"/>
    <w:rsid w:val="00C71912"/>
    <w:rsid w:val="00C71960"/>
    <w:rsid w:val="00C719F6"/>
    <w:rsid w:val="00C71B89"/>
    <w:rsid w:val="00C71C3F"/>
    <w:rsid w:val="00C71C62"/>
    <w:rsid w:val="00C71C9F"/>
    <w:rsid w:val="00C71D03"/>
    <w:rsid w:val="00C71F19"/>
    <w:rsid w:val="00C71F55"/>
    <w:rsid w:val="00C71FAD"/>
    <w:rsid w:val="00C71FE5"/>
    <w:rsid w:val="00C72384"/>
    <w:rsid w:val="00C723E9"/>
    <w:rsid w:val="00C7241E"/>
    <w:rsid w:val="00C7242D"/>
    <w:rsid w:val="00C72461"/>
    <w:rsid w:val="00C724CC"/>
    <w:rsid w:val="00C724F9"/>
    <w:rsid w:val="00C724FA"/>
    <w:rsid w:val="00C7253C"/>
    <w:rsid w:val="00C725CF"/>
    <w:rsid w:val="00C725F7"/>
    <w:rsid w:val="00C7265D"/>
    <w:rsid w:val="00C72686"/>
    <w:rsid w:val="00C72718"/>
    <w:rsid w:val="00C72912"/>
    <w:rsid w:val="00C72938"/>
    <w:rsid w:val="00C72A07"/>
    <w:rsid w:val="00C72B75"/>
    <w:rsid w:val="00C72CD6"/>
    <w:rsid w:val="00C72D56"/>
    <w:rsid w:val="00C72E5A"/>
    <w:rsid w:val="00C72FB4"/>
    <w:rsid w:val="00C72FB6"/>
    <w:rsid w:val="00C730C0"/>
    <w:rsid w:val="00C730CC"/>
    <w:rsid w:val="00C731E0"/>
    <w:rsid w:val="00C73232"/>
    <w:rsid w:val="00C732C3"/>
    <w:rsid w:val="00C73472"/>
    <w:rsid w:val="00C734CC"/>
    <w:rsid w:val="00C73585"/>
    <w:rsid w:val="00C735DB"/>
    <w:rsid w:val="00C7360B"/>
    <w:rsid w:val="00C73631"/>
    <w:rsid w:val="00C73637"/>
    <w:rsid w:val="00C73690"/>
    <w:rsid w:val="00C73720"/>
    <w:rsid w:val="00C737C0"/>
    <w:rsid w:val="00C7385E"/>
    <w:rsid w:val="00C738FB"/>
    <w:rsid w:val="00C73907"/>
    <w:rsid w:val="00C73930"/>
    <w:rsid w:val="00C73943"/>
    <w:rsid w:val="00C739AC"/>
    <w:rsid w:val="00C73AD0"/>
    <w:rsid w:val="00C73B09"/>
    <w:rsid w:val="00C73B39"/>
    <w:rsid w:val="00C73BE6"/>
    <w:rsid w:val="00C73CA1"/>
    <w:rsid w:val="00C73D12"/>
    <w:rsid w:val="00C73D66"/>
    <w:rsid w:val="00C73D7F"/>
    <w:rsid w:val="00C73D96"/>
    <w:rsid w:val="00C73E2B"/>
    <w:rsid w:val="00C73E55"/>
    <w:rsid w:val="00C73F2D"/>
    <w:rsid w:val="00C73F5B"/>
    <w:rsid w:val="00C73FB1"/>
    <w:rsid w:val="00C73FFA"/>
    <w:rsid w:val="00C74032"/>
    <w:rsid w:val="00C74138"/>
    <w:rsid w:val="00C7426A"/>
    <w:rsid w:val="00C74300"/>
    <w:rsid w:val="00C7437A"/>
    <w:rsid w:val="00C743E1"/>
    <w:rsid w:val="00C74404"/>
    <w:rsid w:val="00C74466"/>
    <w:rsid w:val="00C74662"/>
    <w:rsid w:val="00C7466A"/>
    <w:rsid w:val="00C746A9"/>
    <w:rsid w:val="00C7470A"/>
    <w:rsid w:val="00C747F7"/>
    <w:rsid w:val="00C74881"/>
    <w:rsid w:val="00C748C8"/>
    <w:rsid w:val="00C74900"/>
    <w:rsid w:val="00C74921"/>
    <w:rsid w:val="00C74974"/>
    <w:rsid w:val="00C74AA2"/>
    <w:rsid w:val="00C74B9A"/>
    <w:rsid w:val="00C74BB8"/>
    <w:rsid w:val="00C74BDB"/>
    <w:rsid w:val="00C74C5D"/>
    <w:rsid w:val="00C74D1C"/>
    <w:rsid w:val="00C74D92"/>
    <w:rsid w:val="00C74DB2"/>
    <w:rsid w:val="00C74E7B"/>
    <w:rsid w:val="00C74F38"/>
    <w:rsid w:val="00C74F5C"/>
    <w:rsid w:val="00C74FB4"/>
    <w:rsid w:val="00C7503B"/>
    <w:rsid w:val="00C75101"/>
    <w:rsid w:val="00C751F1"/>
    <w:rsid w:val="00C75264"/>
    <w:rsid w:val="00C7529B"/>
    <w:rsid w:val="00C752DD"/>
    <w:rsid w:val="00C75373"/>
    <w:rsid w:val="00C75391"/>
    <w:rsid w:val="00C75413"/>
    <w:rsid w:val="00C754B8"/>
    <w:rsid w:val="00C75646"/>
    <w:rsid w:val="00C75710"/>
    <w:rsid w:val="00C7575C"/>
    <w:rsid w:val="00C7585D"/>
    <w:rsid w:val="00C7593B"/>
    <w:rsid w:val="00C75996"/>
    <w:rsid w:val="00C7599C"/>
    <w:rsid w:val="00C75A66"/>
    <w:rsid w:val="00C75A76"/>
    <w:rsid w:val="00C75AB3"/>
    <w:rsid w:val="00C75ACF"/>
    <w:rsid w:val="00C75AF9"/>
    <w:rsid w:val="00C75CB2"/>
    <w:rsid w:val="00C75EE0"/>
    <w:rsid w:val="00C75F09"/>
    <w:rsid w:val="00C75F13"/>
    <w:rsid w:val="00C75F27"/>
    <w:rsid w:val="00C75F85"/>
    <w:rsid w:val="00C7603A"/>
    <w:rsid w:val="00C7617C"/>
    <w:rsid w:val="00C761E9"/>
    <w:rsid w:val="00C761F3"/>
    <w:rsid w:val="00C76272"/>
    <w:rsid w:val="00C762C8"/>
    <w:rsid w:val="00C763F2"/>
    <w:rsid w:val="00C7645B"/>
    <w:rsid w:val="00C764F3"/>
    <w:rsid w:val="00C7652E"/>
    <w:rsid w:val="00C76564"/>
    <w:rsid w:val="00C76568"/>
    <w:rsid w:val="00C76589"/>
    <w:rsid w:val="00C765F8"/>
    <w:rsid w:val="00C76602"/>
    <w:rsid w:val="00C7676E"/>
    <w:rsid w:val="00C76777"/>
    <w:rsid w:val="00C76881"/>
    <w:rsid w:val="00C7699B"/>
    <w:rsid w:val="00C76A4E"/>
    <w:rsid w:val="00C76A9D"/>
    <w:rsid w:val="00C76AA3"/>
    <w:rsid w:val="00C76AB5"/>
    <w:rsid w:val="00C76BC9"/>
    <w:rsid w:val="00C76BE8"/>
    <w:rsid w:val="00C76BF2"/>
    <w:rsid w:val="00C76C19"/>
    <w:rsid w:val="00C76DD8"/>
    <w:rsid w:val="00C76E0D"/>
    <w:rsid w:val="00C76E93"/>
    <w:rsid w:val="00C76EFF"/>
    <w:rsid w:val="00C76F24"/>
    <w:rsid w:val="00C770CE"/>
    <w:rsid w:val="00C77145"/>
    <w:rsid w:val="00C772A8"/>
    <w:rsid w:val="00C773EE"/>
    <w:rsid w:val="00C773FE"/>
    <w:rsid w:val="00C7742B"/>
    <w:rsid w:val="00C77453"/>
    <w:rsid w:val="00C7748F"/>
    <w:rsid w:val="00C7750C"/>
    <w:rsid w:val="00C7756F"/>
    <w:rsid w:val="00C77774"/>
    <w:rsid w:val="00C7784D"/>
    <w:rsid w:val="00C7786E"/>
    <w:rsid w:val="00C779AC"/>
    <w:rsid w:val="00C77B08"/>
    <w:rsid w:val="00C77C60"/>
    <w:rsid w:val="00C77C77"/>
    <w:rsid w:val="00C77C9B"/>
    <w:rsid w:val="00C77CC7"/>
    <w:rsid w:val="00C77CD2"/>
    <w:rsid w:val="00C77CD5"/>
    <w:rsid w:val="00C77E01"/>
    <w:rsid w:val="00C77E0A"/>
    <w:rsid w:val="00C77E35"/>
    <w:rsid w:val="00C77E6B"/>
    <w:rsid w:val="00C77ED7"/>
    <w:rsid w:val="00C77F0B"/>
    <w:rsid w:val="00C8007B"/>
    <w:rsid w:val="00C80082"/>
    <w:rsid w:val="00C8016C"/>
    <w:rsid w:val="00C8025E"/>
    <w:rsid w:val="00C8026F"/>
    <w:rsid w:val="00C802AD"/>
    <w:rsid w:val="00C802D0"/>
    <w:rsid w:val="00C8034E"/>
    <w:rsid w:val="00C80450"/>
    <w:rsid w:val="00C804E3"/>
    <w:rsid w:val="00C804F0"/>
    <w:rsid w:val="00C8062F"/>
    <w:rsid w:val="00C80641"/>
    <w:rsid w:val="00C80658"/>
    <w:rsid w:val="00C80682"/>
    <w:rsid w:val="00C80693"/>
    <w:rsid w:val="00C806CB"/>
    <w:rsid w:val="00C80849"/>
    <w:rsid w:val="00C809FE"/>
    <w:rsid w:val="00C80A96"/>
    <w:rsid w:val="00C80ACF"/>
    <w:rsid w:val="00C80B0C"/>
    <w:rsid w:val="00C80B52"/>
    <w:rsid w:val="00C80B92"/>
    <w:rsid w:val="00C80BBD"/>
    <w:rsid w:val="00C80C49"/>
    <w:rsid w:val="00C80CB2"/>
    <w:rsid w:val="00C80CC1"/>
    <w:rsid w:val="00C80D1E"/>
    <w:rsid w:val="00C80D6A"/>
    <w:rsid w:val="00C80DED"/>
    <w:rsid w:val="00C80E15"/>
    <w:rsid w:val="00C80E1A"/>
    <w:rsid w:val="00C80EF3"/>
    <w:rsid w:val="00C80F12"/>
    <w:rsid w:val="00C80F2E"/>
    <w:rsid w:val="00C81003"/>
    <w:rsid w:val="00C8101F"/>
    <w:rsid w:val="00C81093"/>
    <w:rsid w:val="00C810FF"/>
    <w:rsid w:val="00C81235"/>
    <w:rsid w:val="00C813C3"/>
    <w:rsid w:val="00C814C6"/>
    <w:rsid w:val="00C81531"/>
    <w:rsid w:val="00C81597"/>
    <w:rsid w:val="00C816AB"/>
    <w:rsid w:val="00C816B3"/>
    <w:rsid w:val="00C816D9"/>
    <w:rsid w:val="00C8173C"/>
    <w:rsid w:val="00C81760"/>
    <w:rsid w:val="00C81797"/>
    <w:rsid w:val="00C817F3"/>
    <w:rsid w:val="00C818A6"/>
    <w:rsid w:val="00C818D4"/>
    <w:rsid w:val="00C819F4"/>
    <w:rsid w:val="00C81A6C"/>
    <w:rsid w:val="00C81A9E"/>
    <w:rsid w:val="00C81AC8"/>
    <w:rsid w:val="00C81C6F"/>
    <w:rsid w:val="00C81CA8"/>
    <w:rsid w:val="00C81D0E"/>
    <w:rsid w:val="00C81D12"/>
    <w:rsid w:val="00C81E11"/>
    <w:rsid w:val="00C81E44"/>
    <w:rsid w:val="00C81E9A"/>
    <w:rsid w:val="00C81F98"/>
    <w:rsid w:val="00C8200E"/>
    <w:rsid w:val="00C82046"/>
    <w:rsid w:val="00C82052"/>
    <w:rsid w:val="00C82078"/>
    <w:rsid w:val="00C8207E"/>
    <w:rsid w:val="00C82146"/>
    <w:rsid w:val="00C82159"/>
    <w:rsid w:val="00C821A8"/>
    <w:rsid w:val="00C821C4"/>
    <w:rsid w:val="00C8230C"/>
    <w:rsid w:val="00C82394"/>
    <w:rsid w:val="00C823A2"/>
    <w:rsid w:val="00C82416"/>
    <w:rsid w:val="00C82433"/>
    <w:rsid w:val="00C82435"/>
    <w:rsid w:val="00C82492"/>
    <w:rsid w:val="00C824A8"/>
    <w:rsid w:val="00C824FB"/>
    <w:rsid w:val="00C82549"/>
    <w:rsid w:val="00C8257B"/>
    <w:rsid w:val="00C82626"/>
    <w:rsid w:val="00C826DA"/>
    <w:rsid w:val="00C826E9"/>
    <w:rsid w:val="00C826F6"/>
    <w:rsid w:val="00C82702"/>
    <w:rsid w:val="00C827EE"/>
    <w:rsid w:val="00C82963"/>
    <w:rsid w:val="00C82D15"/>
    <w:rsid w:val="00C82D20"/>
    <w:rsid w:val="00C82E25"/>
    <w:rsid w:val="00C82E2D"/>
    <w:rsid w:val="00C82E73"/>
    <w:rsid w:val="00C82EC8"/>
    <w:rsid w:val="00C82F09"/>
    <w:rsid w:val="00C82F49"/>
    <w:rsid w:val="00C82F5D"/>
    <w:rsid w:val="00C82FD3"/>
    <w:rsid w:val="00C830E0"/>
    <w:rsid w:val="00C8314B"/>
    <w:rsid w:val="00C83160"/>
    <w:rsid w:val="00C8318D"/>
    <w:rsid w:val="00C832CD"/>
    <w:rsid w:val="00C833B0"/>
    <w:rsid w:val="00C833C0"/>
    <w:rsid w:val="00C8355D"/>
    <w:rsid w:val="00C8360B"/>
    <w:rsid w:val="00C836DD"/>
    <w:rsid w:val="00C8376B"/>
    <w:rsid w:val="00C83792"/>
    <w:rsid w:val="00C83827"/>
    <w:rsid w:val="00C8388C"/>
    <w:rsid w:val="00C838A7"/>
    <w:rsid w:val="00C838F1"/>
    <w:rsid w:val="00C839CD"/>
    <w:rsid w:val="00C839E4"/>
    <w:rsid w:val="00C83A4A"/>
    <w:rsid w:val="00C83A52"/>
    <w:rsid w:val="00C83A93"/>
    <w:rsid w:val="00C83B8D"/>
    <w:rsid w:val="00C83C18"/>
    <w:rsid w:val="00C83C22"/>
    <w:rsid w:val="00C83C84"/>
    <w:rsid w:val="00C83C9E"/>
    <w:rsid w:val="00C83CF9"/>
    <w:rsid w:val="00C83D12"/>
    <w:rsid w:val="00C83D74"/>
    <w:rsid w:val="00C83EA6"/>
    <w:rsid w:val="00C83FAF"/>
    <w:rsid w:val="00C83FBE"/>
    <w:rsid w:val="00C84002"/>
    <w:rsid w:val="00C84023"/>
    <w:rsid w:val="00C8402D"/>
    <w:rsid w:val="00C84035"/>
    <w:rsid w:val="00C8407E"/>
    <w:rsid w:val="00C8411F"/>
    <w:rsid w:val="00C8416E"/>
    <w:rsid w:val="00C84194"/>
    <w:rsid w:val="00C841AF"/>
    <w:rsid w:val="00C842A9"/>
    <w:rsid w:val="00C84315"/>
    <w:rsid w:val="00C843FB"/>
    <w:rsid w:val="00C844D2"/>
    <w:rsid w:val="00C84508"/>
    <w:rsid w:val="00C845F6"/>
    <w:rsid w:val="00C845FF"/>
    <w:rsid w:val="00C847A1"/>
    <w:rsid w:val="00C84804"/>
    <w:rsid w:val="00C84876"/>
    <w:rsid w:val="00C84922"/>
    <w:rsid w:val="00C84977"/>
    <w:rsid w:val="00C84997"/>
    <w:rsid w:val="00C849B3"/>
    <w:rsid w:val="00C849CE"/>
    <w:rsid w:val="00C849E0"/>
    <w:rsid w:val="00C84A16"/>
    <w:rsid w:val="00C84ACB"/>
    <w:rsid w:val="00C84AEF"/>
    <w:rsid w:val="00C84B3B"/>
    <w:rsid w:val="00C84D0C"/>
    <w:rsid w:val="00C84DEA"/>
    <w:rsid w:val="00C84DFB"/>
    <w:rsid w:val="00C84E05"/>
    <w:rsid w:val="00C84EED"/>
    <w:rsid w:val="00C85029"/>
    <w:rsid w:val="00C85090"/>
    <w:rsid w:val="00C850B5"/>
    <w:rsid w:val="00C850E2"/>
    <w:rsid w:val="00C8512D"/>
    <w:rsid w:val="00C85150"/>
    <w:rsid w:val="00C85166"/>
    <w:rsid w:val="00C85201"/>
    <w:rsid w:val="00C85239"/>
    <w:rsid w:val="00C85277"/>
    <w:rsid w:val="00C852CF"/>
    <w:rsid w:val="00C85361"/>
    <w:rsid w:val="00C8536A"/>
    <w:rsid w:val="00C8547C"/>
    <w:rsid w:val="00C8573B"/>
    <w:rsid w:val="00C85840"/>
    <w:rsid w:val="00C85880"/>
    <w:rsid w:val="00C858B1"/>
    <w:rsid w:val="00C858B9"/>
    <w:rsid w:val="00C859D5"/>
    <w:rsid w:val="00C85A19"/>
    <w:rsid w:val="00C85A54"/>
    <w:rsid w:val="00C85A81"/>
    <w:rsid w:val="00C85AD5"/>
    <w:rsid w:val="00C85BF3"/>
    <w:rsid w:val="00C85C7E"/>
    <w:rsid w:val="00C85CDF"/>
    <w:rsid w:val="00C85CF7"/>
    <w:rsid w:val="00C85CFF"/>
    <w:rsid w:val="00C85DD9"/>
    <w:rsid w:val="00C85DDF"/>
    <w:rsid w:val="00C85EAC"/>
    <w:rsid w:val="00C85EB8"/>
    <w:rsid w:val="00C85F34"/>
    <w:rsid w:val="00C85FA9"/>
    <w:rsid w:val="00C860BF"/>
    <w:rsid w:val="00C86112"/>
    <w:rsid w:val="00C86155"/>
    <w:rsid w:val="00C861A4"/>
    <w:rsid w:val="00C861A5"/>
    <w:rsid w:val="00C861AB"/>
    <w:rsid w:val="00C861DB"/>
    <w:rsid w:val="00C86214"/>
    <w:rsid w:val="00C8625F"/>
    <w:rsid w:val="00C862C2"/>
    <w:rsid w:val="00C862D7"/>
    <w:rsid w:val="00C862F9"/>
    <w:rsid w:val="00C8632C"/>
    <w:rsid w:val="00C863CF"/>
    <w:rsid w:val="00C863D1"/>
    <w:rsid w:val="00C86454"/>
    <w:rsid w:val="00C865B6"/>
    <w:rsid w:val="00C86835"/>
    <w:rsid w:val="00C86844"/>
    <w:rsid w:val="00C86890"/>
    <w:rsid w:val="00C86989"/>
    <w:rsid w:val="00C869E0"/>
    <w:rsid w:val="00C86BEF"/>
    <w:rsid w:val="00C86C73"/>
    <w:rsid w:val="00C86CC2"/>
    <w:rsid w:val="00C86D49"/>
    <w:rsid w:val="00C86DBF"/>
    <w:rsid w:val="00C86E89"/>
    <w:rsid w:val="00C86E91"/>
    <w:rsid w:val="00C86F43"/>
    <w:rsid w:val="00C86F8D"/>
    <w:rsid w:val="00C86FC2"/>
    <w:rsid w:val="00C870B6"/>
    <w:rsid w:val="00C870C1"/>
    <w:rsid w:val="00C8719C"/>
    <w:rsid w:val="00C872DD"/>
    <w:rsid w:val="00C872F0"/>
    <w:rsid w:val="00C87330"/>
    <w:rsid w:val="00C87430"/>
    <w:rsid w:val="00C87467"/>
    <w:rsid w:val="00C8749A"/>
    <w:rsid w:val="00C874FD"/>
    <w:rsid w:val="00C87535"/>
    <w:rsid w:val="00C87549"/>
    <w:rsid w:val="00C87559"/>
    <w:rsid w:val="00C87582"/>
    <w:rsid w:val="00C875D0"/>
    <w:rsid w:val="00C87626"/>
    <w:rsid w:val="00C87778"/>
    <w:rsid w:val="00C878B2"/>
    <w:rsid w:val="00C878D5"/>
    <w:rsid w:val="00C878E5"/>
    <w:rsid w:val="00C87961"/>
    <w:rsid w:val="00C87962"/>
    <w:rsid w:val="00C87A69"/>
    <w:rsid w:val="00C87C5B"/>
    <w:rsid w:val="00C87D29"/>
    <w:rsid w:val="00C87E8C"/>
    <w:rsid w:val="00C87EAB"/>
    <w:rsid w:val="00C87F09"/>
    <w:rsid w:val="00C90188"/>
    <w:rsid w:val="00C901C3"/>
    <w:rsid w:val="00C90220"/>
    <w:rsid w:val="00C9035B"/>
    <w:rsid w:val="00C90371"/>
    <w:rsid w:val="00C903B4"/>
    <w:rsid w:val="00C90651"/>
    <w:rsid w:val="00C907A8"/>
    <w:rsid w:val="00C90905"/>
    <w:rsid w:val="00C909C6"/>
    <w:rsid w:val="00C90A2D"/>
    <w:rsid w:val="00C90A40"/>
    <w:rsid w:val="00C90A93"/>
    <w:rsid w:val="00C90AD0"/>
    <w:rsid w:val="00C90B88"/>
    <w:rsid w:val="00C90C5E"/>
    <w:rsid w:val="00C90CB5"/>
    <w:rsid w:val="00C90CD4"/>
    <w:rsid w:val="00C90D45"/>
    <w:rsid w:val="00C90EA5"/>
    <w:rsid w:val="00C90EBC"/>
    <w:rsid w:val="00C90ECA"/>
    <w:rsid w:val="00C90EE0"/>
    <w:rsid w:val="00C90F02"/>
    <w:rsid w:val="00C91038"/>
    <w:rsid w:val="00C91052"/>
    <w:rsid w:val="00C91069"/>
    <w:rsid w:val="00C910FA"/>
    <w:rsid w:val="00C912A4"/>
    <w:rsid w:val="00C91414"/>
    <w:rsid w:val="00C91433"/>
    <w:rsid w:val="00C914A9"/>
    <w:rsid w:val="00C9150B"/>
    <w:rsid w:val="00C91776"/>
    <w:rsid w:val="00C918F8"/>
    <w:rsid w:val="00C918FD"/>
    <w:rsid w:val="00C919F8"/>
    <w:rsid w:val="00C919FD"/>
    <w:rsid w:val="00C91A13"/>
    <w:rsid w:val="00C91A6E"/>
    <w:rsid w:val="00C91B44"/>
    <w:rsid w:val="00C91BD3"/>
    <w:rsid w:val="00C91C69"/>
    <w:rsid w:val="00C91CBF"/>
    <w:rsid w:val="00C91CFD"/>
    <w:rsid w:val="00C91E19"/>
    <w:rsid w:val="00C92040"/>
    <w:rsid w:val="00C921B9"/>
    <w:rsid w:val="00C92202"/>
    <w:rsid w:val="00C9227C"/>
    <w:rsid w:val="00C922B4"/>
    <w:rsid w:val="00C9230A"/>
    <w:rsid w:val="00C9238D"/>
    <w:rsid w:val="00C92603"/>
    <w:rsid w:val="00C92663"/>
    <w:rsid w:val="00C92671"/>
    <w:rsid w:val="00C926CE"/>
    <w:rsid w:val="00C9285F"/>
    <w:rsid w:val="00C92952"/>
    <w:rsid w:val="00C9299C"/>
    <w:rsid w:val="00C929E5"/>
    <w:rsid w:val="00C92A08"/>
    <w:rsid w:val="00C92A10"/>
    <w:rsid w:val="00C92ACE"/>
    <w:rsid w:val="00C92B1D"/>
    <w:rsid w:val="00C92B2F"/>
    <w:rsid w:val="00C92BFA"/>
    <w:rsid w:val="00C92BFF"/>
    <w:rsid w:val="00C92C80"/>
    <w:rsid w:val="00C92C95"/>
    <w:rsid w:val="00C92CC6"/>
    <w:rsid w:val="00C92D0A"/>
    <w:rsid w:val="00C92D5B"/>
    <w:rsid w:val="00C92DFC"/>
    <w:rsid w:val="00C92E05"/>
    <w:rsid w:val="00C92EC4"/>
    <w:rsid w:val="00C92ED0"/>
    <w:rsid w:val="00C92EE3"/>
    <w:rsid w:val="00C92F56"/>
    <w:rsid w:val="00C93046"/>
    <w:rsid w:val="00C93095"/>
    <w:rsid w:val="00C930C4"/>
    <w:rsid w:val="00C93149"/>
    <w:rsid w:val="00C931A3"/>
    <w:rsid w:val="00C932B2"/>
    <w:rsid w:val="00C93340"/>
    <w:rsid w:val="00C93384"/>
    <w:rsid w:val="00C9350F"/>
    <w:rsid w:val="00C93567"/>
    <w:rsid w:val="00C93586"/>
    <w:rsid w:val="00C935D3"/>
    <w:rsid w:val="00C93612"/>
    <w:rsid w:val="00C9367F"/>
    <w:rsid w:val="00C936A6"/>
    <w:rsid w:val="00C93770"/>
    <w:rsid w:val="00C9399D"/>
    <w:rsid w:val="00C939DA"/>
    <w:rsid w:val="00C93A20"/>
    <w:rsid w:val="00C93AB1"/>
    <w:rsid w:val="00C93BD9"/>
    <w:rsid w:val="00C93CC0"/>
    <w:rsid w:val="00C93D7B"/>
    <w:rsid w:val="00C93DCE"/>
    <w:rsid w:val="00C93E75"/>
    <w:rsid w:val="00C93ED0"/>
    <w:rsid w:val="00C93F82"/>
    <w:rsid w:val="00C94066"/>
    <w:rsid w:val="00C9406D"/>
    <w:rsid w:val="00C94109"/>
    <w:rsid w:val="00C94123"/>
    <w:rsid w:val="00C9413D"/>
    <w:rsid w:val="00C9417F"/>
    <w:rsid w:val="00C9419E"/>
    <w:rsid w:val="00C94288"/>
    <w:rsid w:val="00C94349"/>
    <w:rsid w:val="00C94384"/>
    <w:rsid w:val="00C94444"/>
    <w:rsid w:val="00C945D0"/>
    <w:rsid w:val="00C946B5"/>
    <w:rsid w:val="00C947BD"/>
    <w:rsid w:val="00C94831"/>
    <w:rsid w:val="00C94874"/>
    <w:rsid w:val="00C9491C"/>
    <w:rsid w:val="00C94947"/>
    <w:rsid w:val="00C9498D"/>
    <w:rsid w:val="00C949CC"/>
    <w:rsid w:val="00C949CD"/>
    <w:rsid w:val="00C949F0"/>
    <w:rsid w:val="00C94AA2"/>
    <w:rsid w:val="00C94BAD"/>
    <w:rsid w:val="00C94BAF"/>
    <w:rsid w:val="00C94CA3"/>
    <w:rsid w:val="00C94D1E"/>
    <w:rsid w:val="00C94E26"/>
    <w:rsid w:val="00C94EA0"/>
    <w:rsid w:val="00C94F36"/>
    <w:rsid w:val="00C9504D"/>
    <w:rsid w:val="00C950B9"/>
    <w:rsid w:val="00C95291"/>
    <w:rsid w:val="00C952A0"/>
    <w:rsid w:val="00C952D1"/>
    <w:rsid w:val="00C95302"/>
    <w:rsid w:val="00C95346"/>
    <w:rsid w:val="00C95356"/>
    <w:rsid w:val="00C953A2"/>
    <w:rsid w:val="00C9545A"/>
    <w:rsid w:val="00C9546C"/>
    <w:rsid w:val="00C95495"/>
    <w:rsid w:val="00C954B7"/>
    <w:rsid w:val="00C954D2"/>
    <w:rsid w:val="00C9561C"/>
    <w:rsid w:val="00C95688"/>
    <w:rsid w:val="00C9571A"/>
    <w:rsid w:val="00C95735"/>
    <w:rsid w:val="00C9577E"/>
    <w:rsid w:val="00C957BB"/>
    <w:rsid w:val="00C957BF"/>
    <w:rsid w:val="00C958BB"/>
    <w:rsid w:val="00C9593E"/>
    <w:rsid w:val="00C959B2"/>
    <w:rsid w:val="00C959DC"/>
    <w:rsid w:val="00C95A05"/>
    <w:rsid w:val="00C95B33"/>
    <w:rsid w:val="00C95B53"/>
    <w:rsid w:val="00C95BF8"/>
    <w:rsid w:val="00C95C17"/>
    <w:rsid w:val="00C95D2B"/>
    <w:rsid w:val="00C95E62"/>
    <w:rsid w:val="00C95E8F"/>
    <w:rsid w:val="00C95F8A"/>
    <w:rsid w:val="00C96022"/>
    <w:rsid w:val="00C9607A"/>
    <w:rsid w:val="00C9608A"/>
    <w:rsid w:val="00C96095"/>
    <w:rsid w:val="00C96109"/>
    <w:rsid w:val="00C9617E"/>
    <w:rsid w:val="00C961B4"/>
    <w:rsid w:val="00C96246"/>
    <w:rsid w:val="00C9632A"/>
    <w:rsid w:val="00C9636C"/>
    <w:rsid w:val="00C96405"/>
    <w:rsid w:val="00C9661E"/>
    <w:rsid w:val="00C96624"/>
    <w:rsid w:val="00C966F0"/>
    <w:rsid w:val="00C96728"/>
    <w:rsid w:val="00C967A8"/>
    <w:rsid w:val="00C968B5"/>
    <w:rsid w:val="00C96A4A"/>
    <w:rsid w:val="00C96AD7"/>
    <w:rsid w:val="00C96B62"/>
    <w:rsid w:val="00C96B95"/>
    <w:rsid w:val="00C96BF5"/>
    <w:rsid w:val="00C96C38"/>
    <w:rsid w:val="00C96CA6"/>
    <w:rsid w:val="00C96D57"/>
    <w:rsid w:val="00C96D87"/>
    <w:rsid w:val="00C96DAF"/>
    <w:rsid w:val="00C96E18"/>
    <w:rsid w:val="00C96EBA"/>
    <w:rsid w:val="00C96F0F"/>
    <w:rsid w:val="00C96F4B"/>
    <w:rsid w:val="00C9702A"/>
    <w:rsid w:val="00C97065"/>
    <w:rsid w:val="00C970FA"/>
    <w:rsid w:val="00C97124"/>
    <w:rsid w:val="00C972BC"/>
    <w:rsid w:val="00C972E5"/>
    <w:rsid w:val="00C973E9"/>
    <w:rsid w:val="00C97494"/>
    <w:rsid w:val="00C974D0"/>
    <w:rsid w:val="00C975D4"/>
    <w:rsid w:val="00C97641"/>
    <w:rsid w:val="00C9768F"/>
    <w:rsid w:val="00C97692"/>
    <w:rsid w:val="00C977B8"/>
    <w:rsid w:val="00C97897"/>
    <w:rsid w:val="00C978B7"/>
    <w:rsid w:val="00C97A6E"/>
    <w:rsid w:val="00C97ABB"/>
    <w:rsid w:val="00C97AEE"/>
    <w:rsid w:val="00C97B23"/>
    <w:rsid w:val="00C97B32"/>
    <w:rsid w:val="00C97B83"/>
    <w:rsid w:val="00C97B9F"/>
    <w:rsid w:val="00C97E2D"/>
    <w:rsid w:val="00C97EF8"/>
    <w:rsid w:val="00CA0139"/>
    <w:rsid w:val="00CA01BB"/>
    <w:rsid w:val="00CA0487"/>
    <w:rsid w:val="00CA059C"/>
    <w:rsid w:val="00CA05ED"/>
    <w:rsid w:val="00CA069F"/>
    <w:rsid w:val="00CA06A9"/>
    <w:rsid w:val="00CA06F8"/>
    <w:rsid w:val="00CA0751"/>
    <w:rsid w:val="00CA0894"/>
    <w:rsid w:val="00CA08E7"/>
    <w:rsid w:val="00CA0974"/>
    <w:rsid w:val="00CA0A7E"/>
    <w:rsid w:val="00CA0AC7"/>
    <w:rsid w:val="00CA0AEA"/>
    <w:rsid w:val="00CA0B2B"/>
    <w:rsid w:val="00CA0C36"/>
    <w:rsid w:val="00CA0C74"/>
    <w:rsid w:val="00CA0E71"/>
    <w:rsid w:val="00CA0F6A"/>
    <w:rsid w:val="00CA100B"/>
    <w:rsid w:val="00CA12E0"/>
    <w:rsid w:val="00CA135E"/>
    <w:rsid w:val="00CA1564"/>
    <w:rsid w:val="00CA161A"/>
    <w:rsid w:val="00CA1644"/>
    <w:rsid w:val="00CA169D"/>
    <w:rsid w:val="00CA16A6"/>
    <w:rsid w:val="00CA1720"/>
    <w:rsid w:val="00CA18E7"/>
    <w:rsid w:val="00CA19B6"/>
    <w:rsid w:val="00CA19BB"/>
    <w:rsid w:val="00CA19ED"/>
    <w:rsid w:val="00CA1A1D"/>
    <w:rsid w:val="00CA1A45"/>
    <w:rsid w:val="00CA1A49"/>
    <w:rsid w:val="00CA1AF2"/>
    <w:rsid w:val="00CA1BC9"/>
    <w:rsid w:val="00CA1BF4"/>
    <w:rsid w:val="00CA1C15"/>
    <w:rsid w:val="00CA1C9C"/>
    <w:rsid w:val="00CA1DBA"/>
    <w:rsid w:val="00CA1E9D"/>
    <w:rsid w:val="00CA1E9F"/>
    <w:rsid w:val="00CA1F2E"/>
    <w:rsid w:val="00CA2032"/>
    <w:rsid w:val="00CA203B"/>
    <w:rsid w:val="00CA2139"/>
    <w:rsid w:val="00CA213A"/>
    <w:rsid w:val="00CA2145"/>
    <w:rsid w:val="00CA21B7"/>
    <w:rsid w:val="00CA2206"/>
    <w:rsid w:val="00CA224A"/>
    <w:rsid w:val="00CA2252"/>
    <w:rsid w:val="00CA2355"/>
    <w:rsid w:val="00CA2379"/>
    <w:rsid w:val="00CA238F"/>
    <w:rsid w:val="00CA2425"/>
    <w:rsid w:val="00CA2507"/>
    <w:rsid w:val="00CA251A"/>
    <w:rsid w:val="00CA25E0"/>
    <w:rsid w:val="00CA2602"/>
    <w:rsid w:val="00CA2623"/>
    <w:rsid w:val="00CA2695"/>
    <w:rsid w:val="00CA272C"/>
    <w:rsid w:val="00CA284C"/>
    <w:rsid w:val="00CA2958"/>
    <w:rsid w:val="00CA29DE"/>
    <w:rsid w:val="00CA2A0B"/>
    <w:rsid w:val="00CA2A14"/>
    <w:rsid w:val="00CA2A4E"/>
    <w:rsid w:val="00CA2A75"/>
    <w:rsid w:val="00CA2CF2"/>
    <w:rsid w:val="00CA2D76"/>
    <w:rsid w:val="00CA2D82"/>
    <w:rsid w:val="00CA2DF2"/>
    <w:rsid w:val="00CA2E15"/>
    <w:rsid w:val="00CA2E87"/>
    <w:rsid w:val="00CA2EAD"/>
    <w:rsid w:val="00CA2ECF"/>
    <w:rsid w:val="00CA2F81"/>
    <w:rsid w:val="00CA2F92"/>
    <w:rsid w:val="00CA2FBB"/>
    <w:rsid w:val="00CA307D"/>
    <w:rsid w:val="00CA3130"/>
    <w:rsid w:val="00CA315B"/>
    <w:rsid w:val="00CA31B0"/>
    <w:rsid w:val="00CA32F7"/>
    <w:rsid w:val="00CA336A"/>
    <w:rsid w:val="00CA34AA"/>
    <w:rsid w:val="00CA34E2"/>
    <w:rsid w:val="00CA352A"/>
    <w:rsid w:val="00CA3591"/>
    <w:rsid w:val="00CA3612"/>
    <w:rsid w:val="00CA375A"/>
    <w:rsid w:val="00CA3769"/>
    <w:rsid w:val="00CA37B2"/>
    <w:rsid w:val="00CA3961"/>
    <w:rsid w:val="00CA39EE"/>
    <w:rsid w:val="00CA3A16"/>
    <w:rsid w:val="00CA3BD0"/>
    <w:rsid w:val="00CA3D1D"/>
    <w:rsid w:val="00CA3D28"/>
    <w:rsid w:val="00CA3E03"/>
    <w:rsid w:val="00CA3E88"/>
    <w:rsid w:val="00CA407F"/>
    <w:rsid w:val="00CA408F"/>
    <w:rsid w:val="00CA40BF"/>
    <w:rsid w:val="00CA4115"/>
    <w:rsid w:val="00CA4152"/>
    <w:rsid w:val="00CA416D"/>
    <w:rsid w:val="00CA417A"/>
    <w:rsid w:val="00CA41F3"/>
    <w:rsid w:val="00CA425D"/>
    <w:rsid w:val="00CA4293"/>
    <w:rsid w:val="00CA4398"/>
    <w:rsid w:val="00CA43AD"/>
    <w:rsid w:val="00CA43E4"/>
    <w:rsid w:val="00CA4411"/>
    <w:rsid w:val="00CA4434"/>
    <w:rsid w:val="00CA4475"/>
    <w:rsid w:val="00CA4513"/>
    <w:rsid w:val="00CA4660"/>
    <w:rsid w:val="00CA46D4"/>
    <w:rsid w:val="00CA4880"/>
    <w:rsid w:val="00CA4A3D"/>
    <w:rsid w:val="00CA4ADE"/>
    <w:rsid w:val="00CA4B31"/>
    <w:rsid w:val="00CA4C28"/>
    <w:rsid w:val="00CA4C30"/>
    <w:rsid w:val="00CA4C3B"/>
    <w:rsid w:val="00CA4C3F"/>
    <w:rsid w:val="00CA4C8E"/>
    <w:rsid w:val="00CA4CF2"/>
    <w:rsid w:val="00CA4D11"/>
    <w:rsid w:val="00CA4D7C"/>
    <w:rsid w:val="00CA4D88"/>
    <w:rsid w:val="00CA4D94"/>
    <w:rsid w:val="00CA4DEB"/>
    <w:rsid w:val="00CA4E32"/>
    <w:rsid w:val="00CA4F09"/>
    <w:rsid w:val="00CA4F17"/>
    <w:rsid w:val="00CA5044"/>
    <w:rsid w:val="00CA5046"/>
    <w:rsid w:val="00CA50AF"/>
    <w:rsid w:val="00CA50F1"/>
    <w:rsid w:val="00CA5556"/>
    <w:rsid w:val="00CA5579"/>
    <w:rsid w:val="00CA55A5"/>
    <w:rsid w:val="00CA55FB"/>
    <w:rsid w:val="00CA5603"/>
    <w:rsid w:val="00CA5634"/>
    <w:rsid w:val="00CA56F4"/>
    <w:rsid w:val="00CA575A"/>
    <w:rsid w:val="00CA5861"/>
    <w:rsid w:val="00CA5874"/>
    <w:rsid w:val="00CA5952"/>
    <w:rsid w:val="00CA598F"/>
    <w:rsid w:val="00CA5A3F"/>
    <w:rsid w:val="00CA5A4F"/>
    <w:rsid w:val="00CA5A53"/>
    <w:rsid w:val="00CA5A6D"/>
    <w:rsid w:val="00CA5AD6"/>
    <w:rsid w:val="00CA5ADC"/>
    <w:rsid w:val="00CA5B4C"/>
    <w:rsid w:val="00CA5BB5"/>
    <w:rsid w:val="00CA5C91"/>
    <w:rsid w:val="00CA5D29"/>
    <w:rsid w:val="00CA5D35"/>
    <w:rsid w:val="00CA5D4D"/>
    <w:rsid w:val="00CA5D7A"/>
    <w:rsid w:val="00CA5DA1"/>
    <w:rsid w:val="00CA5E69"/>
    <w:rsid w:val="00CA5EFB"/>
    <w:rsid w:val="00CA5FD0"/>
    <w:rsid w:val="00CA5FE3"/>
    <w:rsid w:val="00CA6033"/>
    <w:rsid w:val="00CA60A3"/>
    <w:rsid w:val="00CA60CF"/>
    <w:rsid w:val="00CA62D1"/>
    <w:rsid w:val="00CA63BD"/>
    <w:rsid w:val="00CA666F"/>
    <w:rsid w:val="00CA67AC"/>
    <w:rsid w:val="00CA67F0"/>
    <w:rsid w:val="00CA67FD"/>
    <w:rsid w:val="00CA682E"/>
    <w:rsid w:val="00CA68BA"/>
    <w:rsid w:val="00CA68C7"/>
    <w:rsid w:val="00CA68DD"/>
    <w:rsid w:val="00CA68F0"/>
    <w:rsid w:val="00CA6960"/>
    <w:rsid w:val="00CA69C8"/>
    <w:rsid w:val="00CA6B2D"/>
    <w:rsid w:val="00CA6B5C"/>
    <w:rsid w:val="00CA6B5E"/>
    <w:rsid w:val="00CA6B62"/>
    <w:rsid w:val="00CA6C07"/>
    <w:rsid w:val="00CA6C49"/>
    <w:rsid w:val="00CA6C5E"/>
    <w:rsid w:val="00CA6CBA"/>
    <w:rsid w:val="00CA6CD4"/>
    <w:rsid w:val="00CA6D04"/>
    <w:rsid w:val="00CA6D12"/>
    <w:rsid w:val="00CA6E1B"/>
    <w:rsid w:val="00CA6F56"/>
    <w:rsid w:val="00CA6FB5"/>
    <w:rsid w:val="00CA6FE4"/>
    <w:rsid w:val="00CA7015"/>
    <w:rsid w:val="00CA7083"/>
    <w:rsid w:val="00CA70E5"/>
    <w:rsid w:val="00CA7194"/>
    <w:rsid w:val="00CA7260"/>
    <w:rsid w:val="00CA737F"/>
    <w:rsid w:val="00CA73B7"/>
    <w:rsid w:val="00CA7427"/>
    <w:rsid w:val="00CA7483"/>
    <w:rsid w:val="00CA74AF"/>
    <w:rsid w:val="00CA74D5"/>
    <w:rsid w:val="00CA7518"/>
    <w:rsid w:val="00CA7526"/>
    <w:rsid w:val="00CA7571"/>
    <w:rsid w:val="00CA757E"/>
    <w:rsid w:val="00CA75B3"/>
    <w:rsid w:val="00CA7693"/>
    <w:rsid w:val="00CA7703"/>
    <w:rsid w:val="00CA776D"/>
    <w:rsid w:val="00CA7770"/>
    <w:rsid w:val="00CA7798"/>
    <w:rsid w:val="00CA7814"/>
    <w:rsid w:val="00CA7868"/>
    <w:rsid w:val="00CA790F"/>
    <w:rsid w:val="00CA7920"/>
    <w:rsid w:val="00CA7A5E"/>
    <w:rsid w:val="00CA7CFF"/>
    <w:rsid w:val="00CA7DE0"/>
    <w:rsid w:val="00CA7E05"/>
    <w:rsid w:val="00CA7E4B"/>
    <w:rsid w:val="00CA7EAE"/>
    <w:rsid w:val="00CA7FFE"/>
    <w:rsid w:val="00CB006D"/>
    <w:rsid w:val="00CB0198"/>
    <w:rsid w:val="00CB020F"/>
    <w:rsid w:val="00CB029B"/>
    <w:rsid w:val="00CB02DA"/>
    <w:rsid w:val="00CB0301"/>
    <w:rsid w:val="00CB0409"/>
    <w:rsid w:val="00CB0416"/>
    <w:rsid w:val="00CB04C5"/>
    <w:rsid w:val="00CB05B4"/>
    <w:rsid w:val="00CB0717"/>
    <w:rsid w:val="00CB08F3"/>
    <w:rsid w:val="00CB0904"/>
    <w:rsid w:val="00CB09A6"/>
    <w:rsid w:val="00CB0B28"/>
    <w:rsid w:val="00CB0B92"/>
    <w:rsid w:val="00CB0BC5"/>
    <w:rsid w:val="00CB0BF0"/>
    <w:rsid w:val="00CB0C3E"/>
    <w:rsid w:val="00CB0D84"/>
    <w:rsid w:val="00CB0D94"/>
    <w:rsid w:val="00CB0DE3"/>
    <w:rsid w:val="00CB0E91"/>
    <w:rsid w:val="00CB0EE5"/>
    <w:rsid w:val="00CB103C"/>
    <w:rsid w:val="00CB11FF"/>
    <w:rsid w:val="00CB1205"/>
    <w:rsid w:val="00CB120B"/>
    <w:rsid w:val="00CB135C"/>
    <w:rsid w:val="00CB13E8"/>
    <w:rsid w:val="00CB14B2"/>
    <w:rsid w:val="00CB14BB"/>
    <w:rsid w:val="00CB14DA"/>
    <w:rsid w:val="00CB1623"/>
    <w:rsid w:val="00CB1631"/>
    <w:rsid w:val="00CB1645"/>
    <w:rsid w:val="00CB166A"/>
    <w:rsid w:val="00CB169E"/>
    <w:rsid w:val="00CB1745"/>
    <w:rsid w:val="00CB17D1"/>
    <w:rsid w:val="00CB18D9"/>
    <w:rsid w:val="00CB18E7"/>
    <w:rsid w:val="00CB1986"/>
    <w:rsid w:val="00CB198F"/>
    <w:rsid w:val="00CB19D4"/>
    <w:rsid w:val="00CB19DD"/>
    <w:rsid w:val="00CB1A06"/>
    <w:rsid w:val="00CB1A0E"/>
    <w:rsid w:val="00CB1A58"/>
    <w:rsid w:val="00CB1BBC"/>
    <w:rsid w:val="00CB1C10"/>
    <w:rsid w:val="00CB1C32"/>
    <w:rsid w:val="00CB1CD8"/>
    <w:rsid w:val="00CB1CE7"/>
    <w:rsid w:val="00CB1F3D"/>
    <w:rsid w:val="00CB2003"/>
    <w:rsid w:val="00CB2054"/>
    <w:rsid w:val="00CB2067"/>
    <w:rsid w:val="00CB2071"/>
    <w:rsid w:val="00CB2107"/>
    <w:rsid w:val="00CB21E1"/>
    <w:rsid w:val="00CB21F5"/>
    <w:rsid w:val="00CB2211"/>
    <w:rsid w:val="00CB222B"/>
    <w:rsid w:val="00CB22A1"/>
    <w:rsid w:val="00CB22FB"/>
    <w:rsid w:val="00CB2303"/>
    <w:rsid w:val="00CB2306"/>
    <w:rsid w:val="00CB2364"/>
    <w:rsid w:val="00CB23D3"/>
    <w:rsid w:val="00CB24A8"/>
    <w:rsid w:val="00CB2595"/>
    <w:rsid w:val="00CB2616"/>
    <w:rsid w:val="00CB26AC"/>
    <w:rsid w:val="00CB272B"/>
    <w:rsid w:val="00CB27F1"/>
    <w:rsid w:val="00CB2817"/>
    <w:rsid w:val="00CB28D7"/>
    <w:rsid w:val="00CB2A3D"/>
    <w:rsid w:val="00CB2AAA"/>
    <w:rsid w:val="00CB2B27"/>
    <w:rsid w:val="00CB2BC1"/>
    <w:rsid w:val="00CB2BF5"/>
    <w:rsid w:val="00CB2C61"/>
    <w:rsid w:val="00CB2CB7"/>
    <w:rsid w:val="00CB2CB9"/>
    <w:rsid w:val="00CB2D2C"/>
    <w:rsid w:val="00CB2E21"/>
    <w:rsid w:val="00CB2E74"/>
    <w:rsid w:val="00CB2EC7"/>
    <w:rsid w:val="00CB2F0A"/>
    <w:rsid w:val="00CB2F99"/>
    <w:rsid w:val="00CB2FAC"/>
    <w:rsid w:val="00CB2FBA"/>
    <w:rsid w:val="00CB31B2"/>
    <w:rsid w:val="00CB31B6"/>
    <w:rsid w:val="00CB31B8"/>
    <w:rsid w:val="00CB31CB"/>
    <w:rsid w:val="00CB31CE"/>
    <w:rsid w:val="00CB3211"/>
    <w:rsid w:val="00CB32C3"/>
    <w:rsid w:val="00CB32C6"/>
    <w:rsid w:val="00CB3327"/>
    <w:rsid w:val="00CB3329"/>
    <w:rsid w:val="00CB332A"/>
    <w:rsid w:val="00CB3337"/>
    <w:rsid w:val="00CB33BA"/>
    <w:rsid w:val="00CB3413"/>
    <w:rsid w:val="00CB3492"/>
    <w:rsid w:val="00CB349C"/>
    <w:rsid w:val="00CB34A1"/>
    <w:rsid w:val="00CB3520"/>
    <w:rsid w:val="00CB3578"/>
    <w:rsid w:val="00CB3600"/>
    <w:rsid w:val="00CB3606"/>
    <w:rsid w:val="00CB361F"/>
    <w:rsid w:val="00CB3683"/>
    <w:rsid w:val="00CB36AC"/>
    <w:rsid w:val="00CB3741"/>
    <w:rsid w:val="00CB37D2"/>
    <w:rsid w:val="00CB3894"/>
    <w:rsid w:val="00CB3969"/>
    <w:rsid w:val="00CB397E"/>
    <w:rsid w:val="00CB3BA1"/>
    <w:rsid w:val="00CB3BC5"/>
    <w:rsid w:val="00CB3BF5"/>
    <w:rsid w:val="00CB3CD5"/>
    <w:rsid w:val="00CB3D11"/>
    <w:rsid w:val="00CB3DEB"/>
    <w:rsid w:val="00CB3E35"/>
    <w:rsid w:val="00CB3E5D"/>
    <w:rsid w:val="00CB3EB7"/>
    <w:rsid w:val="00CB3EF3"/>
    <w:rsid w:val="00CB3F4C"/>
    <w:rsid w:val="00CB4170"/>
    <w:rsid w:val="00CB41CA"/>
    <w:rsid w:val="00CB4328"/>
    <w:rsid w:val="00CB43C9"/>
    <w:rsid w:val="00CB43CD"/>
    <w:rsid w:val="00CB453B"/>
    <w:rsid w:val="00CB4576"/>
    <w:rsid w:val="00CB458D"/>
    <w:rsid w:val="00CB474D"/>
    <w:rsid w:val="00CB47F4"/>
    <w:rsid w:val="00CB480F"/>
    <w:rsid w:val="00CB4842"/>
    <w:rsid w:val="00CB486A"/>
    <w:rsid w:val="00CB4943"/>
    <w:rsid w:val="00CB4A53"/>
    <w:rsid w:val="00CB4B1A"/>
    <w:rsid w:val="00CB4B9C"/>
    <w:rsid w:val="00CB4BB1"/>
    <w:rsid w:val="00CB4BB9"/>
    <w:rsid w:val="00CB4BCE"/>
    <w:rsid w:val="00CB4C74"/>
    <w:rsid w:val="00CB4DA9"/>
    <w:rsid w:val="00CB4E09"/>
    <w:rsid w:val="00CB4E7B"/>
    <w:rsid w:val="00CB4EA6"/>
    <w:rsid w:val="00CB4EBF"/>
    <w:rsid w:val="00CB4F81"/>
    <w:rsid w:val="00CB4F9A"/>
    <w:rsid w:val="00CB5025"/>
    <w:rsid w:val="00CB5026"/>
    <w:rsid w:val="00CB50E3"/>
    <w:rsid w:val="00CB5115"/>
    <w:rsid w:val="00CB516C"/>
    <w:rsid w:val="00CB5200"/>
    <w:rsid w:val="00CB5201"/>
    <w:rsid w:val="00CB5441"/>
    <w:rsid w:val="00CB552A"/>
    <w:rsid w:val="00CB55FC"/>
    <w:rsid w:val="00CB56A1"/>
    <w:rsid w:val="00CB5784"/>
    <w:rsid w:val="00CB58FB"/>
    <w:rsid w:val="00CB59F8"/>
    <w:rsid w:val="00CB5AA4"/>
    <w:rsid w:val="00CB5B19"/>
    <w:rsid w:val="00CB5B6A"/>
    <w:rsid w:val="00CB5BB3"/>
    <w:rsid w:val="00CB5C90"/>
    <w:rsid w:val="00CB5D17"/>
    <w:rsid w:val="00CB5D2A"/>
    <w:rsid w:val="00CB5D7D"/>
    <w:rsid w:val="00CB5DAC"/>
    <w:rsid w:val="00CB5DC4"/>
    <w:rsid w:val="00CB5DF1"/>
    <w:rsid w:val="00CB5E68"/>
    <w:rsid w:val="00CB5EB3"/>
    <w:rsid w:val="00CB5F1A"/>
    <w:rsid w:val="00CB5F7E"/>
    <w:rsid w:val="00CB5FD5"/>
    <w:rsid w:val="00CB6059"/>
    <w:rsid w:val="00CB60B7"/>
    <w:rsid w:val="00CB61DC"/>
    <w:rsid w:val="00CB62F9"/>
    <w:rsid w:val="00CB6322"/>
    <w:rsid w:val="00CB639D"/>
    <w:rsid w:val="00CB6402"/>
    <w:rsid w:val="00CB641D"/>
    <w:rsid w:val="00CB6514"/>
    <w:rsid w:val="00CB654D"/>
    <w:rsid w:val="00CB65C7"/>
    <w:rsid w:val="00CB6652"/>
    <w:rsid w:val="00CB6689"/>
    <w:rsid w:val="00CB66E0"/>
    <w:rsid w:val="00CB66E4"/>
    <w:rsid w:val="00CB670D"/>
    <w:rsid w:val="00CB67A5"/>
    <w:rsid w:val="00CB682D"/>
    <w:rsid w:val="00CB693C"/>
    <w:rsid w:val="00CB69DE"/>
    <w:rsid w:val="00CB6A99"/>
    <w:rsid w:val="00CB6A9D"/>
    <w:rsid w:val="00CB6AD0"/>
    <w:rsid w:val="00CB6B6E"/>
    <w:rsid w:val="00CB6BA8"/>
    <w:rsid w:val="00CB6C12"/>
    <w:rsid w:val="00CB6C89"/>
    <w:rsid w:val="00CB6D39"/>
    <w:rsid w:val="00CB6EA2"/>
    <w:rsid w:val="00CB6EFA"/>
    <w:rsid w:val="00CB6F29"/>
    <w:rsid w:val="00CB6F37"/>
    <w:rsid w:val="00CB70E7"/>
    <w:rsid w:val="00CB7118"/>
    <w:rsid w:val="00CB712D"/>
    <w:rsid w:val="00CB7139"/>
    <w:rsid w:val="00CB71AE"/>
    <w:rsid w:val="00CB721A"/>
    <w:rsid w:val="00CB723B"/>
    <w:rsid w:val="00CB7263"/>
    <w:rsid w:val="00CB7264"/>
    <w:rsid w:val="00CB72EF"/>
    <w:rsid w:val="00CB72F7"/>
    <w:rsid w:val="00CB7314"/>
    <w:rsid w:val="00CB7397"/>
    <w:rsid w:val="00CB739E"/>
    <w:rsid w:val="00CB7418"/>
    <w:rsid w:val="00CB7427"/>
    <w:rsid w:val="00CB74E8"/>
    <w:rsid w:val="00CB754B"/>
    <w:rsid w:val="00CB76CD"/>
    <w:rsid w:val="00CB7727"/>
    <w:rsid w:val="00CB7734"/>
    <w:rsid w:val="00CB7796"/>
    <w:rsid w:val="00CB77D5"/>
    <w:rsid w:val="00CB78F0"/>
    <w:rsid w:val="00CB7934"/>
    <w:rsid w:val="00CB7A45"/>
    <w:rsid w:val="00CB7A72"/>
    <w:rsid w:val="00CB7B29"/>
    <w:rsid w:val="00CB7B38"/>
    <w:rsid w:val="00CB7B43"/>
    <w:rsid w:val="00CB7C49"/>
    <w:rsid w:val="00CB7DC7"/>
    <w:rsid w:val="00CB7DCC"/>
    <w:rsid w:val="00CB7E13"/>
    <w:rsid w:val="00CB7E23"/>
    <w:rsid w:val="00CB7E42"/>
    <w:rsid w:val="00CB7F43"/>
    <w:rsid w:val="00CC009D"/>
    <w:rsid w:val="00CC00BF"/>
    <w:rsid w:val="00CC010E"/>
    <w:rsid w:val="00CC0119"/>
    <w:rsid w:val="00CC0329"/>
    <w:rsid w:val="00CC0354"/>
    <w:rsid w:val="00CC03F9"/>
    <w:rsid w:val="00CC04AA"/>
    <w:rsid w:val="00CC04C2"/>
    <w:rsid w:val="00CC056C"/>
    <w:rsid w:val="00CC05CD"/>
    <w:rsid w:val="00CC061A"/>
    <w:rsid w:val="00CC0644"/>
    <w:rsid w:val="00CC06B0"/>
    <w:rsid w:val="00CC0792"/>
    <w:rsid w:val="00CC0876"/>
    <w:rsid w:val="00CC0938"/>
    <w:rsid w:val="00CC0A83"/>
    <w:rsid w:val="00CC0B8D"/>
    <w:rsid w:val="00CC0C1C"/>
    <w:rsid w:val="00CC0CBC"/>
    <w:rsid w:val="00CC0D05"/>
    <w:rsid w:val="00CC0D0E"/>
    <w:rsid w:val="00CC0D83"/>
    <w:rsid w:val="00CC0EB3"/>
    <w:rsid w:val="00CC0F02"/>
    <w:rsid w:val="00CC0F92"/>
    <w:rsid w:val="00CC0FB2"/>
    <w:rsid w:val="00CC0FC6"/>
    <w:rsid w:val="00CC1012"/>
    <w:rsid w:val="00CC1039"/>
    <w:rsid w:val="00CC1047"/>
    <w:rsid w:val="00CC1099"/>
    <w:rsid w:val="00CC1430"/>
    <w:rsid w:val="00CC1482"/>
    <w:rsid w:val="00CC14A2"/>
    <w:rsid w:val="00CC14D1"/>
    <w:rsid w:val="00CC1507"/>
    <w:rsid w:val="00CC1581"/>
    <w:rsid w:val="00CC15DB"/>
    <w:rsid w:val="00CC1684"/>
    <w:rsid w:val="00CC16A3"/>
    <w:rsid w:val="00CC17AD"/>
    <w:rsid w:val="00CC192B"/>
    <w:rsid w:val="00CC19AF"/>
    <w:rsid w:val="00CC19C6"/>
    <w:rsid w:val="00CC19D7"/>
    <w:rsid w:val="00CC1A55"/>
    <w:rsid w:val="00CC1B0C"/>
    <w:rsid w:val="00CC1B92"/>
    <w:rsid w:val="00CC1C02"/>
    <w:rsid w:val="00CC1E25"/>
    <w:rsid w:val="00CC1FED"/>
    <w:rsid w:val="00CC20A4"/>
    <w:rsid w:val="00CC20B0"/>
    <w:rsid w:val="00CC20D4"/>
    <w:rsid w:val="00CC20E7"/>
    <w:rsid w:val="00CC20FC"/>
    <w:rsid w:val="00CC2154"/>
    <w:rsid w:val="00CC229E"/>
    <w:rsid w:val="00CC235A"/>
    <w:rsid w:val="00CC2389"/>
    <w:rsid w:val="00CC23C7"/>
    <w:rsid w:val="00CC23F0"/>
    <w:rsid w:val="00CC2401"/>
    <w:rsid w:val="00CC24FD"/>
    <w:rsid w:val="00CC2549"/>
    <w:rsid w:val="00CC258C"/>
    <w:rsid w:val="00CC260A"/>
    <w:rsid w:val="00CC27E7"/>
    <w:rsid w:val="00CC282D"/>
    <w:rsid w:val="00CC2862"/>
    <w:rsid w:val="00CC28A2"/>
    <w:rsid w:val="00CC294E"/>
    <w:rsid w:val="00CC29C8"/>
    <w:rsid w:val="00CC29DB"/>
    <w:rsid w:val="00CC2A08"/>
    <w:rsid w:val="00CC2A1C"/>
    <w:rsid w:val="00CC2BDA"/>
    <w:rsid w:val="00CC2CD8"/>
    <w:rsid w:val="00CC2D66"/>
    <w:rsid w:val="00CC2EB9"/>
    <w:rsid w:val="00CC2EE7"/>
    <w:rsid w:val="00CC2EEC"/>
    <w:rsid w:val="00CC2F22"/>
    <w:rsid w:val="00CC2F56"/>
    <w:rsid w:val="00CC2FC8"/>
    <w:rsid w:val="00CC3083"/>
    <w:rsid w:val="00CC30A4"/>
    <w:rsid w:val="00CC312E"/>
    <w:rsid w:val="00CC31A8"/>
    <w:rsid w:val="00CC327F"/>
    <w:rsid w:val="00CC32D9"/>
    <w:rsid w:val="00CC336D"/>
    <w:rsid w:val="00CC3376"/>
    <w:rsid w:val="00CC33C8"/>
    <w:rsid w:val="00CC33EF"/>
    <w:rsid w:val="00CC341F"/>
    <w:rsid w:val="00CC3517"/>
    <w:rsid w:val="00CC365D"/>
    <w:rsid w:val="00CC367A"/>
    <w:rsid w:val="00CC37B2"/>
    <w:rsid w:val="00CC37C8"/>
    <w:rsid w:val="00CC37E7"/>
    <w:rsid w:val="00CC38A8"/>
    <w:rsid w:val="00CC38C9"/>
    <w:rsid w:val="00CC3921"/>
    <w:rsid w:val="00CC3933"/>
    <w:rsid w:val="00CC39DE"/>
    <w:rsid w:val="00CC39ED"/>
    <w:rsid w:val="00CC3A09"/>
    <w:rsid w:val="00CC3A45"/>
    <w:rsid w:val="00CC3A66"/>
    <w:rsid w:val="00CC3A81"/>
    <w:rsid w:val="00CC3AAC"/>
    <w:rsid w:val="00CC3AD8"/>
    <w:rsid w:val="00CC3AEC"/>
    <w:rsid w:val="00CC3B27"/>
    <w:rsid w:val="00CC3C0C"/>
    <w:rsid w:val="00CC3C1A"/>
    <w:rsid w:val="00CC3C1F"/>
    <w:rsid w:val="00CC3D2B"/>
    <w:rsid w:val="00CC3D99"/>
    <w:rsid w:val="00CC3EA5"/>
    <w:rsid w:val="00CC3F27"/>
    <w:rsid w:val="00CC3F45"/>
    <w:rsid w:val="00CC4018"/>
    <w:rsid w:val="00CC404B"/>
    <w:rsid w:val="00CC4053"/>
    <w:rsid w:val="00CC4091"/>
    <w:rsid w:val="00CC40A1"/>
    <w:rsid w:val="00CC40ED"/>
    <w:rsid w:val="00CC4115"/>
    <w:rsid w:val="00CC423B"/>
    <w:rsid w:val="00CC4336"/>
    <w:rsid w:val="00CC437C"/>
    <w:rsid w:val="00CC438D"/>
    <w:rsid w:val="00CC444F"/>
    <w:rsid w:val="00CC44BA"/>
    <w:rsid w:val="00CC4518"/>
    <w:rsid w:val="00CC456C"/>
    <w:rsid w:val="00CC4664"/>
    <w:rsid w:val="00CC46BF"/>
    <w:rsid w:val="00CC4739"/>
    <w:rsid w:val="00CC47DA"/>
    <w:rsid w:val="00CC47DD"/>
    <w:rsid w:val="00CC47F6"/>
    <w:rsid w:val="00CC482C"/>
    <w:rsid w:val="00CC48AA"/>
    <w:rsid w:val="00CC4958"/>
    <w:rsid w:val="00CC4999"/>
    <w:rsid w:val="00CC4AAF"/>
    <w:rsid w:val="00CC4B37"/>
    <w:rsid w:val="00CC4B4B"/>
    <w:rsid w:val="00CC4BD1"/>
    <w:rsid w:val="00CC4C07"/>
    <w:rsid w:val="00CC4CB9"/>
    <w:rsid w:val="00CC4CD2"/>
    <w:rsid w:val="00CC4D3C"/>
    <w:rsid w:val="00CC4DC2"/>
    <w:rsid w:val="00CC4E6D"/>
    <w:rsid w:val="00CC4F95"/>
    <w:rsid w:val="00CC4FEF"/>
    <w:rsid w:val="00CC5068"/>
    <w:rsid w:val="00CC51CB"/>
    <w:rsid w:val="00CC51E2"/>
    <w:rsid w:val="00CC5225"/>
    <w:rsid w:val="00CC5251"/>
    <w:rsid w:val="00CC5290"/>
    <w:rsid w:val="00CC5291"/>
    <w:rsid w:val="00CC52BB"/>
    <w:rsid w:val="00CC5323"/>
    <w:rsid w:val="00CC532D"/>
    <w:rsid w:val="00CC53A1"/>
    <w:rsid w:val="00CC5420"/>
    <w:rsid w:val="00CC543D"/>
    <w:rsid w:val="00CC549D"/>
    <w:rsid w:val="00CC5515"/>
    <w:rsid w:val="00CC5546"/>
    <w:rsid w:val="00CC55A4"/>
    <w:rsid w:val="00CC55DF"/>
    <w:rsid w:val="00CC55E3"/>
    <w:rsid w:val="00CC56A5"/>
    <w:rsid w:val="00CC5753"/>
    <w:rsid w:val="00CC57D0"/>
    <w:rsid w:val="00CC57E5"/>
    <w:rsid w:val="00CC5804"/>
    <w:rsid w:val="00CC580E"/>
    <w:rsid w:val="00CC5861"/>
    <w:rsid w:val="00CC5897"/>
    <w:rsid w:val="00CC58AA"/>
    <w:rsid w:val="00CC58F5"/>
    <w:rsid w:val="00CC5947"/>
    <w:rsid w:val="00CC5976"/>
    <w:rsid w:val="00CC5A07"/>
    <w:rsid w:val="00CC5A2A"/>
    <w:rsid w:val="00CC5A6F"/>
    <w:rsid w:val="00CC5ABC"/>
    <w:rsid w:val="00CC5C0F"/>
    <w:rsid w:val="00CC5C50"/>
    <w:rsid w:val="00CC5D9F"/>
    <w:rsid w:val="00CC5DFF"/>
    <w:rsid w:val="00CC5E67"/>
    <w:rsid w:val="00CC5EAC"/>
    <w:rsid w:val="00CC5EB8"/>
    <w:rsid w:val="00CC5FEC"/>
    <w:rsid w:val="00CC60B9"/>
    <w:rsid w:val="00CC60C5"/>
    <w:rsid w:val="00CC60C6"/>
    <w:rsid w:val="00CC6163"/>
    <w:rsid w:val="00CC6167"/>
    <w:rsid w:val="00CC6295"/>
    <w:rsid w:val="00CC62A2"/>
    <w:rsid w:val="00CC6392"/>
    <w:rsid w:val="00CC6394"/>
    <w:rsid w:val="00CC6497"/>
    <w:rsid w:val="00CC6498"/>
    <w:rsid w:val="00CC6512"/>
    <w:rsid w:val="00CC6547"/>
    <w:rsid w:val="00CC654E"/>
    <w:rsid w:val="00CC6576"/>
    <w:rsid w:val="00CC65E6"/>
    <w:rsid w:val="00CC6603"/>
    <w:rsid w:val="00CC666B"/>
    <w:rsid w:val="00CC6682"/>
    <w:rsid w:val="00CC6783"/>
    <w:rsid w:val="00CC6869"/>
    <w:rsid w:val="00CC6882"/>
    <w:rsid w:val="00CC68AB"/>
    <w:rsid w:val="00CC68CD"/>
    <w:rsid w:val="00CC68CF"/>
    <w:rsid w:val="00CC68E5"/>
    <w:rsid w:val="00CC6949"/>
    <w:rsid w:val="00CC69A7"/>
    <w:rsid w:val="00CC69D1"/>
    <w:rsid w:val="00CC6A3C"/>
    <w:rsid w:val="00CC6E09"/>
    <w:rsid w:val="00CC6E77"/>
    <w:rsid w:val="00CC6F9B"/>
    <w:rsid w:val="00CC7091"/>
    <w:rsid w:val="00CC70A1"/>
    <w:rsid w:val="00CC70C1"/>
    <w:rsid w:val="00CC711F"/>
    <w:rsid w:val="00CC718E"/>
    <w:rsid w:val="00CC719D"/>
    <w:rsid w:val="00CC72A0"/>
    <w:rsid w:val="00CC72E5"/>
    <w:rsid w:val="00CC730F"/>
    <w:rsid w:val="00CC73D1"/>
    <w:rsid w:val="00CC7638"/>
    <w:rsid w:val="00CC76F7"/>
    <w:rsid w:val="00CC774A"/>
    <w:rsid w:val="00CC793A"/>
    <w:rsid w:val="00CC7A15"/>
    <w:rsid w:val="00CC7A61"/>
    <w:rsid w:val="00CC7BDF"/>
    <w:rsid w:val="00CC7BE9"/>
    <w:rsid w:val="00CC7C72"/>
    <w:rsid w:val="00CC7C75"/>
    <w:rsid w:val="00CC7CF1"/>
    <w:rsid w:val="00CC7D03"/>
    <w:rsid w:val="00CC7D07"/>
    <w:rsid w:val="00CC7D18"/>
    <w:rsid w:val="00CC7D39"/>
    <w:rsid w:val="00CC7E1F"/>
    <w:rsid w:val="00CC7ED8"/>
    <w:rsid w:val="00CC7F57"/>
    <w:rsid w:val="00CC7F5D"/>
    <w:rsid w:val="00CC7F61"/>
    <w:rsid w:val="00CC7F7C"/>
    <w:rsid w:val="00CC7FA2"/>
    <w:rsid w:val="00CD00AB"/>
    <w:rsid w:val="00CD0124"/>
    <w:rsid w:val="00CD012A"/>
    <w:rsid w:val="00CD0299"/>
    <w:rsid w:val="00CD031E"/>
    <w:rsid w:val="00CD03A2"/>
    <w:rsid w:val="00CD0438"/>
    <w:rsid w:val="00CD0442"/>
    <w:rsid w:val="00CD0504"/>
    <w:rsid w:val="00CD0513"/>
    <w:rsid w:val="00CD058C"/>
    <w:rsid w:val="00CD0642"/>
    <w:rsid w:val="00CD06DA"/>
    <w:rsid w:val="00CD073A"/>
    <w:rsid w:val="00CD08BF"/>
    <w:rsid w:val="00CD0935"/>
    <w:rsid w:val="00CD0958"/>
    <w:rsid w:val="00CD0B2D"/>
    <w:rsid w:val="00CD0B4E"/>
    <w:rsid w:val="00CD0B60"/>
    <w:rsid w:val="00CD0BF9"/>
    <w:rsid w:val="00CD0C25"/>
    <w:rsid w:val="00CD0C54"/>
    <w:rsid w:val="00CD0CC0"/>
    <w:rsid w:val="00CD0D4E"/>
    <w:rsid w:val="00CD0D61"/>
    <w:rsid w:val="00CD0D7F"/>
    <w:rsid w:val="00CD0DE6"/>
    <w:rsid w:val="00CD0EA9"/>
    <w:rsid w:val="00CD0F33"/>
    <w:rsid w:val="00CD0FE0"/>
    <w:rsid w:val="00CD1114"/>
    <w:rsid w:val="00CD111B"/>
    <w:rsid w:val="00CD111E"/>
    <w:rsid w:val="00CD1154"/>
    <w:rsid w:val="00CD1176"/>
    <w:rsid w:val="00CD12B3"/>
    <w:rsid w:val="00CD12F1"/>
    <w:rsid w:val="00CD1350"/>
    <w:rsid w:val="00CD13ED"/>
    <w:rsid w:val="00CD1487"/>
    <w:rsid w:val="00CD14D3"/>
    <w:rsid w:val="00CD14EE"/>
    <w:rsid w:val="00CD15F4"/>
    <w:rsid w:val="00CD15FC"/>
    <w:rsid w:val="00CD1628"/>
    <w:rsid w:val="00CD16B9"/>
    <w:rsid w:val="00CD1774"/>
    <w:rsid w:val="00CD178E"/>
    <w:rsid w:val="00CD17F8"/>
    <w:rsid w:val="00CD18AE"/>
    <w:rsid w:val="00CD18D5"/>
    <w:rsid w:val="00CD1A12"/>
    <w:rsid w:val="00CD1AE8"/>
    <w:rsid w:val="00CD1C08"/>
    <w:rsid w:val="00CD1C24"/>
    <w:rsid w:val="00CD1CAE"/>
    <w:rsid w:val="00CD1D56"/>
    <w:rsid w:val="00CD1DD1"/>
    <w:rsid w:val="00CD1EFC"/>
    <w:rsid w:val="00CD1F0D"/>
    <w:rsid w:val="00CD1F4B"/>
    <w:rsid w:val="00CD1F68"/>
    <w:rsid w:val="00CD1FC1"/>
    <w:rsid w:val="00CD2022"/>
    <w:rsid w:val="00CD20D6"/>
    <w:rsid w:val="00CD2124"/>
    <w:rsid w:val="00CD2136"/>
    <w:rsid w:val="00CD218D"/>
    <w:rsid w:val="00CD21AB"/>
    <w:rsid w:val="00CD21D6"/>
    <w:rsid w:val="00CD232F"/>
    <w:rsid w:val="00CD2355"/>
    <w:rsid w:val="00CD2368"/>
    <w:rsid w:val="00CD23BC"/>
    <w:rsid w:val="00CD23E6"/>
    <w:rsid w:val="00CD2436"/>
    <w:rsid w:val="00CD243E"/>
    <w:rsid w:val="00CD25B4"/>
    <w:rsid w:val="00CD25F4"/>
    <w:rsid w:val="00CD273D"/>
    <w:rsid w:val="00CD275A"/>
    <w:rsid w:val="00CD27EF"/>
    <w:rsid w:val="00CD28AA"/>
    <w:rsid w:val="00CD28DD"/>
    <w:rsid w:val="00CD29CB"/>
    <w:rsid w:val="00CD2A18"/>
    <w:rsid w:val="00CD2AB0"/>
    <w:rsid w:val="00CD2B11"/>
    <w:rsid w:val="00CD2B62"/>
    <w:rsid w:val="00CD2C77"/>
    <w:rsid w:val="00CD2DAE"/>
    <w:rsid w:val="00CD2DCC"/>
    <w:rsid w:val="00CD2E74"/>
    <w:rsid w:val="00CD2EAE"/>
    <w:rsid w:val="00CD2F29"/>
    <w:rsid w:val="00CD2FF5"/>
    <w:rsid w:val="00CD302F"/>
    <w:rsid w:val="00CD3063"/>
    <w:rsid w:val="00CD3116"/>
    <w:rsid w:val="00CD316B"/>
    <w:rsid w:val="00CD325C"/>
    <w:rsid w:val="00CD3380"/>
    <w:rsid w:val="00CD33A6"/>
    <w:rsid w:val="00CD3522"/>
    <w:rsid w:val="00CD3573"/>
    <w:rsid w:val="00CD3701"/>
    <w:rsid w:val="00CD3732"/>
    <w:rsid w:val="00CD3B20"/>
    <w:rsid w:val="00CD3CA2"/>
    <w:rsid w:val="00CD3D37"/>
    <w:rsid w:val="00CD3D49"/>
    <w:rsid w:val="00CD3DF2"/>
    <w:rsid w:val="00CD3E07"/>
    <w:rsid w:val="00CD3E3E"/>
    <w:rsid w:val="00CD3EF2"/>
    <w:rsid w:val="00CD3FA2"/>
    <w:rsid w:val="00CD3FE8"/>
    <w:rsid w:val="00CD4081"/>
    <w:rsid w:val="00CD40CB"/>
    <w:rsid w:val="00CD40F4"/>
    <w:rsid w:val="00CD416B"/>
    <w:rsid w:val="00CD416D"/>
    <w:rsid w:val="00CD4294"/>
    <w:rsid w:val="00CD4502"/>
    <w:rsid w:val="00CD4535"/>
    <w:rsid w:val="00CD45C7"/>
    <w:rsid w:val="00CD45F0"/>
    <w:rsid w:val="00CD462E"/>
    <w:rsid w:val="00CD463C"/>
    <w:rsid w:val="00CD46C4"/>
    <w:rsid w:val="00CD46CD"/>
    <w:rsid w:val="00CD4801"/>
    <w:rsid w:val="00CD4934"/>
    <w:rsid w:val="00CD4980"/>
    <w:rsid w:val="00CD49FC"/>
    <w:rsid w:val="00CD49FE"/>
    <w:rsid w:val="00CD4A1D"/>
    <w:rsid w:val="00CD4A47"/>
    <w:rsid w:val="00CD4A63"/>
    <w:rsid w:val="00CD4A6E"/>
    <w:rsid w:val="00CD4A81"/>
    <w:rsid w:val="00CD4B0C"/>
    <w:rsid w:val="00CD4D97"/>
    <w:rsid w:val="00CD4EB5"/>
    <w:rsid w:val="00CD4F00"/>
    <w:rsid w:val="00CD4F04"/>
    <w:rsid w:val="00CD4F12"/>
    <w:rsid w:val="00CD500B"/>
    <w:rsid w:val="00CD5016"/>
    <w:rsid w:val="00CD5121"/>
    <w:rsid w:val="00CD51C3"/>
    <w:rsid w:val="00CD51E8"/>
    <w:rsid w:val="00CD51FD"/>
    <w:rsid w:val="00CD521D"/>
    <w:rsid w:val="00CD527D"/>
    <w:rsid w:val="00CD5291"/>
    <w:rsid w:val="00CD5294"/>
    <w:rsid w:val="00CD529A"/>
    <w:rsid w:val="00CD529F"/>
    <w:rsid w:val="00CD52F9"/>
    <w:rsid w:val="00CD5346"/>
    <w:rsid w:val="00CD5376"/>
    <w:rsid w:val="00CD5391"/>
    <w:rsid w:val="00CD5397"/>
    <w:rsid w:val="00CD53A5"/>
    <w:rsid w:val="00CD53CF"/>
    <w:rsid w:val="00CD53E7"/>
    <w:rsid w:val="00CD5426"/>
    <w:rsid w:val="00CD5467"/>
    <w:rsid w:val="00CD5505"/>
    <w:rsid w:val="00CD5594"/>
    <w:rsid w:val="00CD5794"/>
    <w:rsid w:val="00CD5913"/>
    <w:rsid w:val="00CD5B67"/>
    <w:rsid w:val="00CD5B83"/>
    <w:rsid w:val="00CD5BDB"/>
    <w:rsid w:val="00CD5BFC"/>
    <w:rsid w:val="00CD5D3E"/>
    <w:rsid w:val="00CD5D76"/>
    <w:rsid w:val="00CD5DA1"/>
    <w:rsid w:val="00CD5DE2"/>
    <w:rsid w:val="00CD5DF6"/>
    <w:rsid w:val="00CD5F17"/>
    <w:rsid w:val="00CD5FB5"/>
    <w:rsid w:val="00CD5FEA"/>
    <w:rsid w:val="00CD60F1"/>
    <w:rsid w:val="00CD6101"/>
    <w:rsid w:val="00CD610B"/>
    <w:rsid w:val="00CD6115"/>
    <w:rsid w:val="00CD61F2"/>
    <w:rsid w:val="00CD627F"/>
    <w:rsid w:val="00CD64A8"/>
    <w:rsid w:val="00CD6539"/>
    <w:rsid w:val="00CD658C"/>
    <w:rsid w:val="00CD6603"/>
    <w:rsid w:val="00CD6673"/>
    <w:rsid w:val="00CD6689"/>
    <w:rsid w:val="00CD66E7"/>
    <w:rsid w:val="00CD6774"/>
    <w:rsid w:val="00CD678E"/>
    <w:rsid w:val="00CD682E"/>
    <w:rsid w:val="00CD690E"/>
    <w:rsid w:val="00CD69F4"/>
    <w:rsid w:val="00CD6AA3"/>
    <w:rsid w:val="00CD6AF0"/>
    <w:rsid w:val="00CD6BA3"/>
    <w:rsid w:val="00CD6D61"/>
    <w:rsid w:val="00CD6DAB"/>
    <w:rsid w:val="00CD6DB1"/>
    <w:rsid w:val="00CD6EAD"/>
    <w:rsid w:val="00CD6EAF"/>
    <w:rsid w:val="00CD6EEE"/>
    <w:rsid w:val="00CD6FD5"/>
    <w:rsid w:val="00CD711D"/>
    <w:rsid w:val="00CD71B7"/>
    <w:rsid w:val="00CD71EF"/>
    <w:rsid w:val="00CD7202"/>
    <w:rsid w:val="00CD72E0"/>
    <w:rsid w:val="00CD7519"/>
    <w:rsid w:val="00CD755C"/>
    <w:rsid w:val="00CD7609"/>
    <w:rsid w:val="00CD767A"/>
    <w:rsid w:val="00CD775B"/>
    <w:rsid w:val="00CD782D"/>
    <w:rsid w:val="00CD7876"/>
    <w:rsid w:val="00CD7903"/>
    <w:rsid w:val="00CD7966"/>
    <w:rsid w:val="00CD7986"/>
    <w:rsid w:val="00CD79AC"/>
    <w:rsid w:val="00CD79D9"/>
    <w:rsid w:val="00CD7A62"/>
    <w:rsid w:val="00CD7A9D"/>
    <w:rsid w:val="00CD7AA6"/>
    <w:rsid w:val="00CD7BB0"/>
    <w:rsid w:val="00CD7BD8"/>
    <w:rsid w:val="00CD7BDC"/>
    <w:rsid w:val="00CD7C61"/>
    <w:rsid w:val="00CD7D8B"/>
    <w:rsid w:val="00CD7DD5"/>
    <w:rsid w:val="00CD7E93"/>
    <w:rsid w:val="00CE00E5"/>
    <w:rsid w:val="00CE0130"/>
    <w:rsid w:val="00CE01F4"/>
    <w:rsid w:val="00CE0241"/>
    <w:rsid w:val="00CE0257"/>
    <w:rsid w:val="00CE02B6"/>
    <w:rsid w:val="00CE02D8"/>
    <w:rsid w:val="00CE02EE"/>
    <w:rsid w:val="00CE02EF"/>
    <w:rsid w:val="00CE03E9"/>
    <w:rsid w:val="00CE047E"/>
    <w:rsid w:val="00CE04FB"/>
    <w:rsid w:val="00CE051C"/>
    <w:rsid w:val="00CE05C5"/>
    <w:rsid w:val="00CE06EF"/>
    <w:rsid w:val="00CE072C"/>
    <w:rsid w:val="00CE076C"/>
    <w:rsid w:val="00CE079A"/>
    <w:rsid w:val="00CE07F5"/>
    <w:rsid w:val="00CE086B"/>
    <w:rsid w:val="00CE0879"/>
    <w:rsid w:val="00CE090A"/>
    <w:rsid w:val="00CE0960"/>
    <w:rsid w:val="00CE0984"/>
    <w:rsid w:val="00CE0A18"/>
    <w:rsid w:val="00CE0AAC"/>
    <w:rsid w:val="00CE0AEC"/>
    <w:rsid w:val="00CE0B2D"/>
    <w:rsid w:val="00CE0BF4"/>
    <w:rsid w:val="00CE0C3B"/>
    <w:rsid w:val="00CE0C8B"/>
    <w:rsid w:val="00CE0CCB"/>
    <w:rsid w:val="00CE0D80"/>
    <w:rsid w:val="00CE0EC7"/>
    <w:rsid w:val="00CE0F49"/>
    <w:rsid w:val="00CE0F57"/>
    <w:rsid w:val="00CE0F5F"/>
    <w:rsid w:val="00CE0F73"/>
    <w:rsid w:val="00CE0FCB"/>
    <w:rsid w:val="00CE10B2"/>
    <w:rsid w:val="00CE10CD"/>
    <w:rsid w:val="00CE10FB"/>
    <w:rsid w:val="00CE125D"/>
    <w:rsid w:val="00CE1261"/>
    <w:rsid w:val="00CE132C"/>
    <w:rsid w:val="00CE13AE"/>
    <w:rsid w:val="00CE13B3"/>
    <w:rsid w:val="00CE1472"/>
    <w:rsid w:val="00CE14AD"/>
    <w:rsid w:val="00CE14D9"/>
    <w:rsid w:val="00CE14E0"/>
    <w:rsid w:val="00CE1500"/>
    <w:rsid w:val="00CE161E"/>
    <w:rsid w:val="00CE16EB"/>
    <w:rsid w:val="00CE1752"/>
    <w:rsid w:val="00CE1855"/>
    <w:rsid w:val="00CE194F"/>
    <w:rsid w:val="00CE1B3E"/>
    <w:rsid w:val="00CE1B40"/>
    <w:rsid w:val="00CE1C41"/>
    <w:rsid w:val="00CE1D28"/>
    <w:rsid w:val="00CE1E4F"/>
    <w:rsid w:val="00CE1E5C"/>
    <w:rsid w:val="00CE1F1C"/>
    <w:rsid w:val="00CE1F68"/>
    <w:rsid w:val="00CE1F87"/>
    <w:rsid w:val="00CE1FC6"/>
    <w:rsid w:val="00CE1FF0"/>
    <w:rsid w:val="00CE2010"/>
    <w:rsid w:val="00CE205E"/>
    <w:rsid w:val="00CE209F"/>
    <w:rsid w:val="00CE20AE"/>
    <w:rsid w:val="00CE2170"/>
    <w:rsid w:val="00CE21DB"/>
    <w:rsid w:val="00CE220E"/>
    <w:rsid w:val="00CE22A7"/>
    <w:rsid w:val="00CE2337"/>
    <w:rsid w:val="00CE2388"/>
    <w:rsid w:val="00CE23AF"/>
    <w:rsid w:val="00CE23DC"/>
    <w:rsid w:val="00CE2475"/>
    <w:rsid w:val="00CE2486"/>
    <w:rsid w:val="00CE24BD"/>
    <w:rsid w:val="00CE2526"/>
    <w:rsid w:val="00CE25B5"/>
    <w:rsid w:val="00CE25CF"/>
    <w:rsid w:val="00CE25DC"/>
    <w:rsid w:val="00CE25E9"/>
    <w:rsid w:val="00CE267B"/>
    <w:rsid w:val="00CE271A"/>
    <w:rsid w:val="00CE2744"/>
    <w:rsid w:val="00CE276D"/>
    <w:rsid w:val="00CE2796"/>
    <w:rsid w:val="00CE27AC"/>
    <w:rsid w:val="00CE280E"/>
    <w:rsid w:val="00CE2922"/>
    <w:rsid w:val="00CE2A60"/>
    <w:rsid w:val="00CE2A8C"/>
    <w:rsid w:val="00CE2AD7"/>
    <w:rsid w:val="00CE2AF2"/>
    <w:rsid w:val="00CE2B01"/>
    <w:rsid w:val="00CE2B85"/>
    <w:rsid w:val="00CE2B89"/>
    <w:rsid w:val="00CE2B9D"/>
    <w:rsid w:val="00CE2C1D"/>
    <w:rsid w:val="00CE2C61"/>
    <w:rsid w:val="00CE2CA3"/>
    <w:rsid w:val="00CE2CE2"/>
    <w:rsid w:val="00CE2E1C"/>
    <w:rsid w:val="00CE2FBA"/>
    <w:rsid w:val="00CE2FC0"/>
    <w:rsid w:val="00CE2FE4"/>
    <w:rsid w:val="00CE2FFC"/>
    <w:rsid w:val="00CE30AF"/>
    <w:rsid w:val="00CE30C4"/>
    <w:rsid w:val="00CE3117"/>
    <w:rsid w:val="00CE3127"/>
    <w:rsid w:val="00CE325B"/>
    <w:rsid w:val="00CE32FF"/>
    <w:rsid w:val="00CE3314"/>
    <w:rsid w:val="00CE3341"/>
    <w:rsid w:val="00CE3366"/>
    <w:rsid w:val="00CE336B"/>
    <w:rsid w:val="00CE3481"/>
    <w:rsid w:val="00CE37E8"/>
    <w:rsid w:val="00CE382C"/>
    <w:rsid w:val="00CE383A"/>
    <w:rsid w:val="00CE388F"/>
    <w:rsid w:val="00CE3A57"/>
    <w:rsid w:val="00CE3A59"/>
    <w:rsid w:val="00CE3A79"/>
    <w:rsid w:val="00CE3ADB"/>
    <w:rsid w:val="00CE3BB2"/>
    <w:rsid w:val="00CE3BCB"/>
    <w:rsid w:val="00CE3C5D"/>
    <w:rsid w:val="00CE3D01"/>
    <w:rsid w:val="00CE3DB8"/>
    <w:rsid w:val="00CE3E61"/>
    <w:rsid w:val="00CE3EB9"/>
    <w:rsid w:val="00CE3EDA"/>
    <w:rsid w:val="00CE3EEE"/>
    <w:rsid w:val="00CE3F5F"/>
    <w:rsid w:val="00CE40F7"/>
    <w:rsid w:val="00CE4163"/>
    <w:rsid w:val="00CE41BC"/>
    <w:rsid w:val="00CE4303"/>
    <w:rsid w:val="00CE437D"/>
    <w:rsid w:val="00CE445D"/>
    <w:rsid w:val="00CE4505"/>
    <w:rsid w:val="00CE4519"/>
    <w:rsid w:val="00CE45E3"/>
    <w:rsid w:val="00CE4637"/>
    <w:rsid w:val="00CE4639"/>
    <w:rsid w:val="00CE46AC"/>
    <w:rsid w:val="00CE46EA"/>
    <w:rsid w:val="00CE4722"/>
    <w:rsid w:val="00CE47BB"/>
    <w:rsid w:val="00CE48B6"/>
    <w:rsid w:val="00CE48DC"/>
    <w:rsid w:val="00CE490F"/>
    <w:rsid w:val="00CE49C9"/>
    <w:rsid w:val="00CE4A40"/>
    <w:rsid w:val="00CE4AE7"/>
    <w:rsid w:val="00CE4C68"/>
    <w:rsid w:val="00CE4CDA"/>
    <w:rsid w:val="00CE4D17"/>
    <w:rsid w:val="00CE4DCE"/>
    <w:rsid w:val="00CE4E13"/>
    <w:rsid w:val="00CE4F77"/>
    <w:rsid w:val="00CE4FA2"/>
    <w:rsid w:val="00CE4FBC"/>
    <w:rsid w:val="00CE4FE5"/>
    <w:rsid w:val="00CE4FF4"/>
    <w:rsid w:val="00CE5016"/>
    <w:rsid w:val="00CE503B"/>
    <w:rsid w:val="00CE5046"/>
    <w:rsid w:val="00CE50AC"/>
    <w:rsid w:val="00CE51FE"/>
    <w:rsid w:val="00CE523F"/>
    <w:rsid w:val="00CE5272"/>
    <w:rsid w:val="00CE52AF"/>
    <w:rsid w:val="00CE52D8"/>
    <w:rsid w:val="00CE52DE"/>
    <w:rsid w:val="00CE52FF"/>
    <w:rsid w:val="00CE539F"/>
    <w:rsid w:val="00CE5437"/>
    <w:rsid w:val="00CE544D"/>
    <w:rsid w:val="00CE549B"/>
    <w:rsid w:val="00CE5510"/>
    <w:rsid w:val="00CE5513"/>
    <w:rsid w:val="00CE55AF"/>
    <w:rsid w:val="00CE564F"/>
    <w:rsid w:val="00CE5661"/>
    <w:rsid w:val="00CE5835"/>
    <w:rsid w:val="00CE583B"/>
    <w:rsid w:val="00CE587D"/>
    <w:rsid w:val="00CE588A"/>
    <w:rsid w:val="00CE58A3"/>
    <w:rsid w:val="00CE59E8"/>
    <w:rsid w:val="00CE5A9B"/>
    <w:rsid w:val="00CE5ABB"/>
    <w:rsid w:val="00CE5B5F"/>
    <w:rsid w:val="00CE5BBC"/>
    <w:rsid w:val="00CE5C36"/>
    <w:rsid w:val="00CE5E32"/>
    <w:rsid w:val="00CE5E5D"/>
    <w:rsid w:val="00CE5E6A"/>
    <w:rsid w:val="00CE5ED1"/>
    <w:rsid w:val="00CE5FD2"/>
    <w:rsid w:val="00CE601F"/>
    <w:rsid w:val="00CE6132"/>
    <w:rsid w:val="00CE61E7"/>
    <w:rsid w:val="00CE61F9"/>
    <w:rsid w:val="00CE6260"/>
    <w:rsid w:val="00CE6381"/>
    <w:rsid w:val="00CE639B"/>
    <w:rsid w:val="00CE63C6"/>
    <w:rsid w:val="00CE64C6"/>
    <w:rsid w:val="00CE65CA"/>
    <w:rsid w:val="00CE65DF"/>
    <w:rsid w:val="00CE6665"/>
    <w:rsid w:val="00CE6686"/>
    <w:rsid w:val="00CE66A2"/>
    <w:rsid w:val="00CE66FB"/>
    <w:rsid w:val="00CE675B"/>
    <w:rsid w:val="00CE6771"/>
    <w:rsid w:val="00CE67C6"/>
    <w:rsid w:val="00CE684A"/>
    <w:rsid w:val="00CE6A00"/>
    <w:rsid w:val="00CE6AA6"/>
    <w:rsid w:val="00CE6AAB"/>
    <w:rsid w:val="00CE6B6F"/>
    <w:rsid w:val="00CE6B8E"/>
    <w:rsid w:val="00CE6BEC"/>
    <w:rsid w:val="00CE6C1F"/>
    <w:rsid w:val="00CE6E38"/>
    <w:rsid w:val="00CE6F69"/>
    <w:rsid w:val="00CE7067"/>
    <w:rsid w:val="00CE70D2"/>
    <w:rsid w:val="00CE712B"/>
    <w:rsid w:val="00CE7257"/>
    <w:rsid w:val="00CE7284"/>
    <w:rsid w:val="00CE732E"/>
    <w:rsid w:val="00CE73B0"/>
    <w:rsid w:val="00CE73D2"/>
    <w:rsid w:val="00CE7415"/>
    <w:rsid w:val="00CE74AA"/>
    <w:rsid w:val="00CE75F4"/>
    <w:rsid w:val="00CE75FA"/>
    <w:rsid w:val="00CE7652"/>
    <w:rsid w:val="00CE7793"/>
    <w:rsid w:val="00CE7941"/>
    <w:rsid w:val="00CE79D2"/>
    <w:rsid w:val="00CE7A1A"/>
    <w:rsid w:val="00CE7A45"/>
    <w:rsid w:val="00CE7AE9"/>
    <w:rsid w:val="00CE7B29"/>
    <w:rsid w:val="00CE7B3A"/>
    <w:rsid w:val="00CE7C20"/>
    <w:rsid w:val="00CE7C47"/>
    <w:rsid w:val="00CE7C60"/>
    <w:rsid w:val="00CE7C65"/>
    <w:rsid w:val="00CE7CF1"/>
    <w:rsid w:val="00CE7D1C"/>
    <w:rsid w:val="00CE7D5A"/>
    <w:rsid w:val="00CE7D9C"/>
    <w:rsid w:val="00CE7E35"/>
    <w:rsid w:val="00CE7E4E"/>
    <w:rsid w:val="00CE7EB2"/>
    <w:rsid w:val="00CE7F5A"/>
    <w:rsid w:val="00CE7FEA"/>
    <w:rsid w:val="00CEB0C0"/>
    <w:rsid w:val="00CF010F"/>
    <w:rsid w:val="00CF013E"/>
    <w:rsid w:val="00CF0320"/>
    <w:rsid w:val="00CF033A"/>
    <w:rsid w:val="00CF04C9"/>
    <w:rsid w:val="00CF058E"/>
    <w:rsid w:val="00CF0627"/>
    <w:rsid w:val="00CF0665"/>
    <w:rsid w:val="00CF06C3"/>
    <w:rsid w:val="00CF06CA"/>
    <w:rsid w:val="00CF06D1"/>
    <w:rsid w:val="00CF074A"/>
    <w:rsid w:val="00CF07A4"/>
    <w:rsid w:val="00CF07D2"/>
    <w:rsid w:val="00CF0838"/>
    <w:rsid w:val="00CF083E"/>
    <w:rsid w:val="00CF0889"/>
    <w:rsid w:val="00CF0927"/>
    <w:rsid w:val="00CF09AF"/>
    <w:rsid w:val="00CF0A07"/>
    <w:rsid w:val="00CF0A5A"/>
    <w:rsid w:val="00CF0A8F"/>
    <w:rsid w:val="00CF0AE8"/>
    <w:rsid w:val="00CF0B4D"/>
    <w:rsid w:val="00CF0B53"/>
    <w:rsid w:val="00CF0BBE"/>
    <w:rsid w:val="00CF0CBD"/>
    <w:rsid w:val="00CF0D12"/>
    <w:rsid w:val="00CF0D14"/>
    <w:rsid w:val="00CF0DB6"/>
    <w:rsid w:val="00CF0DDD"/>
    <w:rsid w:val="00CF0DF7"/>
    <w:rsid w:val="00CF0E96"/>
    <w:rsid w:val="00CF0EFA"/>
    <w:rsid w:val="00CF0F44"/>
    <w:rsid w:val="00CF1045"/>
    <w:rsid w:val="00CF1087"/>
    <w:rsid w:val="00CF1194"/>
    <w:rsid w:val="00CF11C5"/>
    <w:rsid w:val="00CF13F3"/>
    <w:rsid w:val="00CF1486"/>
    <w:rsid w:val="00CF1568"/>
    <w:rsid w:val="00CF1583"/>
    <w:rsid w:val="00CF15D4"/>
    <w:rsid w:val="00CF170D"/>
    <w:rsid w:val="00CF1717"/>
    <w:rsid w:val="00CF17F4"/>
    <w:rsid w:val="00CF183D"/>
    <w:rsid w:val="00CF1888"/>
    <w:rsid w:val="00CF194D"/>
    <w:rsid w:val="00CF1AA5"/>
    <w:rsid w:val="00CF1AAB"/>
    <w:rsid w:val="00CF1B30"/>
    <w:rsid w:val="00CF1B3C"/>
    <w:rsid w:val="00CF1C43"/>
    <w:rsid w:val="00CF1C9D"/>
    <w:rsid w:val="00CF1CD6"/>
    <w:rsid w:val="00CF1E0B"/>
    <w:rsid w:val="00CF1F45"/>
    <w:rsid w:val="00CF1F88"/>
    <w:rsid w:val="00CF20E0"/>
    <w:rsid w:val="00CF212D"/>
    <w:rsid w:val="00CF215E"/>
    <w:rsid w:val="00CF21A6"/>
    <w:rsid w:val="00CF2351"/>
    <w:rsid w:val="00CF23CB"/>
    <w:rsid w:val="00CF23DF"/>
    <w:rsid w:val="00CF2417"/>
    <w:rsid w:val="00CF24A4"/>
    <w:rsid w:val="00CF2539"/>
    <w:rsid w:val="00CF259D"/>
    <w:rsid w:val="00CF263C"/>
    <w:rsid w:val="00CF2641"/>
    <w:rsid w:val="00CF265D"/>
    <w:rsid w:val="00CF2664"/>
    <w:rsid w:val="00CF266A"/>
    <w:rsid w:val="00CF266C"/>
    <w:rsid w:val="00CF270D"/>
    <w:rsid w:val="00CF2710"/>
    <w:rsid w:val="00CF27F6"/>
    <w:rsid w:val="00CF2836"/>
    <w:rsid w:val="00CF283C"/>
    <w:rsid w:val="00CF2864"/>
    <w:rsid w:val="00CF288C"/>
    <w:rsid w:val="00CF2911"/>
    <w:rsid w:val="00CF2987"/>
    <w:rsid w:val="00CF2B01"/>
    <w:rsid w:val="00CF2B13"/>
    <w:rsid w:val="00CF2B68"/>
    <w:rsid w:val="00CF2BAB"/>
    <w:rsid w:val="00CF2C79"/>
    <w:rsid w:val="00CF2C8F"/>
    <w:rsid w:val="00CF2D0F"/>
    <w:rsid w:val="00CF2D24"/>
    <w:rsid w:val="00CF2D48"/>
    <w:rsid w:val="00CF2E1E"/>
    <w:rsid w:val="00CF2EE0"/>
    <w:rsid w:val="00CF2F75"/>
    <w:rsid w:val="00CF314B"/>
    <w:rsid w:val="00CF3211"/>
    <w:rsid w:val="00CF3242"/>
    <w:rsid w:val="00CF3261"/>
    <w:rsid w:val="00CF3282"/>
    <w:rsid w:val="00CF3296"/>
    <w:rsid w:val="00CF32D9"/>
    <w:rsid w:val="00CF32F7"/>
    <w:rsid w:val="00CF3307"/>
    <w:rsid w:val="00CF339A"/>
    <w:rsid w:val="00CF348F"/>
    <w:rsid w:val="00CF349D"/>
    <w:rsid w:val="00CF352B"/>
    <w:rsid w:val="00CF35E6"/>
    <w:rsid w:val="00CF3601"/>
    <w:rsid w:val="00CF3685"/>
    <w:rsid w:val="00CF36B2"/>
    <w:rsid w:val="00CF36BA"/>
    <w:rsid w:val="00CF36C8"/>
    <w:rsid w:val="00CF3721"/>
    <w:rsid w:val="00CF3739"/>
    <w:rsid w:val="00CF376B"/>
    <w:rsid w:val="00CF3770"/>
    <w:rsid w:val="00CF382D"/>
    <w:rsid w:val="00CF38AB"/>
    <w:rsid w:val="00CF391C"/>
    <w:rsid w:val="00CF3920"/>
    <w:rsid w:val="00CF3958"/>
    <w:rsid w:val="00CF39C5"/>
    <w:rsid w:val="00CF39EC"/>
    <w:rsid w:val="00CF3A1C"/>
    <w:rsid w:val="00CF3A35"/>
    <w:rsid w:val="00CF3A46"/>
    <w:rsid w:val="00CF3B1D"/>
    <w:rsid w:val="00CF3B3C"/>
    <w:rsid w:val="00CF3BA2"/>
    <w:rsid w:val="00CF3CDF"/>
    <w:rsid w:val="00CF3E1C"/>
    <w:rsid w:val="00CF3EA8"/>
    <w:rsid w:val="00CF3F1E"/>
    <w:rsid w:val="00CF3F78"/>
    <w:rsid w:val="00CF4000"/>
    <w:rsid w:val="00CF404E"/>
    <w:rsid w:val="00CF4236"/>
    <w:rsid w:val="00CF4299"/>
    <w:rsid w:val="00CF42EE"/>
    <w:rsid w:val="00CF432A"/>
    <w:rsid w:val="00CF4373"/>
    <w:rsid w:val="00CF4429"/>
    <w:rsid w:val="00CF45B0"/>
    <w:rsid w:val="00CF46C8"/>
    <w:rsid w:val="00CF46F8"/>
    <w:rsid w:val="00CF478A"/>
    <w:rsid w:val="00CF479F"/>
    <w:rsid w:val="00CF47EF"/>
    <w:rsid w:val="00CF47FF"/>
    <w:rsid w:val="00CF49E8"/>
    <w:rsid w:val="00CF4A16"/>
    <w:rsid w:val="00CF4A80"/>
    <w:rsid w:val="00CF4A89"/>
    <w:rsid w:val="00CF4B0B"/>
    <w:rsid w:val="00CF4B68"/>
    <w:rsid w:val="00CF4B7E"/>
    <w:rsid w:val="00CF4C06"/>
    <w:rsid w:val="00CF4C44"/>
    <w:rsid w:val="00CF4CCB"/>
    <w:rsid w:val="00CF4CEE"/>
    <w:rsid w:val="00CF4E9A"/>
    <w:rsid w:val="00CF4F13"/>
    <w:rsid w:val="00CF4F30"/>
    <w:rsid w:val="00CF506C"/>
    <w:rsid w:val="00CF5076"/>
    <w:rsid w:val="00CF50DC"/>
    <w:rsid w:val="00CF511D"/>
    <w:rsid w:val="00CF53B2"/>
    <w:rsid w:val="00CF53D7"/>
    <w:rsid w:val="00CF5542"/>
    <w:rsid w:val="00CF5661"/>
    <w:rsid w:val="00CF5682"/>
    <w:rsid w:val="00CF5691"/>
    <w:rsid w:val="00CF5752"/>
    <w:rsid w:val="00CF579E"/>
    <w:rsid w:val="00CF57C7"/>
    <w:rsid w:val="00CF57E8"/>
    <w:rsid w:val="00CF5826"/>
    <w:rsid w:val="00CF584B"/>
    <w:rsid w:val="00CF5898"/>
    <w:rsid w:val="00CF589F"/>
    <w:rsid w:val="00CF58B7"/>
    <w:rsid w:val="00CF58D7"/>
    <w:rsid w:val="00CF5AEC"/>
    <w:rsid w:val="00CF5AF6"/>
    <w:rsid w:val="00CF5BEE"/>
    <w:rsid w:val="00CF5C52"/>
    <w:rsid w:val="00CF5CC6"/>
    <w:rsid w:val="00CF5D68"/>
    <w:rsid w:val="00CF5D85"/>
    <w:rsid w:val="00CF5DF3"/>
    <w:rsid w:val="00CF5E4B"/>
    <w:rsid w:val="00CF5EC7"/>
    <w:rsid w:val="00CF5EE6"/>
    <w:rsid w:val="00CF5F27"/>
    <w:rsid w:val="00CF5F4E"/>
    <w:rsid w:val="00CF5FF9"/>
    <w:rsid w:val="00CF6104"/>
    <w:rsid w:val="00CF611D"/>
    <w:rsid w:val="00CF617D"/>
    <w:rsid w:val="00CF617F"/>
    <w:rsid w:val="00CF6276"/>
    <w:rsid w:val="00CF62D8"/>
    <w:rsid w:val="00CF632C"/>
    <w:rsid w:val="00CF63A0"/>
    <w:rsid w:val="00CF63A2"/>
    <w:rsid w:val="00CF6400"/>
    <w:rsid w:val="00CF645E"/>
    <w:rsid w:val="00CF64AB"/>
    <w:rsid w:val="00CF655E"/>
    <w:rsid w:val="00CF656C"/>
    <w:rsid w:val="00CF65BD"/>
    <w:rsid w:val="00CF668F"/>
    <w:rsid w:val="00CF66CC"/>
    <w:rsid w:val="00CF671E"/>
    <w:rsid w:val="00CF673F"/>
    <w:rsid w:val="00CF676D"/>
    <w:rsid w:val="00CF6816"/>
    <w:rsid w:val="00CF6862"/>
    <w:rsid w:val="00CF6A8A"/>
    <w:rsid w:val="00CF6B1C"/>
    <w:rsid w:val="00CF6B33"/>
    <w:rsid w:val="00CF6CA2"/>
    <w:rsid w:val="00CF6CB4"/>
    <w:rsid w:val="00CF6D26"/>
    <w:rsid w:val="00CF6D98"/>
    <w:rsid w:val="00CF6DE8"/>
    <w:rsid w:val="00CF6E78"/>
    <w:rsid w:val="00CF6F61"/>
    <w:rsid w:val="00CF6F6E"/>
    <w:rsid w:val="00CF708F"/>
    <w:rsid w:val="00CF70FA"/>
    <w:rsid w:val="00CF71CA"/>
    <w:rsid w:val="00CF71FB"/>
    <w:rsid w:val="00CF7277"/>
    <w:rsid w:val="00CF72F9"/>
    <w:rsid w:val="00CF7309"/>
    <w:rsid w:val="00CF732D"/>
    <w:rsid w:val="00CF734D"/>
    <w:rsid w:val="00CF735C"/>
    <w:rsid w:val="00CF7400"/>
    <w:rsid w:val="00CF740D"/>
    <w:rsid w:val="00CF7644"/>
    <w:rsid w:val="00CF77E7"/>
    <w:rsid w:val="00CF78BD"/>
    <w:rsid w:val="00CF7906"/>
    <w:rsid w:val="00CF79D0"/>
    <w:rsid w:val="00CF79DF"/>
    <w:rsid w:val="00CF7ACE"/>
    <w:rsid w:val="00CF7BB0"/>
    <w:rsid w:val="00CF7D0C"/>
    <w:rsid w:val="00CF7D46"/>
    <w:rsid w:val="00CF7D89"/>
    <w:rsid w:val="00CF7DAB"/>
    <w:rsid w:val="00CF7DBF"/>
    <w:rsid w:val="00CF7E0F"/>
    <w:rsid w:val="00CF7F5C"/>
    <w:rsid w:val="00CF7F8C"/>
    <w:rsid w:val="00D00049"/>
    <w:rsid w:val="00D000B9"/>
    <w:rsid w:val="00D00192"/>
    <w:rsid w:val="00D00195"/>
    <w:rsid w:val="00D00212"/>
    <w:rsid w:val="00D0021C"/>
    <w:rsid w:val="00D00253"/>
    <w:rsid w:val="00D003BF"/>
    <w:rsid w:val="00D003F3"/>
    <w:rsid w:val="00D00485"/>
    <w:rsid w:val="00D00519"/>
    <w:rsid w:val="00D006C9"/>
    <w:rsid w:val="00D006D0"/>
    <w:rsid w:val="00D00819"/>
    <w:rsid w:val="00D0081B"/>
    <w:rsid w:val="00D0094E"/>
    <w:rsid w:val="00D00958"/>
    <w:rsid w:val="00D009A1"/>
    <w:rsid w:val="00D00B25"/>
    <w:rsid w:val="00D00B9B"/>
    <w:rsid w:val="00D00C80"/>
    <w:rsid w:val="00D00DB6"/>
    <w:rsid w:val="00D00DE0"/>
    <w:rsid w:val="00D00E56"/>
    <w:rsid w:val="00D00ED6"/>
    <w:rsid w:val="00D00F5A"/>
    <w:rsid w:val="00D00F9D"/>
    <w:rsid w:val="00D00FFC"/>
    <w:rsid w:val="00D0109E"/>
    <w:rsid w:val="00D01146"/>
    <w:rsid w:val="00D0114F"/>
    <w:rsid w:val="00D01190"/>
    <w:rsid w:val="00D011B0"/>
    <w:rsid w:val="00D01225"/>
    <w:rsid w:val="00D012BE"/>
    <w:rsid w:val="00D01323"/>
    <w:rsid w:val="00D01353"/>
    <w:rsid w:val="00D01418"/>
    <w:rsid w:val="00D01427"/>
    <w:rsid w:val="00D014B6"/>
    <w:rsid w:val="00D01544"/>
    <w:rsid w:val="00D0156F"/>
    <w:rsid w:val="00D015A0"/>
    <w:rsid w:val="00D015E1"/>
    <w:rsid w:val="00D0167E"/>
    <w:rsid w:val="00D016D9"/>
    <w:rsid w:val="00D016DE"/>
    <w:rsid w:val="00D0172B"/>
    <w:rsid w:val="00D0173A"/>
    <w:rsid w:val="00D0175E"/>
    <w:rsid w:val="00D01773"/>
    <w:rsid w:val="00D017AD"/>
    <w:rsid w:val="00D01984"/>
    <w:rsid w:val="00D019A1"/>
    <w:rsid w:val="00D019B3"/>
    <w:rsid w:val="00D01AE1"/>
    <w:rsid w:val="00D01B73"/>
    <w:rsid w:val="00D01B78"/>
    <w:rsid w:val="00D01C3E"/>
    <w:rsid w:val="00D01C8D"/>
    <w:rsid w:val="00D01D90"/>
    <w:rsid w:val="00D01DE6"/>
    <w:rsid w:val="00D01F54"/>
    <w:rsid w:val="00D0203E"/>
    <w:rsid w:val="00D020F7"/>
    <w:rsid w:val="00D021B4"/>
    <w:rsid w:val="00D02219"/>
    <w:rsid w:val="00D0221D"/>
    <w:rsid w:val="00D02281"/>
    <w:rsid w:val="00D02468"/>
    <w:rsid w:val="00D026D0"/>
    <w:rsid w:val="00D026EA"/>
    <w:rsid w:val="00D0272B"/>
    <w:rsid w:val="00D0274E"/>
    <w:rsid w:val="00D02776"/>
    <w:rsid w:val="00D0277C"/>
    <w:rsid w:val="00D02902"/>
    <w:rsid w:val="00D02ADB"/>
    <w:rsid w:val="00D02BBB"/>
    <w:rsid w:val="00D02BC1"/>
    <w:rsid w:val="00D02C1F"/>
    <w:rsid w:val="00D02DB9"/>
    <w:rsid w:val="00D02DE1"/>
    <w:rsid w:val="00D02E69"/>
    <w:rsid w:val="00D02EAD"/>
    <w:rsid w:val="00D02EBA"/>
    <w:rsid w:val="00D02EC2"/>
    <w:rsid w:val="00D02ED5"/>
    <w:rsid w:val="00D02EE6"/>
    <w:rsid w:val="00D02F38"/>
    <w:rsid w:val="00D03054"/>
    <w:rsid w:val="00D0308C"/>
    <w:rsid w:val="00D030C5"/>
    <w:rsid w:val="00D0313F"/>
    <w:rsid w:val="00D03140"/>
    <w:rsid w:val="00D0319E"/>
    <w:rsid w:val="00D031FE"/>
    <w:rsid w:val="00D03233"/>
    <w:rsid w:val="00D032F1"/>
    <w:rsid w:val="00D03329"/>
    <w:rsid w:val="00D03388"/>
    <w:rsid w:val="00D03404"/>
    <w:rsid w:val="00D034C1"/>
    <w:rsid w:val="00D034D6"/>
    <w:rsid w:val="00D03518"/>
    <w:rsid w:val="00D036AF"/>
    <w:rsid w:val="00D036FC"/>
    <w:rsid w:val="00D0378E"/>
    <w:rsid w:val="00D037B2"/>
    <w:rsid w:val="00D0385D"/>
    <w:rsid w:val="00D0387E"/>
    <w:rsid w:val="00D038A2"/>
    <w:rsid w:val="00D0391B"/>
    <w:rsid w:val="00D03A63"/>
    <w:rsid w:val="00D03A91"/>
    <w:rsid w:val="00D03AB6"/>
    <w:rsid w:val="00D03B19"/>
    <w:rsid w:val="00D03B4C"/>
    <w:rsid w:val="00D03B7E"/>
    <w:rsid w:val="00D03C17"/>
    <w:rsid w:val="00D03C67"/>
    <w:rsid w:val="00D03D63"/>
    <w:rsid w:val="00D03D73"/>
    <w:rsid w:val="00D03D83"/>
    <w:rsid w:val="00D03DA5"/>
    <w:rsid w:val="00D03DC6"/>
    <w:rsid w:val="00D03DF4"/>
    <w:rsid w:val="00D03FD8"/>
    <w:rsid w:val="00D03FFD"/>
    <w:rsid w:val="00D040D2"/>
    <w:rsid w:val="00D040DC"/>
    <w:rsid w:val="00D040FE"/>
    <w:rsid w:val="00D04106"/>
    <w:rsid w:val="00D0415E"/>
    <w:rsid w:val="00D041C2"/>
    <w:rsid w:val="00D041EA"/>
    <w:rsid w:val="00D041FE"/>
    <w:rsid w:val="00D042E2"/>
    <w:rsid w:val="00D044B5"/>
    <w:rsid w:val="00D044E7"/>
    <w:rsid w:val="00D044F7"/>
    <w:rsid w:val="00D045D1"/>
    <w:rsid w:val="00D0460D"/>
    <w:rsid w:val="00D046B2"/>
    <w:rsid w:val="00D04850"/>
    <w:rsid w:val="00D04923"/>
    <w:rsid w:val="00D0496E"/>
    <w:rsid w:val="00D049C1"/>
    <w:rsid w:val="00D04A52"/>
    <w:rsid w:val="00D04AFB"/>
    <w:rsid w:val="00D04B02"/>
    <w:rsid w:val="00D04B4C"/>
    <w:rsid w:val="00D04C41"/>
    <w:rsid w:val="00D04F3D"/>
    <w:rsid w:val="00D04FB9"/>
    <w:rsid w:val="00D04FD5"/>
    <w:rsid w:val="00D04FF5"/>
    <w:rsid w:val="00D05056"/>
    <w:rsid w:val="00D05064"/>
    <w:rsid w:val="00D050F1"/>
    <w:rsid w:val="00D05112"/>
    <w:rsid w:val="00D05158"/>
    <w:rsid w:val="00D0517B"/>
    <w:rsid w:val="00D052DA"/>
    <w:rsid w:val="00D05474"/>
    <w:rsid w:val="00D054BD"/>
    <w:rsid w:val="00D0560A"/>
    <w:rsid w:val="00D05649"/>
    <w:rsid w:val="00D057C8"/>
    <w:rsid w:val="00D057E9"/>
    <w:rsid w:val="00D05823"/>
    <w:rsid w:val="00D05853"/>
    <w:rsid w:val="00D05856"/>
    <w:rsid w:val="00D05A16"/>
    <w:rsid w:val="00D05B8A"/>
    <w:rsid w:val="00D05BB1"/>
    <w:rsid w:val="00D05BC4"/>
    <w:rsid w:val="00D05CBD"/>
    <w:rsid w:val="00D05DD5"/>
    <w:rsid w:val="00D05EC9"/>
    <w:rsid w:val="00D05F27"/>
    <w:rsid w:val="00D05F52"/>
    <w:rsid w:val="00D05FA5"/>
    <w:rsid w:val="00D06055"/>
    <w:rsid w:val="00D060A5"/>
    <w:rsid w:val="00D060B7"/>
    <w:rsid w:val="00D060CD"/>
    <w:rsid w:val="00D06267"/>
    <w:rsid w:val="00D062AE"/>
    <w:rsid w:val="00D065B8"/>
    <w:rsid w:val="00D065EC"/>
    <w:rsid w:val="00D06662"/>
    <w:rsid w:val="00D066AD"/>
    <w:rsid w:val="00D066DE"/>
    <w:rsid w:val="00D06750"/>
    <w:rsid w:val="00D06768"/>
    <w:rsid w:val="00D067AC"/>
    <w:rsid w:val="00D067B5"/>
    <w:rsid w:val="00D067EF"/>
    <w:rsid w:val="00D0680C"/>
    <w:rsid w:val="00D06998"/>
    <w:rsid w:val="00D06A42"/>
    <w:rsid w:val="00D06AA9"/>
    <w:rsid w:val="00D06B01"/>
    <w:rsid w:val="00D06B04"/>
    <w:rsid w:val="00D06B4E"/>
    <w:rsid w:val="00D06B9B"/>
    <w:rsid w:val="00D06C3C"/>
    <w:rsid w:val="00D06C67"/>
    <w:rsid w:val="00D06C94"/>
    <w:rsid w:val="00D06D93"/>
    <w:rsid w:val="00D06E3B"/>
    <w:rsid w:val="00D06E74"/>
    <w:rsid w:val="00D06F83"/>
    <w:rsid w:val="00D06FFD"/>
    <w:rsid w:val="00D071C1"/>
    <w:rsid w:val="00D071CF"/>
    <w:rsid w:val="00D071D2"/>
    <w:rsid w:val="00D07307"/>
    <w:rsid w:val="00D0740F"/>
    <w:rsid w:val="00D0745A"/>
    <w:rsid w:val="00D075C0"/>
    <w:rsid w:val="00D075E3"/>
    <w:rsid w:val="00D075FB"/>
    <w:rsid w:val="00D0771D"/>
    <w:rsid w:val="00D0784B"/>
    <w:rsid w:val="00D0792F"/>
    <w:rsid w:val="00D0795F"/>
    <w:rsid w:val="00D079C4"/>
    <w:rsid w:val="00D07A8F"/>
    <w:rsid w:val="00D07A98"/>
    <w:rsid w:val="00D07C9A"/>
    <w:rsid w:val="00D07D23"/>
    <w:rsid w:val="00D07D50"/>
    <w:rsid w:val="00D07F05"/>
    <w:rsid w:val="00D07FFE"/>
    <w:rsid w:val="00D100F8"/>
    <w:rsid w:val="00D101DA"/>
    <w:rsid w:val="00D10210"/>
    <w:rsid w:val="00D10429"/>
    <w:rsid w:val="00D10480"/>
    <w:rsid w:val="00D10536"/>
    <w:rsid w:val="00D10597"/>
    <w:rsid w:val="00D1064A"/>
    <w:rsid w:val="00D10688"/>
    <w:rsid w:val="00D106E7"/>
    <w:rsid w:val="00D10707"/>
    <w:rsid w:val="00D10733"/>
    <w:rsid w:val="00D1082D"/>
    <w:rsid w:val="00D10843"/>
    <w:rsid w:val="00D108EA"/>
    <w:rsid w:val="00D1097A"/>
    <w:rsid w:val="00D109DA"/>
    <w:rsid w:val="00D109FD"/>
    <w:rsid w:val="00D10B20"/>
    <w:rsid w:val="00D10B52"/>
    <w:rsid w:val="00D10B83"/>
    <w:rsid w:val="00D10BE1"/>
    <w:rsid w:val="00D10BF8"/>
    <w:rsid w:val="00D10C11"/>
    <w:rsid w:val="00D10C21"/>
    <w:rsid w:val="00D10C40"/>
    <w:rsid w:val="00D10C43"/>
    <w:rsid w:val="00D10CEC"/>
    <w:rsid w:val="00D10D35"/>
    <w:rsid w:val="00D10DE1"/>
    <w:rsid w:val="00D10E2E"/>
    <w:rsid w:val="00D10E84"/>
    <w:rsid w:val="00D10E98"/>
    <w:rsid w:val="00D10EEB"/>
    <w:rsid w:val="00D10FBA"/>
    <w:rsid w:val="00D11079"/>
    <w:rsid w:val="00D1114F"/>
    <w:rsid w:val="00D1122E"/>
    <w:rsid w:val="00D11347"/>
    <w:rsid w:val="00D11375"/>
    <w:rsid w:val="00D113D0"/>
    <w:rsid w:val="00D1145D"/>
    <w:rsid w:val="00D11465"/>
    <w:rsid w:val="00D1146F"/>
    <w:rsid w:val="00D114E4"/>
    <w:rsid w:val="00D11552"/>
    <w:rsid w:val="00D11568"/>
    <w:rsid w:val="00D115D8"/>
    <w:rsid w:val="00D11611"/>
    <w:rsid w:val="00D1161A"/>
    <w:rsid w:val="00D116B5"/>
    <w:rsid w:val="00D116E0"/>
    <w:rsid w:val="00D117A3"/>
    <w:rsid w:val="00D11824"/>
    <w:rsid w:val="00D1188A"/>
    <w:rsid w:val="00D118AE"/>
    <w:rsid w:val="00D118FE"/>
    <w:rsid w:val="00D11947"/>
    <w:rsid w:val="00D11A88"/>
    <w:rsid w:val="00D11D17"/>
    <w:rsid w:val="00D11D62"/>
    <w:rsid w:val="00D11D98"/>
    <w:rsid w:val="00D11DBE"/>
    <w:rsid w:val="00D11FE4"/>
    <w:rsid w:val="00D12183"/>
    <w:rsid w:val="00D1220C"/>
    <w:rsid w:val="00D12332"/>
    <w:rsid w:val="00D12373"/>
    <w:rsid w:val="00D12481"/>
    <w:rsid w:val="00D12492"/>
    <w:rsid w:val="00D12515"/>
    <w:rsid w:val="00D1251E"/>
    <w:rsid w:val="00D12586"/>
    <w:rsid w:val="00D12601"/>
    <w:rsid w:val="00D127CC"/>
    <w:rsid w:val="00D12943"/>
    <w:rsid w:val="00D12982"/>
    <w:rsid w:val="00D129D4"/>
    <w:rsid w:val="00D12B34"/>
    <w:rsid w:val="00D12C87"/>
    <w:rsid w:val="00D12CB9"/>
    <w:rsid w:val="00D12CBB"/>
    <w:rsid w:val="00D12CEF"/>
    <w:rsid w:val="00D12D51"/>
    <w:rsid w:val="00D12DA9"/>
    <w:rsid w:val="00D12F7E"/>
    <w:rsid w:val="00D1312A"/>
    <w:rsid w:val="00D13174"/>
    <w:rsid w:val="00D131F2"/>
    <w:rsid w:val="00D132C9"/>
    <w:rsid w:val="00D13414"/>
    <w:rsid w:val="00D13617"/>
    <w:rsid w:val="00D1361C"/>
    <w:rsid w:val="00D13674"/>
    <w:rsid w:val="00D13702"/>
    <w:rsid w:val="00D13754"/>
    <w:rsid w:val="00D137D3"/>
    <w:rsid w:val="00D13891"/>
    <w:rsid w:val="00D138D5"/>
    <w:rsid w:val="00D13C08"/>
    <w:rsid w:val="00D13C62"/>
    <w:rsid w:val="00D13C74"/>
    <w:rsid w:val="00D13C8E"/>
    <w:rsid w:val="00D13CF0"/>
    <w:rsid w:val="00D13D2D"/>
    <w:rsid w:val="00D13E47"/>
    <w:rsid w:val="00D13E4E"/>
    <w:rsid w:val="00D13F1C"/>
    <w:rsid w:val="00D13FAC"/>
    <w:rsid w:val="00D1406A"/>
    <w:rsid w:val="00D140C0"/>
    <w:rsid w:val="00D140FB"/>
    <w:rsid w:val="00D1411E"/>
    <w:rsid w:val="00D14248"/>
    <w:rsid w:val="00D14468"/>
    <w:rsid w:val="00D1455B"/>
    <w:rsid w:val="00D14594"/>
    <w:rsid w:val="00D145E4"/>
    <w:rsid w:val="00D1460A"/>
    <w:rsid w:val="00D1466A"/>
    <w:rsid w:val="00D146EF"/>
    <w:rsid w:val="00D147C5"/>
    <w:rsid w:val="00D14892"/>
    <w:rsid w:val="00D14966"/>
    <w:rsid w:val="00D14973"/>
    <w:rsid w:val="00D1497F"/>
    <w:rsid w:val="00D14A0A"/>
    <w:rsid w:val="00D14A38"/>
    <w:rsid w:val="00D14A4C"/>
    <w:rsid w:val="00D14AD2"/>
    <w:rsid w:val="00D14BBF"/>
    <w:rsid w:val="00D14BF2"/>
    <w:rsid w:val="00D14CDB"/>
    <w:rsid w:val="00D14CE5"/>
    <w:rsid w:val="00D14D47"/>
    <w:rsid w:val="00D14D76"/>
    <w:rsid w:val="00D14DD6"/>
    <w:rsid w:val="00D14DE3"/>
    <w:rsid w:val="00D14DED"/>
    <w:rsid w:val="00D14FD2"/>
    <w:rsid w:val="00D14FFE"/>
    <w:rsid w:val="00D151FE"/>
    <w:rsid w:val="00D1520A"/>
    <w:rsid w:val="00D152F7"/>
    <w:rsid w:val="00D15313"/>
    <w:rsid w:val="00D153BA"/>
    <w:rsid w:val="00D15421"/>
    <w:rsid w:val="00D1542D"/>
    <w:rsid w:val="00D1546E"/>
    <w:rsid w:val="00D15509"/>
    <w:rsid w:val="00D156B3"/>
    <w:rsid w:val="00D156B6"/>
    <w:rsid w:val="00D156BB"/>
    <w:rsid w:val="00D1582B"/>
    <w:rsid w:val="00D15832"/>
    <w:rsid w:val="00D15912"/>
    <w:rsid w:val="00D15962"/>
    <w:rsid w:val="00D159E4"/>
    <w:rsid w:val="00D159F0"/>
    <w:rsid w:val="00D15A0A"/>
    <w:rsid w:val="00D15A73"/>
    <w:rsid w:val="00D15AD1"/>
    <w:rsid w:val="00D15C97"/>
    <w:rsid w:val="00D15CC5"/>
    <w:rsid w:val="00D15DA3"/>
    <w:rsid w:val="00D15E27"/>
    <w:rsid w:val="00D15E32"/>
    <w:rsid w:val="00D15EBA"/>
    <w:rsid w:val="00D15EEF"/>
    <w:rsid w:val="00D15F4B"/>
    <w:rsid w:val="00D15F79"/>
    <w:rsid w:val="00D15FEF"/>
    <w:rsid w:val="00D1611F"/>
    <w:rsid w:val="00D161A5"/>
    <w:rsid w:val="00D161CA"/>
    <w:rsid w:val="00D162EC"/>
    <w:rsid w:val="00D163C1"/>
    <w:rsid w:val="00D164C2"/>
    <w:rsid w:val="00D164D7"/>
    <w:rsid w:val="00D164E9"/>
    <w:rsid w:val="00D1652F"/>
    <w:rsid w:val="00D16542"/>
    <w:rsid w:val="00D1666D"/>
    <w:rsid w:val="00D1682A"/>
    <w:rsid w:val="00D16877"/>
    <w:rsid w:val="00D16882"/>
    <w:rsid w:val="00D16894"/>
    <w:rsid w:val="00D1690D"/>
    <w:rsid w:val="00D16A01"/>
    <w:rsid w:val="00D16ADB"/>
    <w:rsid w:val="00D16BD4"/>
    <w:rsid w:val="00D16CA7"/>
    <w:rsid w:val="00D16CD6"/>
    <w:rsid w:val="00D16DE5"/>
    <w:rsid w:val="00D16FBA"/>
    <w:rsid w:val="00D16FC9"/>
    <w:rsid w:val="00D1702F"/>
    <w:rsid w:val="00D17032"/>
    <w:rsid w:val="00D1705B"/>
    <w:rsid w:val="00D171AA"/>
    <w:rsid w:val="00D171AE"/>
    <w:rsid w:val="00D1724B"/>
    <w:rsid w:val="00D1724E"/>
    <w:rsid w:val="00D172D5"/>
    <w:rsid w:val="00D17314"/>
    <w:rsid w:val="00D1734E"/>
    <w:rsid w:val="00D1739B"/>
    <w:rsid w:val="00D173A7"/>
    <w:rsid w:val="00D173E2"/>
    <w:rsid w:val="00D1740D"/>
    <w:rsid w:val="00D17416"/>
    <w:rsid w:val="00D17499"/>
    <w:rsid w:val="00D174AE"/>
    <w:rsid w:val="00D174D5"/>
    <w:rsid w:val="00D17502"/>
    <w:rsid w:val="00D17508"/>
    <w:rsid w:val="00D1761A"/>
    <w:rsid w:val="00D1765B"/>
    <w:rsid w:val="00D1765E"/>
    <w:rsid w:val="00D176B5"/>
    <w:rsid w:val="00D1772E"/>
    <w:rsid w:val="00D1787E"/>
    <w:rsid w:val="00D17884"/>
    <w:rsid w:val="00D178B2"/>
    <w:rsid w:val="00D179DF"/>
    <w:rsid w:val="00D179F0"/>
    <w:rsid w:val="00D17A88"/>
    <w:rsid w:val="00D17AD3"/>
    <w:rsid w:val="00D17BAA"/>
    <w:rsid w:val="00D17C07"/>
    <w:rsid w:val="00D17C21"/>
    <w:rsid w:val="00D17CF6"/>
    <w:rsid w:val="00D17D54"/>
    <w:rsid w:val="00D17D96"/>
    <w:rsid w:val="00D17DDA"/>
    <w:rsid w:val="00D17DEB"/>
    <w:rsid w:val="00D17DF6"/>
    <w:rsid w:val="00D17E1B"/>
    <w:rsid w:val="00D17E2A"/>
    <w:rsid w:val="00D17E8D"/>
    <w:rsid w:val="00D17F20"/>
    <w:rsid w:val="00D17F40"/>
    <w:rsid w:val="00D200E9"/>
    <w:rsid w:val="00D2010D"/>
    <w:rsid w:val="00D20111"/>
    <w:rsid w:val="00D20147"/>
    <w:rsid w:val="00D201EE"/>
    <w:rsid w:val="00D202AD"/>
    <w:rsid w:val="00D202B1"/>
    <w:rsid w:val="00D204C6"/>
    <w:rsid w:val="00D20514"/>
    <w:rsid w:val="00D20605"/>
    <w:rsid w:val="00D2062A"/>
    <w:rsid w:val="00D20688"/>
    <w:rsid w:val="00D206B2"/>
    <w:rsid w:val="00D206C7"/>
    <w:rsid w:val="00D206CE"/>
    <w:rsid w:val="00D206D3"/>
    <w:rsid w:val="00D20713"/>
    <w:rsid w:val="00D20986"/>
    <w:rsid w:val="00D20A2F"/>
    <w:rsid w:val="00D20B45"/>
    <w:rsid w:val="00D20B9D"/>
    <w:rsid w:val="00D20C9B"/>
    <w:rsid w:val="00D20D83"/>
    <w:rsid w:val="00D20DAB"/>
    <w:rsid w:val="00D20E19"/>
    <w:rsid w:val="00D20E54"/>
    <w:rsid w:val="00D20EFF"/>
    <w:rsid w:val="00D20F71"/>
    <w:rsid w:val="00D20FD1"/>
    <w:rsid w:val="00D21012"/>
    <w:rsid w:val="00D21040"/>
    <w:rsid w:val="00D210CA"/>
    <w:rsid w:val="00D210F1"/>
    <w:rsid w:val="00D2127E"/>
    <w:rsid w:val="00D212C1"/>
    <w:rsid w:val="00D21466"/>
    <w:rsid w:val="00D21471"/>
    <w:rsid w:val="00D215E8"/>
    <w:rsid w:val="00D21600"/>
    <w:rsid w:val="00D216E4"/>
    <w:rsid w:val="00D2172F"/>
    <w:rsid w:val="00D21844"/>
    <w:rsid w:val="00D218F4"/>
    <w:rsid w:val="00D219E7"/>
    <w:rsid w:val="00D219EB"/>
    <w:rsid w:val="00D21A6E"/>
    <w:rsid w:val="00D21A72"/>
    <w:rsid w:val="00D21A76"/>
    <w:rsid w:val="00D21B3A"/>
    <w:rsid w:val="00D21B3C"/>
    <w:rsid w:val="00D21B45"/>
    <w:rsid w:val="00D21B5D"/>
    <w:rsid w:val="00D21B8B"/>
    <w:rsid w:val="00D21CA0"/>
    <w:rsid w:val="00D21CB4"/>
    <w:rsid w:val="00D21D39"/>
    <w:rsid w:val="00D21D7B"/>
    <w:rsid w:val="00D21D7F"/>
    <w:rsid w:val="00D21D8A"/>
    <w:rsid w:val="00D21DD8"/>
    <w:rsid w:val="00D220BB"/>
    <w:rsid w:val="00D221F1"/>
    <w:rsid w:val="00D22272"/>
    <w:rsid w:val="00D222AC"/>
    <w:rsid w:val="00D222C6"/>
    <w:rsid w:val="00D22330"/>
    <w:rsid w:val="00D223B6"/>
    <w:rsid w:val="00D223D6"/>
    <w:rsid w:val="00D22457"/>
    <w:rsid w:val="00D224AC"/>
    <w:rsid w:val="00D2252C"/>
    <w:rsid w:val="00D22531"/>
    <w:rsid w:val="00D22567"/>
    <w:rsid w:val="00D225A9"/>
    <w:rsid w:val="00D225E8"/>
    <w:rsid w:val="00D225F2"/>
    <w:rsid w:val="00D22620"/>
    <w:rsid w:val="00D2266F"/>
    <w:rsid w:val="00D2271B"/>
    <w:rsid w:val="00D22736"/>
    <w:rsid w:val="00D22764"/>
    <w:rsid w:val="00D2276B"/>
    <w:rsid w:val="00D2277A"/>
    <w:rsid w:val="00D227A6"/>
    <w:rsid w:val="00D22808"/>
    <w:rsid w:val="00D229E4"/>
    <w:rsid w:val="00D22BAA"/>
    <w:rsid w:val="00D22BBA"/>
    <w:rsid w:val="00D22C9B"/>
    <w:rsid w:val="00D22CD0"/>
    <w:rsid w:val="00D22E19"/>
    <w:rsid w:val="00D23120"/>
    <w:rsid w:val="00D2318E"/>
    <w:rsid w:val="00D23208"/>
    <w:rsid w:val="00D2322F"/>
    <w:rsid w:val="00D2328A"/>
    <w:rsid w:val="00D23518"/>
    <w:rsid w:val="00D2372A"/>
    <w:rsid w:val="00D23795"/>
    <w:rsid w:val="00D2381E"/>
    <w:rsid w:val="00D2384E"/>
    <w:rsid w:val="00D238D4"/>
    <w:rsid w:val="00D239CC"/>
    <w:rsid w:val="00D23AD1"/>
    <w:rsid w:val="00D23B83"/>
    <w:rsid w:val="00D23C51"/>
    <w:rsid w:val="00D23CF7"/>
    <w:rsid w:val="00D23D85"/>
    <w:rsid w:val="00D23DBC"/>
    <w:rsid w:val="00D23DD6"/>
    <w:rsid w:val="00D23DF6"/>
    <w:rsid w:val="00D23E78"/>
    <w:rsid w:val="00D23EC9"/>
    <w:rsid w:val="00D23FA4"/>
    <w:rsid w:val="00D24086"/>
    <w:rsid w:val="00D240CC"/>
    <w:rsid w:val="00D242A0"/>
    <w:rsid w:val="00D242B3"/>
    <w:rsid w:val="00D24495"/>
    <w:rsid w:val="00D244E4"/>
    <w:rsid w:val="00D2454E"/>
    <w:rsid w:val="00D245CB"/>
    <w:rsid w:val="00D245DB"/>
    <w:rsid w:val="00D245DC"/>
    <w:rsid w:val="00D246E8"/>
    <w:rsid w:val="00D24776"/>
    <w:rsid w:val="00D24796"/>
    <w:rsid w:val="00D2482B"/>
    <w:rsid w:val="00D24A62"/>
    <w:rsid w:val="00D24B10"/>
    <w:rsid w:val="00D24B35"/>
    <w:rsid w:val="00D24C2C"/>
    <w:rsid w:val="00D24D71"/>
    <w:rsid w:val="00D24EC3"/>
    <w:rsid w:val="00D24FA6"/>
    <w:rsid w:val="00D24FA9"/>
    <w:rsid w:val="00D24FF9"/>
    <w:rsid w:val="00D25003"/>
    <w:rsid w:val="00D25010"/>
    <w:rsid w:val="00D25016"/>
    <w:rsid w:val="00D250A7"/>
    <w:rsid w:val="00D25103"/>
    <w:rsid w:val="00D2517A"/>
    <w:rsid w:val="00D25212"/>
    <w:rsid w:val="00D252BA"/>
    <w:rsid w:val="00D2536D"/>
    <w:rsid w:val="00D253C8"/>
    <w:rsid w:val="00D25493"/>
    <w:rsid w:val="00D25543"/>
    <w:rsid w:val="00D25607"/>
    <w:rsid w:val="00D25640"/>
    <w:rsid w:val="00D25763"/>
    <w:rsid w:val="00D257E1"/>
    <w:rsid w:val="00D257E3"/>
    <w:rsid w:val="00D25821"/>
    <w:rsid w:val="00D258F6"/>
    <w:rsid w:val="00D25905"/>
    <w:rsid w:val="00D25988"/>
    <w:rsid w:val="00D259CA"/>
    <w:rsid w:val="00D25B77"/>
    <w:rsid w:val="00D25B79"/>
    <w:rsid w:val="00D25BC4"/>
    <w:rsid w:val="00D25BE4"/>
    <w:rsid w:val="00D25D1C"/>
    <w:rsid w:val="00D25D98"/>
    <w:rsid w:val="00D25E23"/>
    <w:rsid w:val="00D25E98"/>
    <w:rsid w:val="00D25EC8"/>
    <w:rsid w:val="00D26099"/>
    <w:rsid w:val="00D26103"/>
    <w:rsid w:val="00D26114"/>
    <w:rsid w:val="00D26193"/>
    <w:rsid w:val="00D26223"/>
    <w:rsid w:val="00D2623E"/>
    <w:rsid w:val="00D2632B"/>
    <w:rsid w:val="00D26371"/>
    <w:rsid w:val="00D264C9"/>
    <w:rsid w:val="00D26504"/>
    <w:rsid w:val="00D26556"/>
    <w:rsid w:val="00D26571"/>
    <w:rsid w:val="00D265F6"/>
    <w:rsid w:val="00D26622"/>
    <w:rsid w:val="00D2664E"/>
    <w:rsid w:val="00D2666F"/>
    <w:rsid w:val="00D26720"/>
    <w:rsid w:val="00D26727"/>
    <w:rsid w:val="00D26787"/>
    <w:rsid w:val="00D267E3"/>
    <w:rsid w:val="00D268B7"/>
    <w:rsid w:val="00D268BC"/>
    <w:rsid w:val="00D26944"/>
    <w:rsid w:val="00D26A0C"/>
    <w:rsid w:val="00D26BB0"/>
    <w:rsid w:val="00D26BC1"/>
    <w:rsid w:val="00D26C5C"/>
    <w:rsid w:val="00D26C60"/>
    <w:rsid w:val="00D26E39"/>
    <w:rsid w:val="00D26E58"/>
    <w:rsid w:val="00D26EE2"/>
    <w:rsid w:val="00D26EF6"/>
    <w:rsid w:val="00D26F0D"/>
    <w:rsid w:val="00D2701D"/>
    <w:rsid w:val="00D270DB"/>
    <w:rsid w:val="00D2713D"/>
    <w:rsid w:val="00D27168"/>
    <w:rsid w:val="00D27275"/>
    <w:rsid w:val="00D27281"/>
    <w:rsid w:val="00D272CD"/>
    <w:rsid w:val="00D2733B"/>
    <w:rsid w:val="00D2733E"/>
    <w:rsid w:val="00D27492"/>
    <w:rsid w:val="00D275E5"/>
    <w:rsid w:val="00D275FB"/>
    <w:rsid w:val="00D276CE"/>
    <w:rsid w:val="00D27716"/>
    <w:rsid w:val="00D2771D"/>
    <w:rsid w:val="00D2789A"/>
    <w:rsid w:val="00D279C5"/>
    <w:rsid w:val="00D27B55"/>
    <w:rsid w:val="00D27C50"/>
    <w:rsid w:val="00D27C6B"/>
    <w:rsid w:val="00D27C8B"/>
    <w:rsid w:val="00D27CB1"/>
    <w:rsid w:val="00D27CD7"/>
    <w:rsid w:val="00D27CE2"/>
    <w:rsid w:val="00D27E9F"/>
    <w:rsid w:val="00D27F16"/>
    <w:rsid w:val="00D27F54"/>
    <w:rsid w:val="00D30048"/>
    <w:rsid w:val="00D300F2"/>
    <w:rsid w:val="00D30337"/>
    <w:rsid w:val="00D303B6"/>
    <w:rsid w:val="00D303E1"/>
    <w:rsid w:val="00D304A5"/>
    <w:rsid w:val="00D304B6"/>
    <w:rsid w:val="00D304E3"/>
    <w:rsid w:val="00D30528"/>
    <w:rsid w:val="00D30537"/>
    <w:rsid w:val="00D3056A"/>
    <w:rsid w:val="00D305A2"/>
    <w:rsid w:val="00D305AA"/>
    <w:rsid w:val="00D305C5"/>
    <w:rsid w:val="00D30685"/>
    <w:rsid w:val="00D30719"/>
    <w:rsid w:val="00D30830"/>
    <w:rsid w:val="00D30974"/>
    <w:rsid w:val="00D309E1"/>
    <w:rsid w:val="00D30AE1"/>
    <w:rsid w:val="00D30BB3"/>
    <w:rsid w:val="00D30BCC"/>
    <w:rsid w:val="00D30C7A"/>
    <w:rsid w:val="00D30CE2"/>
    <w:rsid w:val="00D30D46"/>
    <w:rsid w:val="00D30D73"/>
    <w:rsid w:val="00D3107B"/>
    <w:rsid w:val="00D31080"/>
    <w:rsid w:val="00D3114E"/>
    <w:rsid w:val="00D3118B"/>
    <w:rsid w:val="00D3122D"/>
    <w:rsid w:val="00D31391"/>
    <w:rsid w:val="00D313CB"/>
    <w:rsid w:val="00D31500"/>
    <w:rsid w:val="00D31515"/>
    <w:rsid w:val="00D31555"/>
    <w:rsid w:val="00D3155B"/>
    <w:rsid w:val="00D31588"/>
    <w:rsid w:val="00D31661"/>
    <w:rsid w:val="00D31690"/>
    <w:rsid w:val="00D3169E"/>
    <w:rsid w:val="00D316A8"/>
    <w:rsid w:val="00D316CD"/>
    <w:rsid w:val="00D316DE"/>
    <w:rsid w:val="00D31720"/>
    <w:rsid w:val="00D31758"/>
    <w:rsid w:val="00D3193A"/>
    <w:rsid w:val="00D3196B"/>
    <w:rsid w:val="00D3196C"/>
    <w:rsid w:val="00D3199B"/>
    <w:rsid w:val="00D31ABA"/>
    <w:rsid w:val="00D31B65"/>
    <w:rsid w:val="00D31CB6"/>
    <w:rsid w:val="00D31D12"/>
    <w:rsid w:val="00D31D3C"/>
    <w:rsid w:val="00D31D7A"/>
    <w:rsid w:val="00D31DFD"/>
    <w:rsid w:val="00D31EC3"/>
    <w:rsid w:val="00D31F7D"/>
    <w:rsid w:val="00D31F82"/>
    <w:rsid w:val="00D31F89"/>
    <w:rsid w:val="00D32039"/>
    <w:rsid w:val="00D3216A"/>
    <w:rsid w:val="00D3223D"/>
    <w:rsid w:val="00D32283"/>
    <w:rsid w:val="00D32413"/>
    <w:rsid w:val="00D3245A"/>
    <w:rsid w:val="00D32491"/>
    <w:rsid w:val="00D3253A"/>
    <w:rsid w:val="00D32546"/>
    <w:rsid w:val="00D326B8"/>
    <w:rsid w:val="00D32760"/>
    <w:rsid w:val="00D327E3"/>
    <w:rsid w:val="00D32815"/>
    <w:rsid w:val="00D328AE"/>
    <w:rsid w:val="00D328C7"/>
    <w:rsid w:val="00D32B75"/>
    <w:rsid w:val="00D32C9C"/>
    <w:rsid w:val="00D32CEF"/>
    <w:rsid w:val="00D32D6E"/>
    <w:rsid w:val="00D32DA1"/>
    <w:rsid w:val="00D32F22"/>
    <w:rsid w:val="00D32F40"/>
    <w:rsid w:val="00D33008"/>
    <w:rsid w:val="00D33038"/>
    <w:rsid w:val="00D3315B"/>
    <w:rsid w:val="00D33192"/>
    <w:rsid w:val="00D331A8"/>
    <w:rsid w:val="00D33275"/>
    <w:rsid w:val="00D33280"/>
    <w:rsid w:val="00D33362"/>
    <w:rsid w:val="00D33397"/>
    <w:rsid w:val="00D333A5"/>
    <w:rsid w:val="00D33434"/>
    <w:rsid w:val="00D33466"/>
    <w:rsid w:val="00D3351C"/>
    <w:rsid w:val="00D33572"/>
    <w:rsid w:val="00D33577"/>
    <w:rsid w:val="00D335A1"/>
    <w:rsid w:val="00D3369F"/>
    <w:rsid w:val="00D33796"/>
    <w:rsid w:val="00D339A4"/>
    <w:rsid w:val="00D339C6"/>
    <w:rsid w:val="00D33A1D"/>
    <w:rsid w:val="00D33A83"/>
    <w:rsid w:val="00D33A97"/>
    <w:rsid w:val="00D33B0F"/>
    <w:rsid w:val="00D33B3F"/>
    <w:rsid w:val="00D33CBE"/>
    <w:rsid w:val="00D33D55"/>
    <w:rsid w:val="00D33DAD"/>
    <w:rsid w:val="00D33DDC"/>
    <w:rsid w:val="00D33F0E"/>
    <w:rsid w:val="00D33F69"/>
    <w:rsid w:val="00D34059"/>
    <w:rsid w:val="00D34152"/>
    <w:rsid w:val="00D341BE"/>
    <w:rsid w:val="00D341C7"/>
    <w:rsid w:val="00D34256"/>
    <w:rsid w:val="00D34335"/>
    <w:rsid w:val="00D343E3"/>
    <w:rsid w:val="00D34411"/>
    <w:rsid w:val="00D34498"/>
    <w:rsid w:val="00D3466F"/>
    <w:rsid w:val="00D348E5"/>
    <w:rsid w:val="00D348EC"/>
    <w:rsid w:val="00D34930"/>
    <w:rsid w:val="00D34975"/>
    <w:rsid w:val="00D349A7"/>
    <w:rsid w:val="00D34BEC"/>
    <w:rsid w:val="00D34C27"/>
    <w:rsid w:val="00D34C7E"/>
    <w:rsid w:val="00D34CD8"/>
    <w:rsid w:val="00D34D62"/>
    <w:rsid w:val="00D34D90"/>
    <w:rsid w:val="00D34E9F"/>
    <w:rsid w:val="00D34EFF"/>
    <w:rsid w:val="00D34F56"/>
    <w:rsid w:val="00D3508F"/>
    <w:rsid w:val="00D350EE"/>
    <w:rsid w:val="00D3513D"/>
    <w:rsid w:val="00D35187"/>
    <w:rsid w:val="00D35309"/>
    <w:rsid w:val="00D35310"/>
    <w:rsid w:val="00D35407"/>
    <w:rsid w:val="00D35444"/>
    <w:rsid w:val="00D355FD"/>
    <w:rsid w:val="00D35809"/>
    <w:rsid w:val="00D3580C"/>
    <w:rsid w:val="00D3591F"/>
    <w:rsid w:val="00D35928"/>
    <w:rsid w:val="00D35A39"/>
    <w:rsid w:val="00D35AC9"/>
    <w:rsid w:val="00D35BA4"/>
    <w:rsid w:val="00D35C3E"/>
    <w:rsid w:val="00D35CDB"/>
    <w:rsid w:val="00D35D04"/>
    <w:rsid w:val="00D35D1C"/>
    <w:rsid w:val="00D35D8A"/>
    <w:rsid w:val="00D35F33"/>
    <w:rsid w:val="00D36075"/>
    <w:rsid w:val="00D36131"/>
    <w:rsid w:val="00D362D1"/>
    <w:rsid w:val="00D3633F"/>
    <w:rsid w:val="00D3639A"/>
    <w:rsid w:val="00D363E7"/>
    <w:rsid w:val="00D36503"/>
    <w:rsid w:val="00D3651B"/>
    <w:rsid w:val="00D3652A"/>
    <w:rsid w:val="00D365A7"/>
    <w:rsid w:val="00D365BC"/>
    <w:rsid w:val="00D366D4"/>
    <w:rsid w:val="00D366DC"/>
    <w:rsid w:val="00D36714"/>
    <w:rsid w:val="00D36756"/>
    <w:rsid w:val="00D3678F"/>
    <w:rsid w:val="00D36825"/>
    <w:rsid w:val="00D368B0"/>
    <w:rsid w:val="00D36933"/>
    <w:rsid w:val="00D36A94"/>
    <w:rsid w:val="00D36AF8"/>
    <w:rsid w:val="00D36CD5"/>
    <w:rsid w:val="00D36D0B"/>
    <w:rsid w:val="00D36D4D"/>
    <w:rsid w:val="00D36F3C"/>
    <w:rsid w:val="00D36FFC"/>
    <w:rsid w:val="00D3701A"/>
    <w:rsid w:val="00D3704F"/>
    <w:rsid w:val="00D3707E"/>
    <w:rsid w:val="00D371F7"/>
    <w:rsid w:val="00D3724C"/>
    <w:rsid w:val="00D37269"/>
    <w:rsid w:val="00D3747A"/>
    <w:rsid w:val="00D37497"/>
    <w:rsid w:val="00D374B0"/>
    <w:rsid w:val="00D374D3"/>
    <w:rsid w:val="00D375B3"/>
    <w:rsid w:val="00D37722"/>
    <w:rsid w:val="00D37771"/>
    <w:rsid w:val="00D37777"/>
    <w:rsid w:val="00D377F3"/>
    <w:rsid w:val="00D37870"/>
    <w:rsid w:val="00D37884"/>
    <w:rsid w:val="00D3797F"/>
    <w:rsid w:val="00D37AAE"/>
    <w:rsid w:val="00D37AD0"/>
    <w:rsid w:val="00D37C4D"/>
    <w:rsid w:val="00D37C74"/>
    <w:rsid w:val="00D37C76"/>
    <w:rsid w:val="00D37C77"/>
    <w:rsid w:val="00D37C9E"/>
    <w:rsid w:val="00D37D27"/>
    <w:rsid w:val="00D37D8F"/>
    <w:rsid w:val="00D37DE7"/>
    <w:rsid w:val="00D37E9C"/>
    <w:rsid w:val="00D37EA0"/>
    <w:rsid w:val="00D37ECB"/>
    <w:rsid w:val="00D4001A"/>
    <w:rsid w:val="00D40056"/>
    <w:rsid w:val="00D401DE"/>
    <w:rsid w:val="00D4029D"/>
    <w:rsid w:val="00D402BE"/>
    <w:rsid w:val="00D40361"/>
    <w:rsid w:val="00D40363"/>
    <w:rsid w:val="00D40378"/>
    <w:rsid w:val="00D403C4"/>
    <w:rsid w:val="00D403E6"/>
    <w:rsid w:val="00D40405"/>
    <w:rsid w:val="00D40430"/>
    <w:rsid w:val="00D40462"/>
    <w:rsid w:val="00D40547"/>
    <w:rsid w:val="00D407EF"/>
    <w:rsid w:val="00D408CE"/>
    <w:rsid w:val="00D408D9"/>
    <w:rsid w:val="00D4093D"/>
    <w:rsid w:val="00D40978"/>
    <w:rsid w:val="00D409A6"/>
    <w:rsid w:val="00D40A5F"/>
    <w:rsid w:val="00D40ADA"/>
    <w:rsid w:val="00D40BCC"/>
    <w:rsid w:val="00D40C35"/>
    <w:rsid w:val="00D40CCF"/>
    <w:rsid w:val="00D40CD4"/>
    <w:rsid w:val="00D40D20"/>
    <w:rsid w:val="00D40D9F"/>
    <w:rsid w:val="00D40E3F"/>
    <w:rsid w:val="00D40F81"/>
    <w:rsid w:val="00D4107B"/>
    <w:rsid w:val="00D4115F"/>
    <w:rsid w:val="00D41262"/>
    <w:rsid w:val="00D412F2"/>
    <w:rsid w:val="00D4132E"/>
    <w:rsid w:val="00D41402"/>
    <w:rsid w:val="00D4166B"/>
    <w:rsid w:val="00D416DA"/>
    <w:rsid w:val="00D41940"/>
    <w:rsid w:val="00D41A30"/>
    <w:rsid w:val="00D41B14"/>
    <w:rsid w:val="00D41C0E"/>
    <w:rsid w:val="00D41CFB"/>
    <w:rsid w:val="00D41D3B"/>
    <w:rsid w:val="00D41D75"/>
    <w:rsid w:val="00D41DDF"/>
    <w:rsid w:val="00D41F28"/>
    <w:rsid w:val="00D41F29"/>
    <w:rsid w:val="00D42002"/>
    <w:rsid w:val="00D4200E"/>
    <w:rsid w:val="00D4206B"/>
    <w:rsid w:val="00D42163"/>
    <w:rsid w:val="00D42185"/>
    <w:rsid w:val="00D42278"/>
    <w:rsid w:val="00D422FB"/>
    <w:rsid w:val="00D42359"/>
    <w:rsid w:val="00D4240E"/>
    <w:rsid w:val="00D424A1"/>
    <w:rsid w:val="00D424F2"/>
    <w:rsid w:val="00D4269D"/>
    <w:rsid w:val="00D42761"/>
    <w:rsid w:val="00D42809"/>
    <w:rsid w:val="00D428BE"/>
    <w:rsid w:val="00D428E6"/>
    <w:rsid w:val="00D42900"/>
    <w:rsid w:val="00D4290F"/>
    <w:rsid w:val="00D429BA"/>
    <w:rsid w:val="00D42A0E"/>
    <w:rsid w:val="00D42A63"/>
    <w:rsid w:val="00D42A80"/>
    <w:rsid w:val="00D42A90"/>
    <w:rsid w:val="00D42AA0"/>
    <w:rsid w:val="00D42B31"/>
    <w:rsid w:val="00D42B44"/>
    <w:rsid w:val="00D42B70"/>
    <w:rsid w:val="00D42BB0"/>
    <w:rsid w:val="00D42C51"/>
    <w:rsid w:val="00D42C85"/>
    <w:rsid w:val="00D42EAA"/>
    <w:rsid w:val="00D42F2F"/>
    <w:rsid w:val="00D4307A"/>
    <w:rsid w:val="00D4329C"/>
    <w:rsid w:val="00D4331D"/>
    <w:rsid w:val="00D433BC"/>
    <w:rsid w:val="00D4349F"/>
    <w:rsid w:val="00D4351B"/>
    <w:rsid w:val="00D435BC"/>
    <w:rsid w:val="00D436BF"/>
    <w:rsid w:val="00D43709"/>
    <w:rsid w:val="00D43721"/>
    <w:rsid w:val="00D43735"/>
    <w:rsid w:val="00D4375F"/>
    <w:rsid w:val="00D43766"/>
    <w:rsid w:val="00D4382D"/>
    <w:rsid w:val="00D43A04"/>
    <w:rsid w:val="00D43A07"/>
    <w:rsid w:val="00D43A8D"/>
    <w:rsid w:val="00D43BAC"/>
    <w:rsid w:val="00D43BC3"/>
    <w:rsid w:val="00D43C89"/>
    <w:rsid w:val="00D43D10"/>
    <w:rsid w:val="00D43DBB"/>
    <w:rsid w:val="00D43E05"/>
    <w:rsid w:val="00D43E1B"/>
    <w:rsid w:val="00D43E49"/>
    <w:rsid w:val="00D43F5E"/>
    <w:rsid w:val="00D44081"/>
    <w:rsid w:val="00D44083"/>
    <w:rsid w:val="00D4409A"/>
    <w:rsid w:val="00D440A2"/>
    <w:rsid w:val="00D4428D"/>
    <w:rsid w:val="00D44323"/>
    <w:rsid w:val="00D4435C"/>
    <w:rsid w:val="00D44360"/>
    <w:rsid w:val="00D443C9"/>
    <w:rsid w:val="00D443CB"/>
    <w:rsid w:val="00D44400"/>
    <w:rsid w:val="00D44479"/>
    <w:rsid w:val="00D444AC"/>
    <w:rsid w:val="00D444D0"/>
    <w:rsid w:val="00D44504"/>
    <w:rsid w:val="00D445AF"/>
    <w:rsid w:val="00D4481C"/>
    <w:rsid w:val="00D44980"/>
    <w:rsid w:val="00D44998"/>
    <w:rsid w:val="00D44AB1"/>
    <w:rsid w:val="00D44B00"/>
    <w:rsid w:val="00D44B34"/>
    <w:rsid w:val="00D44B95"/>
    <w:rsid w:val="00D44DA1"/>
    <w:rsid w:val="00D44E76"/>
    <w:rsid w:val="00D44E8A"/>
    <w:rsid w:val="00D44F77"/>
    <w:rsid w:val="00D44FC8"/>
    <w:rsid w:val="00D45020"/>
    <w:rsid w:val="00D450FF"/>
    <w:rsid w:val="00D45114"/>
    <w:rsid w:val="00D45180"/>
    <w:rsid w:val="00D45191"/>
    <w:rsid w:val="00D451B2"/>
    <w:rsid w:val="00D45280"/>
    <w:rsid w:val="00D45324"/>
    <w:rsid w:val="00D45367"/>
    <w:rsid w:val="00D45430"/>
    <w:rsid w:val="00D45487"/>
    <w:rsid w:val="00D45575"/>
    <w:rsid w:val="00D45592"/>
    <w:rsid w:val="00D456D7"/>
    <w:rsid w:val="00D456F5"/>
    <w:rsid w:val="00D45729"/>
    <w:rsid w:val="00D457B1"/>
    <w:rsid w:val="00D4585D"/>
    <w:rsid w:val="00D458E6"/>
    <w:rsid w:val="00D45905"/>
    <w:rsid w:val="00D45994"/>
    <w:rsid w:val="00D45AFB"/>
    <w:rsid w:val="00D45AFC"/>
    <w:rsid w:val="00D45B3D"/>
    <w:rsid w:val="00D45BBF"/>
    <w:rsid w:val="00D45BFC"/>
    <w:rsid w:val="00D45DB2"/>
    <w:rsid w:val="00D45DE4"/>
    <w:rsid w:val="00D45DE6"/>
    <w:rsid w:val="00D45ED3"/>
    <w:rsid w:val="00D45F95"/>
    <w:rsid w:val="00D45FC7"/>
    <w:rsid w:val="00D4609B"/>
    <w:rsid w:val="00D4609C"/>
    <w:rsid w:val="00D460ED"/>
    <w:rsid w:val="00D461CC"/>
    <w:rsid w:val="00D461DA"/>
    <w:rsid w:val="00D461E9"/>
    <w:rsid w:val="00D4624B"/>
    <w:rsid w:val="00D46257"/>
    <w:rsid w:val="00D4625E"/>
    <w:rsid w:val="00D46312"/>
    <w:rsid w:val="00D46345"/>
    <w:rsid w:val="00D46400"/>
    <w:rsid w:val="00D46424"/>
    <w:rsid w:val="00D4642F"/>
    <w:rsid w:val="00D46476"/>
    <w:rsid w:val="00D4648E"/>
    <w:rsid w:val="00D464C2"/>
    <w:rsid w:val="00D4659B"/>
    <w:rsid w:val="00D468FA"/>
    <w:rsid w:val="00D4690C"/>
    <w:rsid w:val="00D4691D"/>
    <w:rsid w:val="00D46960"/>
    <w:rsid w:val="00D4699F"/>
    <w:rsid w:val="00D46A20"/>
    <w:rsid w:val="00D46AA2"/>
    <w:rsid w:val="00D46C27"/>
    <w:rsid w:val="00D46D2F"/>
    <w:rsid w:val="00D46D9F"/>
    <w:rsid w:val="00D46E49"/>
    <w:rsid w:val="00D4701F"/>
    <w:rsid w:val="00D4715F"/>
    <w:rsid w:val="00D47320"/>
    <w:rsid w:val="00D473A1"/>
    <w:rsid w:val="00D4743B"/>
    <w:rsid w:val="00D47606"/>
    <w:rsid w:val="00D47689"/>
    <w:rsid w:val="00D4772A"/>
    <w:rsid w:val="00D47772"/>
    <w:rsid w:val="00D47790"/>
    <w:rsid w:val="00D477A2"/>
    <w:rsid w:val="00D477AD"/>
    <w:rsid w:val="00D478C3"/>
    <w:rsid w:val="00D479FD"/>
    <w:rsid w:val="00D47A46"/>
    <w:rsid w:val="00D47A5E"/>
    <w:rsid w:val="00D47A6A"/>
    <w:rsid w:val="00D47AE7"/>
    <w:rsid w:val="00D47B3E"/>
    <w:rsid w:val="00D47C17"/>
    <w:rsid w:val="00D47DC8"/>
    <w:rsid w:val="00D47F62"/>
    <w:rsid w:val="00D47F8E"/>
    <w:rsid w:val="00D50000"/>
    <w:rsid w:val="00D5008F"/>
    <w:rsid w:val="00D50091"/>
    <w:rsid w:val="00D500AC"/>
    <w:rsid w:val="00D500C2"/>
    <w:rsid w:val="00D501F1"/>
    <w:rsid w:val="00D50235"/>
    <w:rsid w:val="00D50388"/>
    <w:rsid w:val="00D503C9"/>
    <w:rsid w:val="00D503E5"/>
    <w:rsid w:val="00D5049C"/>
    <w:rsid w:val="00D504C7"/>
    <w:rsid w:val="00D50503"/>
    <w:rsid w:val="00D5050B"/>
    <w:rsid w:val="00D50515"/>
    <w:rsid w:val="00D50582"/>
    <w:rsid w:val="00D5061F"/>
    <w:rsid w:val="00D5076E"/>
    <w:rsid w:val="00D50867"/>
    <w:rsid w:val="00D508D1"/>
    <w:rsid w:val="00D50927"/>
    <w:rsid w:val="00D5095F"/>
    <w:rsid w:val="00D509CB"/>
    <w:rsid w:val="00D50ACC"/>
    <w:rsid w:val="00D50C4F"/>
    <w:rsid w:val="00D50CCD"/>
    <w:rsid w:val="00D50D04"/>
    <w:rsid w:val="00D50E92"/>
    <w:rsid w:val="00D50EE3"/>
    <w:rsid w:val="00D50F97"/>
    <w:rsid w:val="00D510C9"/>
    <w:rsid w:val="00D5143B"/>
    <w:rsid w:val="00D5163F"/>
    <w:rsid w:val="00D5166F"/>
    <w:rsid w:val="00D5167C"/>
    <w:rsid w:val="00D516EA"/>
    <w:rsid w:val="00D51859"/>
    <w:rsid w:val="00D51861"/>
    <w:rsid w:val="00D518B9"/>
    <w:rsid w:val="00D518FF"/>
    <w:rsid w:val="00D51977"/>
    <w:rsid w:val="00D5198E"/>
    <w:rsid w:val="00D519DA"/>
    <w:rsid w:val="00D51AD4"/>
    <w:rsid w:val="00D51C24"/>
    <w:rsid w:val="00D51C7D"/>
    <w:rsid w:val="00D51D2E"/>
    <w:rsid w:val="00D51D4D"/>
    <w:rsid w:val="00D51DCF"/>
    <w:rsid w:val="00D51FFC"/>
    <w:rsid w:val="00D52065"/>
    <w:rsid w:val="00D52187"/>
    <w:rsid w:val="00D5223B"/>
    <w:rsid w:val="00D5228B"/>
    <w:rsid w:val="00D522AD"/>
    <w:rsid w:val="00D52398"/>
    <w:rsid w:val="00D5239A"/>
    <w:rsid w:val="00D526C5"/>
    <w:rsid w:val="00D52857"/>
    <w:rsid w:val="00D5295E"/>
    <w:rsid w:val="00D52994"/>
    <w:rsid w:val="00D52A13"/>
    <w:rsid w:val="00D52A63"/>
    <w:rsid w:val="00D52A89"/>
    <w:rsid w:val="00D52A8D"/>
    <w:rsid w:val="00D52D1F"/>
    <w:rsid w:val="00D52D8F"/>
    <w:rsid w:val="00D52DEC"/>
    <w:rsid w:val="00D52DF7"/>
    <w:rsid w:val="00D52EBB"/>
    <w:rsid w:val="00D52EDD"/>
    <w:rsid w:val="00D52EF7"/>
    <w:rsid w:val="00D52F73"/>
    <w:rsid w:val="00D53024"/>
    <w:rsid w:val="00D53066"/>
    <w:rsid w:val="00D5306D"/>
    <w:rsid w:val="00D5319F"/>
    <w:rsid w:val="00D5334C"/>
    <w:rsid w:val="00D533C4"/>
    <w:rsid w:val="00D5354C"/>
    <w:rsid w:val="00D5360F"/>
    <w:rsid w:val="00D53666"/>
    <w:rsid w:val="00D536BB"/>
    <w:rsid w:val="00D536C5"/>
    <w:rsid w:val="00D536EC"/>
    <w:rsid w:val="00D53860"/>
    <w:rsid w:val="00D538C7"/>
    <w:rsid w:val="00D53A4B"/>
    <w:rsid w:val="00D53AEA"/>
    <w:rsid w:val="00D53B67"/>
    <w:rsid w:val="00D53B6C"/>
    <w:rsid w:val="00D53B75"/>
    <w:rsid w:val="00D53CC5"/>
    <w:rsid w:val="00D53CCF"/>
    <w:rsid w:val="00D53CD8"/>
    <w:rsid w:val="00D53E61"/>
    <w:rsid w:val="00D53F3F"/>
    <w:rsid w:val="00D53F64"/>
    <w:rsid w:val="00D53FB4"/>
    <w:rsid w:val="00D53FEE"/>
    <w:rsid w:val="00D5404C"/>
    <w:rsid w:val="00D5417D"/>
    <w:rsid w:val="00D54222"/>
    <w:rsid w:val="00D5431C"/>
    <w:rsid w:val="00D54358"/>
    <w:rsid w:val="00D54433"/>
    <w:rsid w:val="00D54901"/>
    <w:rsid w:val="00D54A87"/>
    <w:rsid w:val="00D54AB5"/>
    <w:rsid w:val="00D54AED"/>
    <w:rsid w:val="00D54C44"/>
    <w:rsid w:val="00D54DF0"/>
    <w:rsid w:val="00D54E5B"/>
    <w:rsid w:val="00D54EB4"/>
    <w:rsid w:val="00D54EF1"/>
    <w:rsid w:val="00D54F58"/>
    <w:rsid w:val="00D54F64"/>
    <w:rsid w:val="00D54FA1"/>
    <w:rsid w:val="00D5501D"/>
    <w:rsid w:val="00D55100"/>
    <w:rsid w:val="00D55175"/>
    <w:rsid w:val="00D5520B"/>
    <w:rsid w:val="00D55414"/>
    <w:rsid w:val="00D55433"/>
    <w:rsid w:val="00D5559B"/>
    <w:rsid w:val="00D555A2"/>
    <w:rsid w:val="00D5563B"/>
    <w:rsid w:val="00D5569D"/>
    <w:rsid w:val="00D556D9"/>
    <w:rsid w:val="00D55735"/>
    <w:rsid w:val="00D5580F"/>
    <w:rsid w:val="00D5582A"/>
    <w:rsid w:val="00D5589A"/>
    <w:rsid w:val="00D559B6"/>
    <w:rsid w:val="00D559D5"/>
    <w:rsid w:val="00D55A24"/>
    <w:rsid w:val="00D55A31"/>
    <w:rsid w:val="00D55A6E"/>
    <w:rsid w:val="00D55B22"/>
    <w:rsid w:val="00D55B84"/>
    <w:rsid w:val="00D55BBE"/>
    <w:rsid w:val="00D55BDD"/>
    <w:rsid w:val="00D55D31"/>
    <w:rsid w:val="00D55D37"/>
    <w:rsid w:val="00D55D5B"/>
    <w:rsid w:val="00D55D93"/>
    <w:rsid w:val="00D55E36"/>
    <w:rsid w:val="00D55F55"/>
    <w:rsid w:val="00D5603A"/>
    <w:rsid w:val="00D5620C"/>
    <w:rsid w:val="00D562CD"/>
    <w:rsid w:val="00D56362"/>
    <w:rsid w:val="00D56436"/>
    <w:rsid w:val="00D56649"/>
    <w:rsid w:val="00D566A8"/>
    <w:rsid w:val="00D566AE"/>
    <w:rsid w:val="00D566B2"/>
    <w:rsid w:val="00D567EB"/>
    <w:rsid w:val="00D56847"/>
    <w:rsid w:val="00D56857"/>
    <w:rsid w:val="00D56889"/>
    <w:rsid w:val="00D568C1"/>
    <w:rsid w:val="00D568C8"/>
    <w:rsid w:val="00D56BF6"/>
    <w:rsid w:val="00D56C6F"/>
    <w:rsid w:val="00D56CA3"/>
    <w:rsid w:val="00D56CDC"/>
    <w:rsid w:val="00D56D3D"/>
    <w:rsid w:val="00D56E3A"/>
    <w:rsid w:val="00D56ED0"/>
    <w:rsid w:val="00D56F1B"/>
    <w:rsid w:val="00D56F31"/>
    <w:rsid w:val="00D56F90"/>
    <w:rsid w:val="00D57057"/>
    <w:rsid w:val="00D570E0"/>
    <w:rsid w:val="00D57186"/>
    <w:rsid w:val="00D5725A"/>
    <w:rsid w:val="00D57279"/>
    <w:rsid w:val="00D5734E"/>
    <w:rsid w:val="00D5734F"/>
    <w:rsid w:val="00D5743C"/>
    <w:rsid w:val="00D5745F"/>
    <w:rsid w:val="00D574B9"/>
    <w:rsid w:val="00D5768F"/>
    <w:rsid w:val="00D576E3"/>
    <w:rsid w:val="00D57762"/>
    <w:rsid w:val="00D5788A"/>
    <w:rsid w:val="00D578BC"/>
    <w:rsid w:val="00D57953"/>
    <w:rsid w:val="00D57A04"/>
    <w:rsid w:val="00D57A05"/>
    <w:rsid w:val="00D57A46"/>
    <w:rsid w:val="00D57B1A"/>
    <w:rsid w:val="00D57B52"/>
    <w:rsid w:val="00D57C6E"/>
    <w:rsid w:val="00D57C72"/>
    <w:rsid w:val="00D57CE5"/>
    <w:rsid w:val="00D57DBC"/>
    <w:rsid w:val="00D57EBA"/>
    <w:rsid w:val="00D57EE7"/>
    <w:rsid w:val="00D6000C"/>
    <w:rsid w:val="00D60200"/>
    <w:rsid w:val="00D60272"/>
    <w:rsid w:val="00D60299"/>
    <w:rsid w:val="00D602C4"/>
    <w:rsid w:val="00D603DF"/>
    <w:rsid w:val="00D603EA"/>
    <w:rsid w:val="00D603F4"/>
    <w:rsid w:val="00D60857"/>
    <w:rsid w:val="00D608D5"/>
    <w:rsid w:val="00D60974"/>
    <w:rsid w:val="00D6097C"/>
    <w:rsid w:val="00D6098A"/>
    <w:rsid w:val="00D60A1C"/>
    <w:rsid w:val="00D60AF4"/>
    <w:rsid w:val="00D60AF7"/>
    <w:rsid w:val="00D60B30"/>
    <w:rsid w:val="00D60C4A"/>
    <w:rsid w:val="00D60C91"/>
    <w:rsid w:val="00D60D8D"/>
    <w:rsid w:val="00D60EC4"/>
    <w:rsid w:val="00D6107B"/>
    <w:rsid w:val="00D610A9"/>
    <w:rsid w:val="00D610B3"/>
    <w:rsid w:val="00D61117"/>
    <w:rsid w:val="00D61154"/>
    <w:rsid w:val="00D61195"/>
    <w:rsid w:val="00D6122F"/>
    <w:rsid w:val="00D6123F"/>
    <w:rsid w:val="00D612B8"/>
    <w:rsid w:val="00D6130B"/>
    <w:rsid w:val="00D61371"/>
    <w:rsid w:val="00D61419"/>
    <w:rsid w:val="00D6143D"/>
    <w:rsid w:val="00D61462"/>
    <w:rsid w:val="00D61492"/>
    <w:rsid w:val="00D614AC"/>
    <w:rsid w:val="00D614F1"/>
    <w:rsid w:val="00D6158D"/>
    <w:rsid w:val="00D615A1"/>
    <w:rsid w:val="00D615A7"/>
    <w:rsid w:val="00D615B1"/>
    <w:rsid w:val="00D615CA"/>
    <w:rsid w:val="00D616B0"/>
    <w:rsid w:val="00D616C5"/>
    <w:rsid w:val="00D61749"/>
    <w:rsid w:val="00D6179E"/>
    <w:rsid w:val="00D617A5"/>
    <w:rsid w:val="00D617F7"/>
    <w:rsid w:val="00D618E4"/>
    <w:rsid w:val="00D619B7"/>
    <w:rsid w:val="00D619DD"/>
    <w:rsid w:val="00D619E3"/>
    <w:rsid w:val="00D61A4D"/>
    <w:rsid w:val="00D61A66"/>
    <w:rsid w:val="00D61AA7"/>
    <w:rsid w:val="00D61C4D"/>
    <w:rsid w:val="00D61CFB"/>
    <w:rsid w:val="00D61D40"/>
    <w:rsid w:val="00D61EE6"/>
    <w:rsid w:val="00D61EFE"/>
    <w:rsid w:val="00D61F47"/>
    <w:rsid w:val="00D61F63"/>
    <w:rsid w:val="00D62008"/>
    <w:rsid w:val="00D6206B"/>
    <w:rsid w:val="00D620D0"/>
    <w:rsid w:val="00D6211E"/>
    <w:rsid w:val="00D62230"/>
    <w:rsid w:val="00D62274"/>
    <w:rsid w:val="00D622B6"/>
    <w:rsid w:val="00D62306"/>
    <w:rsid w:val="00D62375"/>
    <w:rsid w:val="00D62439"/>
    <w:rsid w:val="00D624FC"/>
    <w:rsid w:val="00D6253D"/>
    <w:rsid w:val="00D6254A"/>
    <w:rsid w:val="00D626DD"/>
    <w:rsid w:val="00D626E8"/>
    <w:rsid w:val="00D62705"/>
    <w:rsid w:val="00D62771"/>
    <w:rsid w:val="00D627FD"/>
    <w:rsid w:val="00D62A96"/>
    <w:rsid w:val="00D62BC8"/>
    <w:rsid w:val="00D62BF3"/>
    <w:rsid w:val="00D62C16"/>
    <w:rsid w:val="00D62CA5"/>
    <w:rsid w:val="00D62D88"/>
    <w:rsid w:val="00D62D90"/>
    <w:rsid w:val="00D62DB1"/>
    <w:rsid w:val="00D62DF2"/>
    <w:rsid w:val="00D62E59"/>
    <w:rsid w:val="00D62ED2"/>
    <w:rsid w:val="00D62ED7"/>
    <w:rsid w:val="00D631E8"/>
    <w:rsid w:val="00D63224"/>
    <w:rsid w:val="00D6327E"/>
    <w:rsid w:val="00D6329F"/>
    <w:rsid w:val="00D632D6"/>
    <w:rsid w:val="00D6332A"/>
    <w:rsid w:val="00D63381"/>
    <w:rsid w:val="00D63385"/>
    <w:rsid w:val="00D633C7"/>
    <w:rsid w:val="00D6349C"/>
    <w:rsid w:val="00D634E7"/>
    <w:rsid w:val="00D635B1"/>
    <w:rsid w:val="00D63643"/>
    <w:rsid w:val="00D63652"/>
    <w:rsid w:val="00D63681"/>
    <w:rsid w:val="00D6375A"/>
    <w:rsid w:val="00D637A7"/>
    <w:rsid w:val="00D6382C"/>
    <w:rsid w:val="00D638C6"/>
    <w:rsid w:val="00D639AF"/>
    <w:rsid w:val="00D63A78"/>
    <w:rsid w:val="00D63A80"/>
    <w:rsid w:val="00D63A9D"/>
    <w:rsid w:val="00D63B6D"/>
    <w:rsid w:val="00D63C56"/>
    <w:rsid w:val="00D63C74"/>
    <w:rsid w:val="00D63CF0"/>
    <w:rsid w:val="00D63DB6"/>
    <w:rsid w:val="00D63DC4"/>
    <w:rsid w:val="00D63E4C"/>
    <w:rsid w:val="00D63ECA"/>
    <w:rsid w:val="00D63FCF"/>
    <w:rsid w:val="00D640BA"/>
    <w:rsid w:val="00D640C4"/>
    <w:rsid w:val="00D641BC"/>
    <w:rsid w:val="00D6437F"/>
    <w:rsid w:val="00D64385"/>
    <w:rsid w:val="00D64426"/>
    <w:rsid w:val="00D6447F"/>
    <w:rsid w:val="00D6460B"/>
    <w:rsid w:val="00D64646"/>
    <w:rsid w:val="00D64656"/>
    <w:rsid w:val="00D6468B"/>
    <w:rsid w:val="00D646F5"/>
    <w:rsid w:val="00D64753"/>
    <w:rsid w:val="00D64777"/>
    <w:rsid w:val="00D647BA"/>
    <w:rsid w:val="00D648C1"/>
    <w:rsid w:val="00D648E1"/>
    <w:rsid w:val="00D648E7"/>
    <w:rsid w:val="00D6497A"/>
    <w:rsid w:val="00D64981"/>
    <w:rsid w:val="00D649A0"/>
    <w:rsid w:val="00D64A08"/>
    <w:rsid w:val="00D64A9A"/>
    <w:rsid w:val="00D64AA2"/>
    <w:rsid w:val="00D64AFC"/>
    <w:rsid w:val="00D64B3C"/>
    <w:rsid w:val="00D64B91"/>
    <w:rsid w:val="00D64C43"/>
    <w:rsid w:val="00D64CCA"/>
    <w:rsid w:val="00D64CF0"/>
    <w:rsid w:val="00D64EE4"/>
    <w:rsid w:val="00D64F61"/>
    <w:rsid w:val="00D64F9B"/>
    <w:rsid w:val="00D64FEF"/>
    <w:rsid w:val="00D65102"/>
    <w:rsid w:val="00D651C6"/>
    <w:rsid w:val="00D65280"/>
    <w:rsid w:val="00D652D0"/>
    <w:rsid w:val="00D652EE"/>
    <w:rsid w:val="00D65315"/>
    <w:rsid w:val="00D653B7"/>
    <w:rsid w:val="00D65405"/>
    <w:rsid w:val="00D6547E"/>
    <w:rsid w:val="00D65558"/>
    <w:rsid w:val="00D6566F"/>
    <w:rsid w:val="00D656BF"/>
    <w:rsid w:val="00D65809"/>
    <w:rsid w:val="00D65810"/>
    <w:rsid w:val="00D65816"/>
    <w:rsid w:val="00D658E7"/>
    <w:rsid w:val="00D659B0"/>
    <w:rsid w:val="00D65B97"/>
    <w:rsid w:val="00D65CC6"/>
    <w:rsid w:val="00D65E87"/>
    <w:rsid w:val="00D65F02"/>
    <w:rsid w:val="00D6609F"/>
    <w:rsid w:val="00D660BA"/>
    <w:rsid w:val="00D66180"/>
    <w:rsid w:val="00D6619C"/>
    <w:rsid w:val="00D66200"/>
    <w:rsid w:val="00D6632C"/>
    <w:rsid w:val="00D663BA"/>
    <w:rsid w:val="00D6646D"/>
    <w:rsid w:val="00D664F7"/>
    <w:rsid w:val="00D665E4"/>
    <w:rsid w:val="00D6662F"/>
    <w:rsid w:val="00D66659"/>
    <w:rsid w:val="00D66698"/>
    <w:rsid w:val="00D666DF"/>
    <w:rsid w:val="00D66964"/>
    <w:rsid w:val="00D66969"/>
    <w:rsid w:val="00D66A90"/>
    <w:rsid w:val="00D66C02"/>
    <w:rsid w:val="00D66E7F"/>
    <w:rsid w:val="00D66E89"/>
    <w:rsid w:val="00D66FEF"/>
    <w:rsid w:val="00D67300"/>
    <w:rsid w:val="00D6736B"/>
    <w:rsid w:val="00D6746C"/>
    <w:rsid w:val="00D674F2"/>
    <w:rsid w:val="00D67549"/>
    <w:rsid w:val="00D67575"/>
    <w:rsid w:val="00D67581"/>
    <w:rsid w:val="00D67583"/>
    <w:rsid w:val="00D675C5"/>
    <w:rsid w:val="00D675D2"/>
    <w:rsid w:val="00D675EC"/>
    <w:rsid w:val="00D675FE"/>
    <w:rsid w:val="00D6766D"/>
    <w:rsid w:val="00D676CA"/>
    <w:rsid w:val="00D67744"/>
    <w:rsid w:val="00D67A52"/>
    <w:rsid w:val="00D67AA5"/>
    <w:rsid w:val="00D67B02"/>
    <w:rsid w:val="00D67BC6"/>
    <w:rsid w:val="00D67C15"/>
    <w:rsid w:val="00D67D24"/>
    <w:rsid w:val="00D67D2F"/>
    <w:rsid w:val="00D67DC2"/>
    <w:rsid w:val="00D70143"/>
    <w:rsid w:val="00D70161"/>
    <w:rsid w:val="00D7033A"/>
    <w:rsid w:val="00D7034E"/>
    <w:rsid w:val="00D7041E"/>
    <w:rsid w:val="00D70443"/>
    <w:rsid w:val="00D70464"/>
    <w:rsid w:val="00D705CF"/>
    <w:rsid w:val="00D7063F"/>
    <w:rsid w:val="00D707D3"/>
    <w:rsid w:val="00D70843"/>
    <w:rsid w:val="00D70925"/>
    <w:rsid w:val="00D7099D"/>
    <w:rsid w:val="00D709B4"/>
    <w:rsid w:val="00D70A1C"/>
    <w:rsid w:val="00D70A3D"/>
    <w:rsid w:val="00D70ADE"/>
    <w:rsid w:val="00D70B52"/>
    <w:rsid w:val="00D70B96"/>
    <w:rsid w:val="00D70BCE"/>
    <w:rsid w:val="00D70CE2"/>
    <w:rsid w:val="00D70CF4"/>
    <w:rsid w:val="00D70D3E"/>
    <w:rsid w:val="00D70E13"/>
    <w:rsid w:val="00D70E41"/>
    <w:rsid w:val="00D70EDD"/>
    <w:rsid w:val="00D70EE7"/>
    <w:rsid w:val="00D70FB0"/>
    <w:rsid w:val="00D70FD8"/>
    <w:rsid w:val="00D71005"/>
    <w:rsid w:val="00D71070"/>
    <w:rsid w:val="00D7126F"/>
    <w:rsid w:val="00D71305"/>
    <w:rsid w:val="00D71326"/>
    <w:rsid w:val="00D7137E"/>
    <w:rsid w:val="00D713BB"/>
    <w:rsid w:val="00D7143F"/>
    <w:rsid w:val="00D7144D"/>
    <w:rsid w:val="00D714A1"/>
    <w:rsid w:val="00D71511"/>
    <w:rsid w:val="00D71625"/>
    <w:rsid w:val="00D7162E"/>
    <w:rsid w:val="00D71A9B"/>
    <w:rsid w:val="00D71AF0"/>
    <w:rsid w:val="00D71B82"/>
    <w:rsid w:val="00D71BAE"/>
    <w:rsid w:val="00D71BCA"/>
    <w:rsid w:val="00D71D73"/>
    <w:rsid w:val="00D71E11"/>
    <w:rsid w:val="00D71EFC"/>
    <w:rsid w:val="00D71F44"/>
    <w:rsid w:val="00D72048"/>
    <w:rsid w:val="00D72138"/>
    <w:rsid w:val="00D72262"/>
    <w:rsid w:val="00D723D3"/>
    <w:rsid w:val="00D7244A"/>
    <w:rsid w:val="00D72469"/>
    <w:rsid w:val="00D72504"/>
    <w:rsid w:val="00D72656"/>
    <w:rsid w:val="00D726FE"/>
    <w:rsid w:val="00D7279E"/>
    <w:rsid w:val="00D727BB"/>
    <w:rsid w:val="00D727FB"/>
    <w:rsid w:val="00D7280A"/>
    <w:rsid w:val="00D72810"/>
    <w:rsid w:val="00D72830"/>
    <w:rsid w:val="00D7286C"/>
    <w:rsid w:val="00D72888"/>
    <w:rsid w:val="00D72A94"/>
    <w:rsid w:val="00D72AA8"/>
    <w:rsid w:val="00D72B1D"/>
    <w:rsid w:val="00D72B47"/>
    <w:rsid w:val="00D72B49"/>
    <w:rsid w:val="00D72BAB"/>
    <w:rsid w:val="00D72CB4"/>
    <w:rsid w:val="00D72DFE"/>
    <w:rsid w:val="00D72E06"/>
    <w:rsid w:val="00D72E3B"/>
    <w:rsid w:val="00D72F30"/>
    <w:rsid w:val="00D72FCD"/>
    <w:rsid w:val="00D72FF3"/>
    <w:rsid w:val="00D7308F"/>
    <w:rsid w:val="00D73096"/>
    <w:rsid w:val="00D73154"/>
    <w:rsid w:val="00D7315B"/>
    <w:rsid w:val="00D731BE"/>
    <w:rsid w:val="00D732BD"/>
    <w:rsid w:val="00D732CB"/>
    <w:rsid w:val="00D733AC"/>
    <w:rsid w:val="00D733B3"/>
    <w:rsid w:val="00D73432"/>
    <w:rsid w:val="00D734CA"/>
    <w:rsid w:val="00D7350F"/>
    <w:rsid w:val="00D735A1"/>
    <w:rsid w:val="00D73635"/>
    <w:rsid w:val="00D7363F"/>
    <w:rsid w:val="00D73644"/>
    <w:rsid w:val="00D736D4"/>
    <w:rsid w:val="00D73716"/>
    <w:rsid w:val="00D7382F"/>
    <w:rsid w:val="00D7389D"/>
    <w:rsid w:val="00D738AF"/>
    <w:rsid w:val="00D73935"/>
    <w:rsid w:val="00D73B53"/>
    <w:rsid w:val="00D73CC7"/>
    <w:rsid w:val="00D73D1F"/>
    <w:rsid w:val="00D73D56"/>
    <w:rsid w:val="00D73D7C"/>
    <w:rsid w:val="00D73D95"/>
    <w:rsid w:val="00D73DAA"/>
    <w:rsid w:val="00D73E63"/>
    <w:rsid w:val="00D74059"/>
    <w:rsid w:val="00D7408E"/>
    <w:rsid w:val="00D7417E"/>
    <w:rsid w:val="00D741B3"/>
    <w:rsid w:val="00D7426D"/>
    <w:rsid w:val="00D74282"/>
    <w:rsid w:val="00D74285"/>
    <w:rsid w:val="00D74384"/>
    <w:rsid w:val="00D7438C"/>
    <w:rsid w:val="00D744D4"/>
    <w:rsid w:val="00D745D2"/>
    <w:rsid w:val="00D7471C"/>
    <w:rsid w:val="00D74746"/>
    <w:rsid w:val="00D74752"/>
    <w:rsid w:val="00D747CD"/>
    <w:rsid w:val="00D748D0"/>
    <w:rsid w:val="00D749F4"/>
    <w:rsid w:val="00D74A0E"/>
    <w:rsid w:val="00D74A6B"/>
    <w:rsid w:val="00D74A8B"/>
    <w:rsid w:val="00D74B7C"/>
    <w:rsid w:val="00D74CA7"/>
    <w:rsid w:val="00D74D23"/>
    <w:rsid w:val="00D74DE0"/>
    <w:rsid w:val="00D74E53"/>
    <w:rsid w:val="00D74FD5"/>
    <w:rsid w:val="00D74FDE"/>
    <w:rsid w:val="00D74FE4"/>
    <w:rsid w:val="00D74FE8"/>
    <w:rsid w:val="00D75149"/>
    <w:rsid w:val="00D7540C"/>
    <w:rsid w:val="00D7546C"/>
    <w:rsid w:val="00D754A8"/>
    <w:rsid w:val="00D75541"/>
    <w:rsid w:val="00D75576"/>
    <w:rsid w:val="00D7562E"/>
    <w:rsid w:val="00D756DC"/>
    <w:rsid w:val="00D7572F"/>
    <w:rsid w:val="00D757C7"/>
    <w:rsid w:val="00D758BC"/>
    <w:rsid w:val="00D7593F"/>
    <w:rsid w:val="00D75940"/>
    <w:rsid w:val="00D75BF9"/>
    <w:rsid w:val="00D75C9F"/>
    <w:rsid w:val="00D75CAC"/>
    <w:rsid w:val="00D75CF9"/>
    <w:rsid w:val="00D75EFD"/>
    <w:rsid w:val="00D75F7E"/>
    <w:rsid w:val="00D75FAA"/>
    <w:rsid w:val="00D76009"/>
    <w:rsid w:val="00D76037"/>
    <w:rsid w:val="00D76130"/>
    <w:rsid w:val="00D761E0"/>
    <w:rsid w:val="00D7626D"/>
    <w:rsid w:val="00D76276"/>
    <w:rsid w:val="00D7628F"/>
    <w:rsid w:val="00D76416"/>
    <w:rsid w:val="00D7656D"/>
    <w:rsid w:val="00D76666"/>
    <w:rsid w:val="00D766DB"/>
    <w:rsid w:val="00D76718"/>
    <w:rsid w:val="00D767DC"/>
    <w:rsid w:val="00D76906"/>
    <w:rsid w:val="00D769B3"/>
    <w:rsid w:val="00D769E3"/>
    <w:rsid w:val="00D76A11"/>
    <w:rsid w:val="00D76A23"/>
    <w:rsid w:val="00D76BC5"/>
    <w:rsid w:val="00D76C74"/>
    <w:rsid w:val="00D76CC3"/>
    <w:rsid w:val="00D76CFE"/>
    <w:rsid w:val="00D76D04"/>
    <w:rsid w:val="00D76E1B"/>
    <w:rsid w:val="00D76E73"/>
    <w:rsid w:val="00D76F17"/>
    <w:rsid w:val="00D76F1B"/>
    <w:rsid w:val="00D76FEC"/>
    <w:rsid w:val="00D770DD"/>
    <w:rsid w:val="00D771B5"/>
    <w:rsid w:val="00D771D2"/>
    <w:rsid w:val="00D77259"/>
    <w:rsid w:val="00D7726F"/>
    <w:rsid w:val="00D772DB"/>
    <w:rsid w:val="00D774CC"/>
    <w:rsid w:val="00D7750D"/>
    <w:rsid w:val="00D7752A"/>
    <w:rsid w:val="00D7768F"/>
    <w:rsid w:val="00D776FF"/>
    <w:rsid w:val="00D77761"/>
    <w:rsid w:val="00D777C9"/>
    <w:rsid w:val="00D77903"/>
    <w:rsid w:val="00D77938"/>
    <w:rsid w:val="00D77A62"/>
    <w:rsid w:val="00D77AE7"/>
    <w:rsid w:val="00D77B9D"/>
    <w:rsid w:val="00D77C18"/>
    <w:rsid w:val="00D77C30"/>
    <w:rsid w:val="00D77CC4"/>
    <w:rsid w:val="00D77D19"/>
    <w:rsid w:val="00D77E5B"/>
    <w:rsid w:val="00D800F9"/>
    <w:rsid w:val="00D80144"/>
    <w:rsid w:val="00D8016E"/>
    <w:rsid w:val="00D801D9"/>
    <w:rsid w:val="00D801FB"/>
    <w:rsid w:val="00D803A8"/>
    <w:rsid w:val="00D804D2"/>
    <w:rsid w:val="00D804EA"/>
    <w:rsid w:val="00D804F8"/>
    <w:rsid w:val="00D804FF"/>
    <w:rsid w:val="00D80529"/>
    <w:rsid w:val="00D806BE"/>
    <w:rsid w:val="00D807B1"/>
    <w:rsid w:val="00D80803"/>
    <w:rsid w:val="00D8084A"/>
    <w:rsid w:val="00D80866"/>
    <w:rsid w:val="00D808B6"/>
    <w:rsid w:val="00D80968"/>
    <w:rsid w:val="00D80994"/>
    <w:rsid w:val="00D80A91"/>
    <w:rsid w:val="00D80AC4"/>
    <w:rsid w:val="00D80B65"/>
    <w:rsid w:val="00D80BD3"/>
    <w:rsid w:val="00D80C1E"/>
    <w:rsid w:val="00D80CF2"/>
    <w:rsid w:val="00D80D9C"/>
    <w:rsid w:val="00D80DD6"/>
    <w:rsid w:val="00D80E48"/>
    <w:rsid w:val="00D80EC6"/>
    <w:rsid w:val="00D80F78"/>
    <w:rsid w:val="00D80FB1"/>
    <w:rsid w:val="00D8114E"/>
    <w:rsid w:val="00D81191"/>
    <w:rsid w:val="00D811B9"/>
    <w:rsid w:val="00D812A7"/>
    <w:rsid w:val="00D8134C"/>
    <w:rsid w:val="00D81360"/>
    <w:rsid w:val="00D813A4"/>
    <w:rsid w:val="00D8141C"/>
    <w:rsid w:val="00D81445"/>
    <w:rsid w:val="00D814B2"/>
    <w:rsid w:val="00D8154F"/>
    <w:rsid w:val="00D81592"/>
    <w:rsid w:val="00D81681"/>
    <w:rsid w:val="00D8178B"/>
    <w:rsid w:val="00D8178E"/>
    <w:rsid w:val="00D818D0"/>
    <w:rsid w:val="00D8194C"/>
    <w:rsid w:val="00D81976"/>
    <w:rsid w:val="00D81A86"/>
    <w:rsid w:val="00D81A8A"/>
    <w:rsid w:val="00D81B2E"/>
    <w:rsid w:val="00D81BB8"/>
    <w:rsid w:val="00D81BC4"/>
    <w:rsid w:val="00D81C67"/>
    <w:rsid w:val="00D81C85"/>
    <w:rsid w:val="00D81CAC"/>
    <w:rsid w:val="00D81CBE"/>
    <w:rsid w:val="00D81CDD"/>
    <w:rsid w:val="00D81D75"/>
    <w:rsid w:val="00D81E26"/>
    <w:rsid w:val="00D81EC4"/>
    <w:rsid w:val="00D81EF8"/>
    <w:rsid w:val="00D81F69"/>
    <w:rsid w:val="00D8207A"/>
    <w:rsid w:val="00D820BA"/>
    <w:rsid w:val="00D821DA"/>
    <w:rsid w:val="00D82212"/>
    <w:rsid w:val="00D82297"/>
    <w:rsid w:val="00D822B6"/>
    <w:rsid w:val="00D8231B"/>
    <w:rsid w:val="00D8239A"/>
    <w:rsid w:val="00D82431"/>
    <w:rsid w:val="00D824B7"/>
    <w:rsid w:val="00D825A3"/>
    <w:rsid w:val="00D8275C"/>
    <w:rsid w:val="00D8282D"/>
    <w:rsid w:val="00D82839"/>
    <w:rsid w:val="00D82915"/>
    <w:rsid w:val="00D82B06"/>
    <w:rsid w:val="00D82B20"/>
    <w:rsid w:val="00D82C2D"/>
    <w:rsid w:val="00D82C77"/>
    <w:rsid w:val="00D82CAB"/>
    <w:rsid w:val="00D82ED3"/>
    <w:rsid w:val="00D82FCF"/>
    <w:rsid w:val="00D82FE8"/>
    <w:rsid w:val="00D8307F"/>
    <w:rsid w:val="00D830C5"/>
    <w:rsid w:val="00D830ED"/>
    <w:rsid w:val="00D83164"/>
    <w:rsid w:val="00D83185"/>
    <w:rsid w:val="00D831D6"/>
    <w:rsid w:val="00D83226"/>
    <w:rsid w:val="00D8322B"/>
    <w:rsid w:val="00D8327D"/>
    <w:rsid w:val="00D8328F"/>
    <w:rsid w:val="00D832D9"/>
    <w:rsid w:val="00D8339C"/>
    <w:rsid w:val="00D834EC"/>
    <w:rsid w:val="00D83503"/>
    <w:rsid w:val="00D83509"/>
    <w:rsid w:val="00D8362F"/>
    <w:rsid w:val="00D8363D"/>
    <w:rsid w:val="00D83764"/>
    <w:rsid w:val="00D8386B"/>
    <w:rsid w:val="00D838DF"/>
    <w:rsid w:val="00D838F5"/>
    <w:rsid w:val="00D83A22"/>
    <w:rsid w:val="00D83A70"/>
    <w:rsid w:val="00D83D2A"/>
    <w:rsid w:val="00D83D52"/>
    <w:rsid w:val="00D83EE6"/>
    <w:rsid w:val="00D83F41"/>
    <w:rsid w:val="00D83FA4"/>
    <w:rsid w:val="00D84076"/>
    <w:rsid w:val="00D840DB"/>
    <w:rsid w:val="00D84121"/>
    <w:rsid w:val="00D841E8"/>
    <w:rsid w:val="00D841EE"/>
    <w:rsid w:val="00D8422B"/>
    <w:rsid w:val="00D84364"/>
    <w:rsid w:val="00D843CB"/>
    <w:rsid w:val="00D84402"/>
    <w:rsid w:val="00D8440B"/>
    <w:rsid w:val="00D844B1"/>
    <w:rsid w:val="00D84569"/>
    <w:rsid w:val="00D84601"/>
    <w:rsid w:val="00D8466D"/>
    <w:rsid w:val="00D846ED"/>
    <w:rsid w:val="00D8473B"/>
    <w:rsid w:val="00D8488D"/>
    <w:rsid w:val="00D8491D"/>
    <w:rsid w:val="00D8493D"/>
    <w:rsid w:val="00D84974"/>
    <w:rsid w:val="00D8499E"/>
    <w:rsid w:val="00D849D5"/>
    <w:rsid w:val="00D849D6"/>
    <w:rsid w:val="00D84A0A"/>
    <w:rsid w:val="00D84A2E"/>
    <w:rsid w:val="00D84A63"/>
    <w:rsid w:val="00D84C4A"/>
    <w:rsid w:val="00D84CCD"/>
    <w:rsid w:val="00D84D3A"/>
    <w:rsid w:val="00D84DF2"/>
    <w:rsid w:val="00D84E13"/>
    <w:rsid w:val="00D84EA6"/>
    <w:rsid w:val="00D84F51"/>
    <w:rsid w:val="00D84FCB"/>
    <w:rsid w:val="00D85039"/>
    <w:rsid w:val="00D85081"/>
    <w:rsid w:val="00D850B2"/>
    <w:rsid w:val="00D85113"/>
    <w:rsid w:val="00D85215"/>
    <w:rsid w:val="00D85235"/>
    <w:rsid w:val="00D8523A"/>
    <w:rsid w:val="00D852A5"/>
    <w:rsid w:val="00D852A6"/>
    <w:rsid w:val="00D852AF"/>
    <w:rsid w:val="00D85391"/>
    <w:rsid w:val="00D8544B"/>
    <w:rsid w:val="00D85644"/>
    <w:rsid w:val="00D856D8"/>
    <w:rsid w:val="00D856FD"/>
    <w:rsid w:val="00D8572B"/>
    <w:rsid w:val="00D8579D"/>
    <w:rsid w:val="00D857D3"/>
    <w:rsid w:val="00D857DD"/>
    <w:rsid w:val="00D858D8"/>
    <w:rsid w:val="00D85A30"/>
    <w:rsid w:val="00D85B7D"/>
    <w:rsid w:val="00D85BBA"/>
    <w:rsid w:val="00D85BD5"/>
    <w:rsid w:val="00D85BDB"/>
    <w:rsid w:val="00D85BE1"/>
    <w:rsid w:val="00D85C96"/>
    <w:rsid w:val="00D85CF8"/>
    <w:rsid w:val="00D85CF9"/>
    <w:rsid w:val="00D85DCA"/>
    <w:rsid w:val="00D85E98"/>
    <w:rsid w:val="00D85ED2"/>
    <w:rsid w:val="00D85FAB"/>
    <w:rsid w:val="00D8608F"/>
    <w:rsid w:val="00D861D1"/>
    <w:rsid w:val="00D86203"/>
    <w:rsid w:val="00D862B8"/>
    <w:rsid w:val="00D86367"/>
    <w:rsid w:val="00D86507"/>
    <w:rsid w:val="00D865A1"/>
    <w:rsid w:val="00D866B5"/>
    <w:rsid w:val="00D86723"/>
    <w:rsid w:val="00D8683D"/>
    <w:rsid w:val="00D868CA"/>
    <w:rsid w:val="00D86959"/>
    <w:rsid w:val="00D86977"/>
    <w:rsid w:val="00D869C1"/>
    <w:rsid w:val="00D869CF"/>
    <w:rsid w:val="00D86A18"/>
    <w:rsid w:val="00D86A50"/>
    <w:rsid w:val="00D86A88"/>
    <w:rsid w:val="00D86B86"/>
    <w:rsid w:val="00D86C12"/>
    <w:rsid w:val="00D86C6C"/>
    <w:rsid w:val="00D86D18"/>
    <w:rsid w:val="00D86DF3"/>
    <w:rsid w:val="00D86E32"/>
    <w:rsid w:val="00D86EEE"/>
    <w:rsid w:val="00D8704D"/>
    <w:rsid w:val="00D870D5"/>
    <w:rsid w:val="00D87103"/>
    <w:rsid w:val="00D87107"/>
    <w:rsid w:val="00D87117"/>
    <w:rsid w:val="00D871D0"/>
    <w:rsid w:val="00D87226"/>
    <w:rsid w:val="00D87233"/>
    <w:rsid w:val="00D87239"/>
    <w:rsid w:val="00D8725E"/>
    <w:rsid w:val="00D872A1"/>
    <w:rsid w:val="00D872FD"/>
    <w:rsid w:val="00D87300"/>
    <w:rsid w:val="00D873CE"/>
    <w:rsid w:val="00D87467"/>
    <w:rsid w:val="00D875EA"/>
    <w:rsid w:val="00D87646"/>
    <w:rsid w:val="00D87661"/>
    <w:rsid w:val="00D87698"/>
    <w:rsid w:val="00D8782F"/>
    <w:rsid w:val="00D8784A"/>
    <w:rsid w:val="00D878BF"/>
    <w:rsid w:val="00D8797F"/>
    <w:rsid w:val="00D879FF"/>
    <w:rsid w:val="00D87C28"/>
    <w:rsid w:val="00D87D58"/>
    <w:rsid w:val="00D87D6D"/>
    <w:rsid w:val="00D87D91"/>
    <w:rsid w:val="00D87EEF"/>
    <w:rsid w:val="00D87FD7"/>
    <w:rsid w:val="00D87FDC"/>
    <w:rsid w:val="00D90087"/>
    <w:rsid w:val="00D900B0"/>
    <w:rsid w:val="00D900FB"/>
    <w:rsid w:val="00D90290"/>
    <w:rsid w:val="00D903CC"/>
    <w:rsid w:val="00D903CF"/>
    <w:rsid w:val="00D90451"/>
    <w:rsid w:val="00D90471"/>
    <w:rsid w:val="00D90490"/>
    <w:rsid w:val="00D9051E"/>
    <w:rsid w:val="00D90628"/>
    <w:rsid w:val="00D906BD"/>
    <w:rsid w:val="00D906F3"/>
    <w:rsid w:val="00D9075D"/>
    <w:rsid w:val="00D9079F"/>
    <w:rsid w:val="00D907DF"/>
    <w:rsid w:val="00D908DC"/>
    <w:rsid w:val="00D908E9"/>
    <w:rsid w:val="00D908EB"/>
    <w:rsid w:val="00D909A3"/>
    <w:rsid w:val="00D909F5"/>
    <w:rsid w:val="00D90B99"/>
    <w:rsid w:val="00D90C0F"/>
    <w:rsid w:val="00D90D23"/>
    <w:rsid w:val="00D90D6A"/>
    <w:rsid w:val="00D90E58"/>
    <w:rsid w:val="00D90F3F"/>
    <w:rsid w:val="00D90F9F"/>
    <w:rsid w:val="00D90FD7"/>
    <w:rsid w:val="00D90FEB"/>
    <w:rsid w:val="00D9102C"/>
    <w:rsid w:val="00D911CB"/>
    <w:rsid w:val="00D91328"/>
    <w:rsid w:val="00D9145B"/>
    <w:rsid w:val="00D91599"/>
    <w:rsid w:val="00D915CB"/>
    <w:rsid w:val="00D915D1"/>
    <w:rsid w:val="00D91629"/>
    <w:rsid w:val="00D91636"/>
    <w:rsid w:val="00D916F9"/>
    <w:rsid w:val="00D917BF"/>
    <w:rsid w:val="00D917FE"/>
    <w:rsid w:val="00D9181B"/>
    <w:rsid w:val="00D918CF"/>
    <w:rsid w:val="00D918FF"/>
    <w:rsid w:val="00D91927"/>
    <w:rsid w:val="00D9193E"/>
    <w:rsid w:val="00D91A2A"/>
    <w:rsid w:val="00D91ACC"/>
    <w:rsid w:val="00D91B0E"/>
    <w:rsid w:val="00D91BC2"/>
    <w:rsid w:val="00D91BD3"/>
    <w:rsid w:val="00D91BDD"/>
    <w:rsid w:val="00D91BE2"/>
    <w:rsid w:val="00D91D78"/>
    <w:rsid w:val="00D91E86"/>
    <w:rsid w:val="00D91EAB"/>
    <w:rsid w:val="00D91EBB"/>
    <w:rsid w:val="00D91FB5"/>
    <w:rsid w:val="00D92174"/>
    <w:rsid w:val="00D921FD"/>
    <w:rsid w:val="00D922BC"/>
    <w:rsid w:val="00D9239C"/>
    <w:rsid w:val="00D92415"/>
    <w:rsid w:val="00D92456"/>
    <w:rsid w:val="00D924E9"/>
    <w:rsid w:val="00D9262E"/>
    <w:rsid w:val="00D9264F"/>
    <w:rsid w:val="00D926F6"/>
    <w:rsid w:val="00D92737"/>
    <w:rsid w:val="00D9274E"/>
    <w:rsid w:val="00D927AB"/>
    <w:rsid w:val="00D92A21"/>
    <w:rsid w:val="00D92A48"/>
    <w:rsid w:val="00D92A7A"/>
    <w:rsid w:val="00D92AA3"/>
    <w:rsid w:val="00D92B14"/>
    <w:rsid w:val="00D92B52"/>
    <w:rsid w:val="00D92B73"/>
    <w:rsid w:val="00D92B97"/>
    <w:rsid w:val="00D92CB2"/>
    <w:rsid w:val="00D92CF2"/>
    <w:rsid w:val="00D92D71"/>
    <w:rsid w:val="00D92D72"/>
    <w:rsid w:val="00D92DD2"/>
    <w:rsid w:val="00D92E1C"/>
    <w:rsid w:val="00D92EA0"/>
    <w:rsid w:val="00D92F60"/>
    <w:rsid w:val="00D9301D"/>
    <w:rsid w:val="00D930D9"/>
    <w:rsid w:val="00D9310D"/>
    <w:rsid w:val="00D93137"/>
    <w:rsid w:val="00D93266"/>
    <w:rsid w:val="00D93378"/>
    <w:rsid w:val="00D933BF"/>
    <w:rsid w:val="00D9344B"/>
    <w:rsid w:val="00D9345A"/>
    <w:rsid w:val="00D93482"/>
    <w:rsid w:val="00D9351A"/>
    <w:rsid w:val="00D9355A"/>
    <w:rsid w:val="00D935D8"/>
    <w:rsid w:val="00D93619"/>
    <w:rsid w:val="00D936F3"/>
    <w:rsid w:val="00D93858"/>
    <w:rsid w:val="00D93876"/>
    <w:rsid w:val="00D938A1"/>
    <w:rsid w:val="00D938F2"/>
    <w:rsid w:val="00D93A30"/>
    <w:rsid w:val="00D93A64"/>
    <w:rsid w:val="00D93ABE"/>
    <w:rsid w:val="00D93AF2"/>
    <w:rsid w:val="00D93B22"/>
    <w:rsid w:val="00D93B49"/>
    <w:rsid w:val="00D93B91"/>
    <w:rsid w:val="00D93B93"/>
    <w:rsid w:val="00D93C68"/>
    <w:rsid w:val="00D93CDD"/>
    <w:rsid w:val="00D93F46"/>
    <w:rsid w:val="00D93F4E"/>
    <w:rsid w:val="00D93F80"/>
    <w:rsid w:val="00D93FE1"/>
    <w:rsid w:val="00D940D6"/>
    <w:rsid w:val="00D94134"/>
    <w:rsid w:val="00D94148"/>
    <w:rsid w:val="00D941BD"/>
    <w:rsid w:val="00D94238"/>
    <w:rsid w:val="00D9432B"/>
    <w:rsid w:val="00D94330"/>
    <w:rsid w:val="00D944F8"/>
    <w:rsid w:val="00D94568"/>
    <w:rsid w:val="00D945A5"/>
    <w:rsid w:val="00D9460F"/>
    <w:rsid w:val="00D9461F"/>
    <w:rsid w:val="00D94785"/>
    <w:rsid w:val="00D947F1"/>
    <w:rsid w:val="00D9484C"/>
    <w:rsid w:val="00D94921"/>
    <w:rsid w:val="00D94B55"/>
    <w:rsid w:val="00D94B77"/>
    <w:rsid w:val="00D94B88"/>
    <w:rsid w:val="00D94B91"/>
    <w:rsid w:val="00D94C90"/>
    <w:rsid w:val="00D94D1D"/>
    <w:rsid w:val="00D94EE0"/>
    <w:rsid w:val="00D94F36"/>
    <w:rsid w:val="00D94F38"/>
    <w:rsid w:val="00D94FDD"/>
    <w:rsid w:val="00D950BE"/>
    <w:rsid w:val="00D950C2"/>
    <w:rsid w:val="00D950D7"/>
    <w:rsid w:val="00D95229"/>
    <w:rsid w:val="00D95338"/>
    <w:rsid w:val="00D95356"/>
    <w:rsid w:val="00D953A1"/>
    <w:rsid w:val="00D953BD"/>
    <w:rsid w:val="00D953D8"/>
    <w:rsid w:val="00D95440"/>
    <w:rsid w:val="00D95586"/>
    <w:rsid w:val="00D9560A"/>
    <w:rsid w:val="00D9560E"/>
    <w:rsid w:val="00D9569A"/>
    <w:rsid w:val="00D9570F"/>
    <w:rsid w:val="00D957CA"/>
    <w:rsid w:val="00D957D8"/>
    <w:rsid w:val="00D95845"/>
    <w:rsid w:val="00D958DF"/>
    <w:rsid w:val="00D95911"/>
    <w:rsid w:val="00D959EA"/>
    <w:rsid w:val="00D95A79"/>
    <w:rsid w:val="00D95A7D"/>
    <w:rsid w:val="00D95ACF"/>
    <w:rsid w:val="00D95C4D"/>
    <w:rsid w:val="00D95CDD"/>
    <w:rsid w:val="00D95EC3"/>
    <w:rsid w:val="00D95F6D"/>
    <w:rsid w:val="00D95F73"/>
    <w:rsid w:val="00D95FFC"/>
    <w:rsid w:val="00D960E0"/>
    <w:rsid w:val="00D9610E"/>
    <w:rsid w:val="00D96238"/>
    <w:rsid w:val="00D96308"/>
    <w:rsid w:val="00D96322"/>
    <w:rsid w:val="00D9634A"/>
    <w:rsid w:val="00D96366"/>
    <w:rsid w:val="00D963BF"/>
    <w:rsid w:val="00D963C1"/>
    <w:rsid w:val="00D96448"/>
    <w:rsid w:val="00D964E9"/>
    <w:rsid w:val="00D9656A"/>
    <w:rsid w:val="00D965B1"/>
    <w:rsid w:val="00D9663B"/>
    <w:rsid w:val="00D96773"/>
    <w:rsid w:val="00D96884"/>
    <w:rsid w:val="00D968A4"/>
    <w:rsid w:val="00D968AD"/>
    <w:rsid w:val="00D968CE"/>
    <w:rsid w:val="00D96999"/>
    <w:rsid w:val="00D96B4C"/>
    <w:rsid w:val="00D96BAA"/>
    <w:rsid w:val="00D96C01"/>
    <w:rsid w:val="00D96C37"/>
    <w:rsid w:val="00D96CB7"/>
    <w:rsid w:val="00D96D3B"/>
    <w:rsid w:val="00D96D58"/>
    <w:rsid w:val="00D96D84"/>
    <w:rsid w:val="00D96DD1"/>
    <w:rsid w:val="00D96F83"/>
    <w:rsid w:val="00D97035"/>
    <w:rsid w:val="00D97145"/>
    <w:rsid w:val="00D9735F"/>
    <w:rsid w:val="00D9739F"/>
    <w:rsid w:val="00D9745D"/>
    <w:rsid w:val="00D97499"/>
    <w:rsid w:val="00D97586"/>
    <w:rsid w:val="00D975D2"/>
    <w:rsid w:val="00D976F1"/>
    <w:rsid w:val="00D9773B"/>
    <w:rsid w:val="00D97802"/>
    <w:rsid w:val="00D978A2"/>
    <w:rsid w:val="00D97982"/>
    <w:rsid w:val="00D97993"/>
    <w:rsid w:val="00D979FB"/>
    <w:rsid w:val="00D97A50"/>
    <w:rsid w:val="00D97A77"/>
    <w:rsid w:val="00D97A7A"/>
    <w:rsid w:val="00D97BD8"/>
    <w:rsid w:val="00D97C78"/>
    <w:rsid w:val="00D97CA7"/>
    <w:rsid w:val="00D97CF0"/>
    <w:rsid w:val="00D97DB4"/>
    <w:rsid w:val="00D97E0B"/>
    <w:rsid w:val="00D97EEF"/>
    <w:rsid w:val="00D97F9F"/>
    <w:rsid w:val="00D97FA5"/>
    <w:rsid w:val="00DA00F4"/>
    <w:rsid w:val="00DA010C"/>
    <w:rsid w:val="00DA04C1"/>
    <w:rsid w:val="00DA05F7"/>
    <w:rsid w:val="00DA0615"/>
    <w:rsid w:val="00DA0624"/>
    <w:rsid w:val="00DA0826"/>
    <w:rsid w:val="00DA089F"/>
    <w:rsid w:val="00DA08D1"/>
    <w:rsid w:val="00DA08E4"/>
    <w:rsid w:val="00DA0911"/>
    <w:rsid w:val="00DA0927"/>
    <w:rsid w:val="00DA0996"/>
    <w:rsid w:val="00DA09C0"/>
    <w:rsid w:val="00DA09C9"/>
    <w:rsid w:val="00DA09E2"/>
    <w:rsid w:val="00DA0A56"/>
    <w:rsid w:val="00DA0AD4"/>
    <w:rsid w:val="00DA0B21"/>
    <w:rsid w:val="00DA0BCD"/>
    <w:rsid w:val="00DA0BE8"/>
    <w:rsid w:val="00DA0C5A"/>
    <w:rsid w:val="00DA0D5F"/>
    <w:rsid w:val="00DA0D77"/>
    <w:rsid w:val="00DA0DE3"/>
    <w:rsid w:val="00DA0EA9"/>
    <w:rsid w:val="00DA0FF8"/>
    <w:rsid w:val="00DA104E"/>
    <w:rsid w:val="00DA108D"/>
    <w:rsid w:val="00DA10BB"/>
    <w:rsid w:val="00DA10E4"/>
    <w:rsid w:val="00DA10F9"/>
    <w:rsid w:val="00DA127E"/>
    <w:rsid w:val="00DA1359"/>
    <w:rsid w:val="00DA136C"/>
    <w:rsid w:val="00DA137F"/>
    <w:rsid w:val="00DA13A7"/>
    <w:rsid w:val="00DA13BF"/>
    <w:rsid w:val="00DA13CB"/>
    <w:rsid w:val="00DA13D7"/>
    <w:rsid w:val="00DA147C"/>
    <w:rsid w:val="00DA1487"/>
    <w:rsid w:val="00DA1496"/>
    <w:rsid w:val="00DA15BA"/>
    <w:rsid w:val="00DA15CE"/>
    <w:rsid w:val="00DA16F1"/>
    <w:rsid w:val="00DA1726"/>
    <w:rsid w:val="00DA17C3"/>
    <w:rsid w:val="00DA17EC"/>
    <w:rsid w:val="00DA18F2"/>
    <w:rsid w:val="00DA191A"/>
    <w:rsid w:val="00DA1988"/>
    <w:rsid w:val="00DA198E"/>
    <w:rsid w:val="00DA19A1"/>
    <w:rsid w:val="00DA1A00"/>
    <w:rsid w:val="00DA1AEC"/>
    <w:rsid w:val="00DA1B23"/>
    <w:rsid w:val="00DA1BA7"/>
    <w:rsid w:val="00DA1C8F"/>
    <w:rsid w:val="00DA1D53"/>
    <w:rsid w:val="00DA1E7E"/>
    <w:rsid w:val="00DA1F56"/>
    <w:rsid w:val="00DA2007"/>
    <w:rsid w:val="00DA210B"/>
    <w:rsid w:val="00DA21B2"/>
    <w:rsid w:val="00DA21CA"/>
    <w:rsid w:val="00DA22B1"/>
    <w:rsid w:val="00DA22B5"/>
    <w:rsid w:val="00DA237F"/>
    <w:rsid w:val="00DA24AE"/>
    <w:rsid w:val="00DA2590"/>
    <w:rsid w:val="00DA2675"/>
    <w:rsid w:val="00DA2712"/>
    <w:rsid w:val="00DA2798"/>
    <w:rsid w:val="00DA27CD"/>
    <w:rsid w:val="00DA2847"/>
    <w:rsid w:val="00DA28C7"/>
    <w:rsid w:val="00DA290F"/>
    <w:rsid w:val="00DA2948"/>
    <w:rsid w:val="00DA29B0"/>
    <w:rsid w:val="00DA2A1B"/>
    <w:rsid w:val="00DA2A56"/>
    <w:rsid w:val="00DA2B93"/>
    <w:rsid w:val="00DA2BA5"/>
    <w:rsid w:val="00DA2CCF"/>
    <w:rsid w:val="00DA2D26"/>
    <w:rsid w:val="00DA2E88"/>
    <w:rsid w:val="00DA2EB6"/>
    <w:rsid w:val="00DA2F03"/>
    <w:rsid w:val="00DA2FFA"/>
    <w:rsid w:val="00DA3065"/>
    <w:rsid w:val="00DA30FF"/>
    <w:rsid w:val="00DA3128"/>
    <w:rsid w:val="00DA3171"/>
    <w:rsid w:val="00DA319C"/>
    <w:rsid w:val="00DA31C7"/>
    <w:rsid w:val="00DA3236"/>
    <w:rsid w:val="00DA32C6"/>
    <w:rsid w:val="00DA33C5"/>
    <w:rsid w:val="00DA33FB"/>
    <w:rsid w:val="00DA3402"/>
    <w:rsid w:val="00DA354A"/>
    <w:rsid w:val="00DA355C"/>
    <w:rsid w:val="00DA358E"/>
    <w:rsid w:val="00DA3599"/>
    <w:rsid w:val="00DA367D"/>
    <w:rsid w:val="00DA3744"/>
    <w:rsid w:val="00DA3778"/>
    <w:rsid w:val="00DA390B"/>
    <w:rsid w:val="00DA39E7"/>
    <w:rsid w:val="00DA39F1"/>
    <w:rsid w:val="00DA3A5E"/>
    <w:rsid w:val="00DA3A66"/>
    <w:rsid w:val="00DA3A73"/>
    <w:rsid w:val="00DA3AD0"/>
    <w:rsid w:val="00DA3B5F"/>
    <w:rsid w:val="00DA3CB2"/>
    <w:rsid w:val="00DA3D9E"/>
    <w:rsid w:val="00DA3DF4"/>
    <w:rsid w:val="00DA3EA3"/>
    <w:rsid w:val="00DA3F1F"/>
    <w:rsid w:val="00DA3F8D"/>
    <w:rsid w:val="00DA3FD1"/>
    <w:rsid w:val="00DA3FD6"/>
    <w:rsid w:val="00DA4106"/>
    <w:rsid w:val="00DA4338"/>
    <w:rsid w:val="00DA4344"/>
    <w:rsid w:val="00DA437A"/>
    <w:rsid w:val="00DA43B7"/>
    <w:rsid w:val="00DA43E6"/>
    <w:rsid w:val="00DA447E"/>
    <w:rsid w:val="00DA450F"/>
    <w:rsid w:val="00DA45D5"/>
    <w:rsid w:val="00DA4653"/>
    <w:rsid w:val="00DA4695"/>
    <w:rsid w:val="00DA478B"/>
    <w:rsid w:val="00DA49AA"/>
    <w:rsid w:val="00DA4A84"/>
    <w:rsid w:val="00DA4B5B"/>
    <w:rsid w:val="00DA4BB3"/>
    <w:rsid w:val="00DA4CD5"/>
    <w:rsid w:val="00DA4D73"/>
    <w:rsid w:val="00DA4D93"/>
    <w:rsid w:val="00DA4DBE"/>
    <w:rsid w:val="00DA4DDA"/>
    <w:rsid w:val="00DA4DFC"/>
    <w:rsid w:val="00DA4F00"/>
    <w:rsid w:val="00DA4F2D"/>
    <w:rsid w:val="00DA4F9A"/>
    <w:rsid w:val="00DA4FF7"/>
    <w:rsid w:val="00DA5006"/>
    <w:rsid w:val="00DA506A"/>
    <w:rsid w:val="00DA5125"/>
    <w:rsid w:val="00DA519A"/>
    <w:rsid w:val="00DA51FE"/>
    <w:rsid w:val="00DA5211"/>
    <w:rsid w:val="00DA52B5"/>
    <w:rsid w:val="00DA534B"/>
    <w:rsid w:val="00DA53DD"/>
    <w:rsid w:val="00DA5442"/>
    <w:rsid w:val="00DA5475"/>
    <w:rsid w:val="00DA55B7"/>
    <w:rsid w:val="00DA55D5"/>
    <w:rsid w:val="00DA5655"/>
    <w:rsid w:val="00DA56AD"/>
    <w:rsid w:val="00DA5719"/>
    <w:rsid w:val="00DA5864"/>
    <w:rsid w:val="00DA5881"/>
    <w:rsid w:val="00DA58BC"/>
    <w:rsid w:val="00DA5924"/>
    <w:rsid w:val="00DA5959"/>
    <w:rsid w:val="00DA59A9"/>
    <w:rsid w:val="00DA59AD"/>
    <w:rsid w:val="00DA59C2"/>
    <w:rsid w:val="00DA5A39"/>
    <w:rsid w:val="00DA5A6D"/>
    <w:rsid w:val="00DA5AA7"/>
    <w:rsid w:val="00DA5AC5"/>
    <w:rsid w:val="00DA5B3D"/>
    <w:rsid w:val="00DA5B60"/>
    <w:rsid w:val="00DA5BE5"/>
    <w:rsid w:val="00DA5BF2"/>
    <w:rsid w:val="00DA5BFD"/>
    <w:rsid w:val="00DA5CA9"/>
    <w:rsid w:val="00DA5CB2"/>
    <w:rsid w:val="00DA5D26"/>
    <w:rsid w:val="00DA5E07"/>
    <w:rsid w:val="00DA5E24"/>
    <w:rsid w:val="00DA5EBF"/>
    <w:rsid w:val="00DA5ECB"/>
    <w:rsid w:val="00DA5EFA"/>
    <w:rsid w:val="00DA5F2B"/>
    <w:rsid w:val="00DA5F58"/>
    <w:rsid w:val="00DA6037"/>
    <w:rsid w:val="00DA616B"/>
    <w:rsid w:val="00DA6246"/>
    <w:rsid w:val="00DA62F8"/>
    <w:rsid w:val="00DA6346"/>
    <w:rsid w:val="00DA6368"/>
    <w:rsid w:val="00DA63D3"/>
    <w:rsid w:val="00DA63EC"/>
    <w:rsid w:val="00DA6467"/>
    <w:rsid w:val="00DA64D4"/>
    <w:rsid w:val="00DA6521"/>
    <w:rsid w:val="00DA6535"/>
    <w:rsid w:val="00DA661C"/>
    <w:rsid w:val="00DA66D7"/>
    <w:rsid w:val="00DA67AF"/>
    <w:rsid w:val="00DA6859"/>
    <w:rsid w:val="00DA688E"/>
    <w:rsid w:val="00DA68FD"/>
    <w:rsid w:val="00DA692D"/>
    <w:rsid w:val="00DA6A82"/>
    <w:rsid w:val="00DA6AE2"/>
    <w:rsid w:val="00DA6C1E"/>
    <w:rsid w:val="00DA6D0A"/>
    <w:rsid w:val="00DA6D32"/>
    <w:rsid w:val="00DA6D7C"/>
    <w:rsid w:val="00DA6E0C"/>
    <w:rsid w:val="00DA6E15"/>
    <w:rsid w:val="00DA6F09"/>
    <w:rsid w:val="00DA6F0F"/>
    <w:rsid w:val="00DA6F74"/>
    <w:rsid w:val="00DA6FE2"/>
    <w:rsid w:val="00DA7039"/>
    <w:rsid w:val="00DA7040"/>
    <w:rsid w:val="00DA705C"/>
    <w:rsid w:val="00DA735F"/>
    <w:rsid w:val="00DA736D"/>
    <w:rsid w:val="00DA7401"/>
    <w:rsid w:val="00DA74B6"/>
    <w:rsid w:val="00DA7507"/>
    <w:rsid w:val="00DA751B"/>
    <w:rsid w:val="00DA756B"/>
    <w:rsid w:val="00DA7571"/>
    <w:rsid w:val="00DA7581"/>
    <w:rsid w:val="00DA75FA"/>
    <w:rsid w:val="00DA7818"/>
    <w:rsid w:val="00DA7882"/>
    <w:rsid w:val="00DA79BF"/>
    <w:rsid w:val="00DA79FF"/>
    <w:rsid w:val="00DA7A7E"/>
    <w:rsid w:val="00DA7AE8"/>
    <w:rsid w:val="00DA7B07"/>
    <w:rsid w:val="00DA7B38"/>
    <w:rsid w:val="00DA7BD2"/>
    <w:rsid w:val="00DA7BF0"/>
    <w:rsid w:val="00DA7D53"/>
    <w:rsid w:val="00DA7D83"/>
    <w:rsid w:val="00DA7E30"/>
    <w:rsid w:val="00DA7EFC"/>
    <w:rsid w:val="00DB004D"/>
    <w:rsid w:val="00DB0101"/>
    <w:rsid w:val="00DB0128"/>
    <w:rsid w:val="00DB0142"/>
    <w:rsid w:val="00DB020E"/>
    <w:rsid w:val="00DB0213"/>
    <w:rsid w:val="00DB023E"/>
    <w:rsid w:val="00DB0280"/>
    <w:rsid w:val="00DB035E"/>
    <w:rsid w:val="00DB0396"/>
    <w:rsid w:val="00DB03AD"/>
    <w:rsid w:val="00DB04C0"/>
    <w:rsid w:val="00DB062B"/>
    <w:rsid w:val="00DB0669"/>
    <w:rsid w:val="00DB0698"/>
    <w:rsid w:val="00DB0789"/>
    <w:rsid w:val="00DB0814"/>
    <w:rsid w:val="00DB0848"/>
    <w:rsid w:val="00DB088D"/>
    <w:rsid w:val="00DB08FC"/>
    <w:rsid w:val="00DB09BD"/>
    <w:rsid w:val="00DB0A7D"/>
    <w:rsid w:val="00DB0A90"/>
    <w:rsid w:val="00DB0B06"/>
    <w:rsid w:val="00DB0B12"/>
    <w:rsid w:val="00DB0B2C"/>
    <w:rsid w:val="00DB0B7D"/>
    <w:rsid w:val="00DB0B84"/>
    <w:rsid w:val="00DB0BB7"/>
    <w:rsid w:val="00DB0BFB"/>
    <w:rsid w:val="00DB0DB8"/>
    <w:rsid w:val="00DB0DFC"/>
    <w:rsid w:val="00DB0E5B"/>
    <w:rsid w:val="00DB0E88"/>
    <w:rsid w:val="00DB0EDC"/>
    <w:rsid w:val="00DB0F2C"/>
    <w:rsid w:val="00DB1014"/>
    <w:rsid w:val="00DB1021"/>
    <w:rsid w:val="00DB1117"/>
    <w:rsid w:val="00DB1227"/>
    <w:rsid w:val="00DB133B"/>
    <w:rsid w:val="00DB1506"/>
    <w:rsid w:val="00DB1511"/>
    <w:rsid w:val="00DB15A3"/>
    <w:rsid w:val="00DB168A"/>
    <w:rsid w:val="00DB169E"/>
    <w:rsid w:val="00DB1758"/>
    <w:rsid w:val="00DB183F"/>
    <w:rsid w:val="00DB18CB"/>
    <w:rsid w:val="00DB18D6"/>
    <w:rsid w:val="00DB193F"/>
    <w:rsid w:val="00DB1A31"/>
    <w:rsid w:val="00DB1A90"/>
    <w:rsid w:val="00DB1ABA"/>
    <w:rsid w:val="00DB1BBF"/>
    <w:rsid w:val="00DB1C1A"/>
    <w:rsid w:val="00DB1C7B"/>
    <w:rsid w:val="00DB1D08"/>
    <w:rsid w:val="00DB1D0D"/>
    <w:rsid w:val="00DB1D32"/>
    <w:rsid w:val="00DB1D82"/>
    <w:rsid w:val="00DB1D87"/>
    <w:rsid w:val="00DB1E1B"/>
    <w:rsid w:val="00DB2083"/>
    <w:rsid w:val="00DB20A9"/>
    <w:rsid w:val="00DB211D"/>
    <w:rsid w:val="00DB214F"/>
    <w:rsid w:val="00DB228F"/>
    <w:rsid w:val="00DB231A"/>
    <w:rsid w:val="00DB23D9"/>
    <w:rsid w:val="00DB242C"/>
    <w:rsid w:val="00DB24BC"/>
    <w:rsid w:val="00DB24CB"/>
    <w:rsid w:val="00DB2574"/>
    <w:rsid w:val="00DB25C0"/>
    <w:rsid w:val="00DB260A"/>
    <w:rsid w:val="00DB2621"/>
    <w:rsid w:val="00DB2625"/>
    <w:rsid w:val="00DB2643"/>
    <w:rsid w:val="00DB26D5"/>
    <w:rsid w:val="00DB26F8"/>
    <w:rsid w:val="00DB27A7"/>
    <w:rsid w:val="00DB27DC"/>
    <w:rsid w:val="00DB2869"/>
    <w:rsid w:val="00DB28D5"/>
    <w:rsid w:val="00DB2AB0"/>
    <w:rsid w:val="00DB2AFE"/>
    <w:rsid w:val="00DB2B91"/>
    <w:rsid w:val="00DB2BAC"/>
    <w:rsid w:val="00DB2BC3"/>
    <w:rsid w:val="00DB2BCD"/>
    <w:rsid w:val="00DB2C0A"/>
    <w:rsid w:val="00DB2C11"/>
    <w:rsid w:val="00DB2CB7"/>
    <w:rsid w:val="00DB2CC6"/>
    <w:rsid w:val="00DB2CF6"/>
    <w:rsid w:val="00DB2DF5"/>
    <w:rsid w:val="00DB2E0E"/>
    <w:rsid w:val="00DB2ECB"/>
    <w:rsid w:val="00DB2F6A"/>
    <w:rsid w:val="00DB2FAE"/>
    <w:rsid w:val="00DB3018"/>
    <w:rsid w:val="00DB301E"/>
    <w:rsid w:val="00DB30C7"/>
    <w:rsid w:val="00DB31D6"/>
    <w:rsid w:val="00DB31E2"/>
    <w:rsid w:val="00DB3205"/>
    <w:rsid w:val="00DB3214"/>
    <w:rsid w:val="00DB3342"/>
    <w:rsid w:val="00DB33F5"/>
    <w:rsid w:val="00DB33F8"/>
    <w:rsid w:val="00DB363F"/>
    <w:rsid w:val="00DB373E"/>
    <w:rsid w:val="00DB37B9"/>
    <w:rsid w:val="00DB3922"/>
    <w:rsid w:val="00DB39B6"/>
    <w:rsid w:val="00DB3A53"/>
    <w:rsid w:val="00DB3AEB"/>
    <w:rsid w:val="00DB3B59"/>
    <w:rsid w:val="00DB3B66"/>
    <w:rsid w:val="00DB3B88"/>
    <w:rsid w:val="00DB3CFB"/>
    <w:rsid w:val="00DB3D57"/>
    <w:rsid w:val="00DB3E1D"/>
    <w:rsid w:val="00DB3E58"/>
    <w:rsid w:val="00DB404B"/>
    <w:rsid w:val="00DB4076"/>
    <w:rsid w:val="00DB40F5"/>
    <w:rsid w:val="00DB4120"/>
    <w:rsid w:val="00DB418D"/>
    <w:rsid w:val="00DB4196"/>
    <w:rsid w:val="00DB423E"/>
    <w:rsid w:val="00DB4276"/>
    <w:rsid w:val="00DB42C0"/>
    <w:rsid w:val="00DB4327"/>
    <w:rsid w:val="00DB451B"/>
    <w:rsid w:val="00DB4542"/>
    <w:rsid w:val="00DB47DB"/>
    <w:rsid w:val="00DB488E"/>
    <w:rsid w:val="00DB48B4"/>
    <w:rsid w:val="00DB48CE"/>
    <w:rsid w:val="00DB48D9"/>
    <w:rsid w:val="00DB4940"/>
    <w:rsid w:val="00DB4A39"/>
    <w:rsid w:val="00DB4B4A"/>
    <w:rsid w:val="00DB4BAB"/>
    <w:rsid w:val="00DB4BD1"/>
    <w:rsid w:val="00DB4BEE"/>
    <w:rsid w:val="00DB4C7D"/>
    <w:rsid w:val="00DB4CB4"/>
    <w:rsid w:val="00DB4D97"/>
    <w:rsid w:val="00DB4DBA"/>
    <w:rsid w:val="00DB4F29"/>
    <w:rsid w:val="00DB4F3C"/>
    <w:rsid w:val="00DB4F76"/>
    <w:rsid w:val="00DB4FAE"/>
    <w:rsid w:val="00DB503A"/>
    <w:rsid w:val="00DB504F"/>
    <w:rsid w:val="00DB50D5"/>
    <w:rsid w:val="00DB517A"/>
    <w:rsid w:val="00DB5196"/>
    <w:rsid w:val="00DB5236"/>
    <w:rsid w:val="00DB5258"/>
    <w:rsid w:val="00DB52CB"/>
    <w:rsid w:val="00DB540E"/>
    <w:rsid w:val="00DB5490"/>
    <w:rsid w:val="00DB5511"/>
    <w:rsid w:val="00DB55C8"/>
    <w:rsid w:val="00DB56F3"/>
    <w:rsid w:val="00DB5720"/>
    <w:rsid w:val="00DB597E"/>
    <w:rsid w:val="00DB59BC"/>
    <w:rsid w:val="00DB5A38"/>
    <w:rsid w:val="00DB5A66"/>
    <w:rsid w:val="00DB5AA6"/>
    <w:rsid w:val="00DB5AAD"/>
    <w:rsid w:val="00DB5AFC"/>
    <w:rsid w:val="00DB5B2B"/>
    <w:rsid w:val="00DB5B38"/>
    <w:rsid w:val="00DB5C03"/>
    <w:rsid w:val="00DB5D40"/>
    <w:rsid w:val="00DB5D50"/>
    <w:rsid w:val="00DB5DDA"/>
    <w:rsid w:val="00DB5DDF"/>
    <w:rsid w:val="00DB5DFE"/>
    <w:rsid w:val="00DB5E57"/>
    <w:rsid w:val="00DB5F0B"/>
    <w:rsid w:val="00DB5F4D"/>
    <w:rsid w:val="00DB5FB6"/>
    <w:rsid w:val="00DB6004"/>
    <w:rsid w:val="00DB60BF"/>
    <w:rsid w:val="00DB6103"/>
    <w:rsid w:val="00DB611F"/>
    <w:rsid w:val="00DB643C"/>
    <w:rsid w:val="00DB6475"/>
    <w:rsid w:val="00DB6482"/>
    <w:rsid w:val="00DB6525"/>
    <w:rsid w:val="00DB6621"/>
    <w:rsid w:val="00DB6645"/>
    <w:rsid w:val="00DB6651"/>
    <w:rsid w:val="00DB689B"/>
    <w:rsid w:val="00DB6A50"/>
    <w:rsid w:val="00DB6A8E"/>
    <w:rsid w:val="00DB6ABD"/>
    <w:rsid w:val="00DB6B27"/>
    <w:rsid w:val="00DB6B36"/>
    <w:rsid w:val="00DB6B3D"/>
    <w:rsid w:val="00DB6B66"/>
    <w:rsid w:val="00DB6B90"/>
    <w:rsid w:val="00DB6D2F"/>
    <w:rsid w:val="00DB6D67"/>
    <w:rsid w:val="00DB6D7D"/>
    <w:rsid w:val="00DB6DFE"/>
    <w:rsid w:val="00DB6E35"/>
    <w:rsid w:val="00DB6E87"/>
    <w:rsid w:val="00DB6EDD"/>
    <w:rsid w:val="00DB7075"/>
    <w:rsid w:val="00DB7212"/>
    <w:rsid w:val="00DB7281"/>
    <w:rsid w:val="00DB72D8"/>
    <w:rsid w:val="00DB7366"/>
    <w:rsid w:val="00DB7383"/>
    <w:rsid w:val="00DB73CA"/>
    <w:rsid w:val="00DB73D7"/>
    <w:rsid w:val="00DB73EE"/>
    <w:rsid w:val="00DB74CE"/>
    <w:rsid w:val="00DB7574"/>
    <w:rsid w:val="00DB75FF"/>
    <w:rsid w:val="00DB760B"/>
    <w:rsid w:val="00DB76E3"/>
    <w:rsid w:val="00DB770F"/>
    <w:rsid w:val="00DB775F"/>
    <w:rsid w:val="00DB7811"/>
    <w:rsid w:val="00DB78C1"/>
    <w:rsid w:val="00DB78DE"/>
    <w:rsid w:val="00DB7935"/>
    <w:rsid w:val="00DB7990"/>
    <w:rsid w:val="00DB79AA"/>
    <w:rsid w:val="00DB7ADD"/>
    <w:rsid w:val="00DB7B33"/>
    <w:rsid w:val="00DB7BAC"/>
    <w:rsid w:val="00DB7BC1"/>
    <w:rsid w:val="00DB7BDF"/>
    <w:rsid w:val="00DB7C38"/>
    <w:rsid w:val="00DB7D01"/>
    <w:rsid w:val="00DB7D70"/>
    <w:rsid w:val="00DB7DC9"/>
    <w:rsid w:val="00DB7DDF"/>
    <w:rsid w:val="00DB7DEE"/>
    <w:rsid w:val="00DB7E62"/>
    <w:rsid w:val="00DB7EA7"/>
    <w:rsid w:val="00DB7EF5"/>
    <w:rsid w:val="00DB7FA4"/>
    <w:rsid w:val="00DB7FC5"/>
    <w:rsid w:val="00DB7FE9"/>
    <w:rsid w:val="00DC0003"/>
    <w:rsid w:val="00DC00E9"/>
    <w:rsid w:val="00DC0191"/>
    <w:rsid w:val="00DC0400"/>
    <w:rsid w:val="00DC05A1"/>
    <w:rsid w:val="00DC06A0"/>
    <w:rsid w:val="00DC06B7"/>
    <w:rsid w:val="00DC074A"/>
    <w:rsid w:val="00DC0943"/>
    <w:rsid w:val="00DC0959"/>
    <w:rsid w:val="00DC095B"/>
    <w:rsid w:val="00DC0997"/>
    <w:rsid w:val="00DC0A76"/>
    <w:rsid w:val="00DC0C1E"/>
    <w:rsid w:val="00DC0C3B"/>
    <w:rsid w:val="00DC0C3E"/>
    <w:rsid w:val="00DC0C3F"/>
    <w:rsid w:val="00DC0C41"/>
    <w:rsid w:val="00DC0D0E"/>
    <w:rsid w:val="00DC0E0B"/>
    <w:rsid w:val="00DC0F75"/>
    <w:rsid w:val="00DC0FD6"/>
    <w:rsid w:val="00DC0FE6"/>
    <w:rsid w:val="00DC106D"/>
    <w:rsid w:val="00DC107E"/>
    <w:rsid w:val="00DC10AD"/>
    <w:rsid w:val="00DC10DE"/>
    <w:rsid w:val="00DC112E"/>
    <w:rsid w:val="00DC11B6"/>
    <w:rsid w:val="00DC11C7"/>
    <w:rsid w:val="00DC13BD"/>
    <w:rsid w:val="00DC14A1"/>
    <w:rsid w:val="00DC14B9"/>
    <w:rsid w:val="00DC14F4"/>
    <w:rsid w:val="00DC15C8"/>
    <w:rsid w:val="00DC15DD"/>
    <w:rsid w:val="00DC167E"/>
    <w:rsid w:val="00DC1709"/>
    <w:rsid w:val="00DC1753"/>
    <w:rsid w:val="00DC1778"/>
    <w:rsid w:val="00DC180D"/>
    <w:rsid w:val="00DC18A1"/>
    <w:rsid w:val="00DC190E"/>
    <w:rsid w:val="00DC191D"/>
    <w:rsid w:val="00DC1980"/>
    <w:rsid w:val="00DC198D"/>
    <w:rsid w:val="00DC19CA"/>
    <w:rsid w:val="00DC1A6E"/>
    <w:rsid w:val="00DC1AB9"/>
    <w:rsid w:val="00DC1B8E"/>
    <w:rsid w:val="00DC1DB3"/>
    <w:rsid w:val="00DC1E0D"/>
    <w:rsid w:val="00DC1EC5"/>
    <w:rsid w:val="00DC1EC8"/>
    <w:rsid w:val="00DC1F2B"/>
    <w:rsid w:val="00DC1F4D"/>
    <w:rsid w:val="00DC1FCD"/>
    <w:rsid w:val="00DC2078"/>
    <w:rsid w:val="00DC20C6"/>
    <w:rsid w:val="00DC21FB"/>
    <w:rsid w:val="00DC2236"/>
    <w:rsid w:val="00DC22C0"/>
    <w:rsid w:val="00DC22DD"/>
    <w:rsid w:val="00DC2340"/>
    <w:rsid w:val="00DC240B"/>
    <w:rsid w:val="00DC242A"/>
    <w:rsid w:val="00DC2496"/>
    <w:rsid w:val="00DC24FE"/>
    <w:rsid w:val="00DC25BC"/>
    <w:rsid w:val="00DC2602"/>
    <w:rsid w:val="00DC26C4"/>
    <w:rsid w:val="00DC27A1"/>
    <w:rsid w:val="00DC27BC"/>
    <w:rsid w:val="00DC2848"/>
    <w:rsid w:val="00DC2859"/>
    <w:rsid w:val="00DC28B6"/>
    <w:rsid w:val="00DC28D9"/>
    <w:rsid w:val="00DC295E"/>
    <w:rsid w:val="00DC2AE1"/>
    <w:rsid w:val="00DC2AFC"/>
    <w:rsid w:val="00DC2B6C"/>
    <w:rsid w:val="00DC2D02"/>
    <w:rsid w:val="00DC2D1C"/>
    <w:rsid w:val="00DC2D22"/>
    <w:rsid w:val="00DC2E4E"/>
    <w:rsid w:val="00DC2E58"/>
    <w:rsid w:val="00DC2E9F"/>
    <w:rsid w:val="00DC2ED4"/>
    <w:rsid w:val="00DC2EF4"/>
    <w:rsid w:val="00DC2F43"/>
    <w:rsid w:val="00DC2F7E"/>
    <w:rsid w:val="00DC3181"/>
    <w:rsid w:val="00DC3287"/>
    <w:rsid w:val="00DC32F1"/>
    <w:rsid w:val="00DC3318"/>
    <w:rsid w:val="00DC332D"/>
    <w:rsid w:val="00DC3418"/>
    <w:rsid w:val="00DC342E"/>
    <w:rsid w:val="00DC3489"/>
    <w:rsid w:val="00DC34F5"/>
    <w:rsid w:val="00DC350D"/>
    <w:rsid w:val="00DC356D"/>
    <w:rsid w:val="00DC358B"/>
    <w:rsid w:val="00DC3600"/>
    <w:rsid w:val="00DC3624"/>
    <w:rsid w:val="00DC3628"/>
    <w:rsid w:val="00DC368D"/>
    <w:rsid w:val="00DC3915"/>
    <w:rsid w:val="00DC3956"/>
    <w:rsid w:val="00DC3A31"/>
    <w:rsid w:val="00DC3B7F"/>
    <w:rsid w:val="00DC3C9A"/>
    <w:rsid w:val="00DC3D3E"/>
    <w:rsid w:val="00DC3D6B"/>
    <w:rsid w:val="00DC3DA7"/>
    <w:rsid w:val="00DC3DF1"/>
    <w:rsid w:val="00DC3EA5"/>
    <w:rsid w:val="00DC3EA8"/>
    <w:rsid w:val="00DC3ECD"/>
    <w:rsid w:val="00DC3EE6"/>
    <w:rsid w:val="00DC3F1C"/>
    <w:rsid w:val="00DC4033"/>
    <w:rsid w:val="00DC416E"/>
    <w:rsid w:val="00DC41DE"/>
    <w:rsid w:val="00DC425C"/>
    <w:rsid w:val="00DC426B"/>
    <w:rsid w:val="00DC43B7"/>
    <w:rsid w:val="00DC445F"/>
    <w:rsid w:val="00DC44C8"/>
    <w:rsid w:val="00DC44F5"/>
    <w:rsid w:val="00DC4537"/>
    <w:rsid w:val="00DC455F"/>
    <w:rsid w:val="00DC4584"/>
    <w:rsid w:val="00DC46DD"/>
    <w:rsid w:val="00DC472E"/>
    <w:rsid w:val="00DC4764"/>
    <w:rsid w:val="00DC47B5"/>
    <w:rsid w:val="00DC47BC"/>
    <w:rsid w:val="00DC47BD"/>
    <w:rsid w:val="00DC47DE"/>
    <w:rsid w:val="00DC4822"/>
    <w:rsid w:val="00DC49B9"/>
    <w:rsid w:val="00DC4A21"/>
    <w:rsid w:val="00DC4A60"/>
    <w:rsid w:val="00DC4AE7"/>
    <w:rsid w:val="00DC4B05"/>
    <w:rsid w:val="00DC4B17"/>
    <w:rsid w:val="00DC4B7A"/>
    <w:rsid w:val="00DC4B9E"/>
    <w:rsid w:val="00DC4BB7"/>
    <w:rsid w:val="00DC4BC2"/>
    <w:rsid w:val="00DC4C28"/>
    <w:rsid w:val="00DC4CB7"/>
    <w:rsid w:val="00DC4CBE"/>
    <w:rsid w:val="00DC4D27"/>
    <w:rsid w:val="00DC4D30"/>
    <w:rsid w:val="00DC4D3A"/>
    <w:rsid w:val="00DC4E9A"/>
    <w:rsid w:val="00DC4EA8"/>
    <w:rsid w:val="00DC4EE5"/>
    <w:rsid w:val="00DC4FD8"/>
    <w:rsid w:val="00DC5003"/>
    <w:rsid w:val="00DC5179"/>
    <w:rsid w:val="00DC51D9"/>
    <w:rsid w:val="00DC5386"/>
    <w:rsid w:val="00DC53B3"/>
    <w:rsid w:val="00DC5420"/>
    <w:rsid w:val="00DC5454"/>
    <w:rsid w:val="00DC54EC"/>
    <w:rsid w:val="00DC55CE"/>
    <w:rsid w:val="00DC5619"/>
    <w:rsid w:val="00DC5780"/>
    <w:rsid w:val="00DC57C5"/>
    <w:rsid w:val="00DC5821"/>
    <w:rsid w:val="00DC5883"/>
    <w:rsid w:val="00DC58D7"/>
    <w:rsid w:val="00DC58FE"/>
    <w:rsid w:val="00DC5A3D"/>
    <w:rsid w:val="00DC5A62"/>
    <w:rsid w:val="00DC5A7A"/>
    <w:rsid w:val="00DC5B84"/>
    <w:rsid w:val="00DC5C4B"/>
    <w:rsid w:val="00DC5C85"/>
    <w:rsid w:val="00DC5CE2"/>
    <w:rsid w:val="00DC5D91"/>
    <w:rsid w:val="00DC5DFE"/>
    <w:rsid w:val="00DC5E1B"/>
    <w:rsid w:val="00DC5FBD"/>
    <w:rsid w:val="00DC6089"/>
    <w:rsid w:val="00DC608E"/>
    <w:rsid w:val="00DC60A3"/>
    <w:rsid w:val="00DC60D4"/>
    <w:rsid w:val="00DC60FB"/>
    <w:rsid w:val="00DC626E"/>
    <w:rsid w:val="00DC627E"/>
    <w:rsid w:val="00DC6357"/>
    <w:rsid w:val="00DC636E"/>
    <w:rsid w:val="00DC638C"/>
    <w:rsid w:val="00DC640B"/>
    <w:rsid w:val="00DC64B4"/>
    <w:rsid w:val="00DC64FB"/>
    <w:rsid w:val="00DC65E2"/>
    <w:rsid w:val="00DC6699"/>
    <w:rsid w:val="00DC6745"/>
    <w:rsid w:val="00DC6754"/>
    <w:rsid w:val="00DC675F"/>
    <w:rsid w:val="00DC6893"/>
    <w:rsid w:val="00DC6899"/>
    <w:rsid w:val="00DC6999"/>
    <w:rsid w:val="00DC69CD"/>
    <w:rsid w:val="00DC6A30"/>
    <w:rsid w:val="00DC6AB7"/>
    <w:rsid w:val="00DC6B8F"/>
    <w:rsid w:val="00DC6C7D"/>
    <w:rsid w:val="00DC6CBB"/>
    <w:rsid w:val="00DC6CE3"/>
    <w:rsid w:val="00DC6CE7"/>
    <w:rsid w:val="00DC6D42"/>
    <w:rsid w:val="00DC6D51"/>
    <w:rsid w:val="00DC6E0E"/>
    <w:rsid w:val="00DC6E55"/>
    <w:rsid w:val="00DC6FAA"/>
    <w:rsid w:val="00DC6FEA"/>
    <w:rsid w:val="00DC707E"/>
    <w:rsid w:val="00DC70D8"/>
    <w:rsid w:val="00DC71F2"/>
    <w:rsid w:val="00DC724E"/>
    <w:rsid w:val="00DC7260"/>
    <w:rsid w:val="00DC72A9"/>
    <w:rsid w:val="00DC72AF"/>
    <w:rsid w:val="00DC7316"/>
    <w:rsid w:val="00DC73D8"/>
    <w:rsid w:val="00DC744D"/>
    <w:rsid w:val="00DC74FF"/>
    <w:rsid w:val="00DC758B"/>
    <w:rsid w:val="00DC76A0"/>
    <w:rsid w:val="00DC76CF"/>
    <w:rsid w:val="00DC76F2"/>
    <w:rsid w:val="00DC76F6"/>
    <w:rsid w:val="00DC772F"/>
    <w:rsid w:val="00DC7786"/>
    <w:rsid w:val="00DC77B1"/>
    <w:rsid w:val="00DC7863"/>
    <w:rsid w:val="00DC78A4"/>
    <w:rsid w:val="00DC7913"/>
    <w:rsid w:val="00DC7954"/>
    <w:rsid w:val="00DC7956"/>
    <w:rsid w:val="00DC7991"/>
    <w:rsid w:val="00DC7998"/>
    <w:rsid w:val="00DC79F8"/>
    <w:rsid w:val="00DC7A64"/>
    <w:rsid w:val="00DC7B8D"/>
    <w:rsid w:val="00DC7BD6"/>
    <w:rsid w:val="00DC7BFF"/>
    <w:rsid w:val="00DC7C3F"/>
    <w:rsid w:val="00DC7CD1"/>
    <w:rsid w:val="00DC7CED"/>
    <w:rsid w:val="00DC7E33"/>
    <w:rsid w:val="00DC7E66"/>
    <w:rsid w:val="00DC7EB8"/>
    <w:rsid w:val="00DC7EF6"/>
    <w:rsid w:val="00DC7F49"/>
    <w:rsid w:val="00DC7F8D"/>
    <w:rsid w:val="00DC7FE9"/>
    <w:rsid w:val="00DD0075"/>
    <w:rsid w:val="00DD0077"/>
    <w:rsid w:val="00DD00EC"/>
    <w:rsid w:val="00DD0243"/>
    <w:rsid w:val="00DD032E"/>
    <w:rsid w:val="00DD0369"/>
    <w:rsid w:val="00DD038C"/>
    <w:rsid w:val="00DD03A9"/>
    <w:rsid w:val="00DD03C2"/>
    <w:rsid w:val="00DD049D"/>
    <w:rsid w:val="00DD0596"/>
    <w:rsid w:val="00DD0602"/>
    <w:rsid w:val="00DD0825"/>
    <w:rsid w:val="00DD085B"/>
    <w:rsid w:val="00DD0868"/>
    <w:rsid w:val="00DD0879"/>
    <w:rsid w:val="00DD08C9"/>
    <w:rsid w:val="00DD0912"/>
    <w:rsid w:val="00DD091D"/>
    <w:rsid w:val="00DD095C"/>
    <w:rsid w:val="00DD0A16"/>
    <w:rsid w:val="00DD0CE5"/>
    <w:rsid w:val="00DD0CF2"/>
    <w:rsid w:val="00DD0D04"/>
    <w:rsid w:val="00DD0DE9"/>
    <w:rsid w:val="00DD0DF9"/>
    <w:rsid w:val="00DD0E00"/>
    <w:rsid w:val="00DD0EB8"/>
    <w:rsid w:val="00DD0F76"/>
    <w:rsid w:val="00DD0F94"/>
    <w:rsid w:val="00DD0FCD"/>
    <w:rsid w:val="00DD106B"/>
    <w:rsid w:val="00DD1194"/>
    <w:rsid w:val="00DD11A5"/>
    <w:rsid w:val="00DD11DB"/>
    <w:rsid w:val="00DD11EF"/>
    <w:rsid w:val="00DD1208"/>
    <w:rsid w:val="00DD1219"/>
    <w:rsid w:val="00DD12BF"/>
    <w:rsid w:val="00DD13C8"/>
    <w:rsid w:val="00DD13FB"/>
    <w:rsid w:val="00DD1482"/>
    <w:rsid w:val="00DD14E6"/>
    <w:rsid w:val="00DD1710"/>
    <w:rsid w:val="00DD1739"/>
    <w:rsid w:val="00DD1A35"/>
    <w:rsid w:val="00DD1A66"/>
    <w:rsid w:val="00DD1AF4"/>
    <w:rsid w:val="00DD1B89"/>
    <w:rsid w:val="00DD1D49"/>
    <w:rsid w:val="00DD1DE7"/>
    <w:rsid w:val="00DD1E09"/>
    <w:rsid w:val="00DD1E23"/>
    <w:rsid w:val="00DD1E5D"/>
    <w:rsid w:val="00DD1E96"/>
    <w:rsid w:val="00DD1F19"/>
    <w:rsid w:val="00DD1F50"/>
    <w:rsid w:val="00DD2061"/>
    <w:rsid w:val="00DD20B5"/>
    <w:rsid w:val="00DD2179"/>
    <w:rsid w:val="00DD2303"/>
    <w:rsid w:val="00DD238A"/>
    <w:rsid w:val="00DD23EB"/>
    <w:rsid w:val="00DD2493"/>
    <w:rsid w:val="00DD258F"/>
    <w:rsid w:val="00DD2698"/>
    <w:rsid w:val="00DD27D1"/>
    <w:rsid w:val="00DD27EF"/>
    <w:rsid w:val="00DD2855"/>
    <w:rsid w:val="00DD28E9"/>
    <w:rsid w:val="00DD2986"/>
    <w:rsid w:val="00DD2B04"/>
    <w:rsid w:val="00DD2B1B"/>
    <w:rsid w:val="00DD2B77"/>
    <w:rsid w:val="00DD2B8C"/>
    <w:rsid w:val="00DD2BA4"/>
    <w:rsid w:val="00DD2C1B"/>
    <w:rsid w:val="00DD2C20"/>
    <w:rsid w:val="00DD2CF9"/>
    <w:rsid w:val="00DD2D83"/>
    <w:rsid w:val="00DD2DE2"/>
    <w:rsid w:val="00DD2E3E"/>
    <w:rsid w:val="00DD2E69"/>
    <w:rsid w:val="00DD2F3C"/>
    <w:rsid w:val="00DD2F93"/>
    <w:rsid w:val="00DD2FB2"/>
    <w:rsid w:val="00DD30C8"/>
    <w:rsid w:val="00DD320C"/>
    <w:rsid w:val="00DD326A"/>
    <w:rsid w:val="00DD32A3"/>
    <w:rsid w:val="00DD3313"/>
    <w:rsid w:val="00DD33D0"/>
    <w:rsid w:val="00DD33E3"/>
    <w:rsid w:val="00DD3428"/>
    <w:rsid w:val="00DD35C6"/>
    <w:rsid w:val="00DD35CF"/>
    <w:rsid w:val="00DD3607"/>
    <w:rsid w:val="00DD368E"/>
    <w:rsid w:val="00DD36EE"/>
    <w:rsid w:val="00DD37A1"/>
    <w:rsid w:val="00DD37CE"/>
    <w:rsid w:val="00DD37F3"/>
    <w:rsid w:val="00DD38E7"/>
    <w:rsid w:val="00DD3922"/>
    <w:rsid w:val="00DD392B"/>
    <w:rsid w:val="00DD39A2"/>
    <w:rsid w:val="00DD39EC"/>
    <w:rsid w:val="00DD3A95"/>
    <w:rsid w:val="00DD3D22"/>
    <w:rsid w:val="00DD3D53"/>
    <w:rsid w:val="00DD3D6A"/>
    <w:rsid w:val="00DD3DB3"/>
    <w:rsid w:val="00DD3DFC"/>
    <w:rsid w:val="00DD3E1B"/>
    <w:rsid w:val="00DD3E30"/>
    <w:rsid w:val="00DD3EF0"/>
    <w:rsid w:val="00DD3F47"/>
    <w:rsid w:val="00DD3FDD"/>
    <w:rsid w:val="00DD3FE6"/>
    <w:rsid w:val="00DD402B"/>
    <w:rsid w:val="00DD40C7"/>
    <w:rsid w:val="00DD40E8"/>
    <w:rsid w:val="00DD4107"/>
    <w:rsid w:val="00DD415B"/>
    <w:rsid w:val="00DD43BD"/>
    <w:rsid w:val="00DD4512"/>
    <w:rsid w:val="00DD4557"/>
    <w:rsid w:val="00DD4597"/>
    <w:rsid w:val="00DD45CE"/>
    <w:rsid w:val="00DD467B"/>
    <w:rsid w:val="00DD46E2"/>
    <w:rsid w:val="00DD47B5"/>
    <w:rsid w:val="00DD47C3"/>
    <w:rsid w:val="00DD47D5"/>
    <w:rsid w:val="00DD47F1"/>
    <w:rsid w:val="00DD4810"/>
    <w:rsid w:val="00DD48AE"/>
    <w:rsid w:val="00DD48CD"/>
    <w:rsid w:val="00DD48E5"/>
    <w:rsid w:val="00DD4983"/>
    <w:rsid w:val="00DD4985"/>
    <w:rsid w:val="00DD49DB"/>
    <w:rsid w:val="00DD4B37"/>
    <w:rsid w:val="00DD4BE1"/>
    <w:rsid w:val="00DD4C0B"/>
    <w:rsid w:val="00DD4CA1"/>
    <w:rsid w:val="00DD4D07"/>
    <w:rsid w:val="00DD4DDC"/>
    <w:rsid w:val="00DD4E59"/>
    <w:rsid w:val="00DD4E5A"/>
    <w:rsid w:val="00DD4FFD"/>
    <w:rsid w:val="00DD5090"/>
    <w:rsid w:val="00DD510A"/>
    <w:rsid w:val="00DD512D"/>
    <w:rsid w:val="00DD512F"/>
    <w:rsid w:val="00DD515B"/>
    <w:rsid w:val="00DD51E4"/>
    <w:rsid w:val="00DD5244"/>
    <w:rsid w:val="00DD53A0"/>
    <w:rsid w:val="00DD53AF"/>
    <w:rsid w:val="00DD53B0"/>
    <w:rsid w:val="00DD53BA"/>
    <w:rsid w:val="00DD53F2"/>
    <w:rsid w:val="00DD5576"/>
    <w:rsid w:val="00DD5613"/>
    <w:rsid w:val="00DD56C3"/>
    <w:rsid w:val="00DD5889"/>
    <w:rsid w:val="00DD58A3"/>
    <w:rsid w:val="00DD58DC"/>
    <w:rsid w:val="00DD58DE"/>
    <w:rsid w:val="00DD5937"/>
    <w:rsid w:val="00DD5975"/>
    <w:rsid w:val="00DD5990"/>
    <w:rsid w:val="00DD5A3F"/>
    <w:rsid w:val="00DD5A43"/>
    <w:rsid w:val="00DD5AE9"/>
    <w:rsid w:val="00DD5B13"/>
    <w:rsid w:val="00DD5B74"/>
    <w:rsid w:val="00DD5BA7"/>
    <w:rsid w:val="00DD5C00"/>
    <w:rsid w:val="00DD5C23"/>
    <w:rsid w:val="00DD5C53"/>
    <w:rsid w:val="00DD5C89"/>
    <w:rsid w:val="00DD5D06"/>
    <w:rsid w:val="00DD5F23"/>
    <w:rsid w:val="00DD5FB0"/>
    <w:rsid w:val="00DD6081"/>
    <w:rsid w:val="00DD61B5"/>
    <w:rsid w:val="00DD61B9"/>
    <w:rsid w:val="00DD621F"/>
    <w:rsid w:val="00DD6240"/>
    <w:rsid w:val="00DD6258"/>
    <w:rsid w:val="00DD62D0"/>
    <w:rsid w:val="00DD6380"/>
    <w:rsid w:val="00DD64A3"/>
    <w:rsid w:val="00DD6590"/>
    <w:rsid w:val="00DD6605"/>
    <w:rsid w:val="00DD66E0"/>
    <w:rsid w:val="00DD680E"/>
    <w:rsid w:val="00DD68C8"/>
    <w:rsid w:val="00DD68CA"/>
    <w:rsid w:val="00DD68DB"/>
    <w:rsid w:val="00DD691A"/>
    <w:rsid w:val="00DD69AD"/>
    <w:rsid w:val="00DD69E6"/>
    <w:rsid w:val="00DD6B17"/>
    <w:rsid w:val="00DD6B1C"/>
    <w:rsid w:val="00DD6B55"/>
    <w:rsid w:val="00DD6B74"/>
    <w:rsid w:val="00DD6D49"/>
    <w:rsid w:val="00DD6DF0"/>
    <w:rsid w:val="00DD6FD0"/>
    <w:rsid w:val="00DD6FEF"/>
    <w:rsid w:val="00DD7069"/>
    <w:rsid w:val="00DD7109"/>
    <w:rsid w:val="00DD7157"/>
    <w:rsid w:val="00DD7174"/>
    <w:rsid w:val="00DD71BF"/>
    <w:rsid w:val="00DD71D7"/>
    <w:rsid w:val="00DD7270"/>
    <w:rsid w:val="00DD72E3"/>
    <w:rsid w:val="00DD73E8"/>
    <w:rsid w:val="00DD7424"/>
    <w:rsid w:val="00DD743D"/>
    <w:rsid w:val="00DD7498"/>
    <w:rsid w:val="00DD7544"/>
    <w:rsid w:val="00DD7580"/>
    <w:rsid w:val="00DD76A9"/>
    <w:rsid w:val="00DD76E8"/>
    <w:rsid w:val="00DD7711"/>
    <w:rsid w:val="00DD771E"/>
    <w:rsid w:val="00DD7733"/>
    <w:rsid w:val="00DD7872"/>
    <w:rsid w:val="00DD78C7"/>
    <w:rsid w:val="00DD79A1"/>
    <w:rsid w:val="00DD7A68"/>
    <w:rsid w:val="00DD7AED"/>
    <w:rsid w:val="00DD7B19"/>
    <w:rsid w:val="00DD7B38"/>
    <w:rsid w:val="00DD7D46"/>
    <w:rsid w:val="00DD7F2F"/>
    <w:rsid w:val="00DD7F5C"/>
    <w:rsid w:val="00DE00E5"/>
    <w:rsid w:val="00DE0106"/>
    <w:rsid w:val="00DE0161"/>
    <w:rsid w:val="00DE01E9"/>
    <w:rsid w:val="00DE0307"/>
    <w:rsid w:val="00DE03C0"/>
    <w:rsid w:val="00DE0408"/>
    <w:rsid w:val="00DE046E"/>
    <w:rsid w:val="00DE048D"/>
    <w:rsid w:val="00DE04CC"/>
    <w:rsid w:val="00DE0502"/>
    <w:rsid w:val="00DE051C"/>
    <w:rsid w:val="00DE060F"/>
    <w:rsid w:val="00DE068C"/>
    <w:rsid w:val="00DE088D"/>
    <w:rsid w:val="00DE0A85"/>
    <w:rsid w:val="00DE0AA6"/>
    <w:rsid w:val="00DE0B23"/>
    <w:rsid w:val="00DE0B38"/>
    <w:rsid w:val="00DE0BDC"/>
    <w:rsid w:val="00DE0BF9"/>
    <w:rsid w:val="00DE0C0A"/>
    <w:rsid w:val="00DE0C76"/>
    <w:rsid w:val="00DE0CB7"/>
    <w:rsid w:val="00DE0CE6"/>
    <w:rsid w:val="00DE0D3A"/>
    <w:rsid w:val="00DE0D6D"/>
    <w:rsid w:val="00DE0D87"/>
    <w:rsid w:val="00DE0DE5"/>
    <w:rsid w:val="00DE0E27"/>
    <w:rsid w:val="00DE0E3D"/>
    <w:rsid w:val="00DE0ECF"/>
    <w:rsid w:val="00DE0FC7"/>
    <w:rsid w:val="00DE0FFE"/>
    <w:rsid w:val="00DE1047"/>
    <w:rsid w:val="00DE1055"/>
    <w:rsid w:val="00DE121C"/>
    <w:rsid w:val="00DE125D"/>
    <w:rsid w:val="00DE1284"/>
    <w:rsid w:val="00DE12F8"/>
    <w:rsid w:val="00DE1300"/>
    <w:rsid w:val="00DE1302"/>
    <w:rsid w:val="00DE1401"/>
    <w:rsid w:val="00DE1474"/>
    <w:rsid w:val="00DE14A3"/>
    <w:rsid w:val="00DE1575"/>
    <w:rsid w:val="00DE167B"/>
    <w:rsid w:val="00DE17E1"/>
    <w:rsid w:val="00DE1874"/>
    <w:rsid w:val="00DE18A7"/>
    <w:rsid w:val="00DE18B0"/>
    <w:rsid w:val="00DE18D5"/>
    <w:rsid w:val="00DE1A2A"/>
    <w:rsid w:val="00DE1AE1"/>
    <w:rsid w:val="00DE1B6C"/>
    <w:rsid w:val="00DE1B7D"/>
    <w:rsid w:val="00DE1BA5"/>
    <w:rsid w:val="00DE1BEA"/>
    <w:rsid w:val="00DE1DC3"/>
    <w:rsid w:val="00DE1EAE"/>
    <w:rsid w:val="00DE1F56"/>
    <w:rsid w:val="00DE1FE2"/>
    <w:rsid w:val="00DE2115"/>
    <w:rsid w:val="00DE217C"/>
    <w:rsid w:val="00DE21A2"/>
    <w:rsid w:val="00DE2221"/>
    <w:rsid w:val="00DE2263"/>
    <w:rsid w:val="00DE241B"/>
    <w:rsid w:val="00DE241C"/>
    <w:rsid w:val="00DE243E"/>
    <w:rsid w:val="00DE246A"/>
    <w:rsid w:val="00DE24DE"/>
    <w:rsid w:val="00DE24EC"/>
    <w:rsid w:val="00DE258E"/>
    <w:rsid w:val="00DE2633"/>
    <w:rsid w:val="00DE27CA"/>
    <w:rsid w:val="00DE2806"/>
    <w:rsid w:val="00DE2838"/>
    <w:rsid w:val="00DE2854"/>
    <w:rsid w:val="00DE289A"/>
    <w:rsid w:val="00DE2958"/>
    <w:rsid w:val="00DE29F1"/>
    <w:rsid w:val="00DE2AE7"/>
    <w:rsid w:val="00DE2B8B"/>
    <w:rsid w:val="00DE2C66"/>
    <w:rsid w:val="00DE2CF5"/>
    <w:rsid w:val="00DE2D44"/>
    <w:rsid w:val="00DE2F17"/>
    <w:rsid w:val="00DE2F2D"/>
    <w:rsid w:val="00DE2FA4"/>
    <w:rsid w:val="00DE2FE8"/>
    <w:rsid w:val="00DE3155"/>
    <w:rsid w:val="00DE3279"/>
    <w:rsid w:val="00DE3330"/>
    <w:rsid w:val="00DE336F"/>
    <w:rsid w:val="00DE34AD"/>
    <w:rsid w:val="00DE34C2"/>
    <w:rsid w:val="00DE3554"/>
    <w:rsid w:val="00DE35CC"/>
    <w:rsid w:val="00DE35E4"/>
    <w:rsid w:val="00DE360E"/>
    <w:rsid w:val="00DE3645"/>
    <w:rsid w:val="00DE37CA"/>
    <w:rsid w:val="00DE38FE"/>
    <w:rsid w:val="00DE3902"/>
    <w:rsid w:val="00DE390A"/>
    <w:rsid w:val="00DE396E"/>
    <w:rsid w:val="00DE3988"/>
    <w:rsid w:val="00DE3AE9"/>
    <w:rsid w:val="00DE3B1A"/>
    <w:rsid w:val="00DE3B2C"/>
    <w:rsid w:val="00DE3BA7"/>
    <w:rsid w:val="00DE3C8C"/>
    <w:rsid w:val="00DE3C95"/>
    <w:rsid w:val="00DE3D03"/>
    <w:rsid w:val="00DE3D23"/>
    <w:rsid w:val="00DE3D3E"/>
    <w:rsid w:val="00DE3EEE"/>
    <w:rsid w:val="00DE4017"/>
    <w:rsid w:val="00DE40CB"/>
    <w:rsid w:val="00DE410D"/>
    <w:rsid w:val="00DE41D9"/>
    <w:rsid w:val="00DE4205"/>
    <w:rsid w:val="00DE4578"/>
    <w:rsid w:val="00DE45A8"/>
    <w:rsid w:val="00DE4671"/>
    <w:rsid w:val="00DE4695"/>
    <w:rsid w:val="00DE46BD"/>
    <w:rsid w:val="00DE46D9"/>
    <w:rsid w:val="00DE47FF"/>
    <w:rsid w:val="00DE4899"/>
    <w:rsid w:val="00DE4909"/>
    <w:rsid w:val="00DE49BD"/>
    <w:rsid w:val="00DE4B88"/>
    <w:rsid w:val="00DE4BB4"/>
    <w:rsid w:val="00DE4C29"/>
    <w:rsid w:val="00DE4C60"/>
    <w:rsid w:val="00DE4D35"/>
    <w:rsid w:val="00DE4D59"/>
    <w:rsid w:val="00DE4D94"/>
    <w:rsid w:val="00DE4D9B"/>
    <w:rsid w:val="00DE4E39"/>
    <w:rsid w:val="00DE4E94"/>
    <w:rsid w:val="00DE5142"/>
    <w:rsid w:val="00DE521C"/>
    <w:rsid w:val="00DE5227"/>
    <w:rsid w:val="00DE528C"/>
    <w:rsid w:val="00DE53E1"/>
    <w:rsid w:val="00DE5445"/>
    <w:rsid w:val="00DE544E"/>
    <w:rsid w:val="00DE54BF"/>
    <w:rsid w:val="00DE5636"/>
    <w:rsid w:val="00DE5735"/>
    <w:rsid w:val="00DE58AC"/>
    <w:rsid w:val="00DE5992"/>
    <w:rsid w:val="00DE59B3"/>
    <w:rsid w:val="00DE59B6"/>
    <w:rsid w:val="00DE5A06"/>
    <w:rsid w:val="00DE5AF8"/>
    <w:rsid w:val="00DE5B8B"/>
    <w:rsid w:val="00DE5BCF"/>
    <w:rsid w:val="00DE5C70"/>
    <w:rsid w:val="00DE5CD4"/>
    <w:rsid w:val="00DE5D81"/>
    <w:rsid w:val="00DE5DCD"/>
    <w:rsid w:val="00DE5F28"/>
    <w:rsid w:val="00DE5F6A"/>
    <w:rsid w:val="00DE6007"/>
    <w:rsid w:val="00DE604F"/>
    <w:rsid w:val="00DE60AB"/>
    <w:rsid w:val="00DE61FB"/>
    <w:rsid w:val="00DE62FB"/>
    <w:rsid w:val="00DE6371"/>
    <w:rsid w:val="00DE63C4"/>
    <w:rsid w:val="00DE642E"/>
    <w:rsid w:val="00DE6481"/>
    <w:rsid w:val="00DE64A1"/>
    <w:rsid w:val="00DE6541"/>
    <w:rsid w:val="00DE666C"/>
    <w:rsid w:val="00DE667A"/>
    <w:rsid w:val="00DE66FA"/>
    <w:rsid w:val="00DE6710"/>
    <w:rsid w:val="00DE675A"/>
    <w:rsid w:val="00DE67FE"/>
    <w:rsid w:val="00DE680F"/>
    <w:rsid w:val="00DE68D4"/>
    <w:rsid w:val="00DE6931"/>
    <w:rsid w:val="00DE6965"/>
    <w:rsid w:val="00DE6968"/>
    <w:rsid w:val="00DE6A50"/>
    <w:rsid w:val="00DE6A6A"/>
    <w:rsid w:val="00DE6B41"/>
    <w:rsid w:val="00DE6CC2"/>
    <w:rsid w:val="00DE6D81"/>
    <w:rsid w:val="00DE6DC6"/>
    <w:rsid w:val="00DE6DEE"/>
    <w:rsid w:val="00DE6DEF"/>
    <w:rsid w:val="00DE6DF3"/>
    <w:rsid w:val="00DE6E22"/>
    <w:rsid w:val="00DE6E32"/>
    <w:rsid w:val="00DE6F12"/>
    <w:rsid w:val="00DE6FA6"/>
    <w:rsid w:val="00DE6FF6"/>
    <w:rsid w:val="00DE701A"/>
    <w:rsid w:val="00DE7023"/>
    <w:rsid w:val="00DE7089"/>
    <w:rsid w:val="00DE70D4"/>
    <w:rsid w:val="00DE70D9"/>
    <w:rsid w:val="00DE7101"/>
    <w:rsid w:val="00DE7197"/>
    <w:rsid w:val="00DE71FD"/>
    <w:rsid w:val="00DE72AA"/>
    <w:rsid w:val="00DE7312"/>
    <w:rsid w:val="00DE7347"/>
    <w:rsid w:val="00DE7389"/>
    <w:rsid w:val="00DE739B"/>
    <w:rsid w:val="00DE7517"/>
    <w:rsid w:val="00DE75A6"/>
    <w:rsid w:val="00DE778C"/>
    <w:rsid w:val="00DE783B"/>
    <w:rsid w:val="00DE789E"/>
    <w:rsid w:val="00DE78F1"/>
    <w:rsid w:val="00DE7939"/>
    <w:rsid w:val="00DE798E"/>
    <w:rsid w:val="00DE79A4"/>
    <w:rsid w:val="00DE7A25"/>
    <w:rsid w:val="00DE7A4E"/>
    <w:rsid w:val="00DE7A9F"/>
    <w:rsid w:val="00DE7AFF"/>
    <w:rsid w:val="00DE7B4E"/>
    <w:rsid w:val="00DE7ECC"/>
    <w:rsid w:val="00DF00BD"/>
    <w:rsid w:val="00DF00ED"/>
    <w:rsid w:val="00DF02BE"/>
    <w:rsid w:val="00DF0363"/>
    <w:rsid w:val="00DF036E"/>
    <w:rsid w:val="00DF03BD"/>
    <w:rsid w:val="00DF04B0"/>
    <w:rsid w:val="00DF0518"/>
    <w:rsid w:val="00DF05B5"/>
    <w:rsid w:val="00DF05D5"/>
    <w:rsid w:val="00DF05DC"/>
    <w:rsid w:val="00DF0608"/>
    <w:rsid w:val="00DF06BE"/>
    <w:rsid w:val="00DF0760"/>
    <w:rsid w:val="00DF0791"/>
    <w:rsid w:val="00DF098F"/>
    <w:rsid w:val="00DF0A31"/>
    <w:rsid w:val="00DF0AAD"/>
    <w:rsid w:val="00DF0B1E"/>
    <w:rsid w:val="00DF0B62"/>
    <w:rsid w:val="00DF0B64"/>
    <w:rsid w:val="00DF0B7B"/>
    <w:rsid w:val="00DF0BCA"/>
    <w:rsid w:val="00DF0C0F"/>
    <w:rsid w:val="00DF0C9F"/>
    <w:rsid w:val="00DF0CDB"/>
    <w:rsid w:val="00DF0D37"/>
    <w:rsid w:val="00DF0DBA"/>
    <w:rsid w:val="00DF0DDE"/>
    <w:rsid w:val="00DF0E1C"/>
    <w:rsid w:val="00DF0E33"/>
    <w:rsid w:val="00DF0E50"/>
    <w:rsid w:val="00DF0E57"/>
    <w:rsid w:val="00DF0E6B"/>
    <w:rsid w:val="00DF0EA8"/>
    <w:rsid w:val="00DF10E3"/>
    <w:rsid w:val="00DF111E"/>
    <w:rsid w:val="00DF11BD"/>
    <w:rsid w:val="00DF1201"/>
    <w:rsid w:val="00DF1203"/>
    <w:rsid w:val="00DF12E3"/>
    <w:rsid w:val="00DF15A0"/>
    <w:rsid w:val="00DF15FC"/>
    <w:rsid w:val="00DF16B3"/>
    <w:rsid w:val="00DF1746"/>
    <w:rsid w:val="00DF174F"/>
    <w:rsid w:val="00DF17C1"/>
    <w:rsid w:val="00DF184C"/>
    <w:rsid w:val="00DF1874"/>
    <w:rsid w:val="00DF18E8"/>
    <w:rsid w:val="00DF18F3"/>
    <w:rsid w:val="00DF1923"/>
    <w:rsid w:val="00DF1992"/>
    <w:rsid w:val="00DF1A2B"/>
    <w:rsid w:val="00DF1A7A"/>
    <w:rsid w:val="00DF1A8A"/>
    <w:rsid w:val="00DF1BCC"/>
    <w:rsid w:val="00DF1D30"/>
    <w:rsid w:val="00DF1D4E"/>
    <w:rsid w:val="00DF1DF2"/>
    <w:rsid w:val="00DF1FBE"/>
    <w:rsid w:val="00DF1FD2"/>
    <w:rsid w:val="00DF2045"/>
    <w:rsid w:val="00DF2082"/>
    <w:rsid w:val="00DF20E0"/>
    <w:rsid w:val="00DF2103"/>
    <w:rsid w:val="00DF2116"/>
    <w:rsid w:val="00DF219C"/>
    <w:rsid w:val="00DF2288"/>
    <w:rsid w:val="00DF23B3"/>
    <w:rsid w:val="00DF23CA"/>
    <w:rsid w:val="00DF24A2"/>
    <w:rsid w:val="00DF2600"/>
    <w:rsid w:val="00DF27BE"/>
    <w:rsid w:val="00DF284D"/>
    <w:rsid w:val="00DF287C"/>
    <w:rsid w:val="00DF29D2"/>
    <w:rsid w:val="00DF2A04"/>
    <w:rsid w:val="00DF2B7A"/>
    <w:rsid w:val="00DF2BB8"/>
    <w:rsid w:val="00DF2C19"/>
    <w:rsid w:val="00DF2C85"/>
    <w:rsid w:val="00DF2CFB"/>
    <w:rsid w:val="00DF2D5B"/>
    <w:rsid w:val="00DF2D5F"/>
    <w:rsid w:val="00DF2DFB"/>
    <w:rsid w:val="00DF2E2C"/>
    <w:rsid w:val="00DF2F7B"/>
    <w:rsid w:val="00DF2FC4"/>
    <w:rsid w:val="00DF2FD1"/>
    <w:rsid w:val="00DF2FDD"/>
    <w:rsid w:val="00DF303B"/>
    <w:rsid w:val="00DF3074"/>
    <w:rsid w:val="00DF3157"/>
    <w:rsid w:val="00DF3202"/>
    <w:rsid w:val="00DF3287"/>
    <w:rsid w:val="00DF3294"/>
    <w:rsid w:val="00DF329D"/>
    <w:rsid w:val="00DF32CF"/>
    <w:rsid w:val="00DF32E6"/>
    <w:rsid w:val="00DF32FC"/>
    <w:rsid w:val="00DF3488"/>
    <w:rsid w:val="00DF34FA"/>
    <w:rsid w:val="00DF357A"/>
    <w:rsid w:val="00DF3687"/>
    <w:rsid w:val="00DF373C"/>
    <w:rsid w:val="00DF37AD"/>
    <w:rsid w:val="00DF37F4"/>
    <w:rsid w:val="00DF3815"/>
    <w:rsid w:val="00DF3848"/>
    <w:rsid w:val="00DF3934"/>
    <w:rsid w:val="00DF395D"/>
    <w:rsid w:val="00DF3A13"/>
    <w:rsid w:val="00DF3A4F"/>
    <w:rsid w:val="00DF3A7F"/>
    <w:rsid w:val="00DF3B1D"/>
    <w:rsid w:val="00DF3BF8"/>
    <w:rsid w:val="00DF3D0A"/>
    <w:rsid w:val="00DF3E8D"/>
    <w:rsid w:val="00DF3ED0"/>
    <w:rsid w:val="00DF403B"/>
    <w:rsid w:val="00DF4090"/>
    <w:rsid w:val="00DF40A3"/>
    <w:rsid w:val="00DF4123"/>
    <w:rsid w:val="00DF419E"/>
    <w:rsid w:val="00DF4217"/>
    <w:rsid w:val="00DF4222"/>
    <w:rsid w:val="00DF438A"/>
    <w:rsid w:val="00DF439D"/>
    <w:rsid w:val="00DF43BB"/>
    <w:rsid w:val="00DF43DF"/>
    <w:rsid w:val="00DF4425"/>
    <w:rsid w:val="00DF4433"/>
    <w:rsid w:val="00DF4594"/>
    <w:rsid w:val="00DF45BF"/>
    <w:rsid w:val="00DF4608"/>
    <w:rsid w:val="00DF460A"/>
    <w:rsid w:val="00DF4674"/>
    <w:rsid w:val="00DF4693"/>
    <w:rsid w:val="00DF469F"/>
    <w:rsid w:val="00DF46E4"/>
    <w:rsid w:val="00DF472E"/>
    <w:rsid w:val="00DF47F7"/>
    <w:rsid w:val="00DF481D"/>
    <w:rsid w:val="00DF48AA"/>
    <w:rsid w:val="00DF48D1"/>
    <w:rsid w:val="00DF49A3"/>
    <w:rsid w:val="00DF49B1"/>
    <w:rsid w:val="00DF4A67"/>
    <w:rsid w:val="00DF4B16"/>
    <w:rsid w:val="00DF4B4B"/>
    <w:rsid w:val="00DF4BAA"/>
    <w:rsid w:val="00DF4BD9"/>
    <w:rsid w:val="00DF4BDE"/>
    <w:rsid w:val="00DF4BEB"/>
    <w:rsid w:val="00DF4D9B"/>
    <w:rsid w:val="00DF4DD5"/>
    <w:rsid w:val="00DF4F8D"/>
    <w:rsid w:val="00DF4FA4"/>
    <w:rsid w:val="00DF4FCE"/>
    <w:rsid w:val="00DF50AA"/>
    <w:rsid w:val="00DF50F2"/>
    <w:rsid w:val="00DF51FF"/>
    <w:rsid w:val="00DF5260"/>
    <w:rsid w:val="00DF526F"/>
    <w:rsid w:val="00DF52E0"/>
    <w:rsid w:val="00DF5366"/>
    <w:rsid w:val="00DF55B8"/>
    <w:rsid w:val="00DF56CA"/>
    <w:rsid w:val="00DF574C"/>
    <w:rsid w:val="00DF5765"/>
    <w:rsid w:val="00DF5901"/>
    <w:rsid w:val="00DF5918"/>
    <w:rsid w:val="00DF5964"/>
    <w:rsid w:val="00DF5976"/>
    <w:rsid w:val="00DF5992"/>
    <w:rsid w:val="00DF59DC"/>
    <w:rsid w:val="00DF5A96"/>
    <w:rsid w:val="00DF5AB5"/>
    <w:rsid w:val="00DF5B09"/>
    <w:rsid w:val="00DF5C9C"/>
    <w:rsid w:val="00DF5C9D"/>
    <w:rsid w:val="00DF5CA3"/>
    <w:rsid w:val="00DF5CAF"/>
    <w:rsid w:val="00DF5D40"/>
    <w:rsid w:val="00DF5DE7"/>
    <w:rsid w:val="00DF5E82"/>
    <w:rsid w:val="00DF5EA0"/>
    <w:rsid w:val="00DF6011"/>
    <w:rsid w:val="00DF60DE"/>
    <w:rsid w:val="00DF6161"/>
    <w:rsid w:val="00DF6255"/>
    <w:rsid w:val="00DF632C"/>
    <w:rsid w:val="00DF637B"/>
    <w:rsid w:val="00DF63DD"/>
    <w:rsid w:val="00DF643A"/>
    <w:rsid w:val="00DF64A5"/>
    <w:rsid w:val="00DF64BB"/>
    <w:rsid w:val="00DF64EB"/>
    <w:rsid w:val="00DF6542"/>
    <w:rsid w:val="00DF65EB"/>
    <w:rsid w:val="00DF6669"/>
    <w:rsid w:val="00DF668B"/>
    <w:rsid w:val="00DF6A63"/>
    <w:rsid w:val="00DF6BB7"/>
    <w:rsid w:val="00DF6D3A"/>
    <w:rsid w:val="00DF6D5F"/>
    <w:rsid w:val="00DF6DBB"/>
    <w:rsid w:val="00DF6E4D"/>
    <w:rsid w:val="00DF6EA2"/>
    <w:rsid w:val="00DF6EB2"/>
    <w:rsid w:val="00DF6EFB"/>
    <w:rsid w:val="00DF6F54"/>
    <w:rsid w:val="00DF700E"/>
    <w:rsid w:val="00DF704C"/>
    <w:rsid w:val="00DF70D1"/>
    <w:rsid w:val="00DF710E"/>
    <w:rsid w:val="00DF72AC"/>
    <w:rsid w:val="00DF73ED"/>
    <w:rsid w:val="00DF741F"/>
    <w:rsid w:val="00DF7596"/>
    <w:rsid w:val="00DF76AA"/>
    <w:rsid w:val="00DF7783"/>
    <w:rsid w:val="00DF7794"/>
    <w:rsid w:val="00DF77DA"/>
    <w:rsid w:val="00DF786B"/>
    <w:rsid w:val="00DF786D"/>
    <w:rsid w:val="00DF7878"/>
    <w:rsid w:val="00DF78AC"/>
    <w:rsid w:val="00DF78B3"/>
    <w:rsid w:val="00DF7993"/>
    <w:rsid w:val="00DF79FA"/>
    <w:rsid w:val="00DF7A04"/>
    <w:rsid w:val="00DF7ACD"/>
    <w:rsid w:val="00DF7BAB"/>
    <w:rsid w:val="00DF7BBE"/>
    <w:rsid w:val="00DF7BDC"/>
    <w:rsid w:val="00DF7C02"/>
    <w:rsid w:val="00DF7C36"/>
    <w:rsid w:val="00DF7C4C"/>
    <w:rsid w:val="00DF7C5F"/>
    <w:rsid w:val="00DF7CA9"/>
    <w:rsid w:val="00DF7D08"/>
    <w:rsid w:val="00DF7DCA"/>
    <w:rsid w:val="00DF7DCF"/>
    <w:rsid w:val="00DF7E0F"/>
    <w:rsid w:val="00DF7E3E"/>
    <w:rsid w:val="00DF7E60"/>
    <w:rsid w:val="00DF7E92"/>
    <w:rsid w:val="00DF7F28"/>
    <w:rsid w:val="00E0008A"/>
    <w:rsid w:val="00E00225"/>
    <w:rsid w:val="00E0029D"/>
    <w:rsid w:val="00E002DE"/>
    <w:rsid w:val="00E002F6"/>
    <w:rsid w:val="00E00428"/>
    <w:rsid w:val="00E00496"/>
    <w:rsid w:val="00E00536"/>
    <w:rsid w:val="00E00556"/>
    <w:rsid w:val="00E0056F"/>
    <w:rsid w:val="00E0059D"/>
    <w:rsid w:val="00E00633"/>
    <w:rsid w:val="00E00668"/>
    <w:rsid w:val="00E006D5"/>
    <w:rsid w:val="00E006E0"/>
    <w:rsid w:val="00E00741"/>
    <w:rsid w:val="00E00855"/>
    <w:rsid w:val="00E009CC"/>
    <w:rsid w:val="00E009CE"/>
    <w:rsid w:val="00E009F7"/>
    <w:rsid w:val="00E00A36"/>
    <w:rsid w:val="00E00C11"/>
    <w:rsid w:val="00E00C72"/>
    <w:rsid w:val="00E00CEE"/>
    <w:rsid w:val="00E00DE2"/>
    <w:rsid w:val="00E00F16"/>
    <w:rsid w:val="00E00F40"/>
    <w:rsid w:val="00E00FB7"/>
    <w:rsid w:val="00E00FC0"/>
    <w:rsid w:val="00E00FF5"/>
    <w:rsid w:val="00E010E9"/>
    <w:rsid w:val="00E010F8"/>
    <w:rsid w:val="00E0116B"/>
    <w:rsid w:val="00E01177"/>
    <w:rsid w:val="00E011C5"/>
    <w:rsid w:val="00E0124B"/>
    <w:rsid w:val="00E01263"/>
    <w:rsid w:val="00E01266"/>
    <w:rsid w:val="00E01281"/>
    <w:rsid w:val="00E01293"/>
    <w:rsid w:val="00E0135B"/>
    <w:rsid w:val="00E01412"/>
    <w:rsid w:val="00E01455"/>
    <w:rsid w:val="00E01503"/>
    <w:rsid w:val="00E0156B"/>
    <w:rsid w:val="00E015A6"/>
    <w:rsid w:val="00E015B1"/>
    <w:rsid w:val="00E0163D"/>
    <w:rsid w:val="00E0167C"/>
    <w:rsid w:val="00E016A2"/>
    <w:rsid w:val="00E016F2"/>
    <w:rsid w:val="00E0170F"/>
    <w:rsid w:val="00E017AD"/>
    <w:rsid w:val="00E017F8"/>
    <w:rsid w:val="00E0180D"/>
    <w:rsid w:val="00E0181F"/>
    <w:rsid w:val="00E01830"/>
    <w:rsid w:val="00E019F0"/>
    <w:rsid w:val="00E01B34"/>
    <w:rsid w:val="00E01B5F"/>
    <w:rsid w:val="00E01C43"/>
    <w:rsid w:val="00E01D80"/>
    <w:rsid w:val="00E01DC9"/>
    <w:rsid w:val="00E01F48"/>
    <w:rsid w:val="00E01F4A"/>
    <w:rsid w:val="00E01FCA"/>
    <w:rsid w:val="00E020E1"/>
    <w:rsid w:val="00E020FE"/>
    <w:rsid w:val="00E021BC"/>
    <w:rsid w:val="00E022D2"/>
    <w:rsid w:val="00E02344"/>
    <w:rsid w:val="00E02385"/>
    <w:rsid w:val="00E023E3"/>
    <w:rsid w:val="00E023FD"/>
    <w:rsid w:val="00E02437"/>
    <w:rsid w:val="00E02495"/>
    <w:rsid w:val="00E024A4"/>
    <w:rsid w:val="00E024BC"/>
    <w:rsid w:val="00E02561"/>
    <w:rsid w:val="00E02597"/>
    <w:rsid w:val="00E025DC"/>
    <w:rsid w:val="00E026A6"/>
    <w:rsid w:val="00E02797"/>
    <w:rsid w:val="00E027AE"/>
    <w:rsid w:val="00E027EC"/>
    <w:rsid w:val="00E027F7"/>
    <w:rsid w:val="00E02806"/>
    <w:rsid w:val="00E0280A"/>
    <w:rsid w:val="00E028A9"/>
    <w:rsid w:val="00E0290C"/>
    <w:rsid w:val="00E02992"/>
    <w:rsid w:val="00E02A32"/>
    <w:rsid w:val="00E02A38"/>
    <w:rsid w:val="00E02ABE"/>
    <w:rsid w:val="00E02AD4"/>
    <w:rsid w:val="00E02AF9"/>
    <w:rsid w:val="00E02B3C"/>
    <w:rsid w:val="00E02B69"/>
    <w:rsid w:val="00E02D07"/>
    <w:rsid w:val="00E02D3E"/>
    <w:rsid w:val="00E02D54"/>
    <w:rsid w:val="00E02D94"/>
    <w:rsid w:val="00E02E8A"/>
    <w:rsid w:val="00E02EA1"/>
    <w:rsid w:val="00E02F2A"/>
    <w:rsid w:val="00E02F3D"/>
    <w:rsid w:val="00E02F67"/>
    <w:rsid w:val="00E03127"/>
    <w:rsid w:val="00E03161"/>
    <w:rsid w:val="00E031BB"/>
    <w:rsid w:val="00E0323D"/>
    <w:rsid w:val="00E032D4"/>
    <w:rsid w:val="00E032FA"/>
    <w:rsid w:val="00E0341D"/>
    <w:rsid w:val="00E0341F"/>
    <w:rsid w:val="00E034B3"/>
    <w:rsid w:val="00E0354A"/>
    <w:rsid w:val="00E03593"/>
    <w:rsid w:val="00E035FA"/>
    <w:rsid w:val="00E0366D"/>
    <w:rsid w:val="00E0373C"/>
    <w:rsid w:val="00E037B3"/>
    <w:rsid w:val="00E037C7"/>
    <w:rsid w:val="00E037E1"/>
    <w:rsid w:val="00E0386B"/>
    <w:rsid w:val="00E03A41"/>
    <w:rsid w:val="00E03B14"/>
    <w:rsid w:val="00E03B49"/>
    <w:rsid w:val="00E03B66"/>
    <w:rsid w:val="00E03B71"/>
    <w:rsid w:val="00E03CA7"/>
    <w:rsid w:val="00E03D29"/>
    <w:rsid w:val="00E03D73"/>
    <w:rsid w:val="00E03F0E"/>
    <w:rsid w:val="00E03F86"/>
    <w:rsid w:val="00E04087"/>
    <w:rsid w:val="00E040D8"/>
    <w:rsid w:val="00E041E7"/>
    <w:rsid w:val="00E042BA"/>
    <w:rsid w:val="00E04319"/>
    <w:rsid w:val="00E04387"/>
    <w:rsid w:val="00E043AC"/>
    <w:rsid w:val="00E043AE"/>
    <w:rsid w:val="00E04494"/>
    <w:rsid w:val="00E04517"/>
    <w:rsid w:val="00E0452C"/>
    <w:rsid w:val="00E0456A"/>
    <w:rsid w:val="00E0460C"/>
    <w:rsid w:val="00E0461D"/>
    <w:rsid w:val="00E0465C"/>
    <w:rsid w:val="00E04687"/>
    <w:rsid w:val="00E046DC"/>
    <w:rsid w:val="00E046FB"/>
    <w:rsid w:val="00E0475E"/>
    <w:rsid w:val="00E047F2"/>
    <w:rsid w:val="00E0487F"/>
    <w:rsid w:val="00E04898"/>
    <w:rsid w:val="00E049E2"/>
    <w:rsid w:val="00E04A1A"/>
    <w:rsid w:val="00E04A71"/>
    <w:rsid w:val="00E04AAE"/>
    <w:rsid w:val="00E04AB2"/>
    <w:rsid w:val="00E04B50"/>
    <w:rsid w:val="00E04B5C"/>
    <w:rsid w:val="00E04BA5"/>
    <w:rsid w:val="00E04BAC"/>
    <w:rsid w:val="00E04BD3"/>
    <w:rsid w:val="00E04BF3"/>
    <w:rsid w:val="00E04C61"/>
    <w:rsid w:val="00E04D08"/>
    <w:rsid w:val="00E04D43"/>
    <w:rsid w:val="00E04DA0"/>
    <w:rsid w:val="00E04DE0"/>
    <w:rsid w:val="00E04F1D"/>
    <w:rsid w:val="00E05001"/>
    <w:rsid w:val="00E050DA"/>
    <w:rsid w:val="00E05100"/>
    <w:rsid w:val="00E05143"/>
    <w:rsid w:val="00E05177"/>
    <w:rsid w:val="00E0517D"/>
    <w:rsid w:val="00E0538A"/>
    <w:rsid w:val="00E0548B"/>
    <w:rsid w:val="00E054EA"/>
    <w:rsid w:val="00E05530"/>
    <w:rsid w:val="00E055EB"/>
    <w:rsid w:val="00E055F1"/>
    <w:rsid w:val="00E0564B"/>
    <w:rsid w:val="00E0565E"/>
    <w:rsid w:val="00E05663"/>
    <w:rsid w:val="00E0573F"/>
    <w:rsid w:val="00E0588A"/>
    <w:rsid w:val="00E058EA"/>
    <w:rsid w:val="00E058EC"/>
    <w:rsid w:val="00E059D4"/>
    <w:rsid w:val="00E05A2B"/>
    <w:rsid w:val="00E05AAB"/>
    <w:rsid w:val="00E05BE5"/>
    <w:rsid w:val="00E05CAE"/>
    <w:rsid w:val="00E05CD8"/>
    <w:rsid w:val="00E05E60"/>
    <w:rsid w:val="00E05EB6"/>
    <w:rsid w:val="00E05EFE"/>
    <w:rsid w:val="00E05F29"/>
    <w:rsid w:val="00E05F59"/>
    <w:rsid w:val="00E05F61"/>
    <w:rsid w:val="00E05FC7"/>
    <w:rsid w:val="00E0609A"/>
    <w:rsid w:val="00E060A4"/>
    <w:rsid w:val="00E06138"/>
    <w:rsid w:val="00E0626B"/>
    <w:rsid w:val="00E0639B"/>
    <w:rsid w:val="00E063B0"/>
    <w:rsid w:val="00E063DF"/>
    <w:rsid w:val="00E06446"/>
    <w:rsid w:val="00E06715"/>
    <w:rsid w:val="00E0677F"/>
    <w:rsid w:val="00E06797"/>
    <w:rsid w:val="00E067F2"/>
    <w:rsid w:val="00E068C9"/>
    <w:rsid w:val="00E068EB"/>
    <w:rsid w:val="00E069B2"/>
    <w:rsid w:val="00E06A5E"/>
    <w:rsid w:val="00E06AC9"/>
    <w:rsid w:val="00E06B62"/>
    <w:rsid w:val="00E06B7F"/>
    <w:rsid w:val="00E06BAD"/>
    <w:rsid w:val="00E06C0B"/>
    <w:rsid w:val="00E06C2B"/>
    <w:rsid w:val="00E06D06"/>
    <w:rsid w:val="00E06D46"/>
    <w:rsid w:val="00E06E32"/>
    <w:rsid w:val="00E06EEE"/>
    <w:rsid w:val="00E06FBE"/>
    <w:rsid w:val="00E06FE9"/>
    <w:rsid w:val="00E07146"/>
    <w:rsid w:val="00E071C2"/>
    <w:rsid w:val="00E07253"/>
    <w:rsid w:val="00E0725A"/>
    <w:rsid w:val="00E0726C"/>
    <w:rsid w:val="00E0728E"/>
    <w:rsid w:val="00E072BC"/>
    <w:rsid w:val="00E07431"/>
    <w:rsid w:val="00E07489"/>
    <w:rsid w:val="00E074C1"/>
    <w:rsid w:val="00E074DF"/>
    <w:rsid w:val="00E0754C"/>
    <w:rsid w:val="00E07578"/>
    <w:rsid w:val="00E07658"/>
    <w:rsid w:val="00E076AF"/>
    <w:rsid w:val="00E076EC"/>
    <w:rsid w:val="00E07700"/>
    <w:rsid w:val="00E07711"/>
    <w:rsid w:val="00E07725"/>
    <w:rsid w:val="00E07814"/>
    <w:rsid w:val="00E07815"/>
    <w:rsid w:val="00E079BA"/>
    <w:rsid w:val="00E07B73"/>
    <w:rsid w:val="00E07B7D"/>
    <w:rsid w:val="00E07B87"/>
    <w:rsid w:val="00E07BD6"/>
    <w:rsid w:val="00E07BE9"/>
    <w:rsid w:val="00E07D8C"/>
    <w:rsid w:val="00E07DB2"/>
    <w:rsid w:val="00E07DBF"/>
    <w:rsid w:val="00E07DEF"/>
    <w:rsid w:val="00E07EC8"/>
    <w:rsid w:val="00E07F90"/>
    <w:rsid w:val="00E101F9"/>
    <w:rsid w:val="00E10248"/>
    <w:rsid w:val="00E103A3"/>
    <w:rsid w:val="00E10400"/>
    <w:rsid w:val="00E10639"/>
    <w:rsid w:val="00E1064F"/>
    <w:rsid w:val="00E106B2"/>
    <w:rsid w:val="00E10753"/>
    <w:rsid w:val="00E107EB"/>
    <w:rsid w:val="00E10808"/>
    <w:rsid w:val="00E1080C"/>
    <w:rsid w:val="00E10811"/>
    <w:rsid w:val="00E1095C"/>
    <w:rsid w:val="00E1096F"/>
    <w:rsid w:val="00E10A3B"/>
    <w:rsid w:val="00E10A43"/>
    <w:rsid w:val="00E10AAC"/>
    <w:rsid w:val="00E10AAE"/>
    <w:rsid w:val="00E10CB3"/>
    <w:rsid w:val="00E10EFA"/>
    <w:rsid w:val="00E10F8A"/>
    <w:rsid w:val="00E1108A"/>
    <w:rsid w:val="00E11126"/>
    <w:rsid w:val="00E11213"/>
    <w:rsid w:val="00E1128C"/>
    <w:rsid w:val="00E113AF"/>
    <w:rsid w:val="00E113DD"/>
    <w:rsid w:val="00E1144F"/>
    <w:rsid w:val="00E1146A"/>
    <w:rsid w:val="00E114A5"/>
    <w:rsid w:val="00E114AE"/>
    <w:rsid w:val="00E11557"/>
    <w:rsid w:val="00E11586"/>
    <w:rsid w:val="00E115D8"/>
    <w:rsid w:val="00E11644"/>
    <w:rsid w:val="00E116D6"/>
    <w:rsid w:val="00E11725"/>
    <w:rsid w:val="00E11759"/>
    <w:rsid w:val="00E11763"/>
    <w:rsid w:val="00E118FD"/>
    <w:rsid w:val="00E11914"/>
    <w:rsid w:val="00E11A03"/>
    <w:rsid w:val="00E11A5B"/>
    <w:rsid w:val="00E11A5C"/>
    <w:rsid w:val="00E11AEF"/>
    <w:rsid w:val="00E11BC6"/>
    <w:rsid w:val="00E11BDF"/>
    <w:rsid w:val="00E11CC3"/>
    <w:rsid w:val="00E11D25"/>
    <w:rsid w:val="00E11DC9"/>
    <w:rsid w:val="00E11E6B"/>
    <w:rsid w:val="00E11E91"/>
    <w:rsid w:val="00E11EEB"/>
    <w:rsid w:val="00E11F9B"/>
    <w:rsid w:val="00E11FB5"/>
    <w:rsid w:val="00E1200E"/>
    <w:rsid w:val="00E12050"/>
    <w:rsid w:val="00E120BD"/>
    <w:rsid w:val="00E1227C"/>
    <w:rsid w:val="00E1227E"/>
    <w:rsid w:val="00E122AC"/>
    <w:rsid w:val="00E122E1"/>
    <w:rsid w:val="00E122EE"/>
    <w:rsid w:val="00E123B3"/>
    <w:rsid w:val="00E123F8"/>
    <w:rsid w:val="00E1240C"/>
    <w:rsid w:val="00E124DF"/>
    <w:rsid w:val="00E1253C"/>
    <w:rsid w:val="00E12540"/>
    <w:rsid w:val="00E1260B"/>
    <w:rsid w:val="00E12669"/>
    <w:rsid w:val="00E12679"/>
    <w:rsid w:val="00E126DD"/>
    <w:rsid w:val="00E1276B"/>
    <w:rsid w:val="00E1279B"/>
    <w:rsid w:val="00E127E2"/>
    <w:rsid w:val="00E12850"/>
    <w:rsid w:val="00E12864"/>
    <w:rsid w:val="00E12871"/>
    <w:rsid w:val="00E128A5"/>
    <w:rsid w:val="00E1298A"/>
    <w:rsid w:val="00E12B8D"/>
    <w:rsid w:val="00E12BC3"/>
    <w:rsid w:val="00E12C39"/>
    <w:rsid w:val="00E12CDE"/>
    <w:rsid w:val="00E12EA5"/>
    <w:rsid w:val="00E12F5B"/>
    <w:rsid w:val="00E1305A"/>
    <w:rsid w:val="00E13093"/>
    <w:rsid w:val="00E130DD"/>
    <w:rsid w:val="00E13105"/>
    <w:rsid w:val="00E132D1"/>
    <w:rsid w:val="00E132DE"/>
    <w:rsid w:val="00E1334A"/>
    <w:rsid w:val="00E133FA"/>
    <w:rsid w:val="00E13572"/>
    <w:rsid w:val="00E1357C"/>
    <w:rsid w:val="00E135F4"/>
    <w:rsid w:val="00E136D9"/>
    <w:rsid w:val="00E136EB"/>
    <w:rsid w:val="00E1383E"/>
    <w:rsid w:val="00E13853"/>
    <w:rsid w:val="00E13925"/>
    <w:rsid w:val="00E13998"/>
    <w:rsid w:val="00E13A0A"/>
    <w:rsid w:val="00E13A19"/>
    <w:rsid w:val="00E13A6D"/>
    <w:rsid w:val="00E13AE3"/>
    <w:rsid w:val="00E13BA6"/>
    <w:rsid w:val="00E13BFC"/>
    <w:rsid w:val="00E13C90"/>
    <w:rsid w:val="00E13CE2"/>
    <w:rsid w:val="00E13D02"/>
    <w:rsid w:val="00E13D17"/>
    <w:rsid w:val="00E13D23"/>
    <w:rsid w:val="00E13D6B"/>
    <w:rsid w:val="00E13D81"/>
    <w:rsid w:val="00E13E56"/>
    <w:rsid w:val="00E13E5B"/>
    <w:rsid w:val="00E13F16"/>
    <w:rsid w:val="00E13F46"/>
    <w:rsid w:val="00E13F90"/>
    <w:rsid w:val="00E13FC3"/>
    <w:rsid w:val="00E13FEA"/>
    <w:rsid w:val="00E13FF4"/>
    <w:rsid w:val="00E14047"/>
    <w:rsid w:val="00E140C3"/>
    <w:rsid w:val="00E140F8"/>
    <w:rsid w:val="00E14130"/>
    <w:rsid w:val="00E14298"/>
    <w:rsid w:val="00E1441E"/>
    <w:rsid w:val="00E14451"/>
    <w:rsid w:val="00E1459A"/>
    <w:rsid w:val="00E145D5"/>
    <w:rsid w:val="00E14786"/>
    <w:rsid w:val="00E14863"/>
    <w:rsid w:val="00E1487D"/>
    <w:rsid w:val="00E148ED"/>
    <w:rsid w:val="00E14905"/>
    <w:rsid w:val="00E14914"/>
    <w:rsid w:val="00E14A3C"/>
    <w:rsid w:val="00E14A58"/>
    <w:rsid w:val="00E14AC2"/>
    <w:rsid w:val="00E14C5F"/>
    <w:rsid w:val="00E14DA3"/>
    <w:rsid w:val="00E14DC0"/>
    <w:rsid w:val="00E14F28"/>
    <w:rsid w:val="00E14FBA"/>
    <w:rsid w:val="00E151C1"/>
    <w:rsid w:val="00E15268"/>
    <w:rsid w:val="00E15367"/>
    <w:rsid w:val="00E153CB"/>
    <w:rsid w:val="00E153D6"/>
    <w:rsid w:val="00E153E6"/>
    <w:rsid w:val="00E153FF"/>
    <w:rsid w:val="00E15443"/>
    <w:rsid w:val="00E1556B"/>
    <w:rsid w:val="00E15578"/>
    <w:rsid w:val="00E15605"/>
    <w:rsid w:val="00E1567E"/>
    <w:rsid w:val="00E1571A"/>
    <w:rsid w:val="00E157C7"/>
    <w:rsid w:val="00E158F0"/>
    <w:rsid w:val="00E15926"/>
    <w:rsid w:val="00E1592A"/>
    <w:rsid w:val="00E15984"/>
    <w:rsid w:val="00E15A29"/>
    <w:rsid w:val="00E15A52"/>
    <w:rsid w:val="00E15AE0"/>
    <w:rsid w:val="00E15B89"/>
    <w:rsid w:val="00E15BB5"/>
    <w:rsid w:val="00E15BF1"/>
    <w:rsid w:val="00E15C1F"/>
    <w:rsid w:val="00E15E84"/>
    <w:rsid w:val="00E15FD4"/>
    <w:rsid w:val="00E16014"/>
    <w:rsid w:val="00E1609F"/>
    <w:rsid w:val="00E160C4"/>
    <w:rsid w:val="00E160FA"/>
    <w:rsid w:val="00E16138"/>
    <w:rsid w:val="00E16257"/>
    <w:rsid w:val="00E16294"/>
    <w:rsid w:val="00E1636C"/>
    <w:rsid w:val="00E16526"/>
    <w:rsid w:val="00E16553"/>
    <w:rsid w:val="00E1656C"/>
    <w:rsid w:val="00E166B6"/>
    <w:rsid w:val="00E166D5"/>
    <w:rsid w:val="00E16737"/>
    <w:rsid w:val="00E1678D"/>
    <w:rsid w:val="00E167B2"/>
    <w:rsid w:val="00E167C3"/>
    <w:rsid w:val="00E167FE"/>
    <w:rsid w:val="00E16836"/>
    <w:rsid w:val="00E168F6"/>
    <w:rsid w:val="00E168FA"/>
    <w:rsid w:val="00E16953"/>
    <w:rsid w:val="00E1699B"/>
    <w:rsid w:val="00E16A99"/>
    <w:rsid w:val="00E16B6E"/>
    <w:rsid w:val="00E16C50"/>
    <w:rsid w:val="00E16C61"/>
    <w:rsid w:val="00E16C70"/>
    <w:rsid w:val="00E16C97"/>
    <w:rsid w:val="00E16D21"/>
    <w:rsid w:val="00E16D60"/>
    <w:rsid w:val="00E16DB1"/>
    <w:rsid w:val="00E16F7D"/>
    <w:rsid w:val="00E16FE4"/>
    <w:rsid w:val="00E1717E"/>
    <w:rsid w:val="00E17405"/>
    <w:rsid w:val="00E1743D"/>
    <w:rsid w:val="00E17554"/>
    <w:rsid w:val="00E175F5"/>
    <w:rsid w:val="00E1779D"/>
    <w:rsid w:val="00E178CA"/>
    <w:rsid w:val="00E178F8"/>
    <w:rsid w:val="00E17A79"/>
    <w:rsid w:val="00E17AEA"/>
    <w:rsid w:val="00E17B57"/>
    <w:rsid w:val="00E17C54"/>
    <w:rsid w:val="00E17CAF"/>
    <w:rsid w:val="00E17CE0"/>
    <w:rsid w:val="00E17D40"/>
    <w:rsid w:val="00E17D61"/>
    <w:rsid w:val="00E17E66"/>
    <w:rsid w:val="00E17E7C"/>
    <w:rsid w:val="00E17EE1"/>
    <w:rsid w:val="00E2002C"/>
    <w:rsid w:val="00E2006D"/>
    <w:rsid w:val="00E200BF"/>
    <w:rsid w:val="00E2015A"/>
    <w:rsid w:val="00E20179"/>
    <w:rsid w:val="00E20199"/>
    <w:rsid w:val="00E202CC"/>
    <w:rsid w:val="00E2031F"/>
    <w:rsid w:val="00E2039B"/>
    <w:rsid w:val="00E203A4"/>
    <w:rsid w:val="00E2047E"/>
    <w:rsid w:val="00E204F4"/>
    <w:rsid w:val="00E2066C"/>
    <w:rsid w:val="00E206ED"/>
    <w:rsid w:val="00E206F9"/>
    <w:rsid w:val="00E2082E"/>
    <w:rsid w:val="00E208B3"/>
    <w:rsid w:val="00E208C0"/>
    <w:rsid w:val="00E208EC"/>
    <w:rsid w:val="00E2092A"/>
    <w:rsid w:val="00E2093B"/>
    <w:rsid w:val="00E209A1"/>
    <w:rsid w:val="00E209B0"/>
    <w:rsid w:val="00E20A07"/>
    <w:rsid w:val="00E20AB3"/>
    <w:rsid w:val="00E20DB3"/>
    <w:rsid w:val="00E20E7B"/>
    <w:rsid w:val="00E20E8E"/>
    <w:rsid w:val="00E20F90"/>
    <w:rsid w:val="00E20FC5"/>
    <w:rsid w:val="00E2101A"/>
    <w:rsid w:val="00E2107F"/>
    <w:rsid w:val="00E210AE"/>
    <w:rsid w:val="00E2111D"/>
    <w:rsid w:val="00E211AF"/>
    <w:rsid w:val="00E211BA"/>
    <w:rsid w:val="00E21247"/>
    <w:rsid w:val="00E212DA"/>
    <w:rsid w:val="00E21421"/>
    <w:rsid w:val="00E21436"/>
    <w:rsid w:val="00E21442"/>
    <w:rsid w:val="00E214DA"/>
    <w:rsid w:val="00E2151D"/>
    <w:rsid w:val="00E2155D"/>
    <w:rsid w:val="00E215AA"/>
    <w:rsid w:val="00E21637"/>
    <w:rsid w:val="00E2169A"/>
    <w:rsid w:val="00E21703"/>
    <w:rsid w:val="00E217B4"/>
    <w:rsid w:val="00E217E2"/>
    <w:rsid w:val="00E2183E"/>
    <w:rsid w:val="00E219E0"/>
    <w:rsid w:val="00E21A3D"/>
    <w:rsid w:val="00E21A74"/>
    <w:rsid w:val="00E21B60"/>
    <w:rsid w:val="00E21B75"/>
    <w:rsid w:val="00E21C3B"/>
    <w:rsid w:val="00E21DBF"/>
    <w:rsid w:val="00E21E4D"/>
    <w:rsid w:val="00E21E53"/>
    <w:rsid w:val="00E21E8E"/>
    <w:rsid w:val="00E21FD4"/>
    <w:rsid w:val="00E22074"/>
    <w:rsid w:val="00E2216C"/>
    <w:rsid w:val="00E22192"/>
    <w:rsid w:val="00E221AA"/>
    <w:rsid w:val="00E2238C"/>
    <w:rsid w:val="00E225F5"/>
    <w:rsid w:val="00E2261D"/>
    <w:rsid w:val="00E2269C"/>
    <w:rsid w:val="00E226F9"/>
    <w:rsid w:val="00E2271F"/>
    <w:rsid w:val="00E227F4"/>
    <w:rsid w:val="00E2289A"/>
    <w:rsid w:val="00E229A0"/>
    <w:rsid w:val="00E229BC"/>
    <w:rsid w:val="00E22B76"/>
    <w:rsid w:val="00E22BD6"/>
    <w:rsid w:val="00E22BE7"/>
    <w:rsid w:val="00E22BEA"/>
    <w:rsid w:val="00E22D6A"/>
    <w:rsid w:val="00E22D81"/>
    <w:rsid w:val="00E22E4B"/>
    <w:rsid w:val="00E22EC6"/>
    <w:rsid w:val="00E23001"/>
    <w:rsid w:val="00E2307B"/>
    <w:rsid w:val="00E2315F"/>
    <w:rsid w:val="00E23187"/>
    <w:rsid w:val="00E23241"/>
    <w:rsid w:val="00E232CB"/>
    <w:rsid w:val="00E23350"/>
    <w:rsid w:val="00E23400"/>
    <w:rsid w:val="00E23414"/>
    <w:rsid w:val="00E23533"/>
    <w:rsid w:val="00E23543"/>
    <w:rsid w:val="00E23565"/>
    <w:rsid w:val="00E23588"/>
    <w:rsid w:val="00E235BD"/>
    <w:rsid w:val="00E235E5"/>
    <w:rsid w:val="00E236B0"/>
    <w:rsid w:val="00E237A9"/>
    <w:rsid w:val="00E23921"/>
    <w:rsid w:val="00E23997"/>
    <w:rsid w:val="00E23A20"/>
    <w:rsid w:val="00E23A38"/>
    <w:rsid w:val="00E23A54"/>
    <w:rsid w:val="00E23A6D"/>
    <w:rsid w:val="00E23A85"/>
    <w:rsid w:val="00E23A95"/>
    <w:rsid w:val="00E23B08"/>
    <w:rsid w:val="00E23BE4"/>
    <w:rsid w:val="00E23BE6"/>
    <w:rsid w:val="00E23C69"/>
    <w:rsid w:val="00E23CB6"/>
    <w:rsid w:val="00E23DBF"/>
    <w:rsid w:val="00E23DE9"/>
    <w:rsid w:val="00E23E39"/>
    <w:rsid w:val="00E23EA3"/>
    <w:rsid w:val="00E23EF0"/>
    <w:rsid w:val="00E23EF1"/>
    <w:rsid w:val="00E23FAD"/>
    <w:rsid w:val="00E23FD5"/>
    <w:rsid w:val="00E2402B"/>
    <w:rsid w:val="00E24094"/>
    <w:rsid w:val="00E240AC"/>
    <w:rsid w:val="00E240CC"/>
    <w:rsid w:val="00E2413D"/>
    <w:rsid w:val="00E24167"/>
    <w:rsid w:val="00E24197"/>
    <w:rsid w:val="00E243E4"/>
    <w:rsid w:val="00E24425"/>
    <w:rsid w:val="00E2443F"/>
    <w:rsid w:val="00E24481"/>
    <w:rsid w:val="00E244CD"/>
    <w:rsid w:val="00E244FB"/>
    <w:rsid w:val="00E2460D"/>
    <w:rsid w:val="00E246E8"/>
    <w:rsid w:val="00E24710"/>
    <w:rsid w:val="00E2471A"/>
    <w:rsid w:val="00E249C1"/>
    <w:rsid w:val="00E24A20"/>
    <w:rsid w:val="00E24AB2"/>
    <w:rsid w:val="00E24AD2"/>
    <w:rsid w:val="00E24CDB"/>
    <w:rsid w:val="00E24CEB"/>
    <w:rsid w:val="00E24D75"/>
    <w:rsid w:val="00E24DCB"/>
    <w:rsid w:val="00E24DCC"/>
    <w:rsid w:val="00E24E4B"/>
    <w:rsid w:val="00E24F81"/>
    <w:rsid w:val="00E250EE"/>
    <w:rsid w:val="00E2513C"/>
    <w:rsid w:val="00E25168"/>
    <w:rsid w:val="00E2517B"/>
    <w:rsid w:val="00E251C2"/>
    <w:rsid w:val="00E251FF"/>
    <w:rsid w:val="00E25319"/>
    <w:rsid w:val="00E25481"/>
    <w:rsid w:val="00E25524"/>
    <w:rsid w:val="00E25527"/>
    <w:rsid w:val="00E25566"/>
    <w:rsid w:val="00E2563E"/>
    <w:rsid w:val="00E256A9"/>
    <w:rsid w:val="00E2571F"/>
    <w:rsid w:val="00E257E3"/>
    <w:rsid w:val="00E2591F"/>
    <w:rsid w:val="00E25967"/>
    <w:rsid w:val="00E259F1"/>
    <w:rsid w:val="00E25A01"/>
    <w:rsid w:val="00E25A57"/>
    <w:rsid w:val="00E25A82"/>
    <w:rsid w:val="00E25C22"/>
    <w:rsid w:val="00E25C9C"/>
    <w:rsid w:val="00E25CD9"/>
    <w:rsid w:val="00E25CEE"/>
    <w:rsid w:val="00E25D3E"/>
    <w:rsid w:val="00E25E72"/>
    <w:rsid w:val="00E25EA2"/>
    <w:rsid w:val="00E25EE9"/>
    <w:rsid w:val="00E25EF1"/>
    <w:rsid w:val="00E2604C"/>
    <w:rsid w:val="00E2604F"/>
    <w:rsid w:val="00E260C6"/>
    <w:rsid w:val="00E260E9"/>
    <w:rsid w:val="00E26118"/>
    <w:rsid w:val="00E26154"/>
    <w:rsid w:val="00E26157"/>
    <w:rsid w:val="00E26193"/>
    <w:rsid w:val="00E2633B"/>
    <w:rsid w:val="00E26340"/>
    <w:rsid w:val="00E2638D"/>
    <w:rsid w:val="00E2646F"/>
    <w:rsid w:val="00E26525"/>
    <w:rsid w:val="00E265D2"/>
    <w:rsid w:val="00E26610"/>
    <w:rsid w:val="00E26760"/>
    <w:rsid w:val="00E268B5"/>
    <w:rsid w:val="00E269CD"/>
    <w:rsid w:val="00E269FA"/>
    <w:rsid w:val="00E26A3E"/>
    <w:rsid w:val="00E26A6A"/>
    <w:rsid w:val="00E26B22"/>
    <w:rsid w:val="00E26C90"/>
    <w:rsid w:val="00E26CA8"/>
    <w:rsid w:val="00E26CCE"/>
    <w:rsid w:val="00E26EAD"/>
    <w:rsid w:val="00E26ED0"/>
    <w:rsid w:val="00E26FD0"/>
    <w:rsid w:val="00E270BF"/>
    <w:rsid w:val="00E270C7"/>
    <w:rsid w:val="00E271A1"/>
    <w:rsid w:val="00E271AD"/>
    <w:rsid w:val="00E271B2"/>
    <w:rsid w:val="00E271F1"/>
    <w:rsid w:val="00E27211"/>
    <w:rsid w:val="00E272C7"/>
    <w:rsid w:val="00E272D7"/>
    <w:rsid w:val="00E27323"/>
    <w:rsid w:val="00E273B4"/>
    <w:rsid w:val="00E273F4"/>
    <w:rsid w:val="00E27469"/>
    <w:rsid w:val="00E27483"/>
    <w:rsid w:val="00E2748A"/>
    <w:rsid w:val="00E27528"/>
    <w:rsid w:val="00E27572"/>
    <w:rsid w:val="00E275BE"/>
    <w:rsid w:val="00E27636"/>
    <w:rsid w:val="00E27675"/>
    <w:rsid w:val="00E276AA"/>
    <w:rsid w:val="00E27773"/>
    <w:rsid w:val="00E27870"/>
    <w:rsid w:val="00E278E2"/>
    <w:rsid w:val="00E278E4"/>
    <w:rsid w:val="00E278FC"/>
    <w:rsid w:val="00E279C1"/>
    <w:rsid w:val="00E279D0"/>
    <w:rsid w:val="00E27A95"/>
    <w:rsid w:val="00E27BF7"/>
    <w:rsid w:val="00E27C44"/>
    <w:rsid w:val="00E27CA8"/>
    <w:rsid w:val="00E27D14"/>
    <w:rsid w:val="00E27D2E"/>
    <w:rsid w:val="00E27D48"/>
    <w:rsid w:val="00E27D9B"/>
    <w:rsid w:val="00E27E23"/>
    <w:rsid w:val="00E27FFD"/>
    <w:rsid w:val="00E301A1"/>
    <w:rsid w:val="00E301F0"/>
    <w:rsid w:val="00E30272"/>
    <w:rsid w:val="00E3029D"/>
    <w:rsid w:val="00E30361"/>
    <w:rsid w:val="00E303E1"/>
    <w:rsid w:val="00E303EF"/>
    <w:rsid w:val="00E3044B"/>
    <w:rsid w:val="00E3052B"/>
    <w:rsid w:val="00E30551"/>
    <w:rsid w:val="00E30584"/>
    <w:rsid w:val="00E30587"/>
    <w:rsid w:val="00E3065B"/>
    <w:rsid w:val="00E30699"/>
    <w:rsid w:val="00E3070A"/>
    <w:rsid w:val="00E307C3"/>
    <w:rsid w:val="00E30803"/>
    <w:rsid w:val="00E3082D"/>
    <w:rsid w:val="00E30A08"/>
    <w:rsid w:val="00E30A1F"/>
    <w:rsid w:val="00E30AA5"/>
    <w:rsid w:val="00E30B45"/>
    <w:rsid w:val="00E30B4B"/>
    <w:rsid w:val="00E30BF4"/>
    <w:rsid w:val="00E30C51"/>
    <w:rsid w:val="00E30C71"/>
    <w:rsid w:val="00E30C73"/>
    <w:rsid w:val="00E30CB9"/>
    <w:rsid w:val="00E30CDA"/>
    <w:rsid w:val="00E30CED"/>
    <w:rsid w:val="00E30DCC"/>
    <w:rsid w:val="00E30DF2"/>
    <w:rsid w:val="00E30E09"/>
    <w:rsid w:val="00E30E3D"/>
    <w:rsid w:val="00E30E5F"/>
    <w:rsid w:val="00E30E8A"/>
    <w:rsid w:val="00E30FB3"/>
    <w:rsid w:val="00E30FBE"/>
    <w:rsid w:val="00E310C1"/>
    <w:rsid w:val="00E31169"/>
    <w:rsid w:val="00E311D5"/>
    <w:rsid w:val="00E3121C"/>
    <w:rsid w:val="00E31264"/>
    <w:rsid w:val="00E31326"/>
    <w:rsid w:val="00E315EA"/>
    <w:rsid w:val="00E3162F"/>
    <w:rsid w:val="00E31633"/>
    <w:rsid w:val="00E316D4"/>
    <w:rsid w:val="00E317BA"/>
    <w:rsid w:val="00E317C0"/>
    <w:rsid w:val="00E317C3"/>
    <w:rsid w:val="00E31818"/>
    <w:rsid w:val="00E3181D"/>
    <w:rsid w:val="00E31880"/>
    <w:rsid w:val="00E318A8"/>
    <w:rsid w:val="00E31920"/>
    <w:rsid w:val="00E3193F"/>
    <w:rsid w:val="00E31A26"/>
    <w:rsid w:val="00E31ACA"/>
    <w:rsid w:val="00E31B04"/>
    <w:rsid w:val="00E31BD7"/>
    <w:rsid w:val="00E31BFC"/>
    <w:rsid w:val="00E31C02"/>
    <w:rsid w:val="00E31C18"/>
    <w:rsid w:val="00E31D68"/>
    <w:rsid w:val="00E31D77"/>
    <w:rsid w:val="00E31E4C"/>
    <w:rsid w:val="00E31ECB"/>
    <w:rsid w:val="00E31ED2"/>
    <w:rsid w:val="00E31F40"/>
    <w:rsid w:val="00E31FFD"/>
    <w:rsid w:val="00E320BD"/>
    <w:rsid w:val="00E320C7"/>
    <w:rsid w:val="00E32415"/>
    <w:rsid w:val="00E324CA"/>
    <w:rsid w:val="00E32547"/>
    <w:rsid w:val="00E325DD"/>
    <w:rsid w:val="00E32600"/>
    <w:rsid w:val="00E3268B"/>
    <w:rsid w:val="00E327B6"/>
    <w:rsid w:val="00E327F6"/>
    <w:rsid w:val="00E32927"/>
    <w:rsid w:val="00E32932"/>
    <w:rsid w:val="00E32966"/>
    <w:rsid w:val="00E32981"/>
    <w:rsid w:val="00E32985"/>
    <w:rsid w:val="00E329DF"/>
    <w:rsid w:val="00E32AA0"/>
    <w:rsid w:val="00E32AD0"/>
    <w:rsid w:val="00E32B44"/>
    <w:rsid w:val="00E32BF4"/>
    <w:rsid w:val="00E32CB1"/>
    <w:rsid w:val="00E32E90"/>
    <w:rsid w:val="00E32EF1"/>
    <w:rsid w:val="00E3305A"/>
    <w:rsid w:val="00E330A0"/>
    <w:rsid w:val="00E3315B"/>
    <w:rsid w:val="00E3315D"/>
    <w:rsid w:val="00E33284"/>
    <w:rsid w:val="00E332CD"/>
    <w:rsid w:val="00E33379"/>
    <w:rsid w:val="00E333CD"/>
    <w:rsid w:val="00E333E1"/>
    <w:rsid w:val="00E33424"/>
    <w:rsid w:val="00E33444"/>
    <w:rsid w:val="00E3349F"/>
    <w:rsid w:val="00E33502"/>
    <w:rsid w:val="00E33599"/>
    <w:rsid w:val="00E335E7"/>
    <w:rsid w:val="00E335EB"/>
    <w:rsid w:val="00E33607"/>
    <w:rsid w:val="00E33669"/>
    <w:rsid w:val="00E336F5"/>
    <w:rsid w:val="00E33715"/>
    <w:rsid w:val="00E3378C"/>
    <w:rsid w:val="00E3382B"/>
    <w:rsid w:val="00E3396F"/>
    <w:rsid w:val="00E33A45"/>
    <w:rsid w:val="00E33A5A"/>
    <w:rsid w:val="00E33AA0"/>
    <w:rsid w:val="00E33BA9"/>
    <w:rsid w:val="00E33CF1"/>
    <w:rsid w:val="00E33D42"/>
    <w:rsid w:val="00E33EA6"/>
    <w:rsid w:val="00E33F87"/>
    <w:rsid w:val="00E33F89"/>
    <w:rsid w:val="00E33FA0"/>
    <w:rsid w:val="00E34010"/>
    <w:rsid w:val="00E34084"/>
    <w:rsid w:val="00E340C0"/>
    <w:rsid w:val="00E341D0"/>
    <w:rsid w:val="00E34277"/>
    <w:rsid w:val="00E343BF"/>
    <w:rsid w:val="00E344A9"/>
    <w:rsid w:val="00E344DB"/>
    <w:rsid w:val="00E34510"/>
    <w:rsid w:val="00E346FE"/>
    <w:rsid w:val="00E34779"/>
    <w:rsid w:val="00E34842"/>
    <w:rsid w:val="00E34937"/>
    <w:rsid w:val="00E349AE"/>
    <w:rsid w:val="00E34A41"/>
    <w:rsid w:val="00E34A71"/>
    <w:rsid w:val="00E34A8C"/>
    <w:rsid w:val="00E34BB1"/>
    <w:rsid w:val="00E34BF5"/>
    <w:rsid w:val="00E34C0C"/>
    <w:rsid w:val="00E34C11"/>
    <w:rsid w:val="00E34CFB"/>
    <w:rsid w:val="00E34D5F"/>
    <w:rsid w:val="00E34D9A"/>
    <w:rsid w:val="00E34ED3"/>
    <w:rsid w:val="00E34EEB"/>
    <w:rsid w:val="00E34F8B"/>
    <w:rsid w:val="00E35051"/>
    <w:rsid w:val="00E35052"/>
    <w:rsid w:val="00E350D2"/>
    <w:rsid w:val="00E3514D"/>
    <w:rsid w:val="00E35239"/>
    <w:rsid w:val="00E352C5"/>
    <w:rsid w:val="00E352DF"/>
    <w:rsid w:val="00E353ED"/>
    <w:rsid w:val="00E3549A"/>
    <w:rsid w:val="00E354E7"/>
    <w:rsid w:val="00E35586"/>
    <w:rsid w:val="00E35590"/>
    <w:rsid w:val="00E355B3"/>
    <w:rsid w:val="00E355D9"/>
    <w:rsid w:val="00E35651"/>
    <w:rsid w:val="00E3567C"/>
    <w:rsid w:val="00E356C2"/>
    <w:rsid w:val="00E3575B"/>
    <w:rsid w:val="00E35781"/>
    <w:rsid w:val="00E359D3"/>
    <w:rsid w:val="00E35AA7"/>
    <w:rsid w:val="00E35ADB"/>
    <w:rsid w:val="00E35B86"/>
    <w:rsid w:val="00E35BE5"/>
    <w:rsid w:val="00E35C2C"/>
    <w:rsid w:val="00E35C80"/>
    <w:rsid w:val="00E35C95"/>
    <w:rsid w:val="00E35D43"/>
    <w:rsid w:val="00E35E3C"/>
    <w:rsid w:val="00E35F0B"/>
    <w:rsid w:val="00E35F13"/>
    <w:rsid w:val="00E35F16"/>
    <w:rsid w:val="00E36044"/>
    <w:rsid w:val="00E36080"/>
    <w:rsid w:val="00E36171"/>
    <w:rsid w:val="00E36347"/>
    <w:rsid w:val="00E36383"/>
    <w:rsid w:val="00E363DF"/>
    <w:rsid w:val="00E36447"/>
    <w:rsid w:val="00E3646D"/>
    <w:rsid w:val="00E36487"/>
    <w:rsid w:val="00E364FF"/>
    <w:rsid w:val="00E36528"/>
    <w:rsid w:val="00E36564"/>
    <w:rsid w:val="00E365AD"/>
    <w:rsid w:val="00E365D0"/>
    <w:rsid w:val="00E36612"/>
    <w:rsid w:val="00E36646"/>
    <w:rsid w:val="00E36692"/>
    <w:rsid w:val="00E367F0"/>
    <w:rsid w:val="00E368AB"/>
    <w:rsid w:val="00E368D5"/>
    <w:rsid w:val="00E369AD"/>
    <w:rsid w:val="00E369BD"/>
    <w:rsid w:val="00E36AC7"/>
    <w:rsid w:val="00E36B4E"/>
    <w:rsid w:val="00E36BAB"/>
    <w:rsid w:val="00E36BFD"/>
    <w:rsid w:val="00E36C6B"/>
    <w:rsid w:val="00E36C83"/>
    <w:rsid w:val="00E36F4C"/>
    <w:rsid w:val="00E36FAA"/>
    <w:rsid w:val="00E36FE7"/>
    <w:rsid w:val="00E37070"/>
    <w:rsid w:val="00E370D6"/>
    <w:rsid w:val="00E37193"/>
    <w:rsid w:val="00E371B7"/>
    <w:rsid w:val="00E37252"/>
    <w:rsid w:val="00E37395"/>
    <w:rsid w:val="00E37498"/>
    <w:rsid w:val="00E375AB"/>
    <w:rsid w:val="00E375F5"/>
    <w:rsid w:val="00E37688"/>
    <w:rsid w:val="00E37696"/>
    <w:rsid w:val="00E376DD"/>
    <w:rsid w:val="00E376EF"/>
    <w:rsid w:val="00E3778A"/>
    <w:rsid w:val="00E3782F"/>
    <w:rsid w:val="00E378DE"/>
    <w:rsid w:val="00E37A59"/>
    <w:rsid w:val="00E37AA3"/>
    <w:rsid w:val="00E37BF4"/>
    <w:rsid w:val="00E37CE7"/>
    <w:rsid w:val="00E37DD9"/>
    <w:rsid w:val="00E37E25"/>
    <w:rsid w:val="00E37E4F"/>
    <w:rsid w:val="00E37ED2"/>
    <w:rsid w:val="00E37EDD"/>
    <w:rsid w:val="00E37F76"/>
    <w:rsid w:val="00E37F94"/>
    <w:rsid w:val="00E37FE1"/>
    <w:rsid w:val="00E400FD"/>
    <w:rsid w:val="00E4017F"/>
    <w:rsid w:val="00E40205"/>
    <w:rsid w:val="00E40239"/>
    <w:rsid w:val="00E402D4"/>
    <w:rsid w:val="00E40318"/>
    <w:rsid w:val="00E40322"/>
    <w:rsid w:val="00E4037E"/>
    <w:rsid w:val="00E40423"/>
    <w:rsid w:val="00E40471"/>
    <w:rsid w:val="00E404A3"/>
    <w:rsid w:val="00E40540"/>
    <w:rsid w:val="00E40665"/>
    <w:rsid w:val="00E40678"/>
    <w:rsid w:val="00E409AB"/>
    <w:rsid w:val="00E409FF"/>
    <w:rsid w:val="00E40A6B"/>
    <w:rsid w:val="00E40B05"/>
    <w:rsid w:val="00E40B0D"/>
    <w:rsid w:val="00E40B5F"/>
    <w:rsid w:val="00E40B69"/>
    <w:rsid w:val="00E40B9F"/>
    <w:rsid w:val="00E40BDB"/>
    <w:rsid w:val="00E40C77"/>
    <w:rsid w:val="00E40CE7"/>
    <w:rsid w:val="00E40D78"/>
    <w:rsid w:val="00E40DB7"/>
    <w:rsid w:val="00E40DE5"/>
    <w:rsid w:val="00E40E8B"/>
    <w:rsid w:val="00E40F34"/>
    <w:rsid w:val="00E40F41"/>
    <w:rsid w:val="00E410D1"/>
    <w:rsid w:val="00E41140"/>
    <w:rsid w:val="00E411AB"/>
    <w:rsid w:val="00E412FD"/>
    <w:rsid w:val="00E4137B"/>
    <w:rsid w:val="00E41559"/>
    <w:rsid w:val="00E416A3"/>
    <w:rsid w:val="00E416A5"/>
    <w:rsid w:val="00E41727"/>
    <w:rsid w:val="00E417F3"/>
    <w:rsid w:val="00E41855"/>
    <w:rsid w:val="00E418B4"/>
    <w:rsid w:val="00E41A9A"/>
    <w:rsid w:val="00E41AB0"/>
    <w:rsid w:val="00E41B4D"/>
    <w:rsid w:val="00E41B51"/>
    <w:rsid w:val="00E41B7B"/>
    <w:rsid w:val="00E41BC9"/>
    <w:rsid w:val="00E41C2D"/>
    <w:rsid w:val="00E41C56"/>
    <w:rsid w:val="00E41D0A"/>
    <w:rsid w:val="00E41D0D"/>
    <w:rsid w:val="00E41E10"/>
    <w:rsid w:val="00E41F6A"/>
    <w:rsid w:val="00E41F75"/>
    <w:rsid w:val="00E41F91"/>
    <w:rsid w:val="00E41FC6"/>
    <w:rsid w:val="00E4200B"/>
    <w:rsid w:val="00E421D2"/>
    <w:rsid w:val="00E4221A"/>
    <w:rsid w:val="00E42247"/>
    <w:rsid w:val="00E422B4"/>
    <w:rsid w:val="00E422BF"/>
    <w:rsid w:val="00E42364"/>
    <w:rsid w:val="00E423A0"/>
    <w:rsid w:val="00E423EB"/>
    <w:rsid w:val="00E42463"/>
    <w:rsid w:val="00E4247A"/>
    <w:rsid w:val="00E42519"/>
    <w:rsid w:val="00E42524"/>
    <w:rsid w:val="00E425B1"/>
    <w:rsid w:val="00E42663"/>
    <w:rsid w:val="00E4267C"/>
    <w:rsid w:val="00E4268F"/>
    <w:rsid w:val="00E426BA"/>
    <w:rsid w:val="00E426D5"/>
    <w:rsid w:val="00E42737"/>
    <w:rsid w:val="00E427D9"/>
    <w:rsid w:val="00E4280F"/>
    <w:rsid w:val="00E42856"/>
    <w:rsid w:val="00E428D0"/>
    <w:rsid w:val="00E4297D"/>
    <w:rsid w:val="00E42995"/>
    <w:rsid w:val="00E42A34"/>
    <w:rsid w:val="00E42B51"/>
    <w:rsid w:val="00E42B86"/>
    <w:rsid w:val="00E42B8F"/>
    <w:rsid w:val="00E42CA2"/>
    <w:rsid w:val="00E42D46"/>
    <w:rsid w:val="00E42D61"/>
    <w:rsid w:val="00E42DCD"/>
    <w:rsid w:val="00E42DE3"/>
    <w:rsid w:val="00E42EAB"/>
    <w:rsid w:val="00E42F05"/>
    <w:rsid w:val="00E42F17"/>
    <w:rsid w:val="00E42FC2"/>
    <w:rsid w:val="00E43030"/>
    <w:rsid w:val="00E43087"/>
    <w:rsid w:val="00E430AE"/>
    <w:rsid w:val="00E430F5"/>
    <w:rsid w:val="00E4311D"/>
    <w:rsid w:val="00E43145"/>
    <w:rsid w:val="00E431C9"/>
    <w:rsid w:val="00E433D2"/>
    <w:rsid w:val="00E434F7"/>
    <w:rsid w:val="00E4353D"/>
    <w:rsid w:val="00E4355F"/>
    <w:rsid w:val="00E43586"/>
    <w:rsid w:val="00E4358B"/>
    <w:rsid w:val="00E435EA"/>
    <w:rsid w:val="00E435F6"/>
    <w:rsid w:val="00E436A7"/>
    <w:rsid w:val="00E436AB"/>
    <w:rsid w:val="00E436B4"/>
    <w:rsid w:val="00E437DD"/>
    <w:rsid w:val="00E4384C"/>
    <w:rsid w:val="00E43863"/>
    <w:rsid w:val="00E4387C"/>
    <w:rsid w:val="00E438EE"/>
    <w:rsid w:val="00E43A89"/>
    <w:rsid w:val="00E43B26"/>
    <w:rsid w:val="00E43BB4"/>
    <w:rsid w:val="00E43E42"/>
    <w:rsid w:val="00E43EB3"/>
    <w:rsid w:val="00E43ED1"/>
    <w:rsid w:val="00E43F8F"/>
    <w:rsid w:val="00E44006"/>
    <w:rsid w:val="00E440BA"/>
    <w:rsid w:val="00E440D2"/>
    <w:rsid w:val="00E4410F"/>
    <w:rsid w:val="00E441A6"/>
    <w:rsid w:val="00E44202"/>
    <w:rsid w:val="00E4421B"/>
    <w:rsid w:val="00E442A3"/>
    <w:rsid w:val="00E44411"/>
    <w:rsid w:val="00E444C2"/>
    <w:rsid w:val="00E444C5"/>
    <w:rsid w:val="00E4463E"/>
    <w:rsid w:val="00E44645"/>
    <w:rsid w:val="00E44660"/>
    <w:rsid w:val="00E4466F"/>
    <w:rsid w:val="00E44827"/>
    <w:rsid w:val="00E44854"/>
    <w:rsid w:val="00E44894"/>
    <w:rsid w:val="00E448A6"/>
    <w:rsid w:val="00E44964"/>
    <w:rsid w:val="00E4499D"/>
    <w:rsid w:val="00E449F0"/>
    <w:rsid w:val="00E44A1B"/>
    <w:rsid w:val="00E44A1E"/>
    <w:rsid w:val="00E44A62"/>
    <w:rsid w:val="00E44A73"/>
    <w:rsid w:val="00E44AF8"/>
    <w:rsid w:val="00E44B30"/>
    <w:rsid w:val="00E44B52"/>
    <w:rsid w:val="00E44C88"/>
    <w:rsid w:val="00E44D28"/>
    <w:rsid w:val="00E44D86"/>
    <w:rsid w:val="00E44E47"/>
    <w:rsid w:val="00E44FD0"/>
    <w:rsid w:val="00E45080"/>
    <w:rsid w:val="00E45128"/>
    <w:rsid w:val="00E45169"/>
    <w:rsid w:val="00E451F7"/>
    <w:rsid w:val="00E45297"/>
    <w:rsid w:val="00E452E8"/>
    <w:rsid w:val="00E452FD"/>
    <w:rsid w:val="00E4547C"/>
    <w:rsid w:val="00E45518"/>
    <w:rsid w:val="00E4556D"/>
    <w:rsid w:val="00E455F3"/>
    <w:rsid w:val="00E45631"/>
    <w:rsid w:val="00E456B5"/>
    <w:rsid w:val="00E45748"/>
    <w:rsid w:val="00E4574E"/>
    <w:rsid w:val="00E45760"/>
    <w:rsid w:val="00E459AA"/>
    <w:rsid w:val="00E459DE"/>
    <w:rsid w:val="00E45A3D"/>
    <w:rsid w:val="00E45A81"/>
    <w:rsid w:val="00E45BF6"/>
    <w:rsid w:val="00E45C77"/>
    <w:rsid w:val="00E45C94"/>
    <w:rsid w:val="00E45D90"/>
    <w:rsid w:val="00E45D93"/>
    <w:rsid w:val="00E45E11"/>
    <w:rsid w:val="00E45E4A"/>
    <w:rsid w:val="00E45F56"/>
    <w:rsid w:val="00E46043"/>
    <w:rsid w:val="00E4608B"/>
    <w:rsid w:val="00E460AB"/>
    <w:rsid w:val="00E46144"/>
    <w:rsid w:val="00E4616F"/>
    <w:rsid w:val="00E46172"/>
    <w:rsid w:val="00E4619E"/>
    <w:rsid w:val="00E462E6"/>
    <w:rsid w:val="00E4634E"/>
    <w:rsid w:val="00E46411"/>
    <w:rsid w:val="00E464F3"/>
    <w:rsid w:val="00E46549"/>
    <w:rsid w:val="00E465B5"/>
    <w:rsid w:val="00E465C3"/>
    <w:rsid w:val="00E46601"/>
    <w:rsid w:val="00E4669F"/>
    <w:rsid w:val="00E4670D"/>
    <w:rsid w:val="00E46812"/>
    <w:rsid w:val="00E46911"/>
    <w:rsid w:val="00E4692B"/>
    <w:rsid w:val="00E46931"/>
    <w:rsid w:val="00E46AA0"/>
    <w:rsid w:val="00E46B3B"/>
    <w:rsid w:val="00E46B8A"/>
    <w:rsid w:val="00E46BCB"/>
    <w:rsid w:val="00E46D3C"/>
    <w:rsid w:val="00E46EB9"/>
    <w:rsid w:val="00E46FDD"/>
    <w:rsid w:val="00E4713B"/>
    <w:rsid w:val="00E4719C"/>
    <w:rsid w:val="00E471D1"/>
    <w:rsid w:val="00E47206"/>
    <w:rsid w:val="00E47357"/>
    <w:rsid w:val="00E47428"/>
    <w:rsid w:val="00E4745C"/>
    <w:rsid w:val="00E474BB"/>
    <w:rsid w:val="00E474BF"/>
    <w:rsid w:val="00E4757D"/>
    <w:rsid w:val="00E4765B"/>
    <w:rsid w:val="00E4775E"/>
    <w:rsid w:val="00E477A7"/>
    <w:rsid w:val="00E47841"/>
    <w:rsid w:val="00E479F7"/>
    <w:rsid w:val="00E47A20"/>
    <w:rsid w:val="00E47BE2"/>
    <w:rsid w:val="00E47C8B"/>
    <w:rsid w:val="00E47D00"/>
    <w:rsid w:val="00E47D48"/>
    <w:rsid w:val="00E47E04"/>
    <w:rsid w:val="00E47E2F"/>
    <w:rsid w:val="00E47F1F"/>
    <w:rsid w:val="00E4900F"/>
    <w:rsid w:val="00E50132"/>
    <w:rsid w:val="00E50186"/>
    <w:rsid w:val="00E5018F"/>
    <w:rsid w:val="00E5029E"/>
    <w:rsid w:val="00E503B6"/>
    <w:rsid w:val="00E504B6"/>
    <w:rsid w:val="00E504BD"/>
    <w:rsid w:val="00E5055B"/>
    <w:rsid w:val="00E505A8"/>
    <w:rsid w:val="00E50603"/>
    <w:rsid w:val="00E5066B"/>
    <w:rsid w:val="00E506CC"/>
    <w:rsid w:val="00E50725"/>
    <w:rsid w:val="00E507DF"/>
    <w:rsid w:val="00E5088C"/>
    <w:rsid w:val="00E508A0"/>
    <w:rsid w:val="00E508D0"/>
    <w:rsid w:val="00E509FB"/>
    <w:rsid w:val="00E50AE2"/>
    <w:rsid w:val="00E50BC0"/>
    <w:rsid w:val="00E50BC9"/>
    <w:rsid w:val="00E50BDD"/>
    <w:rsid w:val="00E50E0B"/>
    <w:rsid w:val="00E50E77"/>
    <w:rsid w:val="00E50EC0"/>
    <w:rsid w:val="00E50F51"/>
    <w:rsid w:val="00E50FD9"/>
    <w:rsid w:val="00E5100C"/>
    <w:rsid w:val="00E5108C"/>
    <w:rsid w:val="00E51115"/>
    <w:rsid w:val="00E51165"/>
    <w:rsid w:val="00E511AC"/>
    <w:rsid w:val="00E51287"/>
    <w:rsid w:val="00E51342"/>
    <w:rsid w:val="00E513F3"/>
    <w:rsid w:val="00E51471"/>
    <w:rsid w:val="00E51478"/>
    <w:rsid w:val="00E514A5"/>
    <w:rsid w:val="00E51526"/>
    <w:rsid w:val="00E51601"/>
    <w:rsid w:val="00E5168B"/>
    <w:rsid w:val="00E516B5"/>
    <w:rsid w:val="00E51785"/>
    <w:rsid w:val="00E518B4"/>
    <w:rsid w:val="00E51907"/>
    <w:rsid w:val="00E51979"/>
    <w:rsid w:val="00E519B0"/>
    <w:rsid w:val="00E51A58"/>
    <w:rsid w:val="00E51A59"/>
    <w:rsid w:val="00E51A8F"/>
    <w:rsid w:val="00E51BB9"/>
    <w:rsid w:val="00E51E9A"/>
    <w:rsid w:val="00E51F13"/>
    <w:rsid w:val="00E51FA7"/>
    <w:rsid w:val="00E52137"/>
    <w:rsid w:val="00E522C7"/>
    <w:rsid w:val="00E52394"/>
    <w:rsid w:val="00E52408"/>
    <w:rsid w:val="00E52580"/>
    <w:rsid w:val="00E525DD"/>
    <w:rsid w:val="00E525EA"/>
    <w:rsid w:val="00E52699"/>
    <w:rsid w:val="00E527EB"/>
    <w:rsid w:val="00E5283D"/>
    <w:rsid w:val="00E5299E"/>
    <w:rsid w:val="00E529D0"/>
    <w:rsid w:val="00E52ABB"/>
    <w:rsid w:val="00E52B1E"/>
    <w:rsid w:val="00E52B76"/>
    <w:rsid w:val="00E52BA2"/>
    <w:rsid w:val="00E52CCD"/>
    <w:rsid w:val="00E52D0A"/>
    <w:rsid w:val="00E52D13"/>
    <w:rsid w:val="00E52D57"/>
    <w:rsid w:val="00E52D94"/>
    <w:rsid w:val="00E52D9E"/>
    <w:rsid w:val="00E52E77"/>
    <w:rsid w:val="00E52E87"/>
    <w:rsid w:val="00E52FA0"/>
    <w:rsid w:val="00E52FA1"/>
    <w:rsid w:val="00E52FDD"/>
    <w:rsid w:val="00E5307F"/>
    <w:rsid w:val="00E53142"/>
    <w:rsid w:val="00E53205"/>
    <w:rsid w:val="00E532CD"/>
    <w:rsid w:val="00E532E5"/>
    <w:rsid w:val="00E53309"/>
    <w:rsid w:val="00E533E4"/>
    <w:rsid w:val="00E53454"/>
    <w:rsid w:val="00E5354F"/>
    <w:rsid w:val="00E535B7"/>
    <w:rsid w:val="00E535E6"/>
    <w:rsid w:val="00E535FF"/>
    <w:rsid w:val="00E53674"/>
    <w:rsid w:val="00E536B9"/>
    <w:rsid w:val="00E536EB"/>
    <w:rsid w:val="00E5377F"/>
    <w:rsid w:val="00E537A8"/>
    <w:rsid w:val="00E53857"/>
    <w:rsid w:val="00E53A18"/>
    <w:rsid w:val="00E53BA1"/>
    <w:rsid w:val="00E53BC9"/>
    <w:rsid w:val="00E53C5A"/>
    <w:rsid w:val="00E53E3F"/>
    <w:rsid w:val="00E53E97"/>
    <w:rsid w:val="00E53FBD"/>
    <w:rsid w:val="00E53FC6"/>
    <w:rsid w:val="00E53FFB"/>
    <w:rsid w:val="00E540E4"/>
    <w:rsid w:val="00E5417B"/>
    <w:rsid w:val="00E541B4"/>
    <w:rsid w:val="00E542EB"/>
    <w:rsid w:val="00E5437A"/>
    <w:rsid w:val="00E54534"/>
    <w:rsid w:val="00E54550"/>
    <w:rsid w:val="00E545A4"/>
    <w:rsid w:val="00E545A7"/>
    <w:rsid w:val="00E546AF"/>
    <w:rsid w:val="00E54743"/>
    <w:rsid w:val="00E5476F"/>
    <w:rsid w:val="00E54827"/>
    <w:rsid w:val="00E54AEB"/>
    <w:rsid w:val="00E54B82"/>
    <w:rsid w:val="00E54B8C"/>
    <w:rsid w:val="00E54D2B"/>
    <w:rsid w:val="00E54DBF"/>
    <w:rsid w:val="00E54E24"/>
    <w:rsid w:val="00E54F8F"/>
    <w:rsid w:val="00E550EF"/>
    <w:rsid w:val="00E55168"/>
    <w:rsid w:val="00E551C3"/>
    <w:rsid w:val="00E5522E"/>
    <w:rsid w:val="00E5527F"/>
    <w:rsid w:val="00E552C5"/>
    <w:rsid w:val="00E553AE"/>
    <w:rsid w:val="00E553C7"/>
    <w:rsid w:val="00E55439"/>
    <w:rsid w:val="00E55455"/>
    <w:rsid w:val="00E5548B"/>
    <w:rsid w:val="00E5549F"/>
    <w:rsid w:val="00E554B4"/>
    <w:rsid w:val="00E5561C"/>
    <w:rsid w:val="00E55659"/>
    <w:rsid w:val="00E556D1"/>
    <w:rsid w:val="00E5571D"/>
    <w:rsid w:val="00E557B1"/>
    <w:rsid w:val="00E557DC"/>
    <w:rsid w:val="00E5581D"/>
    <w:rsid w:val="00E558EE"/>
    <w:rsid w:val="00E558EF"/>
    <w:rsid w:val="00E5591B"/>
    <w:rsid w:val="00E55938"/>
    <w:rsid w:val="00E55984"/>
    <w:rsid w:val="00E559EA"/>
    <w:rsid w:val="00E55A44"/>
    <w:rsid w:val="00E55B31"/>
    <w:rsid w:val="00E55BC1"/>
    <w:rsid w:val="00E55BC3"/>
    <w:rsid w:val="00E55C47"/>
    <w:rsid w:val="00E55CAD"/>
    <w:rsid w:val="00E55D1B"/>
    <w:rsid w:val="00E55DC6"/>
    <w:rsid w:val="00E55F39"/>
    <w:rsid w:val="00E55F56"/>
    <w:rsid w:val="00E55F67"/>
    <w:rsid w:val="00E56030"/>
    <w:rsid w:val="00E56098"/>
    <w:rsid w:val="00E562B1"/>
    <w:rsid w:val="00E562CE"/>
    <w:rsid w:val="00E562D0"/>
    <w:rsid w:val="00E563A8"/>
    <w:rsid w:val="00E56428"/>
    <w:rsid w:val="00E56433"/>
    <w:rsid w:val="00E5647E"/>
    <w:rsid w:val="00E565B7"/>
    <w:rsid w:val="00E565CF"/>
    <w:rsid w:val="00E56629"/>
    <w:rsid w:val="00E56695"/>
    <w:rsid w:val="00E566E8"/>
    <w:rsid w:val="00E566FE"/>
    <w:rsid w:val="00E5677F"/>
    <w:rsid w:val="00E56784"/>
    <w:rsid w:val="00E567B5"/>
    <w:rsid w:val="00E5684F"/>
    <w:rsid w:val="00E568CF"/>
    <w:rsid w:val="00E56BDD"/>
    <w:rsid w:val="00E56E7B"/>
    <w:rsid w:val="00E56EE4"/>
    <w:rsid w:val="00E56FD1"/>
    <w:rsid w:val="00E56FF3"/>
    <w:rsid w:val="00E57142"/>
    <w:rsid w:val="00E57160"/>
    <w:rsid w:val="00E572DC"/>
    <w:rsid w:val="00E573AC"/>
    <w:rsid w:val="00E573B7"/>
    <w:rsid w:val="00E573E8"/>
    <w:rsid w:val="00E57401"/>
    <w:rsid w:val="00E5748B"/>
    <w:rsid w:val="00E574E3"/>
    <w:rsid w:val="00E57572"/>
    <w:rsid w:val="00E575C6"/>
    <w:rsid w:val="00E57608"/>
    <w:rsid w:val="00E5764B"/>
    <w:rsid w:val="00E5778F"/>
    <w:rsid w:val="00E577FA"/>
    <w:rsid w:val="00E578DF"/>
    <w:rsid w:val="00E5795B"/>
    <w:rsid w:val="00E57A6E"/>
    <w:rsid w:val="00E57B51"/>
    <w:rsid w:val="00E57B9C"/>
    <w:rsid w:val="00E57BA7"/>
    <w:rsid w:val="00E57BFE"/>
    <w:rsid w:val="00E57C43"/>
    <w:rsid w:val="00E57C7B"/>
    <w:rsid w:val="00E57C88"/>
    <w:rsid w:val="00E57CA5"/>
    <w:rsid w:val="00E57CC2"/>
    <w:rsid w:val="00E57F6F"/>
    <w:rsid w:val="00E57F8A"/>
    <w:rsid w:val="00E5F5B2"/>
    <w:rsid w:val="00E6011B"/>
    <w:rsid w:val="00E60143"/>
    <w:rsid w:val="00E60153"/>
    <w:rsid w:val="00E6015D"/>
    <w:rsid w:val="00E601C7"/>
    <w:rsid w:val="00E6024B"/>
    <w:rsid w:val="00E6030D"/>
    <w:rsid w:val="00E604BD"/>
    <w:rsid w:val="00E604EC"/>
    <w:rsid w:val="00E60632"/>
    <w:rsid w:val="00E60640"/>
    <w:rsid w:val="00E60691"/>
    <w:rsid w:val="00E606AB"/>
    <w:rsid w:val="00E60737"/>
    <w:rsid w:val="00E60873"/>
    <w:rsid w:val="00E608C7"/>
    <w:rsid w:val="00E6090B"/>
    <w:rsid w:val="00E6095A"/>
    <w:rsid w:val="00E60986"/>
    <w:rsid w:val="00E609A0"/>
    <w:rsid w:val="00E609A6"/>
    <w:rsid w:val="00E60A42"/>
    <w:rsid w:val="00E60A69"/>
    <w:rsid w:val="00E60ACC"/>
    <w:rsid w:val="00E60B07"/>
    <w:rsid w:val="00E60B19"/>
    <w:rsid w:val="00E60BA1"/>
    <w:rsid w:val="00E60C4E"/>
    <w:rsid w:val="00E60F70"/>
    <w:rsid w:val="00E610B6"/>
    <w:rsid w:val="00E610C2"/>
    <w:rsid w:val="00E61127"/>
    <w:rsid w:val="00E611E4"/>
    <w:rsid w:val="00E61275"/>
    <w:rsid w:val="00E6142F"/>
    <w:rsid w:val="00E614C8"/>
    <w:rsid w:val="00E614F7"/>
    <w:rsid w:val="00E61524"/>
    <w:rsid w:val="00E615BB"/>
    <w:rsid w:val="00E616C4"/>
    <w:rsid w:val="00E6172D"/>
    <w:rsid w:val="00E617AB"/>
    <w:rsid w:val="00E617BE"/>
    <w:rsid w:val="00E61831"/>
    <w:rsid w:val="00E61892"/>
    <w:rsid w:val="00E618BB"/>
    <w:rsid w:val="00E618D4"/>
    <w:rsid w:val="00E618F7"/>
    <w:rsid w:val="00E61967"/>
    <w:rsid w:val="00E619CE"/>
    <w:rsid w:val="00E619D2"/>
    <w:rsid w:val="00E619E5"/>
    <w:rsid w:val="00E61B01"/>
    <w:rsid w:val="00E61E24"/>
    <w:rsid w:val="00E61E89"/>
    <w:rsid w:val="00E61EC7"/>
    <w:rsid w:val="00E61F14"/>
    <w:rsid w:val="00E61F9E"/>
    <w:rsid w:val="00E61FF5"/>
    <w:rsid w:val="00E62024"/>
    <w:rsid w:val="00E620C1"/>
    <w:rsid w:val="00E620C8"/>
    <w:rsid w:val="00E62231"/>
    <w:rsid w:val="00E6223E"/>
    <w:rsid w:val="00E62314"/>
    <w:rsid w:val="00E62326"/>
    <w:rsid w:val="00E6236D"/>
    <w:rsid w:val="00E623D6"/>
    <w:rsid w:val="00E62586"/>
    <w:rsid w:val="00E6258B"/>
    <w:rsid w:val="00E62633"/>
    <w:rsid w:val="00E627BF"/>
    <w:rsid w:val="00E627D6"/>
    <w:rsid w:val="00E62872"/>
    <w:rsid w:val="00E628B8"/>
    <w:rsid w:val="00E6292A"/>
    <w:rsid w:val="00E6295C"/>
    <w:rsid w:val="00E629B7"/>
    <w:rsid w:val="00E629C6"/>
    <w:rsid w:val="00E62A55"/>
    <w:rsid w:val="00E62B06"/>
    <w:rsid w:val="00E62C3F"/>
    <w:rsid w:val="00E62C83"/>
    <w:rsid w:val="00E62CD5"/>
    <w:rsid w:val="00E62CFD"/>
    <w:rsid w:val="00E62D89"/>
    <w:rsid w:val="00E62D9A"/>
    <w:rsid w:val="00E62E4B"/>
    <w:rsid w:val="00E62E51"/>
    <w:rsid w:val="00E62F6F"/>
    <w:rsid w:val="00E62FDD"/>
    <w:rsid w:val="00E62FDE"/>
    <w:rsid w:val="00E63076"/>
    <w:rsid w:val="00E6308C"/>
    <w:rsid w:val="00E630EC"/>
    <w:rsid w:val="00E63153"/>
    <w:rsid w:val="00E632D1"/>
    <w:rsid w:val="00E63328"/>
    <w:rsid w:val="00E63393"/>
    <w:rsid w:val="00E6341D"/>
    <w:rsid w:val="00E6342C"/>
    <w:rsid w:val="00E63569"/>
    <w:rsid w:val="00E63578"/>
    <w:rsid w:val="00E635DA"/>
    <w:rsid w:val="00E635F1"/>
    <w:rsid w:val="00E63662"/>
    <w:rsid w:val="00E636EE"/>
    <w:rsid w:val="00E6376E"/>
    <w:rsid w:val="00E63802"/>
    <w:rsid w:val="00E63849"/>
    <w:rsid w:val="00E638EB"/>
    <w:rsid w:val="00E63A02"/>
    <w:rsid w:val="00E63A35"/>
    <w:rsid w:val="00E63A74"/>
    <w:rsid w:val="00E63AB5"/>
    <w:rsid w:val="00E63AB7"/>
    <w:rsid w:val="00E63AC9"/>
    <w:rsid w:val="00E63ACF"/>
    <w:rsid w:val="00E63AE9"/>
    <w:rsid w:val="00E63B30"/>
    <w:rsid w:val="00E63BC5"/>
    <w:rsid w:val="00E63BC6"/>
    <w:rsid w:val="00E63BFC"/>
    <w:rsid w:val="00E63EC2"/>
    <w:rsid w:val="00E6401D"/>
    <w:rsid w:val="00E64101"/>
    <w:rsid w:val="00E64245"/>
    <w:rsid w:val="00E64270"/>
    <w:rsid w:val="00E6438B"/>
    <w:rsid w:val="00E643B9"/>
    <w:rsid w:val="00E643D0"/>
    <w:rsid w:val="00E644D1"/>
    <w:rsid w:val="00E6455B"/>
    <w:rsid w:val="00E64624"/>
    <w:rsid w:val="00E646B7"/>
    <w:rsid w:val="00E646EF"/>
    <w:rsid w:val="00E6482F"/>
    <w:rsid w:val="00E64905"/>
    <w:rsid w:val="00E64A22"/>
    <w:rsid w:val="00E64AB0"/>
    <w:rsid w:val="00E64BF5"/>
    <w:rsid w:val="00E64C5C"/>
    <w:rsid w:val="00E64CCE"/>
    <w:rsid w:val="00E64D4C"/>
    <w:rsid w:val="00E64EF8"/>
    <w:rsid w:val="00E64F6A"/>
    <w:rsid w:val="00E64F8A"/>
    <w:rsid w:val="00E64FA1"/>
    <w:rsid w:val="00E64FD1"/>
    <w:rsid w:val="00E64FF3"/>
    <w:rsid w:val="00E6511F"/>
    <w:rsid w:val="00E65149"/>
    <w:rsid w:val="00E65173"/>
    <w:rsid w:val="00E651D5"/>
    <w:rsid w:val="00E65268"/>
    <w:rsid w:val="00E652DE"/>
    <w:rsid w:val="00E652E9"/>
    <w:rsid w:val="00E65349"/>
    <w:rsid w:val="00E65398"/>
    <w:rsid w:val="00E653AF"/>
    <w:rsid w:val="00E6542C"/>
    <w:rsid w:val="00E654D3"/>
    <w:rsid w:val="00E65572"/>
    <w:rsid w:val="00E656DC"/>
    <w:rsid w:val="00E6572D"/>
    <w:rsid w:val="00E65749"/>
    <w:rsid w:val="00E65794"/>
    <w:rsid w:val="00E658B2"/>
    <w:rsid w:val="00E658D5"/>
    <w:rsid w:val="00E65980"/>
    <w:rsid w:val="00E659C2"/>
    <w:rsid w:val="00E65C9D"/>
    <w:rsid w:val="00E65C9F"/>
    <w:rsid w:val="00E65CFA"/>
    <w:rsid w:val="00E65D47"/>
    <w:rsid w:val="00E65D87"/>
    <w:rsid w:val="00E65FC5"/>
    <w:rsid w:val="00E660B2"/>
    <w:rsid w:val="00E6613E"/>
    <w:rsid w:val="00E66142"/>
    <w:rsid w:val="00E6616C"/>
    <w:rsid w:val="00E6619D"/>
    <w:rsid w:val="00E66224"/>
    <w:rsid w:val="00E6627A"/>
    <w:rsid w:val="00E662BE"/>
    <w:rsid w:val="00E662FD"/>
    <w:rsid w:val="00E663C9"/>
    <w:rsid w:val="00E663D6"/>
    <w:rsid w:val="00E6642C"/>
    <w:rsid w:val="00E66430"/>
    <w:rsid w:val="00E66442"/>
    <w:rsid w:val="00E6647F"/>
    <w:rsid w:val="00E664D9"/>
    <w:rsid w:val="00E66530"/>
    <w:rsid w:val="00E6655B"/>
    <w:rsid w:val="00E66597"/>
    <w:rsid w:val="00E66747"/>
    <w:rsid w:val="00E66781"/>
    <w:rsid w:val="00E667D8"/>
    <w:rsid w:val="00E668E0"/>
    <w:rsid w:val="00E669B9"/>
    <w:rsid w:val="00E669DD"/>
    <w:rsid w:val="00E66A1C"/>
    <w:rsid w:val="00E66AFC"/>
    <w:rsid w:val="00E66B6C"/>
    <w:rsid w:val="00E66BF4"/>
    <w:rsid w:val="00E66C39"/>
    <w:rsid w:val="00E66C54"/>
    <w:rsid w:val="00E66C73"/>
    <w:rsid w:val="00E66DDC"/>
    <w:rsid w:val="00E66E24"/>
    <w:rsid w:val="00E66EA7"/>
    <w:rsid w:val="00E66F27"/>
    <w:rsid w:val="00E66F2B"/>
    <w:rsid w:val="00E66FD1"/>
    <w:rsid w:val="00E6702C"/>
    <w:rsid w:val="00E670A0"/>
    <w:rsid w:val="00E670B8"/>
    <w:rsid w:val="00E670DB"/>
    <w:rsid w:val="00E670E0"/>
    <w:rsid w:val="00E6718D"/>
    <w:rsid w:val="00E6721B"/>
    <w:rsid w:val="00E6728C"/>
    <w:rsid w:val="00E67363"/>
    <w:rsid w:val="00E67386"/>
    <w:rsid w:val="00E673F0"/>
    <w:rsid w:val="00E67405"/>
    <w:rsid w:val="00E67482"/>
    <w:rsid w:val="00E674B0"/>
    <w:rsid w:val="00E67535"/>
    <w:rsid w:val="00E67579"/>
    <w:rsid w:val="00E675D5"/>
    <w:rsid w:val="00E6775E"/>
    <w:rsid w:val="00E67889"/>
    <w:rsid w:val="00E678EC"/>
    <w:rsid w:val="00E67902"/>
    <w:rsid w:val="00E67946"/>
    <w:rsid w:val="00E67A6B"/>
    <w:rsid w:val="00E67A94"/>
    <w:rsid w:val="00E67B00"/>
    <w:rsid w:val="00E67B3D"/>
    <w:rsid w:val="00E67C63"/>
    <w:rsid w:val="00E67E13"/>
    <w:rsid w:val="00E67E33"/>
    <w:rsid w:val="00E67E42"/>
    <w:rsid w:val="00E67EC8"/>
    <w:rsid w:val="00E67F57"/>
    <w:rsid w:val="00E67F5D"/>
    <w:rsid w:val="00E70055"/>
    <w:rsid w:val="00E7024E"/>
    <w:rsid w:val="00E70299"/>
    <w:rsid w:val="00E70374"/>
    <w:rsid w:val="00E7037A"/>
    <w:rsid w:val="00E70488"/>
    <w:rsid w:val="00E7057D"/>
    <w:rsid w:val="00E7065A"/>
    <w:rsid w:val="00E706FB"/>
    <w:rsid w:val="00E707A2"/>
    <w:rsid w:val="00E707BE"/>
    <w:rsid w:val="00E708D4"/>
    <w:rsid w:val="00E70960"/>
    <w:rsid w:val="00E70A48"/>
    <w:rsid w:val="00E70AE2"/>
    <w:rsid w:val="00E70B13"/>
    <w:rsid w:val="00E70B63"/>
    <w:rsid w:val="00E70BA5"/>
    <w:rsid w:val="00E70BCF"/>
    <w:rsid w:val="00E70C71"/>
    <w:rsid w:val="00E70CE8"/>
    <w:rsid w:val="00E70E39"/>
    <w:rsid w:val="00E70E55"/>
    <w:rsid w:val="00E70EF7"/>
    <w:rsid w:val="00E70F5A"/>
    <w:rsid w:val="00E71045"/>
    <w:rsid w:val="00E71166"/>
    <w:rsid w:val="00E712E4"/>
    <w:rsid w:val="00E712F5"/>
    <w:rsid w:val="00E71348"/>
    <w:rsid w:val="00E7141D"/>
    <w:rsid w:val="00E71499"/>
    <w:rsid w:val="00E714A6"/>
    <w:rsid w:val="00E71804"/>
    <w:rsid w:val="00E718A9"/>
    <w:rsid w:val="00E718DB"/>
    <w:rsid w:val="00E718EF"/>
    <w:rsid w:val="00E7191C"/>
    <w:rsid w:val="00E71948"/>
    <w:rsid w:val="00E71957"/>
    <w:rsid w:val="00E719EA"/>
    <w:rsid w:val="00E71A05"/>
    <w:rsid w:val="00E71A60"/>
    <w:rsid w:val="00E71A9B"/>
    <w:rsid w:val="00E71B06"/>
    <w:rsid w:val="00E71BF5"/>
    <w:rsid w:val="00E71C21"/>
    <w:rsid w:val="00E71CC2"/>
    <w:rsid w:val="00E71D14"/>
    <w:rsid w:val="00E71D6E"/>
    <w:rsid w:val="00E71DC7"/>
    <w:rsid w:val="00E71E19"/>
    <w:rsid w:val="00E71E88"/>
    <w:rsid w:val="00E71ED1"/>
    <w:rsid w:val="00E71F26"/>
    <w:rsid w:val="00E71F4B"/>
    <w:rsid w:val="00E71F5F"/>
    <w:rsid w:val="00E71FAD"/>
    <w:rsid w:val="00E72054"/>
    <w:rsid w:val="00E720E5"/>
    <w:rsid w:val="00E72174"/>
    <w:rsid w:val="00E72192"/>
    <w:rsid w:val="00E721D7"/>
    <w:rsid w:val="00E7220D"/>
    <w:rsid w:val="00E7225B"/>
    <w:rsid w:val="00E72288"/>
    <w:rsid w:val="00E72475"/>
    <w:rsid w:val="00E725A8"/>
    <w:rsid w:val="00E72630"/>
    <w:rsid w:val="00E726AD"/>
    <w:rsid w:val="00E726AF"/>
    <w:rsid w:val="00E726E2"/>
    <w:rsid w:val="00E727AC"/>
    <w:rsid w:val="00E7288C"/>
    <w:rsid w:val="00E72899"/>
    <w:rsid w:val="00E728D3"/>
    <w:rsid w:val="00E728F1"/>
    <w:rsid w:val="00E72A23"/>
    <w:rsid w:val="00E72ABB"/>
    <w:rsid w:val="00E72AD1"/>
    <w:rsid w:val="00E72B8E"/>
    <w:rsid w:val="00E72D36"/>
    <w:rsid w:val="00E72E69"/>
    <w:rsid w:val="00E72F1A"/>
    <w:rsid w:val="00E72F7C"/>
    <w:rsid w:val="00E72FAC"/>
    <w:rsid w:val="00E7307D"/>
    <w:rsid w:val="00E73092"/>
    <w:rsid w:val="00E73124"/>
    <w:rsid w:val="00E73183"/>
    <w:rsid w:val="00E731A9"/>
    <w:rsid w:val="00E731C4"/>
    <w:rsid w:val="00E731DE"/>
    <w:rsid w:val="00E732A7"/>
    <w:rsid w:val="00E73318"/>
    <w:rsid w:val="00E7333D"/>
    <w:rsid w:val="00E7338A"/>
    <w:rsid w:val="00E7340D"/>
    <w:rsid w:val="00E7341B"/>
    <w:rsid w:val="00E73543"/>
    <w:rsid w:val="00E7361B"/>
    <w:rsid w:val="00E7364A"/>
    <w:rsid w:val="00E73668"/>
    <w:rsid w:val="00E736D5"/>
    <w:rsid w:val="00E73743"/>
    <w:rsid w:val="00E737DC"/>
    <w:rsid w:val="00E737F3"/>
    <w:rsid w:val="00E73852"/>
    <w:rsid w:val="00E7388D"/>
    <w:rsid w:val="00E739BE"/>
    <w:rsid w:val="00E73A20"/>
    <w:rsid w:val="00E73A27"/>
    <w:rsid w:val="00E73A4F"/>
    <w:rsid w:val="00E73AA5"/>
    <w:rsid w:val="00E73BBA"/>
    <w:rsid w:val="00E73C78"/>
    <w:rsid w:val="00E73DC6"/>
    <w:rsid w:val="00E73DDF"/>
    <w:rsid w:val="00E73EEA"/>
    <w:rsid w:val="00E73F24"/>
    <w:rsid w:val="00E73F26"/>
    <w:rsid w:val="00E73F31"/>
    <w:rsid w:val="00E73F84"/>
    <w:rsid w:val="00E7401A"/>
    <w:rsid w:val="00E7407A"/>
    <w:rsid w:val="00E740FF"/>
    <w:rsid w:val="00E7414E"/>
    <w:rsid w:val="00E74264"/>
    <w:rsid w:val="00E74293"/>
    <w:rsid w:val="00E742BE"/>
    <w:rsid w:val="00E7434C"/>
    <w:rsid w:val="00E7436A"/>
    <w:rsid w:val="00E743CC"/>
    <w:rsid w:val="00E74474"/>
    <w:rsid w:val="00E7449A"/>
    <w:rsid w:val="00E74511"/>
    <w:rsid w:val="00E74516"/>
    <w:rsid w:val="00E7457F"/>
    <w:rsid w:val="00E74593"/>
    <w:rsid w:val="00E74607"/>
    <w:rsid w:val="00E7467B"/>
    <w:rsid w:val="00E74686"/>
    <w:rsid w:val="00E747B3"/>
    <w:rsid w:val="00E748C3"/>
    <w:rsid w:val="00E749F3"/>
    <w:rsid w:val="00E74AEE"/>
    <w:rsid w:val="00E74B01"/>
    <w:rsid w:val="00E74B09"/>
    <w:rsid w:val="00E74B0E"/>
    <w:rsid w:val="00E74B64"/>
    <w:rsid w:val="00E74C9C"/>
    <w:rsid w:val="00E74D5B"/>
    <w:rsid w:val="00E74D6E"/>
    <w:rsid w:val="00E74DCC"/>
    <w:rsid w:val="00E74E90"/>
    <w:rsid w:val="00E74F04"/>
    <w:rsid w:val="00E74F57"/>
    <w:rsid w:val="00E75013"/>
    <w:rsid w:val="00E7501D"/>
    <w:rsid w:val="00E7506E"/>
    <w:rsid w:val="00E75187"/>
    <w:rsid w:val="00E7524B"/>
    <w:rsid w:val="00E75279"/>
    <w:rsid w:val="00E7527F"/>
    <w:rsid w:val="00E75481"/>
    <w:rsid w:val="00E75505"/>
    <w:rsid w:val="00E75525"/>
    <w:rsid w:val="00E755F0"/>
    <w:rsid w:val="00E75640"/>
    <w:rsid w:val="00E756AB"/>
    <w:rsid w:val="00E75831"/>
    <w:rsid w:val="00E75852"/>
    <w:rsid w:val="00E75A29"/>
    <w:rsid w:val="00E75B10"/>
    <w:rsid w:val="00E75B20"/>
    <w:rsid w:val="00E75B97"/>
    <w:rsid w:val="00E75C32"/>
    <w:rsid w:val="00E75CA4"/>
    <w:rsid w:val="00E75D7E"/>
    <w:rsid w:val="00E75DB9"/>
    <w:rsid w:val="00E75DEC"/>
    <w:rsid w:val="00E75DED"/>
    <w:rsid w:val="00E75F4D"/>
    <w:rsid w:val="00E75F52"/>
    <w:rsid w:val="00E75FA3"/>
    <w:rsid w:val="00E76093"/>
    <w:rsid w:val="00E76175"/>
    <w:rsid w:val="00E76299"/>
    <w:rsid w:val="00E762F2"/>
    <w:rsid w:val="00E76302"/>
    <w:rsid w:val="00E7643D"/>
    <w:rsid w:val="00E7649E"/>
    <w:rsid w:val="00E764AB"/>
    <w:rsid w:val="00E76578"/>
    <w:rsid w:val="00E766E7"/>
    <w:rsid w:val="00E767A7"/>
    <w:rsid w:val="00E76A08"/>
    <w:rsid w:val="00E76ACB"/>
    <w:rsid w:val="00E76BC2"/>
    <w:rsid w:val="00E76C83"/>
    <w:rsid w:val="00E76CB3"/>
    <w:rsid w:val="00E76D8E"/>
    <w:rsid w:val="00E76DDF"/>
    <w:rsid w:val="00E76E44"/>
    <w:rsid w:val="00E7707D"/>
    <w:rsid w:val="00E7711C"/>
    <w:rsid w:val="00E7712A"/>
    <w:rsid w:val="00E7715B"/>
    <w:rsid w:val="00E771C5"/>
    <w:rsid w:val="00E7721E"/>
    <w:rsid w:val="00E77268"/>
    <w:rsid w:val="00E77298"/>
    <w:rsid w:val="00E77315"/>
    <w:rsid w:val="00E77367"/>
    <w:rsid w:val="00E77373"/>
    <w:rsid w:val="00E773ED"/>
    <w:rsid w:val="00E774BC"/>
    <w:rsid w:val="00E77516"/>
    <w:rsid w:val="00E7755A"/>
    <w:rsid w:val="00E77575"/>
    <w:rsid w:val="00E775FD"/>
    <w:rsid w:val="00E77622"/>
    <w:rsid w:val="00E77649"/>
    <w:rsid w:val="00E77683"/>
    <w:rsid w:val="00E77692"/>
    <w:rsid w:val="00E776AB"/>
    <w:rsid w:val="00E77736"/>
    <w:rsid w:val="00E77743"/>
    <w:rsid w:val="00E77753"/>
    <w:rsid w:val="00E777E0"/>
    <w:rsid w:val="00E778A1"/>
    <w:rsid w:val="00E778BF"/>
    <w:rsid w:val="00E7793F"/>
    <w:rsid w:val="00E77943"/>
    <w:rsid w:val="00E779A8"/>
    <w:rsid w:val="00E779B3"/>
    <w:rsid w:val="00E779FD"/>
    <w:rsid w:val="00E77A56"/>
    <w:rsid w:val="00E77B93"/>
    <w:rsid w:val="00E77C2C"/>
    <w:rsid w:val="00E77C47"/>
    <w:rsid w:val="00E77C77"/>
    <w:rsid w:val="00E77CE3"/>
    <w:rsid w:val="00E77DAF"/>
    <w:rsid w:val="00E77DDD"/>
    <w:rsid w:val="00E77DED"/>
    <w:rsid w:val="00E77EA8"/>
    <w:rsid w:val="00E77EA9"/>
    <w:rsid w:val="00E77F04"/>
    <w:rsid w:val="00E77F41"/>
    <w:rsid w:val="00E77F67"/>
    <w:rsid w:val="00E77F8A"/>
    <w:rsid w:val="00E80016"/>
    <w:rsid w:val="00E80053"/>
    <w:rsid w:val="00E800B2"/>
    <w:rsid w:val="00E800F4"/>
    <w:rsid w:val="00E80147"/>
    <w:rsid w:val="00E80159"/>
    <w:rsid w:val="00E80194"/>
    <w:rsid w:val="00E80222"/>
    <w:rsid w:val="00E80249"/>
    <w:rsid w:val="00E8028F"/>
    <w:rsid w:val="00E80339"/>
    <w:rsid w:val="00E80364"/>
    <w:rsid w:val="00E803F8"/>
    <w:rsid w:val="00E80410"/>
    <w:rsid w:val="00E80496"/>
    <w:rsid w:val="00E804E9"/>
    <w:rsid w:val="00E80545"/>
    <w:rsid w:val="00E80554"/>
    <w:rsid w:val="00E805ED"/>
    <w:rsid w:val="00E80666"/>
    <w:rsid w:val="00E807F0"/>
    <w:rsid w:val="00E80968"/>
    <w:rsid w:val="00E80A93"/>
    <w:rsid w:val="00E80AA0"/>
    <w:rsid w:val="00E80AD8"/>
    <w:rsid w:val="00E80B0A"/>
    <w:rsid w:val="00E80B1F"/>
    <w:rsid w:val="00E80B5D"/>
    <w:rsid w:val="00E80C06"/>
    <w:rsid w:val="00E80C88"/>
    <w:rsid w:val="00E80DBB"/>
    <w:rsid w:val="00E80E9E"/>
    <w:rsid w:val="00E80EA3"/>
    <w:rsid w:val="00E80FD2"/>
    <w:rsid w:val="00E81006"/>
    <w:rsid w:val="00E81063"/>
    <w:rsid w:val="00E8106C"/>
    <w:rsid w:val="00E81170"/>
    <w:rsid w:val="00E811B9"/>
    <w:rsid w:val="00E81326"/>
    <w:rsid w:val="00E81389"/>
    <w:rsid w:val="00E81391"/>
    <w:rsid w:val="00E8139B"/>
    <w:rsid w:val="00E813B8"/>
    <w:rsid w:val="00E8148E"/>
    <w:rsid w:val="00E814B5"/>
    <w:rsid w:val="00E814C7"/>
    <w:rsid w:val="00E81598"/>
    <w:rsid w:val="00E815F5"/>
    <w:rsid w:val="00E81689"/>
    <w:rsid w:val="00E816DA"/>
    <w:rsid w:val="00E816F5"/>
    <w:rsid w:val="00E8173E"/>
    <w:rsid w:val="00E81752"/>
    <w:rsid w:val="00E81778"/>
    <w:rsid w:val="00E81782"/>
    <w:rsid w:val="00E818BA"/>
    <w:rsid w:val="00E819BB"/>
    <w:rsid w:val="00E81A8B"/>
    <w:rsid w:val="00E81AD5"/>
    <w:rsid w:val="00E81B5C"/>
    <w:rsid w:val="00E81BAC"/>
    <w:rsid w:val="00E81BE8"/>
    <w:rsid w:val="00E81C27"/>
    <w:rsid w:val="00E81C79"/>
    <w:rsid w:val="00E81D07"/>
    <w:rsid w:val="00E81D2B"/>
    <w:rsid w:val="00E81DE5"/>
    <w:rsid w:val="00E81E54"/>
    <w:rsid w:val="00E8205E"/>
    <w:rsid w:val="00E8215D"/>
    <w:rsid w:val="00E82191"/>
    <w:rsid w:val="00E82289"/>
    <w:rsid w:val="00E822B7"/>
    <w:rsid w:val="00E823AB"/>
    <w:rsid w:val="00E823B4"/>
    <w:rsid w:val="00E824E7"/>
    <w:rsid w:val="00E8254D"/>
    <w:rsid w:val="00E82691"/>
    <w:rsid w:val="00E826B1"/>
    <w:rsid w:val="00E82760"/>
    <w:rsid w:val="00E8282A"/>
    <w:rsid w:val="00E82857"/>
    <w:rsid w:val="00E82919"/>
    <w:rsid w:val="00E8293B"/>
    <w:rsid w:val="00E82983"/>
    <w:rsid w:val="00E82A2E"/>
    <w:rsid w:val="00E82A9A"/>
    <w:rsid w:val="00E82AB7"/>
    <w:rsid w:val="00E82B11"/>
    <w:rsid w:val="00E82B12"/>
    <w:rsid w:val="00E82B78"/>
    <w:rsid w:val="00E82D35"/>
    <w:rsid w:val="00E82D51"/>
    <w:rsid w:val="00E82D57"/>
    <w:rsid w:val="00E82EA7"/>
    <w:rsid w:val="00E82EC5"/>
    <w:rsid w:val="00E82EFD"/>
    <w:rsid w:val="00E82F7B"/>
    <w:rsid w:val="00E82FF5"/>
    <w:rsid w:val="00E83087"/>
    <w:rsid w:val="00E830FD"/>
    <w:rsid w:val="00E83130"/>
    <w:rsid w:val="00E8326D"/>
    <w:rsid w:val="00E8336A"/>
    <w:rsid w:val="00E8338B"/>
    <w:rsid w:val="00E834A0"/>
    <w:rsid w:val="00E834C7"/>
    <w:rsid w:val="00E83534"/>
    <w:rsid w:val="00E8357C"/>
    <w:rsid w:val="00E835C6"/>
    <w:rsid w:val="00E83636"/>
    <w:rsid w:val="00E837A3"/>
    <w:rsid w:val="00E83845"/>
    <w:rsid w:val="00E838B3"/>
    <w:rsid w:val="00E8390D"/>
    <w:rsid w:val="00E83914"/>
    <w:rsid w:val="00E83958"/>
    <w:rsid w:val="00E8399A"/>
    <w:rsid w:val="00E83A09"/>
    <w:rsid w:val="00E83C81"/>
    <w:rsid w:val="00E83C96"/>
    <w:rsid w:val="00E83CFC"/>
    <w:rsid w:val="00E83D90"/>
    <w:rsid w:val="00E83DCB"/>
    <w:rsid w:val="00E83E82"/>
    <w:rsid w:val="00E83EAB"/>
    <w:rsid w:val="00E83F1D"/>
    <w:rsid w:val="00E83F78"/>
    <w:rsid w:val="00E83FF4"/>
    <w:rsid w:val="00E8401A"/>
    <w:rsid w:val="00E84057"/>
    <w:rsid w:val="00E84062"/>
    <w:rsid w:val="00E8417A"/>
    <w:rsid w:val="00E8427F"/>
    <w:rsid w:val="00E842BB"/>
    <w:rsid w:val="00E842FB"/>
    <w:rsid w:val="00E8430F"/>
    <w:rsid w:val="00E84348"/>
    <w:rsid w:val="00E84386"/>
    <w:rsid w:val="00E84389"/>
    <w:rsid w:val="00E8438E"/>
    <w:rsid w:val="00E84393"/>
    <w:rsid w:val="00E843BB"/>
    <w:rsid w:val="00E8447C"/>
    <w:rsid w:val="00E84480"/>
    <w:rsid w:val="00E84487"/>
    <w:rsid w:val="00E8451C"/>
    <w:rsid w:val="00E84607"/>
    <w:rsid w:val="00E84742"/>
    <w:rsid w:val="00E847B4"/>
    <w:rsid w:val="00E848C4"/>
    <w:rsid w:val="00E8497A"/>
    <w:rsid w:val="00E84A52"/>
    <w:rsid w:val="00E84AB9"/>
    <w:rsid w:val="00E84B7A"/>
    <w:rsid w:val="00E84BF3"/>
    <w:rsid w:val="00E84BF8"/>
    <w:rsid w:val="00E84C05"/>
    <w:rsid w:val="00E84CA9"/>
    <w:rsid w:val="00E84DE8"/>
    <w:rsid w:val="00E84DFE"/>
    <w:rsid w:val="00E84E03"/>
    <w:rsid w:val="00E84E34"/>
    <w:rsid w:val="00E84E83"/>
    <w:rsid w:val="00E84FAD"/>
    <w:rsid w:val="00E85099"/>
    <w:rsid w:val="00E850CB"/>
    <w:rsid w:val="00E8514F"/>
    <w:rsid w:val="00E85170"/>
    <w:rsid w:val="00E851DD"/>
    <w:rsid w:val="00E85236"/>
    <w:rsid w:val="00E85260"/>
    <w:rsid w:val="00E852AA"/>
    <w:rsid w:val="00E853B8"/>
    <w:rsid w:val="00E85499"/>
    <w:rsid w:val="00E8551C"/>
    <w:rsid w:val="00E8552D"/>
    <w:rsid w:val="00E855A9"/>
    <w:rsid w:val="00E855F2"/>
    <w:rsid w:val="00E855F9"/>
    <w:rsid w:val="00E8561A"/>
    <w:rsid w:val="00E856BD"/>
    <w:rsid w:val="00E857BD"/>
    <w:rsid w:val="00E85819"/>
    <w:rsid w:val="00E85826"/>
    <w:rsid w:val="00E85BB2"/>
    <w:rsid w:val="00E85CA0"/>
    <w:rsid w:val="00E85DFC"/>
    <w:rsid w:val="00E860B3"/>
    <w:rsid w:val="00E86126"/>
    <w:rsid w:val="00E861D5"/>
    <w:rsid w:val="00E86208"/>
    <w:rsid w:val="00E86232"/>
    <w:rsid w:val="00E8623D"/>
    <w:rsid w:val="00E86251"/>
    <w:rsid w:val="00E8625F"/>
    <w:rsid w:val="00E862AC"/>
    <w:rsid w:val="00E862CF"/>
    <w:rsid w:val="00E862EA"/>
    <w:rsid w:val="00E86308"/>
    <w:rsid w:val="00E86434"/>
    <w:rsid w:val="00E8659F"/>
    <w:rsid w:val="00E865AB"/>
    <w:rsid w:val="00E86684"/>
    <w:rsid w:val="00E86769"/>
    <w:rsid w:val="00E8678B"/>
    <w:rsid w:val="00E86795"/>
    <w:rsid w:val="00E86796"/>
    <w:rsid w:val="00E86801"/>
    <w:rsid w:val="00E86971"/>
    <w:rsid w:val="00E86ABC"/>
    <w:rsid w:val="00E86B7E"/>
    <w:rsid w:val="00E86BDB"/>
    <w:rsid w:val="00E86E24"/>
    <w:rsid w:val="00E86E4A"/>
    <w:rsid w:val="00E86F6B"/>
    <w:rsid w:val="00E86FD0"/>
    <w:rsid w:val="00E86FED"/>
    <w:rsid w:val="00E87001"/>
    <w:rsid w:val="00E8705F"/>
    <w:rsid w:val="00E870BC"/>
    <w:rsid w:val="00E870FF"/>
    <w:rsid w:val="00E87222"/>
    <w:rsid w:val="00E87269"/>
    <w:rsid w:val="00E8729B"/>
    <w:rsid w:val="00E872C6"/>
    <w:rsid w:val="00E872F4"/>
    <w:rsid w:val="00E87374"/>
    <w:rsid w:val="00E8737A"/>
    <w:rsid w:val="00E873F1"/>
    <w:rsid w:val="00E87487"/>
    <w:rsid w:val="00E874D8"/>
    <w:rsid w:val="00E87563"/>
    <w:rsid w:val="00E875A6"/>
    <w:rsid w:val="00E875DE"/>
    <w:rsid w:val="00E876BA"/>
    <w:rsid w:val="00E877CF"/>
    <w:rsid w:val="00E87840"/>
    <w:rsid w:val="00E87869"/>
    <w:rsid w:val="00E87954"/>
    <w:rsid w:val="00E87A39"/>
    <w:rsid w:val="00E87ABC"/>
    <w:rsid w:val="00E87AC2"/>
    <w:rsid w:val="00E87B21"/>
    <w:rsid w:val="00E87B83"/>
    <w:rsid w:val="00E87BD7"/>
    <w:rsid w:val="00E87BE7"/>
    <w:rsid w:val="00E87C25"/>
    <w:rsid w:val="00E87D56"/>
    <w:rsid w:val="00E87DA0"/>
    <w:rsid w:val="00E87F0F"/>
    <w:rsid w:val="00E87F90"/>
    <w:rsid w:val="00E87FC9"/>
    <w:rsid w:val="00E9004F"/>
    <w:rsid w:val="00E9006D"/>
    <w:rsid w:val="00E90081"/>
    <w:rsid w:val="00E900B4"/>
    <w:rsid w:val="00E900E6"/>
    <w:rsid w:val="00E9029C"/>
    <w:rsid w:val="00E903C6"/>
    <w:rsid w:val="00E90437"/>
    <w:rsid w:val="00E90438"/>
    <w:rsid w:val="00E904A8"/>
    <w:rsid w:val="00E904C0"/>
    <w:rsid w:val="00E905DA"/>
    <w:rsid w:val="00E905DD"/>
    <w:rsid w:val="00E9072A"/>
    <w:rsid w:val="00E90789"/>
    <w:rsid w:val="00E9079B"/>
    <w:rsid w:val="00E907C6"/>
    <w:rsid w:val="00E90801"/>
    <w:rsid w:val="00E908AB"/>
    <w:rsid w:val="00E90918"/>
    <w:rsid w:val="00E909AE"/>
    <w:rsid w:val="00E909CF"/>
    <w:rsid w:val="00E90A1D"/>
    <w:rsid w:val="00E90A46"/>
    <w:rsid w:val="00E90A5E"/>
    <w:rsid w:val="00E90A63"/>
    <w:rsid w:val="00E90ADB"/>
    <w:rsid w:val="00E90AE4"/>
    <w:rsid w:val="00E90B51"/>
    <w:rsid w:val="00E90B96"/>
    <w:rsid w:val="00E90C1F"/>
    <w:rsid w:val="00E90C51"/>
    <w:rsid w:val="00E90C8D"/>
    <w:rsid w:val="00E90E13"/>
    <w:rsid w:val="00E90E2C"/>
    <w:rsid w:val="00E90E6F"/>
    <w:rsid w:val="00E90E93"/>
    <w:rsid w:val="00E90EC9"/>
    <w:rsid w:val="00E90F46"/>
    <w:rsid w:val="00E90F72"/>
    <w:rsid w:val="00E90FD6"/>
    <w:rsid w:val="00E9104B"/>
    <w:rsid w:val="00E9106F"/>
    <w:rsid w:val="00E91143"/>
    <w:rsid w:val="00E9116C"/>
    <w:rsid w:val="00E911A1"/>
    <w:rsid w:val="00E91282"/>
    <w:rsid w:val="00E91308"/>
    <w:rsid w:val="00E91337"/>
    <w:rsid w:val="00E913B9"/>
    <w:rsid w:val="00E91535"/>
    <w:rsid w:val="00E9153A"/>
    <w:rsid w:val="00E915A2"/>
    <w:rsid w:val="00E915EB"/>
    <w:rsid w:val="00E915F8"/>
    <w:rsid w:val="00E9161F"/>
    <w:rsid w:val="00E91662"/>
    <w:rsid w:val="00E91782"/>
    <w:rsid w:val="00E917D1"/>
    <w:rsid w:val="00E91814"/>
    <w:rsid w:val="00E918C6"/>
    <w:rsid w:val="00E919A9"/>
    <w:rsid w:val="00E919D3"/>
    <w:rsid w:val="00E91A90"/>
    <w:rsid w:val="00E91B66"/>
    <w:rsid w:val="00E91BC6"/>
    <w:rsid w:val="00E91C05"/>
    <w:rsid w:val="00E91C30"/>
    <w:rsid w:val="00E91C8E"/>
    <w:rsid w:val="00E91DF4"/>
    <w:rsid w:val="00E91ED1"/>
    <w:rsid w:val="00E91F26"/>
    <w:rsid w:val="00E91F3D"/>
    <w:rsid w:val="00E92072"/>
    <w:rsid w:val="00E9207E"/>
    <w:rsid w:val="00E92123"/>
    <w:rsid w:val="00E92145"/>
    <w:rsid w:val="00E9215F"/>
    <w:rsid w:val="00E92201"/>
    <w:rsid w:val="00E92214"/>
    <w:rsid w:val="00E92257"/>
    <w:rsid w:val="00E92318"/>
    <w:rsid w:val="00E92364"/>
    <w:rsid w:val="00E923FD"/>
    <w:rsid w:val="00E92413"/>
    <w:rsid w:val="00E92517"/>
    <w:rsid w:val="00E925CC"/>
    <w:rsid w:val="00E925E2"/>
    <w:rsid w:val="00E926C0"/>
    <w:rsid w:val="00E926FA"/>
    <w:rsid w:val="00E92708"/>
    <w:rsid w:val="00E92756"/>
    <w:rsid w:val="00E9279D"/>
    <w:rsid w:val="00E9289F"/>
    <w:rsid w:val="00E928CA"/>
    <w:rsid w:val="00E9295A"/>
    <w:rsid w:val="00E9299A"/>
    <w:rsid w:val="00E929A0"/>
    <w:rsid w:val="00E92AC2"/>
    <w:rsid w:val="00E92B9E"/>
    <w:rsid w:val="00E92D2B"/>
    <w:rsid w:val="00E92ED4"/>
    <w:rsid w:val="00E92F1E"/>
    <w:rsid w:val="00E92F2B"/>
    <w:rsid w:val="00E92F38"/>
    <w:rsid w:val="00E92FA6"/>
    <w:rsid w:val="00E93089"/>
    <w:rsid w:val="00E930E3"/>
    <w:rsid w:val="00E9312F"/>
    <w:rsid w:val="00E93185"/>
    <w:rsid w:val="00E931A9"/>
    <w:rsid w:val="00E932B4"/>
    <w:rsid w:val="00E933AF"/>
    <w:rsid w:val="00E933DB"/>
    <w:rsid w:val="00E93441"/>
    <w:rsid w:val="00E93471"/>
    <w:rsid w:val="00E93502"/>
    <w:rsid w:val="00E9353F"/>
    <w:rsid w:val="00E93684"/>
    <w:rsid w:val="00E93728"/>
    <w:rsid w:val="00E937CB"/>
    <w:rsid w:val="00E93831"/>
    <w:rsid w:val="00E9385D"/>
    <w:rsid w:val="00E9386C"/>
    <w:rsid w:val="00E938ED"/>
    <w:rsid w:val="00E93902"/>
    <w:rsid w:val="00E9393A"/>
    <w:rsid w:val="00E9397F"/>
    <w:rsid w:val="00E93A2D"/>
    <w:rsid w:val="00E93AC1"/>
    <w:rsid w:val="00E93C28"/>
    <w:rsid w:val="00E93C2C"/>
    <w:rsid w:val="00E93C6A"/>
    <w:rsid w:val="00E93CAB"/>
    <w:rsid w:val="00E93CD1"/>
    <w:rsid w:val="00E93E40"/>
    <w:rsid w:val="00E93E48"/>
    <w:rsid w:val="00E93E59"/>
    <w:rsid w:val="00E93E7B"/>
    <w:rsid w:val="00E94153"/>
    <w:rsid w:val="00E9431C"/>
    <w:rsid w:val="00E94358"/>
    <w:rsid w:val="00E943E4"/>
    <w:rsid w:val="00E943E9"/>
    <w:rsid w:val="00E94434"/>
    <w:rsid w:val="00E9446A"/>
    <w:rsid w:val="00E9463D"/>
    <w:rsid w:val="00E94696"/>
    <w:rsid w:val="00E946B2"/>
    <w:rsid w:val="00E94737"/>
    <w:rsid w:val="00E94758"/>
    <w:rsid w:val="00E94852"/>
    <w:rsid w:val="00E948A3"/>
    <w:rsid w:val="00E94956"/>
    <w:rsid w:val="00E94957"/>
    <w:rsid w:val="00E94989"/>
    <w:rsid w:val="00E94A9C"/>
    <w:rsid w:val="00E94B11"/>
    <w:rsid w:val="00E94C18"/>
    <w:rsid w:val="00E94D6C"/>
    <w:rsid w:val="00E94DDD"/>
    <w:rsid w:val="00E94EB4"/>
    <w:rsid w:val="00E94F69"/>
    <w:rsid w:val="00E950C2"/>
    <w:rsid w:val="00E95132"/>
    <w:rsid w:val="00E95186"/>
    <w:rsid w:val="00E951A2"/>
    <w:rsid w:val="00E951A3"/>
    <w:rsid w:val="00E951BE"/>
    <w:rsid w:val="00E95218"/>
    <w:rsid w:val="00E95276"/>
    <w:rsid w:val="00E95294"/>
    <w:rsid w:val="00E95303"/>
    <w:rsid w:val="00E9535A"/>
    <w:rsid w:val="00E95378"/>
    <w:rsid w:val="00E953A4"/>
    <w:rsid w:val="00E9552F"/>
    <w:rsid w:val="00E95545"/>
    <w:rsid w:val="00E9557D"/>
    <w:rsid w:val="00E95769"/>
    <w:rsid w:val="00E95818"/>
    <w:rsid w:val="00E95849"/>
    <w:rsid w:val="00E958BC"/>
    <w:rsid w:val="00E958D8"/>
    <w:rsid w:val="00E9590B"/>
    <w:rsid w:val="00E95969"/>
    <w:rsid w:val="00E9596A"/>
    <w:rsid w:val="00E95A52"/>
    <w:rsid w:val="00E95B5E"/>
    <w:rsid w:val="00E95BEF"/>
    <w:rsid w:val="00E95C34"/>
    <w:rsid w:val="00E95C7A"/>
    <w:rsid w:val="00E95D3B"/>
    <w:rsid w:val="00E95DF5"/>
    <w:rsid w:val="00E95E14"/>
    <w:rsid w:val="00E95E7B"/>
    <w:rsid w:val="00E9602E"/>
    <w:rsid w:val="00E96169"/>
    <w:rsid w:val="00E9619B"/>
    <w:rsid w:val="00E9639F"/>
    <w:rsid w:val="00E963E3"/>
    <w:rsid w:val="00E96417"/>
    <w:rsid w:val="00E964AA"/>
    <w:rsid w:val="00E964BC"/>
    <w:rsid w:val="00E964CF"/>
    <w:rsid w:val="00E9653C"/>
    <w:rsid w:val="00E96698"/>
    <w:rsid w:val="00E966A7"/>
    <w:rsid w:val="00E966D9"/>
    <w:rsid w:val="00E96783"/>
    <w:rsid w:val="00E967C9"/>
    <w:rsid w:val="00E968F1"/>
    <w:rsid w:val="00E968FE"/>
    <w:rsid w:val="00E9690C"/>
    <w:rsid w:val="00E96BD2"/>
    <w:rsid w:val="00E96CBE"/>
    <w:rsid w:val="00E96DB9"/>
    <w:rsid w:val="00E96E03"/>
    <w:rsid w:val="00E96F6E"/>
    <w:rsid w:val="00E96FD0"/>
    <w:rsid w:val="00E97017"/>
    <w:rsid w:val="00E97058"/>
    <w:rsid w:val="00E9719D"/>
    <w:rsid w:val="00E971F2"/>
    <w:rsid w:val="00E9727B"/>
    <w:rsid w:val="00E9729D"/>
    <w:rsid w:val="00E972E8"/>
    <w:rsid w:val="00E97323"/>
    <w:rsid w:val="00E97335"/>
    <w:rsid w:val="00E9751B"/>
    <w:rsid w:val="00E975A5"/>
    <w:rsid w:val="00E975AE"/>
    <w:rsid w:val="00E9760F"/>
    <w:rsid w:val="00E97612"/>
    <w:rsid w:val="00E9761B"/>
    <w:rsid w:val="00E97621"/>
    <w:rsid w:val="00E9765B"/>
    <w:rsid w:val="00E97678"/>
    <w:rsid w:val="00E9771F"/>
    <w:rsid w:val="00E97821"/>
    <w:rsid w:val="00E97848"/>
    <w:rsid w:val="00E9785F"/>
    <w:rsid w:val="00E97A3E"/>
    <w:rsid w:val="00E97A8E"/>
    <w:rsid w:val="00E97AAF"/>
    <w:rsid w:val="00E97AB1"/>
    <w:rsid w:val="00E97AC2"/>
    <w:rsid w:val="00E97B02"/>
    <w:rsid w:val="00E97C55"/>
    <w:rsid w:val="00E97C92"/>
    <w:rsid w:val="00E97CC4"/>
    <w:rsid w:val="00E97D57"/>
    <w:rsid w:val="00E97D58"/>
    <w:rsid w:val="00E97E3C"/>
    <w:rsid w:val="00E97E40"/>
    <w:rsid w:val="00E97FA9"/>
    <w:rsid w:val="00E97FB7"/>
    <w:rsid w:val="00EA000F"/>
    <w:rsid w:val="00EA002C"/>
    <w:rsid w:val="00EA018C"/>
    <w:rsid w:val="00EA0190"/>
    <w:rsid w:val="00EA01E3"/>
    <w:rsid w:val="00EA01FC"/>
    <w:rsid w:val="00EA029A"/>
    <w:rsid w:val="00EA033B"/>
    <w:rsid w:val="00EA0366"/>
    <w:rsid w:val="00EA03B5"/>
    <w:rsid w:val="00EA045D"/>
    <w:rsid w:val="00EA04B5"/>
    <w:rsid w:val="00EA0502"/>
    <w:rsid w:val="00EA05E8"/>
    <w:rsid w:val="00EA06C3"/>
    <w:rsid w:val="00EA06E2"/>
    <w:rsid w:val="00EA07D0"/>
    <w:rsid w:val="00EA08AC"/>
    <w:rsid w:val="00EA093B"/>
    <w:rsid w:val="00EA0964"/>
    <w:rsid w:val="00EA09A8"/>
    <w:rsid w:val="00EA0AA5"/>
    <w:rsid w:val="00EA0ABA"/>
    <w:rsid w:val="00EA0ADF"/>
    <w:rsid w:val="00EA0B40"/>
    <w:rsid w:val="00EA0BCF"/>
    <w:rsid w:val="00EA0BE8"/>
    <w:rsid w:val="00EA0C64"/>
    <w:rsid w:val="00EA0C82"/>
    <w:rsid w:val="00EA0D00"/>
    <w:rsid w:val="00EA0D08"/>
    <w:rsid w:val="00EA0D8D"/>
    <w:rsid w:val="00EA0E37"/>
    <w:rsid w:val="00EA0EBB"/>
    <w:rsid w:val="00EA0F13"/>
    <w:rsid w:val="00EA0F21"/>
    <w:rsid w:val="00EA100C"/>
    <w:rsid w:val="00EA1027"/>
    <w:rsid w:val="00EA10AA"/>
    <w:rsid w:val="00EA1105"/>
    <w:rsid w:val="00EA1181"/>
    <w:rsid w:val="00EA122F"/>
    <w:rsid w:val="00EA12F8"/>
    <w:rsid w:val="00EA1317"/>
    <w:rsid w:val="00EA1361"/>
    <w:rsid w:val="00EA14FA"/>
    <w:rsid w:val="00EA152D"/>
    <w:rsid w:val="00EA157D"/>
    <w:rsid w:val="00EA1633"/>
    <w:rsid w:val="00EA163E"/>
    <w:rsid w:val="00EA16AF"/>
    <w:rsid w:val="00EA16BD"/>
    <w:rsid w:val="00EA1704"/>
    <w:rsid w:val="00EA1771"/>
    <w:rsid w:val="00EA177F"/>
    <w:rsid w:val="00EA1790"/>
    <w:rsid w:val="00EA17BB"/>
    <w:rsid w:val="00EA1826"/>
    <w:rsid w:val="00EA1882"/>
    <w:rsid w:val="00EA198B"/>
    <w:rsid w:val="00EA1AE5"/>
    <w:rsid w:val="00EA1B80"/>
    <w:rsid w:val="00EA1B86"/>
    <w:rsid w:val="00EA1C92"/>
    <w:rsid w:val="00EA1CC6"/>
    <w:rsid w:val="00EA1D07"/>
    <w:rsid w:val="00EA1E64"/>
    <w:rsid w:val="00EA200E"/>
    <w:rsid w:val="00EA2052"/>
    <w:rsid w:val="00EA2087"/>
    <w:rsid w:val="00EA2123"/>
    <w:rsid w:val="00EA21EF"/>
    <w:rsid w:val="00EA21F9"/>
    <w:rsid w:val="00EA2210"/>
    <w:rsid w:val="00EA222B"/>
    <w:rsid w:val="00EA22B0"/>
    <w:rsid w:val="00EA2322"/>
    <w:rsid w:val="00EA234F"/>
    <w:rsid w:val="00EA23AE"/>
    <w:rsid w:val="00EA23AF"/>
    <w:rsid w:val="00EA23C3"/>
    <w:rsid w:val="00EA240A"/>
    <w:rsid w:val="00EA244D"/>
    <w:rsid w:val="00EA2504"/>
    <w:rsid w:val="00EA2507"/>
    <w:rsid w:val="00EA25C4"/>
    <w:rsid w:val="00EA2796"/>
    <w:rsid w:val="00EA2870"/>
    <w:rsid w:val="00EA2956"/>
    <w:rsid w:val="00EA295A"/>
    <w:rsid w:val="00EA2A49"/>
    <w:rsid w:val="00EA2ABF"/>
    <w:rsid w:val="00EA2AE4"/>
    <w:rsid w:val="00EA2B44"/>
    <w:rsid w:val="00EA2B76"/>
    <w:rsid w:val="00EA2BBC"/>
    <w:rsid w:val="00EA2BBF"/>
    <w:rsid w:val="00EA2C0C"/>
    <w:rsid w:val="00EA2C53"/>
    <w:rsid w:val="00EA2C86"/>
    <w:rsid w:val="00EA2C95"/>
    <w:rsid w:val="00EA2D4A"/>
    <w:rsid w:val="00EA2E3B"/>
    <w:rsid w:val="00EA2E48"/>
    <w:rsid w:val="00EA2E7B"/>
    <w:rsid w:val="00EA2F94"/>
    <w:rsid w:val="00EA304C"/>
    <w:rsid w:val="00EA3062"/>
    <w:rsid w:val="00EA307A"/>
    <w:rsid w:val="00EA3124"/>
    <w:rsid w:val="00EA313F"/>
    <w:rsid w:val="00EA3270"/>
    <w:rsid w:val="00EA3302"/>
    <w:rsid w:val="00EA33F9"/>
    <w:rsid w:val="00EA3404"/>
    <w:rsid w:val="00EA345B"/>
    <w:rsid w:val="00EA345D"/>
    <w:rsid w:val="00EA34F3"/>
    <w:rsid w:val="00EA35C1"/>
    <w:rsid w:val="00EA3637"/>
    <w:rsid w:val="00EA367C"/>
    <w:rsid w:val="00EA36D1"/>
    <w:rsid w:val="00EA3792"/>
    <w:rsid w:val="00EA379C"/>
    <w:rsid w:val="00EA37D1"/>
    <w:rsid w:val="00EA385F"/>
    <w:rsid w:val="00EA38D2"/>
    <w:rsid w:val="00EA395F"/>
    <w:rsid w:val="00EA3997"/>
    <w:rsid w:val="00EA3B33"/>
    <w:rsid w:val="00EA3BAD"/>
    <w:rsid w:val="00EA3BBC"/>
    <w:rsid w:val="00EA3D6E"/>
    <w:rsid w:val="00EA3E09"/>
    <w:rsid w:val="00EA3E18"/>
    <w:rsid w:val="00EA3E7F"/>
    <w:rsid w:val="00EA3F80"/>
    <w:rsid w:val="00EA3FAB"/>
    <w:rsid w:val="00EA4071"/>
    <w:rsid w:val="00EA40EB"/>
    <w:rsid w:val="00EA4115"/>
    <w:rsid w:val="00EA41B4"/>
    <w:rsid w:val="00EA41BC"/>
    <w:rsid w:val="00EA41CF"/>
    <w:rsid w:val="00EA4209"/>
    <w:rsid w:val="00EA42CF"/>
    <w:rsid w:val="00EA42D3"/>
    <w:rsid w:val="00EA438F"/>
    <w:rsid w:val="00EA446A"/>
    <w:rsid w:val="00EA451C"/>
    <w:rsid w:val="00EA45E3"/>
    <w:rsid w:val="00EA4640"/>
    <w:rsid w:val="00EA4671"/>
    <w:rsid w:val="00EA467E"/>
    <w:rsid w:val="00EA4757"/>
    <w:rsid w:val="00EA475D"/>
    <w:rsid w:val="00EA489C"/>
    <w:rsid w:val="00EA4A08"/>
    <w:rsid w:val="00EA4B6D"/>
    <w:rsid w:val="00EA4B85"/>
    <w:rsid w:val="00EA4C16"/>
    <w:rsid w:val="00EA4CA7"/>
    <w:rsid w:val="00EA4CFC"/>
    <w:rsid w:val="00EA4DBA"/>
    <w:rsid w:val="00EA4E31"/>
    <w:rsid w:val="00EA4E45"/>
    <w:rsid w:val="00EA4EDA"/>
    <w:rsid w:val="00EA4F4A"/>
    <w:rsid w:val="00EA4F95"/>
    <w:rsid w:val="00EA4FA6"/>
    <w:rsid w:val="00EA4FB1"/>
    <w:rsid w:val="00EA4FB7"/>
    <w:rsid w:val="00EA50C7"/>
    <w:rsid w:val="00EA5135"/>
    <w:rsid w:val="00EA523B"/>
    <w:rsid w:val="00EA5240"/>
    <w:rsid w:val="00EA5357"/>
    <w:rsid w:val="00EA5399"/>
    <w:rsid w:val="00EA53B4"/>
    <w:rsid w:val="00EA53C3"/>
    <w:rsid w:val="00EA5467"/>
    <w:rsid w:val="00EA55DB"/>
    <w:rsid w:val="00EA56A8"/>
    <w:rsid w:val="00EA5738"/>
    <w:rsid w:val="00EA5835"/>
    <w:rsid w:val="00EA5913"/>
    <w:rsid w:val="00EA5932"/>
    <w:rsid w:val="00EA5946"/>
    <w:rsid w:val="00EA59A2"/>
    <w:rsid w:val="00EA59DD"/>
    <w:rsid w:val="00EA5A2B"/>
    <w:rsid w:val="00EA5A89"/>
    <w:rsid w:val="00EA5AA7"/>
    <w:rsid w:val="00EA5BD9"/>
    <w:rsid w:val="00EA5BEE"/>
    <w:rsid w:val="00EA5CFD"/>
    <w:rsid w:val="00EA5E06"/>
    <w:rsid w:val="00EA5FB8"/>
    <w:rsid w:val="00EA6016"/>
    <w:rsid w:val="00EA60D4"/>
    <w:rsid w:val="00EA60DD"/>
    <w:rsid w:val="00EA612A"/>
    <w:rsid w:val="00EA6306"/>
    <w:rsid w:val="00EA63AB"/>
    <w:rsid w:val="00EA6434"/>
    <w:rsid w:val="00EA65BF"/>
    <w:rsid w:val="00EA65F4"/>
    <w:rsid w:val="00EA678A"/>
    <w:rsid w:val="00EA678D"/>
    <w:rsid w:val="00EA67B9"/>
    <w:rsid w:val="00EA6819"/>
    <w:rsid w:val="00EA68D1"/>
    <w:rsid w:val="00EA6930"/>
    <w:rsid w:val="00EA6969"/>
    <w:rsid w:val="00EA69DD"/>
    <w:rsid w:val="00EA6AF4"/>
    <w:rsid w:val="00EA6CEB"/>
    <w:rsid w:val="00EA6DBF"/>
    <w:rsid w:val="00EA6DCB"/>
    <w:rsid w:val="00EA6E23"/>
    <w:rsid w:val="00EA6E33"/>
    <w:rsid w:val="00EA6E52"/>
    <w:rsid w:val="00EA6E81"/>
    <w:rsid w:val="00EA70CC"/>
    <w:rsid w:val="00EA70F7"/>
    <w:rsid w:val="00EA71A1"/>
    <w:rsid w:val="00EA71B6"/>
    <w:rsid w:val="00EA71E9"/>
    <w:rsid w:val="00EA72B7"/>
    <w:rsid w:val="00EA72C8"/>
    <w:rsid w:val="00EA7327"/>
    <w:rsid w:val="00EA7365"/>
    <w:rsid w:val="00EA7393"/>
    <w:rsid w:val="00EA73C9"/>
    <w:rsid w:val="00EA7422"/>
    <w:rsid w:val="00EA744F"/>
    <w:rsid w:val="00EA74AC"/>
    <w:rsid w:val="00EA74D7"/>
    <w:rsid w:val="00EA754F"/>
    <w:rsid w:val="00EA759E"/>
    <w:rsid w:val="00EA776A"/>
    <w:rsid w:val="00EA77AD"/>
    <w:rsid w:val="00EA7807"/>
    <w:rsid w:val="00EA782E"/>
    <w:rsid w:val="00EA786F"/>
    <w:rsid w:val="00EA7889"/>
    <w:rsid w:val="00EA78E8"/>
    <w:rsid w:val="00EA7903"/>
    <w:rsid w:val="00EA795F"/>
    <w:rsid w:val="00EA7AB0"/>
    <w:rsid w:val="00EA7ADA"/>
    <w:rsid w:val="00EA7BD4"/>
    <w:rsid w:val="00EA7CB9"/>
    <w:rsid w:val="00EA7CDB"/>
    <w:rsid w:val="00EA7CF2"/>
    <w:rsid w:val="00EA7D4E"/>
    <w:rsid w:val="00EA7DD4"/>
    <w:rsid w:val="00EA7F7B"/>
    <w:rsid w:val="00EB0088"/>
    <w:rsid w:val="00EB016E"/>
    <w:rsid w:val="00EB0194"/>
    <w:rsid w:val="00EB0479"/>
    <w:rsid w:val="00EB04D8"/>
    <w:rsid w:val="00EB06A7"/>
    <w:rsid w:val="00EB0711"/>
    <w:rsid w:val="00EB072A"/>
    <w:rsid w:val="00EB080C"/>
    <w:rsid w:val="00EB081B"/>
    <w:rsid w:val="00EB0827"/>
    <w:rsid w:val="00EB0844"/>
    <w:rsid w:val="00EB0848"/>
    <w:rsid w:val="00EB098B"/>
    <w:rsid w:val="00EB09F5"/>
    <w:rsid w:val="00EB0A8B"/>
    <w:rsid w:val="00EB0AFF"/>
    <w:rsid w:val="00EB0BB6"/>
    <w:rsid w:val="00EB0BD6"/>
    <w:rsid w:val="00EB0BEC"/>
    <w:rsid w:val="00EB0C2C"/>
    <w:rsid w:val="00EB0CBC"/>
    <w:rsid w:val="00EB0D51"/>
    <w:rsid w:val="00EB0E11"/>
    <w:rsid w:val="00EB0E33"/>
    <w:rsid w:val="00EB0E35"/>
    <w:rsid w:val="00EB0E89"/>
    <w:rsid w:val="00EB0EDB"/>
    <w:rsid w:val="00EB0F71"/>
    <w:rsid w:val="00EB0FA8"/>
    <w:rsid w:val="00EB1024"/>
    <w:rsid w:val="00EB1025"/>
    <w:rsid w:val="00EB1076"/>
    <w:rsid w:val="00EB118B"/>
    <w:rsid w:val="00EB1347"/>
    <w:rsid w:val="00EB1362"/>
    <w:rsid w:val="00EB1396"/>
    <w:rsid w:val="00EB1519"/>
    <w:rsid w:val="00EB16EE"/>
    <w:rsid w:val="00EB193B"/>
    <w:rsid w:val="00EB1A1E"/>
    <w:rsid w:val="00EB1B5A"/>
    <w:rsid w:val="00EB1C93"/>
    <w:rsid w:val="00EB1CBB"/>
    <w:rsid w:val="00EB1CF4"/>
    <w:rsid w:val="00EB1D3B"/>
    <w:rsid w:val="00EB1DD0"/>
    <w:rsid w:val="00EB1E32"/>
    <w:rsid w:val="00EB1E8C"/>
    <w:rsid w:val="00EB1FFA"/>
    <w:rsid w:val="00EB2129"/>
    <w:rsid w:val="00EB2254"/>
    <w:rsid w:val="00EB22ED"/>
    <w:rsid w:val="00EB22FB"/>
    <w:rsid w:val="00EB2511"/>
    <w:rsid w:val="00EB2709"/>
    <w:rsid w:val="00EB2747"/>
    <w:rsid w:val="00EB2748"/>
    <w:rsid w:val="00EB27AE"/>
    <w:rsid w:val="00EB27D0"/>
    <w:rsid w:val="00EB280A"/>
    <w:rsid w:val="00EB2847"/>
    <w:rsid w:val="00EB2853"/>
    <w:rsid w:val="00EB28A9"/>
    <w:rsid w:val="00EB28B7"/>
    <w:rsid w:val="00EB28C9"/>
    <w:rsid w:val="00EB29C6"/>
    <w:rsid w:val="00EB2A6E"/>
    <w:rsid w:val="00EB2D2F"/>
    <w:rsid w:val="00EB2DBA"/>
    <w:rsid w:val="00EB2E1C"/>
    <w:rsid w:val="00EB2F00"/>
    <w:rsid w:val="00EB2F17"/>
    <w:rsid w:val="00EB302B"/>
    <w:rsid w:val="00EB3082"/>
    <w:rsid w:val="00EB308A"/>
    <w:rsid w:val="00EB30E6"/>
    <w:rsid w:val="00EB3135"/>
    <w:rsid w:val="00EB31C6"/>
    <w:rsid w:val="00EB324B"/>
    <w:rsid w:val="00EB3257"/>
    <w:rsid w:val="00EB3492"/>
    <w:rsid w:val="00EB3493"/>
    <w:rsid w:val="00EB349E"/>
    <w:rsid w:val="00EB34F8"/>
    <w:rsid w:val="00EB3527"/>
    <w:rsid w:val="00EB3569"/>
    <w:rsid w:val="00EB356C"/>
    <w:rsid w:val="00EB35CC"/>
    <w:rsid w:val="00EB363A"/>
    <w:rsid w:val="00EB379B"/>
    <w:rsid w:val="00EB37BA"/>
    <w:rsid w:val="00EB3819"/>
    <w:rsid w:val="00EB381B"/>
    <w:rsid w:val="00EB3830"/>
    <w:rsid w:val="00EB384C"/>
    <w:rsid w:val="00EB3946"/>
    <w:rsid w:val="00EB3967"/>
    <w:rsid w:val="00EB39E2"/>
    <w:rsid w:val="00EB3A5C"/>
    <w:rsid w:val="00EB3AAC"/>
    <w:rsid w:val="00EB3C9C"/>
    <w:rsid w:val="00EB3C9F"/>
    <w:rsid w:val="00EB3CA6"/>
    <w:rsid w:val="00EB3CCE"/>
    <w:rsid w:val="00EB3D5D"/>
    <w:rsid w:val="00EB3D90"/>
    <w:rsid w:val="00EB3DCC"/>
    <w:rsid w:val="00EB3DCF"/>
    <w:rsid w:val="00EB3E78"/>
    <w:rsid w:val="00EB3F98"/>
    <w:rsid w:val="00EB408C"/>
    <w:rsid w:val="00EB40CB"/>
    <w:rsid w:val="00EB4137"/>
    <w:rsid w:val="00EB4174"/>
    <w:rsid w:val="00EB42DB"/>
    <w:rsid w:val="00EB438B"/>
    <w:rsid w:val="00EB43A8"/>
    <w:rsid w:val="00EB4574"/>
    <w:rsid w:val="00EB457E"/>
    <w:rsid w:val="00EB4609"/>
    <w:rsid w:val="00EB4628"/>
    <w:rsid w:val="00EB4642"/>
    <w:rsid w:val="00EB4648"/>
    <w:rsid w:val="00EB46D7"/>
    <w:rsid w:val="00EB46DF"/>
    <w:rsid w:val="00EB47CA"/>
    <w:rsid w:val="00EB4957"/>
    <w:rsid w:val="00EB498F"/>
    <w:rsid w:val="00EB49FE"/>
    <w:rsid w:val="00EB4A91"/>
    <w:rsid w:val="00EB4B90"/>
    <w:rsid w:val="00EB4BFC"/>
    <w:rsid w:val="00EB4CC3"/>
    <w:rsid w:val="00EB4D44"/>
    <w:rsid w:val="00EB4D70"/>
    <w:rsid w:val="00EB4DC4"/>
    <w:rsid w:val="00EB4EB6"/>
    <w:rsid w:val="00EB4FFB"/>
    <w:rsid w:val="00EB5019"/>
    <w:rsid w:val="00EB5048"/>
    <w:rsid w:val="00EB50ED"/>
    <w:rsid w:val="00EB50F7"/>
    <w:rsid w:val="00EB516C"/>
    <w:rsid w:val="00EB517D"/>
    <w:rsid w:val="00EB5260"/>
    <w:rsid w:val="00EB5476"/>
    <w:rsid w:val="00EB5491"/>
    <w:rsid w:val="00EB54DE"/>
    <w:rsid w:val="00EB54E5"/>
    <w:rsid w:val="00EB560D"/>
    <w:rsid w:val="00EB5681"/>
    <w:rsid w:val="00EB571D"/>
    <w:rsid w:val="00EB5760"/>
    <w:rsid w:val="00EB5775"/>
    <w:rsid w:val="00EB578B"/>
    <w:rsid w:val="00EB584C"/>
    <w:rsid w:val="00EB5882"/>
    <w:rsid w:val="00EB58E3"/>
    <w:rsid w:val="00EB599E"/>
    <w:rsid w:val="00EB59AB"/>
    <w:rsid w:val="00EB5A35"/>
    <w:rsid w:val="00EB5A52"/>
    <w:rsid w:val="00EB5B04"/>
    <w:rsid w:val="00EB5BC7"/>
    <w:rsid w:val="00EB5C07"/>
    <w:rsid w:val="00EB5C29"/>
    <w:rsid w:val="00EB5C3F"/>
    <w:rsid w:val="00EB5D7F"/>
    <w:rsid w:val="00EB5D82"/>
    <w:rsid w:val="00EB5E6E"/>
    <w:rsid w:val="00EB5E77"/>
    <w:rsid w:val="00EB5F48"/>
    <w:rsid w:val="00EB60D9"/>
    <w:rsid w:val="00EB6288"/>
    <w:rsid w:val="00EB62C4"/>
    <w:rsid w:val="00EB62D2"/>
    <w:rsid w:val="00EB638C"/>
    <w:rsid w:val="00EB63CF"/>
    <w:rsid w:val="00EB644F"/>
    <w:rsid w:val="00EB6462"/>
    <w:rsid w:val="00EB646E"/>
    <w:rsid w:val="00EB6524"/>
    <w:rsid w:val="00EB674F"/>
    <w:rsid w:val="00EB67BA"/>
    <w:rsid w:val="00EB6819"/>
    <w:rsid w:val="00EB6897"/>
    <w:rsid w:val="00EB6990"/>
    <w:rsid w:val="00EB69BE"/>
    <w:rsid w:val="00EB69F7"/>
    <w:rsid w:val="00EB6A00"/>
    <w:rsid w:val="00EB6B5B"/>
    <w:rsid w:val="00EB6C23"/>
    <w:rsid w:val="00EB6D37"/>
    <w:rsid w:val="00EB6D49"/>
    <w:rsid w:val="00EB6D71"/>
    <w:rsid w:val="00EB6E85"/>
    <w:rsid w:val="00EB6F31"/>
    <w:rsid w:val="00EB6FEE"/>
    <w:rsid w:val="00EB70B4"/>
    <w:rsid w:val="00EB7287"/>
    <w:rsid w:val="00EB72F4"/>
    <w:rsid w:val="00EB7353"/>
    <w:rsid w:val="00EB73EE"/>
    <w:rsid w:val="00EB7406"/>
    <w:rsid w:val="00EB743F"/>
    <w:rsid w:val="00EB74E2"/>
    <w:rsid w:val="00EB7584"/>
    <w:rsid w:val="00EB7589"/>
    <w:rsid w:val="00EB774C"/>
    <w:rsid w:val="00EB77E9"/>
    <w:rsid w:val="00EB7885"/>
    <w:rsid w:val="00EB78E1"/>
    <w:rsid w:val="00EB7905"/>
    <w:rsid w:val="00EB7950"/>
    <w:rsid w:val="00EB79A5"/>
    <w:rsid w:val="00EB7A29"/>
    <w:rsid w:val="00EB7A75"/>
    <w:rsid w:val="00EB7AE5"/>
    <w:rsid w:val="00EB7AE7"/>
    <w:rsid w:val="00EB7C16"/>
    <w:rsid w:val="00EB7D53"/>
    <w:rsid w:val="00EB7DAF"/>
    <w:rsid w:val="00EB7E3E"/>
    <w:rsid w:val="00EB7F66"/>
    <w:rsid w:val="00EB7F6A"/>
    <w:rsid w:val="00EB7F85"/>
    <w:rsid w:val="00EC0007"/>
    <w:rsid w:val="00EC0139"/>
    <w:rsid w:val="00EC0149"/>
    <w:rsid w:val="00EC0161"/>
    <w:rsid w:val="00EC0182"/>
    <w:rsid w:val="00EC0185"/>
    <w:rsid w:val="00EC030B"/>
    <w:rsid w:val="00EC0367"/>
    <w:rsid w:val="00EC03A5"/>
    <w:rsid w:val="00EC03B4"/>
    <w:rsid w:val="00EC041A"/>
    <w:rsid w:val="00EC0458"/>
    <w:rsid w:val="00EC04CC"/>
    <w:rsid w:val="00EC052C"/>
    <w:rsid w:val="00EC064D"/>
    <w:rsid w:val="00EC06B1"/>
    <w:rsid w:val="00EC0798"/>
    <w:rsid w:val="00EC07AD"/>
    <w:rsid w:val="00EC0865"/>
    <w:rsid w:val="00EC0895"/>
    <w:rsid w:val="00EC08A0"/>
    <w:rsid w:val="00EC08D1"/>
    <w:rsid w:val="00EC0918"/>
    <w:rsid w:val="00EC0961"/>
    <w:rsid w:val="00EC09B3"/>
    <w:rsid w:val="00EC09DA"/>
    <w:rsid w:val="00EC0A21"/>
    <w:rsid w:val="00EC0A7B"/>
    <w:rsid w:val="00EC0A93"/>
    <w:rsid w:val="00EC0ABB"/>
    <w:rsid w:val="00EC0AFD"/>
    <w:rsid w:val="00EC0BB8"/>
    <w:rsid w:val="00EC0C65"/>
    <w:rsid w:val="00EC0CD6"/>
    <w:rsid w:val="00EC0E41"/>
    <w:rsid w:val="00EC0E93"/>
    <w:rsid w:val="00EC0FE7"/>
    <w:rsid w:val="00EC107D"/>
    <w:rsid w:val="00EC1080"/>
    <w:rsid w:val="00EC1157"/>
    <w:rsid w:val="00EC11A4"/>
    <w:rsid w:val="00EC11B2"/>
    <w:rsid w:val="00EC11DB"/>
    <w:rsid w:val="00EC1266"/>
    <w:rsid w:val="00EC13A4"/>
    <w:rsid w:val="00EC1426"/>
    <w:rsid w:val="00EC1676"/>
    <w:rsid w:val="00EC1694"/>
    <w:rsid w:val="00EC16C1"/>
    <w:rsid w:val="00EC16C6"/>
    <w:rsid w:val="00EC1751"/>
    <w:rsid w:val="00EC1B0C"/>
    <w:rsid w:val="00EC1B31"/>
    <w:rsid w:val="00EC1BB8"/>
    <w:rsid w:val="00EC1C6B"/>
    <w:rsid w:val="00EC1D0C"/>
    <w:rsid w:val="00EC1D73"/>
    <w:rsid w:val="00EC1DF0"/>
    <w:rsid w:val="00EC1EB7"/>
    <w:rsid w:val="00EC1FAE"/>
    <w:rsid w:val="00EC20C1"/>
    <w:rsid w:val="00EC20DD"/>
    <w:rsid w:val="00EC20E5"/>
    <w:rsid w:val="00EC21E2"/>
    <w:rsid w:val="00EC2441"/>
    <w:rsid w:val="00EC24D8"/>
    <w:rsid w:val="00EC24F9"/>
    <w:rsid w:val="00EC25E1"/>
    <w:rsid w:val="00EC2602"/>
    <w:rsid w:val="00EC26E2"/>
    <w:rsid w:val="00EC2771"/>
    <w:rsid w:val="00EC2817"/>
    <w:rsid w:val="00EC28CD"/>
    <w:rsid w:val="00EC2955"/>
    <w:rsid w:val="00EC2995"/>
    <w:rsid w:val="00EC29B6"/>
    <w:rsid w:val="00EC2AAB"/>
    <w:rsid w:val="00EC2B36"/>
    <w:rsid w:val="00EC2B4F"/>
    <w:rsid w:val="00EC2B85"/>
    <w:rsid w:val="00EC2BD4"/>
    <w:rsid w:val="00EC2C94"/>
    <w:rsid w:val="00EC2D0E"/>
    <w:rsid w:val="00EC2D70"/>
    <w:rsid w:val="00EC2E4E"/>
    <w:rsid w:val="00EC2E57"/>
    <w:rsid w:val="00EC2EB9"/>
    <w:rsid w:val="00EC2ECA"/>
    <w:rsid w:val="00EC30AB"/>
    <w:rsid w:val="00EC318F"/>
    <w:rsid w:val="00EC3286"/>
    <w:rsid w:val="00EC32F0"/>
    <w:rsid w:val="00EC33C2"/>
    <w:rsid w:val="00EC33F6"/>
    <w:rsid w:val="00EC33F8"/>
    <w:rsid w:val="00EC341E"/>
    <w:rsid w:val="00EC359F"/>
    <w:rsid w:val="00EC35BC"/>
    <w:rsid w:val="00EC35F9"/>
    <w:rsid w:val="00EC369A"/>
    <w:rsid w:val="00EC3765"/>
    <w:rsid w:val="00EC391D"/>
    <w:rsid w:val="00EC3921"/>
    <w:rsid w:val="00EC39C5"/>
    <w:rsid w:val="00EC3A31"/>
    <w:rsid w:val="00EC3A4E"/>
    <w:rsid w:val="00EC3AC9"/>
    <w:rsid w:val="00EC3BDA"/>
    <w:rsid w:val="00EC3C74"/>
    <w:rsid w:val="00EC3CF7"/>
    <w:rsid w:val="00EC3D59"/>
    <w:rsid w:val="00EC3D6B"/>
    <w:rsid w:val="00EC3DF1"/>
    <w:rsid w:val="00EC3DF2"/>
    <w:rsid w:val="00EC3E15"/>
    <w:rsid w:val="00EC3E38"/>
    <w:rsid w:val="00EC3E41"/>
    <w:rsid w:val="00EC3FE7"/>
    <w:rsid w:val="00EC4016"/>
    <w:rsid w:val="00EC4070"/>
    <w:rsid w:val="00EC40A5"/>
    <w:rsid w:val="00EC4220"/>
    <w:rsid w:val="00EC4301"/>
    <w:rsid w:val="00EC4319"/>
    <w:rsid w:val="00EC431F"/>
    <w:rsid w:val="00EC4442"/>
    <w:rsid w:val="00EC444B"/>
    <w:rsid w:val="00EC445C"/>
    <w:rsid w:val="00EC447A"/>
    <w:rsid w:val="00EC4484"/>
    <w:rsid w:val="00EC44AA"/>
    <w:rsid w:val="00EC4575"/>
    <w:rsid w:val="00EC464F"/>
    <w:rsid w:val="00EC4847"/>
    <w:rsid w:val="00EC487E"/>
    <w:rsid w:val="00EC48D8"/>
    <w:rsid w:val="00EC49EF"/>
    <w:rsid w:val="00EC49FE"/>
    <w:rsid w:val="00EC4A30"/>
    <w:rsid w:val="00EC4A45"/>
    <w:rsid w:val="00EC4B07"/>
    <w:rsid w:val="00EC4CCE"/>
    <w:rsid w:val="00EC4E3F"/>
    <w:rsid w:val="00EC4F33"/>
    <w:rsid w:val="00EC51A3"/>
    <w:rsid w:val="00EC51BA"/>
    <w:rsid w:val="00EC51BD"/>
    <w:rsid w:val="00EC5233"/>
    <w:rsid w:val="00EC550E"/>
    <w:rsid w:val="00EC5675"/>
    <w:rsid w:val="00EC568C"/>
    <w:rsid w:val="00EC56B7"/>
    <w:rsid w:val="00EC56C1"/>
    <w:rsid w:val="00EC570A"/>
    <w:rsid w:val="00EC5747"/>
    <w:rsid w:val="00EC576D"/>
    <w:rsid w:val="00EC57AF"/>
    <w:rsid w:val="00EC589A"/>
    <w:rsid w:val="00EC58CB"/>
    <w:rsid w:val="00EC59AD"/>
    <w:rsid w:val="00EC5A38"/>
    <w:rsid w:val="00EC5BF8"/>
    <w:rsid w:val="00EC5C65"/>
    <w:rsid w:val="00EC5C83"/>
    <w:rsid w:val="00EC5CE1"/>
    <w:rsid w:val="00EC5DD4"/>
    <w:rsid w:val="00EC5E75"/>
    <w:rsid w:val="00EC5EA3"/>
    <w:rsid w:val="00EC5EAA"/>
    <w:rsid w:val="00EC5EDC"/>
    <w:rsid w:val="00EC6013"/>
    <w:rsid w:val="00EC60F9"/>
    <w:rsid w:val="00EC6138"/>
    <w:rsid w:val="00EC618C"/>
    <w:rsid w:val="00EC61FA"/>
    <w:rsid w:val="00EC62C7"/>
    <w:rsid w:val="00EC63BA"/>
    <w:rsid w:val="00EC63C7"/>
    <w:rsid w:val="00EC65EB"/>
    <w:rsid w:val="00EC66C2"/>
    <w:rsid w:val="00EC6A77"/>
    <w:rsid w:val="00EC6A7A"/>
    <w:rsid w:val="00EC6AA4"/>
    <w:rsid w:val="00EC6AB1"/>
    <w:rsid w:val="00EC6B0F"/>
    <w:rsid w:val="00EC6B7C"/>
    <w:rsid w:val="00EC6C96"/>
    <w:rsid w:val="00EC6CD2"/>
    <w:rsid w:val="00EC6D12"/>
    <w:rsid w:val="00EC6D96"/>
    <w:rsid w:val="00EC6D9F"/>
    <w:rsid w:val="00EC6E6C"/>
    <w:rsid w:val="00EC6F01"/>
    <w:rsid w:val="00EC6F3A"/>
    <w:rsid w:val="00EC71C5"/>
    <w:rsid w:val="00EC72C3"/>
    <w:rsid w:val="00EC7314"/>
    <w:rsid w:val="00EC732A"/>
    <w:rsid w:val="00EC7397"/>
    <w:rsid w:val="00EC73B6"/>
    <w:rsid w:val="00EC73CF"/>
    <w:rsid w:val="00EC7458"/>
    <w:rsid w:val="00EC75D4"/>
    <w:rsid w:val="00EC761B"/>
    <w:rsid w:val="00EC7673"/>
    <w:rsid w:val="00EC76A5"/>
    <w:rsid w:val="00EC773F"/>
    <w:rsid w:val="00EC77A0"/>
    <w:rsid w:val="00EC781A"/>
    <w:rsid w:val="00EC782E"/>
    <w:rsid w:val="00EC785B"/>
    <w:rsid w:val="00EC786D"/>
    <w:rsid w:val="00EC78CF"/>
    <w:rsid w:val="00EC7912"/>
    <w:rsid w:val="00EC7925"/>
    <w:rsid w:val="00EC793E"/>
    <w:rsid w:val="00EC7966"/>
    <w:rsid w:val="00EC79DE"/>
    <w:rsid w:val="00EC7A1D"/>
    <w:rsid w:val="00EC7A3F"/>
    <w:rsid w:val="00EC7A76"/>
    <w:rsid w:val="00EC7B11"/>
    <w:rsid w:val="00EC7B8E"/>
    <w:rsid w:val="00EC7C7B"/>
    <w:rsid w:val="00EC7CBA"/>
    <w:rsid w:val="00EC7D27"/>
    <w:rsid w:val="00EC7E97"/>
    <w:rsid w:val="00EC7EBC"/>
    <w:rsid w:val="00EC7F4E"/>
    <w:rsid w:val="00ED0022"/>
    <w:rsid w:val="00ED003A"/>
    <w:rsid w:val="00ED007C"/>
    <w:rsid w:val="00ED00E8"/>
    <w:rsid w:val="00ED02A4"/>
    <w:rsid w:val="00ED0405"/>
    <w:rsid w:val="00ED047F"/>
    <w:rsid w:val="00ED0484"/>
    <w:rsid w:val="00ED04CB"/>
    <w:rsid w:val="00ED0590"/>
    <w:rsid w:val="00ED062D"/>
    <w:rsid w:val="00ED0687"/>
    <w:rsid w:val="00ED06F6"/>
    <w:rsid w:val="00ED070F"/>
    <w:rsid w:val="00ED078E"/>
    <w:rsid w:val="00ED08CA"/>
    <w:rsid w:val="00ED0972"/>
    <w:rsid w:val="00ED09E7"/>
    <w:rsid w:val="00ED0A8F"/>
    <w:rsid w:val="00ED0BF4"/>
    <w:rsid w:val="00ED0C4D"/>
    <w:rsid w:val="00ED0C4E"/>
    <w:rsid w:val="00ED0D07"/>
    <w:rsid w:val="00ED0D2E"/>
    <w:rsid w:val="00ED0D60"/>
    <w:rsid w:val="00ED0E3B"/>
    <w:rsid w:val="00ED0F2C"/>
    <w:rsid w:val="00ED1132"/>
    <w:rsid w:val="00ED1184"/>
    <w:rsid w:val="00ED1192"/>
    <w:rsid w:val="00ED1216"/>
    <w:rsid w:val="00ED1252"/>
    <w:rsid w:val="00ED12DF"/>
    <w:rsid w:val="00ED1402"/>
    <w:rsid w:val="00ED1446"/>
    <w:rsid w:val="00ED14D3"/>
    <w:rsid w:val="00ED15AB"/>
    <w:rsid w:val="00ED15DB"/>
    <w:rsid w:val="00ED164C"/>
    <w:rsid w:val="00ED167D"/>
    <w:rsid w:val="00ED16AB"/>
    <w:rsid w:val="00ED17DC"/>
    <w:rsid w:val="00ED1875"/>
    <w:rsid w:val="00ED18BC"/>
    <w:rsid w:val="00ED18C9"/>
    <w:rsid w:val="00ED1942"/>
    <w:rsid w:val="00ED1988"/>
    <w:rsid w:val="00ED19AA"/>
    <w:rsid w:val="00ED19C2"/>
    <w:rsid w:val="00ED1A2B"/>
    <w:rsid w:val="00ED1B49"/>
    <w:rsid w:val="00ED1B7F"/>
    <w:rsid w:val="00ED1BEF"/>
    <w:rsid w:val="00ED1C35"/>
    <w:rsid w:val="00ED1CC5"/>
    <w:rsid w:val="00ED1CEF"/>
    <w:rsid w:val="00ED1D33"/>
    <w:rsid w:val="00ED1D64"/>
    <w:rsid w:val="00ED1E28"/>
    <w:rsid w:val="00ED1E44"/>
    <w:rsid w:val="00ED1EA6"/>
    <w:rsid w:val="00ED1ECB"/>
    <w:rsid w:val="00ED1F24"/>
    <w:rsid w:val="00ED1F91"/>
    <w:rsid w:val="00ED218E"/>
    <w:rsid w:val="00ED21F5"/>
    <w:rsid w:val="00ED221B"/>
    <w:rsid w:val="00ED225C"/>
    <w:rsid w:val="00ED2398"/>
    <w:rsid w:val="00ED23DC"/>
    <w:rsid w:val="00ED242A"/>
    <w:rsid w:val="00ED2451"/>
    <w:rsid w:val="00ED2504"/>
    <w:rsid w:val="00ED257C"/>
    <w:rsid w:val="00ED261E"/>
    <w:rsid w:val="00ED273D"/>
    <w:rsid w:val="00ED2817"/>
    <w:rsid w:val="00ED281D"/>
    <w:rsid w:val="00ED2838"/>
    <w:rsid w:val="00ED294B"/>
    <w:rsid w:val="00ED2998"/>
    <w:rsid w:val="00ED2B02"/>
    <w:rsid w:val="00ED2B7E"/>
    <w:rsid w:val="00ED2C91"/>
    <w:rsid w:val="00ED2CB9"/>
    <w:rsid w:val="00ED2D98"/>
    <w:rsid w:val="00ED2E97"/>
    <w:rsid w:val="00ED3053"/>
    <w:rsid w:val="00ED30EF"/>
    <w:rsid w:val="00ED312E"/>
    <w:rsid w:val="00ED313C"/>
    <w:rsid w:val="00ED3150"/>
    <w:rsid w:val="00ED3153"/>
    <w:rsid w:val="00ED31DE"/>
    <w:rsid w:val="00ED3207"/>
    <w:rsid w:val="00ED3223"/>
    <w:rsid w:val="00ED3252"/>
    <w:rsid w:val="00ED3295"/>
    <w:rsid w:val="00ED32BC"/>
    <w:rsid w:val="00ED3371"/>
    <w:rsid w:val="00ED337E"/>
    <w:rsid w:val="00ED33BC"/>
    <w:rsid w:val="00ED348E"/>
    <w:rsid w:val="00ED3494"/>
    <w:rsid w:val="00ED34C1"/>
    <w:rsid w:val="00ED35C8"/>
    <w:rsid w:val="00ED361E"/>
    <w:rsid w:val="00ED3694"/>
    <w:rsid w:val="00ED3920"/>
    <w:rsid w:val="00ED3A07"/>
    <w:rsid w:val="00ED3AAC"/>
    <w:rsid w:val="00ED3B6E"/>
    <w:rsid w:val="00ED3C48"/>
    <w:rsid w:val="00ED3C4C"/>
    <w:rsid w:val="00ED3C68"/>
    <w:rsid w:val="00ED3C75"/>
    <w:rsid w:val="00ED3DBD"/>
    <w:rsid w:val="00ED3DF0"/>
    <w:rsid w:val="00ED3F7C"/>
    <w:rsid w:val="00ED3F8C"/>
    <w:rsid w:val="00ED3FDA"/>
    <w:rsid w:val="00ED4117"/>
    <w:rsid w:val="00ED41AE"/>
    <w:rsid w:val="00ED42BB"/>
    <w:rsid w:val="00ED42E2"/>
    <w:rsid w:val="00ED431A"/>
    <w:rsid w:val="00ED432F"/>
    <w:rsid w:val="00ED4348"/>
    <w:rsid w:val="00ED445A"/>
    <w:rsid w:val="00ED4527"/>
    <w:rsid w:val="00ED453B"/>
    <w:rsid w:val="00ED45D2"/>
    <w:rsid w:val="00ED45EA"/>
    <w:rsid w:val="00ED4754"/>
    <w:rsid w:val="00ED4820"/>
    <w:rsid w:val="00ED497B"/>
    <w:rsid w:val="00ED4A07"/>
    <w:rsid w:val="00ED4A18"/>
    <w:rsid w:val="00ED4A54"/>
    <w:rsid w:val="00ED4A57"/>
    <w:rsid w:val="00ED4A59"/>
    <w:rsid w:val="00ED4B8A"/>
    <w:rsid w:val="00ED4B8F"/>
    <w:rsid w:val="00ED4C7F"/>
    <w:rsid w:val="00ED4D24"/>
    <w:rsid w:val="00ED4DBC"/>
    <w:rsid w:val="00ED4DD6"/>
    <w:rsid w:val="00ED4EC5"/>
    <w:rsid w:val="00ED4F80"/>
    <w:rsid w:val="00ED4F82"/>
    <w:rsid w:val="00ED5055"/>
    <w:rsid w:val="00ED50BC"/>
    <w:rsid w:val="00ED50E8"/>
    <w:rsid w:val="00ED51C8"/>
    <w:rsid w:val="00ED52FB"/>
    <w:rsid w:val="00ED5440"/>
    <w:rsid w:val="00ED552C"/>
    <w:rsid w:val="00ED55E4"/>
    <w:rsid w:val="00ED565A"/>
    <w:rsid w:val="00ED57C1"/>
    <w:rsid w:val="00ED58DC"/>
    <w:rsid w:val="00ED58F2"/>
    <w:rsid w:val="00ED5A54"/>
    <w:rsid w:val="00ED5A56"/>
    <w:rsid w:val="00ED5A62"/>
    <w:rsid w:val="00ED5B53"/>
    <w:rsid w:val="00ED5B99"/>
    <w:rsid w:val="00ED5BDA"/>
    <w:rsid w:val="00ED5C19"/>
    <w:rsid w:val="00ED5C22"/>
    <w:rsid w:val="00ED5C4A"/>
    <w:rsid w:val="00ED5C97"/>
    <w:rsid w:val="00ED5D19"/>
    <w:rsid w:val="00ED5D72"/>
    <w:rsid w:val="00ED5E07"/>
    <w:rsid w:val="00ED5EB7"/>
    <w:rsid w:val="00ED5F15"/>
    <w:rsid w:val="00ED5F5D"/>
    <w:rsid w:val="00ED5F6D"/>
    <w:rsid w:val="00ED5F7D"/>
    <w:rsid w:val="00ED5F84"/>
    <w:rsid w:val="00ED600C"/>
    <w:rsid w:val="00ED6071"/>
    <w:rsid w:val="00ED6082"/>
    <w:rsid w:val="00ED60B3"/>
    <w:rsid w:val="00ED60C3"/>
    <w:rsid w:val="00ED6135"/>
    <w:rsid w:val="00ED62D0"/>
    <w:rsid w:val="00ED62F5"/>
    <w:rsid w:val="00ED65AD"/>
    <w:rsid w:val="00ED65BF"/>
    <w:rsid w:val="00ED6677"/>
    <w:rsid w:val="00ED66F2"/>
    <w:rsid w:val="00ED677B"/>
    <w:rsid w:val="00ED69B7"/>
    <w:rsid w:val="00ED69BB"/>
    <w:rsid w:val="00ED69C1"/>
    <w:rsid w:val="00ED69CE"/>
    <w:rsid w:val="00ED69DD"/>
    <w:rsid w:val="00ED6A0B"/>
    <w:rsid w:val="00ED6A32"/>
    <w:rsid w:val="00ED6B2F"/>
    <w:rsid w:val="00ED6BA9"/>
    <w:rsid w:val="00ED6C56"/>
    <w:rsid w:val="00ED6D24"/>
    <w:rsid w:val="00ED6E2F"/>
    <w:rsid w:val="00ED6E92"/>
    <w:rsid w:val="00ED6F20"/>
    <w:rsid w:val="00ED6FA5"/>
    <w:rsid w:val="00ED7122"/>
    <w:rsid w:val="00ED7178"/>
    <w:rsid w:val="00ED71E1"/>
    <w:rsid w:val="00ED7204"/>
    <w:rsid w:val="00ED7247"/>
    <w:rsid w:val="00ED7275"/>
    <w:rsid w:val="00ED7384"/>
    <w:rsid w:val="00ED7488"/>
    <w:rsid w:val="00ED74D3"/>
    <w:rsid w:val="00ED75BB"/>
    <w:rsid w:val="00ED7603"/>
    <w:rsid w:val="00ED7669"/>
    <w:rsid w:val="00ED773E"/>
    <w:rsid w:val="00ED778B"/>
    <w:rsid w:val="00ED7829"/>
    <w:rsid w:val="00ED78BA"/>
    <w:rsid w:val="00ED796C"/>
    <w:rsid w:val="00ED79B2"/>
    <w:rsid w:val="00ED7B32"/>
    <w:rsid w:val="00ED7B95"/>
    <w:rsid w:val="00ED7C88"/>
    <w:rsid w:val="00ED7DF9"/>
    <w:rsid w:val="00ED7DFE"/>
    <w:rsid w:val="00ED7E11"/>
    <w:rsid w:val="00ED7ECF"/>
    <w:rsid w:val="00ED7EE5"/>
    <w:rsid w:val="00EE0045"/>
    <w:rsid w:val="00EE00D5"/>
    <w:rsid w:val="00EE0128"/>
    <w:rsid w:val="00EE0153"/>
    <w:rsid w:val="00EE0218"/>
    <w:rsid w:val="00EE0276"/>
    <w:rsid w:val="00EE02A2"/>
    <w:rsid w:val="00EE02D7"/>
    <w:rsid w:val="00EE049D"/>
    <w:rsid w:val="00EE04B6"/>
    <w:rsid w:val="00EE04CD"/>
    <w:rsid w:val="00EE057D"/>
    <w:rsid w:val="00EE058D"/>
    <w:rsid w:val="00EE0681"/>
    <w:rsid w:val="00EE06C6"/>
    <w:rsid w:val="00EE076D"/>
    <w:rsid w:val="00EE0871"/>
    <w:rsid w:val="00EE08CB"/>
    <w:rsid w:val="00EE0918"/>
    <w:rsid w:val="00EE099A"/>
    <w:rsid w:val="00EE09B6"/>
    <w:rsid w:val="00EE0A69"/>
    <w:rsid w:val="00EE0B70"/>
    <w:rsid w:val="00EE0B77"/>
    <w:rsid w:val="00EE0BF0"/>
    <w:rsid w:val="00EE0CCD"/>
    <w:rsid w:val="00EE0DE8"/>
    <w:rsid w:val="00EE0EE2"/>
    <w:rsid w:val="00EE1003"/>
    <w:rsid w:val="00EE1021"/>
    <w:rsid w:val="00EE1120"/>
    <w:rsid w:val="00EE112D"/>
    <w:rsid w:val="00EE1155"/>
    <w:rsid w:val="00EE1171"/>
    <w:rsid w:val="00EE122C"/>
    <w:rsid w:val="00EE12A2"/>
    <w:rsid w:val="00EE12C9"/>
    <w:rsid w:val="00EE12E0"/>
    <w:rsid w:val="00EE1325"/>
    <w:rsid w:val="00EE1328"/>
    <w:rsid w:val="00EE135C"/>
    <w:rsid w:val="00EE1465"/>
    <w:rsid w:val="00EE14D0"/>
    <w:rsid w:val="00EE14E3"/>
    <w:rsid w:val="00EE1532"/>
    <w:rsid w:val="00EE15F6"/>
    <w:rsid w:val="00EE1857"/>
    <w:rsid w:val="00EE18B3"/>
    <w:rsid w:val="00EE192A"/>
    <w:rsid w:val="00EE1A3E"/>
    <w:rsid w:val="00EE1A6A"/>
    <w:rsid w:val="00EE1AEE"/>
    <w:rsid w:val="00EE1C5F"/>
    <w:rsid w:val="00EE1D48"/>
    <w:rsid w:val="00EE1D52"/>
    <w:rsid w:val="00EE1D61"/>
    <w:rsid w:val="00EE1D89"/>
    <w:rsid w:val="00EE1DE6"/>
    <w:rsid w:val="00EE1E34"/>
    <w:rsid w:val="00EE1EAA"/>
    <w:rsid w:val="00EE1EC2"/>
    <w:rsid w:val="00EE1F3D"/>
    <w:rsid w:val="00EE1FD9"/>
    <w:rsid w:val="00EE203A"/>
    <w:rsid w:val="00EE210E"/>
    <w:rsid w:val="00EE211F"/>
    <w:rsid w:val="00EE219A"/>
    <w:rsid w:val="00EE21D0"/>
    <w:rsid w:val="00EE2212"/>
    <w:rsid w:val="00EE22F4"/>
    <w:rsid w:val="00EE23C9"/>
    <w:rsid w:val="00EE23FC"/>
    <w:rsid w:val="00EE2405"/>
    <w:rsid w:val="00EE240F"/>
    <w:rsid w:val="00EE24EC"/>
    <w:rsid w:val="00EE25E6"/>
    <w:rsid w:val="00EE276D"/>
    <w:rsid w:val="00EE2823"/>
    <w:rsid w:val="00EE282D"/>
    <w:rsid w:val="00EE287E"/>
    <w:rsid w:val="00EE289D"/>
    <w:rsid w:val="00EE2912"/>
    <w:rsid w:val="00EE2936"/>
    <w:rsid w:val="00EE2940"/>
    <w:rsid w:val="00EE295B"/>
    <w:rsid w:val="00EE2970"/>
    <w:rsid w:val="00EE2B31"/>
    <w:rsid w:val="00EE2B6A"/>
    <w:rsid w:val="00EE2BCA"/>
    <w:rsid w:val="00EE2C16"/>
    <w:rsid w:val="00EE2C84"/>
    <w:rsid w:val="00EE2D2A"/>
    <w:rsid w:val="00EE2D95"/>
    <w:rsid w:val="00EE2DBF"/>
    <w:rsid w:val="00EE2DE9"/>
    <w:rsid w:val="00EE2E56"/>
    <w:rsid w:val="00EE2E90"/>
    <w:rsid w:val="00EE2EA1"/>
    <w:rsid w:val="00EE2F63"/>
    <w:rsid w:val="00EE3013"/>
    <w:rsid w:val="00EE314E"/>
    <w:rsid w:val="00EE319F"/>
    <w:rsid w:val="00EE31F5"/>
    <w:rsid w:val="00EE321A"/>
    <w:rsid w:val="00EE323F"/>
    <w:rsid w:val="00EE3263"/>
    <w:rsid w:val="00EE3268"/>
    <w:rsid w:val="00EE3310"/>
    <w:rsid w:val="00EE331A"/>
    <w:rsid w:val="00EE3388"/>
    <w:rsid w:val="00EE346A"/>
    <w:rsid w:val="00EE3539"/>
    <w:rsid w:val="00EE353F"/>
    <w:rsid w:val="00EE3551"/>
    <w:rsid w:val="00EE35FA"/>
    <w:rsid w:val="00EE3A10"/>
    <w:rsid w:val="00EE3A22"/>
    <w:rsid w:val="00EE3A27"/>
    <w:rsid w:val="00EE3AF9"/>
    <w:rsid w:val="00EE3C0F"/>
    <w:rsid w:val="00EE3C4B"/>
    <w:rsid w:val="00EE3D34"/>
    <w:rsid w:val="00EE3E35"/>
    <w:rsid w:val="00EE3EEA"/>
    <w:rsid w:val="00EE3FE6"/>
    <w:rsid w:val="00EE3FF4"/>
    <w:rsid w:val="00EE40CB"/>
    <w:rsid w:val="00EE40EE"/>
    <w:rsid w:val="00EE4122"/>
    <w:rsid w:val="00EE418B"/>
    <w:rsid w:val="00EE421B"/>
    <w:rsid w:val="00EE425C"/>
    <w:rsid w:val="00EE426C"/>
    <w:rsid w:val="00EE4281"/>
    <w:rsid w:val="00EE43AE"/>
    <w:rsid w:val="00EE43CA"/>
    <w:rsid w:val="00EE43D4"/>
    <w:rsid w:val="00EE441D"/>
    <w:rsid w:val="00EE4436"/>
    <w:rsid w:val="00EE44D5"/>
    <w:rsid w:val="00EE4502"/>
    <w:rsid w:val="00EE4542"/>
    <w:rsid w:val="00EE45BC"/>
    <w:rsid w:val="00EE45C6"/>
    <w:rsid w:val="00EE45D0"/>
    <w:rsid w:val="00EE45F7"/>
    <w:rsid w:val="00EE468D"/>
    <w:rsid w:val="00EE474C"/>
    <w:rsid w:val="00EE4752"/>
    <w:rsid w:val="00EE4762"/>
    <w:rsid w:val="00EE4786"/>
    <w:rsid w:val="00EE47E7"/>
    <w:rsid w:val="00EE4847"/>
    <w:rsid w:val="00EE48E6"/>
    <w:rsid w:val="00EE48FB"/>
    <w:rsid w:val="00EE4982"/>
    <w:rsid w:val="00EE49EA"/>
    <w:rsid w:val="00EE4BC7"/>
    <w:rsid w:val="00EE4BD5"/>
    <w:rsid w:val="00EE4BD8"/>
    <w:rsid w:val="00EE4BF3"/>
    <w:rsid w:val="00EE4C1E"/>
    <w:rsid w:val="00EE4C79"/>
    <w:rsid w:val="00EE4D3F"/>
    <w:rsid w:val="00EE4D8F"/>
    <w:rsid w:val="00EE4DA3"/>
    <w:rsid w:val="00EE4DB2"/>
    <w:rsid w:val="00EE4E48"/>
    <w:rsid w:val="00EE4EB9"/>
    <w:rsid w:val="00EE4EE2"/>
    <w:rsid w:val="00EE4F3C"/>
    <w:rsid w:val="00EE4FB3"/>
    <w:rsid w:val="00EE4FD0"/>
    <w:rsid w:val="00EE4FF9"/>
    <w:rsid w:val="00EE5031"/>
    <w:rsid w:val="00EE515C"/>
    <w:rsid w:val="00EE5192"/>
    <w:rsid w:val="00EE51B9"/>
    <w:rsid w:val="00EE520E"/>
    <w:rsid w:val="00EE5245"/>
    <w:rsid w:val="00EE52A3"/>
    <w:rsid w:val="00EE5336"/>
    <w:rsid w:val="00EE53CA"/>
    <w:rsid w:val="00EE5482"/>
    <w:rsid w:val="00EE5521"/>
    <w:rsid w:val="00EE55B3"/>
    <w:rsid w:val="00EE564A"/>
    <w:rsid w:val="00EE5676"/>
    <w:rsid w:val="00EE56A8"/>
    <w:rsid w:val="00EE571F"/>
    <w:rsid w:val="00EE5722"/>
    <w:rsid w:val="00EE57BF"/>
    <w:rsid w:val="00EE57D9"/>
    <w:rsid w:val="00EE582B"/>
    <w:rsid w:val="00EE589B"/>
    <w:rsid w:val="00EE5963"/>
    <w:rsid w:val="00EE5A4E"/>
    <w:rsid w:val="00EE5B8B"/>
    <w:rsid w:val="00EE5BC6"/>
    <w:rsid w:val="00EE5C22"/>
    <w:rsid w:val="00EE5C36"/>
    <w:rsid w:val="00EE5D2A"/>
    <w:rsid w:val="00EE5D75"/>
    <w:rsid w:val="00EE5DC6"/>
    <w:rsid w:val="00EE5F88"/>
    <w:rsid w:val="00EE5FA8"/>
    <w:rsid w:val="00EE5FAF"/>
    <w:rsid w:val="00EE6022"/>
    <w:rsid w:val="00EE6042"/>
    <w:rsid w:val="00EE60B7"/>
    <w:rsid w:val="00EE6230"/>
    <w:rsid w:val="00EE624F"/>
    <w:rsid w:val="00EE62C1"/>
    <w:rsid w:val="00EE634F"/>
    <w:rsid w:val="00EE63A2"/>
    <w:rsid w:val="00EE649E"/>
    <w:rsid w:val="00EE65E8"/>
    <w:rsid w:val="00EE6861"/>
    <w:rsid w:val="00EE694B"/>
    <w:rsid w:val="00EE698A"/>
    <w:rsid w:val="00EE698B"/>
    <w:rsid w:val="00EE6996"/>
    <w:rsid w:val="00EE69C2"/>
    <w:rsid w:val="00EE69D2"/>
    <w:rsid w:val="00EE6A25"/>
    <w:rsid w:val="00EE6E1C"/>
    <w:rsid w:val="00EE6E20"/>
    <w:rsid w:val="00EE6E38"/>
    <w:rsid w:val="00EE6E4E"/>
    <w:rsid w:val="00EE6E5F"/>
    <w:rsid w:val="00EE6E7A"/>
    <w:rsid w:val="00EE6F16"/>
    <w:rsid w:val="00EE6F54"/>
    <w:rsid w:val="00EE6FE1"/>
    <w:rsid w:val="00EE6FE5"/>
    <w:rsid w:val="00EE7073"/>
    <w:rsid w:val="00EE71EB"/>
    <w:rsid w:val="00EE71FC"/>
    <w:rsid w:val="00EE72A1"/>
    <w:rsid w:val="00EE73E2"/>
    <w:rsid w:val="00EE73FE"/>
    <w:rsid w:val="00EE7426"/>
    <w:rsid w:val="00EE7485"/>
    <w:rsid w:val="00EE74A9"/>
    <w:rsid w:val="00EE74C9"/>
    <w:rsid w:val="00EE7520"/>
    <w:rsid w:val="00EE75C5"/>
    <w:rsid w:val="00EE7783"/>
    <w:rsid w:val="00EE7800"/>
    <w:rsid w:val="00EE7822"/>
    <w:rsid w:val="00EE783F"/>
    <w:rsid w:val="00EE7916"/>
    <w:rsid w:val="00EE7A91"/>
    <w:rsid w:val="00EE7AC2"/>
    <w:rsid w:val="00EE7AEE"/>
    <w:rsid w:val="00EE7B84"/>
    <w:rsid w:val="00EE7C09"/>
    <w:rsid w:val="00EE7C25"/>
    <w:rsid w:val="00EE7CA2"/>
    <w:rsid w:val="00EE7D0E"/>
    <w:rsid w:val="00EE7D4F"/>
    <w:rsid w:val="00EF011C"/>
    <w:rsid w:val="00EF012B"/>
    <w:rsid w:val="00EF0191"/>
    <w:rsid w:val="00EF01F5"/>
    <w:rsid w:val="00EF01F9"/>
    <w:rsid w:val="00EF0285"/>
    <w:rsid w:val="00EF02E6"/>
    <w:rsid w:val="00EF0316"/>
    <w:rsid w:val="00EF0367"/>
    <w:rsid w:val="00EF040C"/>
    <w:rsid w:val="00EF0431"/>
    <w:rsid w:val="00EF050E"/>
    <w:rsid w:val="00EF0529"/>
    <w:rsid w:val="00EF0551"/>
    <w:rsid w:val="00EF0573"/>
    <w:rsid w:val="00EF0720"/>
    <w:rsid w:val="00EF0727"/>
    <w:rsid w:val="00EF0734"/>
    <w:rsid w:val="00EF07BA"/>
    <w:rsid w:val="00EF07D4"/>
    <w:rsid w:val="00EF07F4"/>
    <w:rsid w:val="00EF0855"/>
    <w:rsid w:val="00EF0858"/>
    <w:rsid w:val="00EF09BD"/>
    <w:rsid w:val="00EF0AD3"/>
    <w:rsid w:val="00EF0AE6"/>
    <w:rsid w:val="00EF0AEB"/>
    <w:rsid w:val="00EF0B1D"/>
    <w:rsid w:val="00EF0B34"/>
    <w:rsid w:val="00EF0B97"/>
    <w:rsid w:val="00EF0BBC"/>
    <w:rsid w:val="00EF0BFA"/>
    <w:rsid w:val="00EF0C68"/>
    <w:rsid w:val="00EF0DCD"/>
    <w:rsid w:val="00EF0E25"/>
    <w:rsid w:val="00EF0E27"/>
    <w:rsid w:val="00EF0E79"/>
    <w:rsid w:val="00EF0EB8"/>
    <w:rsid w:val="00EF0F51"/>
    <w:rsid w:val="00EF0FE2"/>
    <w:rsid w:val="00EF100D"/>
    <w:rsid w:val="00EF101F"/>
    <w:rsid w:val="00EF1044"/>
    <w:rsid w:val="00EF1147"/>
    <w:rsid w:val="00EF1205"/>
    <w:rsid w:val="00EF1266"/>
    <w:rsid w:val="00EF12F4"/>
    <w:rsid w:val="00EF1416"/>
    <w:rsid w:val="00EF151B"/>
    <w:rsid w:val="00EF1557"/>
    <w:rsid w:val="00EF1609"/>
    <w:rsid w:val="00EF169D"/>
    <w:rsid w:val="00EF1994"/>
    <w:rsid w:val="00EF19CC"/>
    <w:rsid w:val="00EF19DB"/>
    <w:rsid w:val="00EF1A19"/>
    <w:rsid w:val="00EF1BA3"/>
    <w:rsid w:val="00EF1C61"/>
    <w:rsid w:val="00EF1CEA"/>
    <w:rsid w:val="00EF1D22"/>
    <w:rsid w:val="00EF1E0C"/>
    <w:rsid w:val="00EF1F52"/>
    <w:rsid w:val="00EF1F7C"/>
    <w:rsid w:val="00EF1FB9"/>
    <w:rsid w:val="00EF2075"/>
    <w:rsid w:val="00EF209A"/>
    <w:rsid w:val="00EF20C2"/>
    <w:rsid w:val="00EF2222"/>
    <w:rsid w:val="00EF2271"/>
    <w:rsid w:val="00EF237B"/>
    <w:rsid w:val="00EF2384"/>
    <w:rsid w:val="00EF23E5"/>
    <w:rsid w:val="00EF2426"/>
    <w:rsid w:val="00EF243A"/>
    <w:rsid w:val="00EF2514"/>
    <w:rsid w:val="00EF2553"/>
    <w:rsid w:val="00EF26EE"/>
    <w:rsid w:val="00EF2775"/>
    <w:rsid w:val="00EF2797"/>
    <w:rsid w:val="00EF27F9"/>
    <w:rsid w:val="00EF2864"/>
    <w:rsid w:val="00EF2960"/>
    <w:rsid w:val="00EF29E7"/>
    <w:rsid w:val="00EF2AD4"/>
    <w:rsid w:val="00EF2B00"/>
    <w:rsid w:val="00EF2BBF"/>
    <w:rsid w:val="00EF2C01"/>
    <w:rsid w:val="00EF2CC7"/>
    <w:rsid w:val="00EF2D9D"/>
    <w:rsid w:val="00EF2E0B"/>
    <w:rsid w:val="00EF2E84"/>
    <w:rsid w:val="00EF2F6B"/>
    <w:rsid w:val="00EF3066"/>
    <w:rsid w:val="00EF3175"/>
    <w:rsid w:val="00EF31DA"/>
    <w:rsid w:val="00EF327A"/>
    <w:rsid w:val="00EF3284"/>
    <w:rsid w:val="00EF33AD"/>
    <w:rsid w:val="00EF3453"/>
    <w:rsid w:val="00EF347E"/>
    <w:rsid w:val="00EF3548"/>
    <w:rsid w:val="00EF355A"/>
    <w:rsid w:val="00EF3562"/>
    <w:rsid w:val="00EF3567"/>
    <w:rsid w:val="00EF35B1"/>
    <w:rsid w:val="00EF35E0"/>
    <w:rsid w:val="00EF35F0"/>
    <w:rsid w:val="00EF3612"/>
    <w:rsid w:val="00EF363D"/>
    <w:rsid w:val="00EF3650"/>
    <w:rsid w:val="00EF3658"/>
    <w:rsid w:val="00EF3674"/>
    <w:rsid w:val="00EF3685"/>
    <w:rsid w:val="00EF36A8"/>
    <w:rsid w:val="00EF3777"/>
    <w:rsid w:val="00EF381D"/>
    <w:rsid w:val="00EF3861"/>
    <w:rsid w:val="00EF3AB2"/>
    <w:rsid w:val="00EF3AD5"/>
    <w:rsid w:val="00EF3B0C"/>
    <w:rsid w:val="00EF3B91"/>
    <w:rsid w:val="00EF3BF3"/>
    <w:rsid w:val="00EF3C5A"/>
    <w:rsid w:val="00EF3E75"/>
    <w:rsid w:val="00EF3EAF"/>
    <w:rsid w:val="00EF3F9C"/>
    <w:rsid w:val="00EF3FAF"/>
    <w:rsid w:val="00EF3FCD"/>
    <w:rsid w:val="00EF4087"/>
    <w:rsid w:val="00EF40E9"/>
    <w:rsid w:val="00EF4165"/>
    <w:rsid w:val="00EF4299"/>
    <w:rsid w:val="00EF4367"/>
    <w:rsid w:val="00EF4447"/>
    <w:rsid w:val="00EF449B"/>
    <w:rsid w:val="00EF456E"/>
    <w:rsid w:val="00EF45A5"/>
    <w:rsid w:val="00EF45CC"/>
    <w:rsid w:val="00EF45DC"/>
    <w:rsid w:val="00EF486A"/>
    <w:rsid w:val="00EF48E4"/>
    <w:rsid w:val="00EF48F0"/>
    <w:rsid w:val="00EF4943"/>
    <w:rsid w:val="00EF49D3"/>
    <w:rsid w:val="00EF4A6B"/>
    <w:rsid w:val="00EF4AD4"/>
    <w:rsid w:val="00EF4B1E"/>
    <w:rsid w:val="00EF4B85"/>
    <w:rsid w:val="00EF4BA5"/>
    <w:rsid w:val="00EF4C38"/>
    <w:rsid w:val="00EF4C48"/>
    <w:rsid w:val="00EF4C9F"/>
    <w:rsid w:val="00EF4D20"/>
    <w:rsid w:val="00EF4E31"/>
    <w:rsid w:val="00EF4E33"/>
    <w:rsid w:val="00EF4FD3"/>
    <w:rsid w:val="00EF4FD7"/>
    <w:rsid w:val="00EF500B"/>
    <w:rsid w:val="00EF508C"/>
    <w:rsid w:val="00EF50C0"/>
    <w:rsid w:val="00EF50CE"/>
    <w:rsid w:val="00EF512E"/>
    <w:rsid w:val="00EF513A"/>
    <w:rsid w:val="00EF5157"/>
    <w:rsid w:val="00EF517A"/>
    <w:rsid w:val="00EF51B8"/>
    <w:rsid w:val="00EF5200"/>
    <w:rsid w:val="00EF532F"/>
    <w:rsid w:val="00EF536E"/>
    <w:rsid w:val="00EF5371"/>
    <w:rsid w:val="00EF5434"/>
    <w:rsid w:val="00EF544E"/>
    <w:rsid w:val="00EF5489"/>
    <w:rsid w:val="00EF5497"/>
    <w:rsid w:val="00EF5587"/>
    <w:rsid w:val="00EF55AD"/>
    <w:rsid w:val="00EF55CC"/>
    <w:rsid w:val="00EF56C0"/>
    <w:rsid w:val="00EF56F0"/>
    <w:rsid w:val="00EF5712"/>
    <w:rsid w:val="00EF58B9"/>
    <w:rsid w:val="00EF58C5"/>
    <w:rsid w:val="00EF58F3"/>
    <w:rsid w:val="00EF5ACA"/>
    <w:rsid w:val="00EF5BD0"/>
    <w:rsid w:val="00EF5C21"/>
    <w:rsid w:val="00EF5D62"/>
    <w:rsid w:val="00EF5F3E"/>
    <w:rsid w:val="00EF5F97"/>
    <w:rsid w:val="00EF6191"/>
    <w:rsid w:val="00EF6213"/>
    <w:rsid w:val="00EF6458"/>
    <w:rsid w:val="00EF6469"/>
    <w:rsid w:val="00EF64B6"/>
    <w:rsid w:val="00EF6508"/>
    <w:rsid w:val="00EF6556"/>
    <w:rsid w:val="00EF6593"/>
    <w:rsid w:val="00EF65BB"/>
    <w:rsid w:val="00EF6651"/>
    <w:rsid w:val="00EF667D"/>
    <w:rsid w:val="00EF6681"/>
    <w:rsid w:val="00EF6739"/>
    <w:rsid w:val="00EF6743"/>
    <w:rsid w:val="00EF6776"/>
    <w:rsid w:val="00EF68B2"/>
    <w:rsid w:val="00EF6980"/>
    <w:rsid w:val="00EF69D9"/>
    <w:rsid w:val="00EF69EA"/>
    <w:rsid w:val="00EF6E56"/>
    <w:rsid w:val="00EF6F26"/>
    <w:rsid w:val="00EF6F64"/>
    <w:rsid w:val="00EF6F90"/>
    <w:rsid w:val="00EF700A"/>
    <w:rsid w:val="00EF70B4"/>
    <w:rsid w:val="00EF70D9"/>
    <w:rsid w:val="00EF70FF"/>
    <w:rsid w:val="00EF71E4"/>
    <w:rsid w:val="00EF73C3"/>
    <w:rsid w:val="00EF73C9"/>
    <w:rsid w:val="00EF73E4"/>
    <w:rsid w:val="00EF7456"/>
    <w:rsid w:val="00EF748D"/>
    <w:rsid w:val="00EF7646"/>
    <w:rsid w:val="00EF76D4"/>
    <w:rsid w:val="00EF76FD"/>
    <w:rsid w:val="00EF7723"/>
    <w:rsid w:val="00EF7729"/>
    <w:rsid w:val="00EF7749"/>
    <w:rsid w:val="00EF7819"/>
    <w:rsid w:val="00EF788F"/>
    <w:rsid w:val="00EF78BD"/>
    <w:rsid w:val="00EF78C2"/>
    <w:rsid w:val="00EF7942"/>
    <w:rsid w:val="00EF79E9"/>
    <w:rsid w:val="00EF7A89"/>
    <w:rsid w:val="00EF7B3A"/>
    <w:rsid w:val="00EF7B7A"/>
    <w:rsid w:val="00EF7BC6"/>
    <w:rsid w:val="00EF7BF7"/>
    <w:rsid w:val="00EF7C02"/>
    <w:rsid w:val="00EF7C1F"/>
    <w:rsid w:val="00EF7C44"/>
    <w:rsid w:val="00EF7D0A"/>
    <w:rsid w:val="00EF7D32"/>
    <w:rsid w:val="00EF7DC7"/>
    <w:rsid w:val="00EF7DD7"/>
    <w:rsid w:val="00EF7F19"/>
    <w:rsid w:val="00EFCCE4"/>
    <w:rsid w:val="00F000BD"/>
    <w:rsid w:val="00F000C4"/>
    <w:rsid w:val="00F000C7"/>
    <w:rsid w:val="00F00102"/>
    <w:rsid w:val="00F0015A"/>
    <w:rsid w:val="00F0015D"/>
    <w:rsid w:val="00F00163"/>
    <w:rsid w:val="00F00246"/>
    <w:rsid w:val="00F002BB"/>
    <w:rsid w:val="00F00338"/>
    <w:rsid w:val="00F0042A"/>
    <w:rsid w:val="00F004CA"/>
    <w:rsid w:val="00F004F6"/>
    <w:rsid w:val="00F0051C"/>
    <w:rsid w:val="00F0059A"/>
    <w:rsid w:val="00F00619"/>
    <w:rsid w:val="00F0061B"/>
    <w:rsid w:val="00F006CE"/>
    <w:rsid w:val="00F00750"/>
    <w:rsid w:val="00F0083A"/>
    <w:rsid w:val="00F008AB"/>
    <w:rsid w:val="00F008D1"/>
    <w:rsid w:val="00F00949"/>
    <w:rsid w:val="00F00A28"/>
    <w:rsid w:val="00F00A54"/>
    <w:rsid w:val="00F00ACC"/>
    <w:rsid w:val="00F00B1A"/>
    <w:rsid w:val="00F00B29"/>
    <w:rsid w:val="00F00BA7"/>
    <w:rsid w:val="00F00BA9"/>
    <w:rsid w:val="00F00C6A"/>
    <w:rsid w:val="00F00C98"/>
    <w:rsid w:val="00F00D09"/>
    <w:rsid w:val="00F00D2E"/>
    <w:rsid w:val="00F00D3C"/>
    <w:rsid w:val="00F0101F"/>
    <w:rsid w:val="00F01039"/>
    <w:rsid w:val="00F0106C"/>
    <w:rsid w:val="00F0115E"/>
    <w:rsid w:val="00F011FD"/>
    <w:rsid w:val="00F01232"/>
    <w:rsid w:val="00F0128D"/>
    <w:rsid w:val="00F012B1"/>
    <w:rsid w:val="00F012FC"/>
    <w:rsid w:val="00F0134F"/>
    <w:rsid w:val="00F0135E"/>
    <w:rsid w:val="00F01485"/>
    <w:rsid w:val="00F01649"/>
    <w:rsid w:val="00F016AB"/>
    <w:rsid w:val="00F016C1"/>
    <w:rsid w:val="00F01762"/>
    <w:rsid w:val="00F017C4"/>
    <w:rsid w:val="00F0182C"/>
    <w:rsid w:val="00F01835"/>
    <w:rsid w:val="00F019B6"/>
    <w:rsid w:val="00F01ACF"/>
    <w:rsid w:val="00F01AE9"/>
    <w:rsid w:val="00F01B73"/>
    <w:rsid w:val="00F01B8D"/>
    <w:rsid w:val="00F01CE8"/>
    <w:rsid w:val="00F01E20"/>
    <w:rsid w:val="00F01E7A"/>
    <w:rsid w:val="00F01E8A"/>
    <w:rsid w:val="00F01EB3"/>
    <w:rsid w:val="00F01EBC"/>
    <w:rsid w:val="00F01F9E"/>
    <w:rsid w:val="00F02031"/>
    <w:rsid w:val="00F0204B"/>
    <w:rsid w:val="00F020BE"/>
    <w:rsid w:val="00F021BC"/>
    <w:rsid w:val="00F02316"/>
    <w:rsid w:val="00F0232E"/>
    <w:rsid w:val="00F0234C"/>
    <w:rsid w:val="00F023C4"/>
    <w:rsid w:val="00F024FE"/>
    <w:rsid w:val="00F0253F"/>
    <w:rsid w:val="00F025AC"/>
    <w:rsid w:val="00F025BD"/>
    <w:rsid w:val="00F025C4"/>
    <w:rsid w:val="00F025C5"/>
    <w:rsid w:val="00F02694"/>
    <w:rsid w:val="00F0276A"/>
    <w:rsid w:val="00F0283B"/>
    <w:rsid w:val="00F0295E"/>
    <w:rsid w:val="00F029B7"/>
    <w:rsid w:val="00F02A27"/>
    <w:rsid w:val="00F02A8C"/>
    <w:rsid w:val="00F02A9B"/>
    <w:rsid w:val="00F02ADE"/>
    <w:rsid w:val="00F02B38"/>
    <w:rsid w:val="00F02B41"/>
    <w:rsid w:val="00F02C7E"/>
    <w:rsid w:val="00F02C94"/>
    <w:rsid w:val="00F02D56"/>
    <w:rsid w:val="00F02D65"/>
    <w:rsid w:val="00F02D6D"/>
    <w:rsid w:val="00F02EE4"/>
    <w:rsid w:val="00F02F3F"/>
    <w:rsid w:val="00F02FAA"/>
    <w:rsid w:val="00F02FB8"/>
    <w:rsid w:val="00F02FC4"/>
    <w:rsid w:val="00F030C0"/>
    <w:rsid w:val="00F03170"/>
    <w:rsid w:val="00F03221"/>
    <w:rsid w:val="00F03369"/>
    <w:rsid w:val="00F0347E"/>
    <w:rsid w:val="00F034EE"/>
    <w:rsid w:val="00F0353D"/>
    <w:rsid w:val="00F036A6"/>
    <w:rsid w:val="00F036EC"/>
    <w:rsid w:val="00F03841"/>
    <w:rsid w:val="00F03925"/>
    <w:rsid w:val="00F03931"/>
    <w:rsid w:val="00F039A2"/>
    <w:rsid w:val="00F03A5B"/>
    <w:rsid w:val="00F03A99"/>
    <w:rsid w:val="00F03B66"/>
    <w:rsid w:val="00F03CBC"/>
    <w:rsid w:val="00F03D1B"/>
    <w:rsid w:val="00F03EBB"/>
    <w:rsid w:val="00F03F10"/>
    <w:rsid w:val="00F03FC4"/>
    <w:rsid w:val="00F0401A"/>
    <w:rsid w:val="00F04072"/>
    <w:rsid w:val="00F0409F"/>
    <w:rsid w:val="00F040EB"/>
    <w:rsid w:val="00F041F8"/>
    <w:rsid w:val="00F0434E"/>
    <w:rsid w:val="00F04363"/>
    <w:rsid w:val="00F0446F"/>
    <w:rsid w:val="00F0453A"/>
    <w:rsid w:val="00F045BD"/>
    <w:rsid w:val="00F04623"/>
    <w:rsid w:val="00F0464F"/>
    <w:rsid w:val="00F04736"/>
    <w:rsid w:val="00F0495C"/>
    <w:rsid w:val="00F049EE"/>
    <w:rsid w:val="00F04A8F"/>
    <w:rsid w:val="00F04C13"/>
    <w:rsid w:val="00F04C8B"/>
    <w:rsid w:val="00F04D2F"/>
    <w:rsid w:val="00F04D48"/>
    <w:rsid w:val="00F04D74"/>
    <w:rsid w:val="00F04DCF"/>
    <w:rsid w:val="00F04E30"/>
    <w:rsid w:val="00F04E6C"/>
    <w:rsid w:val="00F04F16"/>
    <w:rsid w:val="00F04FDD"/>
    <w:rsid w:val="00F051D6"/>
    <w:rsid w:val="00F05260"/>
    <w:rsid w:val="00F052F0"/>
    <w:rsid w:val="00F053E7"/>
    <w:rsid w:val="00F053F1"/>
    <w:rsid w:val="00F05406"/>
    <w:rsid w:val="00F05414"/>
    <w:rsid w:val="00F055B0"/>
    <w:rsid w:val="00F05617"/>
    <w:rsid w:val="00F05646"/>
    <w:rsid w:val="00F057E5"/>
    <w:rsid w:val="00F05818"/>
    <w:rsid w:val="00F058D0"/>
    <w:rsid w:val="00F05B21"/>
    <w:rsid w:val="00F05BAD"/>
    <w:rsid w:val="00F05CC3"/>
    <w:rsid w:val="00F05E02"/>
    <w:rsid w:val="00F05FE0"/>
    <w:rsid w:val="00F06018"/>
    <w:rsid w:val="00F06099"/>
    <w:rsid w:val="00F0609D"/>
    <w:rsid w:val="00F06140"/>
    <w:rsid w:val="00F0614F"/>
    <w:rsid w:val="00F06293"/>
    <w:rsid w:val="00F06378"/>
    <w:rsid w:val="00F06392"/>
    <w:rsid w:val="00F0648E"/>
    <w:rsid w:val="00F0651C"/>
    <w:rsid w:val="00F06622"/>
    <w:rsid w:val="00F06623"/>
    <w:rsid w:val="00F06674"/>
    <w:rsid w:val="00F06685"/>
    <w:rsid w:val="00F066B3"/>
    <w:rsid w:val="00F066E8"/>
    <w:rsid w:val="00F06764"/>
    <w:rsid w:val="00F06794"/>
    <w:rsid w:val="00F0679C"/>
    <w:rsid w:val="00F067CD"/>
    <w:rsid w:val="00F067D2"/>
    <w:rsid w:val="00F06807"/>
    <w:rsid w:val="00F068A1"/>
    <w:rsid w:val="00F068DA"/>
    <w:rsid w:val="00F068F8"/>
    <w:rsid w:val="00F06985"/>
    <w:rsid w:val="00F069B8"/>
    <w:rsid w:val="00F06B1C"/>
    <w:rsid w:val="00F06B6C"/>
    <w:rsid w:val="00F06B7C"/>
    <w:rsid w:val="00F06C37"/>
    <w:rsid w:val="00F06D2F"/>
    <w:rsid w:val="00F06D5C"/>
    <w:rsid w:val="00F06DF8"/>
    <w:rsid w:val="00F06E06"/>
    <w:rsid w:val="00F06E6B"/>
    <w:rsid w:val="00F06EC9"/>
    <w:rsid w:val="00F06F48"/>
    <w:rsid w:val="00F06F5E"/>
    <w:rsid w:val="00F06F6F"/>
    <w:rsid w:val="00F06F83"/>
    <w:rsid w:val="00F07034"/>
    <w:rsid w:val="00F07037"/>
    <w:rsid w:val="00F07069"/>
    <w:rsid w:val="00F0708E"/>
    <w:rsid w:val="00F070E8"/>
    <w:rsid w:val="00F071AE"/>
    <w:rsid w:val="00F072FE"/>
    <w:rsid w:val="00F0734F"/>
    <w:rsid w:val="00F07351"/>
    <w:rsid w:val="00F07395"/>
    <w:rsid w:val="00F0759C"/>
    <w:rsid w:val="00F075A4"/>
    <w:rsid w:val="00F0765B"/>
    <w:rsid w:val="00F0765C"/>
    <w:rsid w:val="00F076DF"/>
    <w:rsid w:val="00F077F0"/>
    <w:rsid w:val="00F07823"/>
    <w:rsid w:val="00F078C6"/>
    <w:rsid w:val="00F07924"/>
    <w:rsid w:val="00F0793A"/>
    <w:rsid w:val="00F079DD"/>
    <w:rsid w:val="00F07A0C"/>
    <w:rsid w:val="00F07A8C"/>
    <w:rsid w:val="00F07ACC"/>
    <w:rsid w:val="00F07ADB"/>
    <w:rsid w:val="00F07B6C"/>
    <w:rsid w:val="00F07B7B"/>
    <w:rsid w:val="00F07B7E"/>
    <w:rsid w:val="00F07B85"/>
    <w:rsid w:val="00F07BAD"/>
    <w:rsid w:val="00F07BDB"/>
    <w:rsid w:val="00F07C09"/>
    <w:rsid w:val="00F07C5E"/>
    <w:rsid w:val="00F07C7C"/>
    <w:rsid w:val="00F07C85"/>
    <w:rsid w:val="00F07D31"/>
    <w:rsid w:val="00F07D48"/>
    <w:rsid w:val="00F07E37"/>
    <w:rsid w:val="00F07E8A"/>
    <w:rsid w:val="00F07F5D"/>
    <w:rsid w:val="00F07FB9"/>
    <w:rsid w:val="00F07FC1"/>
    <w:rsid w:val="00F10132"/>
    <w:rsid w:val="00F1033B"/>
    <w:rsid w:val="00F10361"/>
    <w:rsid w:val="00F103A4"/>
    <w:rsid w:val="00F103B0"/>
    <w:rsid w:val="00F1051E"/>
    <w:rsid w:val="00F105A5"/>
    <w:rsid w:val="00F10619"/>
    <w:rsid w:val="00F10671"/>
    <w:rsid w:val="00F106A3"/>
    <w:rsid w:val="00F10718"/>
    <w:rsid w:val="00F107BA"/>
    <w:rsid w:val="00F1083B"/>
    <w:rsid w:val="00F10931"/>
    <w:rsid w:val="00F1096D"/>
    <w:rsid w:val="00F10A60"/>
    <w:rsid w:val="00F10A65"/>
    <w:rsid w:val="00F10ABF"/>
    <w:rsid w:val="00F10B1F"/>
    <w:rsid w:val="00F10BAC"/>
    <w:rsid w:val="00F10C93"/>
    <w:rsid w:val="00F10C97"/>
    <w:rsid w:val="00F10CA2"/>
    <w:rsid w:val="00F10CC6"/>
    <w:rsid w:val="00F10D48"/>
    <w:rsid w:val="00F10DE9"/>
    <w:rsid w:val="00F10E8D"/>
    <w:rsid w:val="00F10F2E"/>
    <w:rsid w:val="00F10FE3"/>
    <w:rsid w:val="00F10FF6"/>
    <w:rsid w:val="00F11025"/>
    <w:rsid w:val="00F1112E"/>
    <w:rsid w:val="00F111C7"/>
    <w:rsid w:val="00F111CA"/>
    <w:rsid w:val="00F111ED"/>
    <w:rsid w:val="00F11284"/>
    <w:rsid w:val="00F113F2"/>
    <w:rsid w:val="00F1152C"/>
    <w:rsid w:val="00F1157E"/>
    <w:rsid w:val="00F1170D"/>
    <w:rsid w:val="00F1178E"/>
    <w:rsid w:val="00F117D4"/>
    <w:rsid w:val="00F118D0"/>
    <w:rsid w:val="00F11945"/>
    <w:rsid w:val="00F11A1A"/>
    <w:rsid w:val="00F11A83"/>
    <w:rsid w:val="00F11AE7"/>
    <w:rsid w:val="00F11B15"/>
    <w:rsid w:val="00F11B96"/>
    <w:rsid w:val="00F11BB0"/>
    <w:rsid w:val="00F11CBB"/>
    <w:rsid w:val="00F11D85"/>
    <w:rsid w:val="00F11DC0"/>
    <w:rsid w:val="00F12054"/>
    <w:rsid w:val="00F1214F"/>
    <w:rsid w:val="00F12220"/>
    <w:rsid w:val="00F122E2"/>
    <w:rsid w:val="00F123A5"/>
    <w:rsid w:val="00F123AC"/>
    <w:rsid w:val="00F1243B"/>
    <w:rsid w:val="00F1247B"/>
    <w:rsid w:val="00F12480"/>
    <w:rsid w:val="00F12518"/>
    <w:rsid w:val="00F12681"/>
    <w:rsid w:val="00F126AD"/>
    <w:rsid w:val="00F12763"/>
    <w:rsid w:val="00F127BA"/>
    <w:rsid w:val="00F12859"/>
    <w:rsid w:val="00F128FF"/>
    <w:rsid w:val="00F12964"/>
    <w:rsid w:val="00F129DA"/>
    <w:rsid w:val="00F12A2E"/>
    <w:rsid w:val="00F12AA5"/>
    <w:rsid w:val="00F12B09"/>
    <w:rsid w:val="00F12B83"/>
    <w:rsid w:val="00F12BDF"/>
    <w:rsid w:val="00F12C91"/>
    <w:rsid w:val="00F12CEE"/>
    <w:rsid w:val="00F12D03"/>
    <w:rsid w:val="00F12D3D"/>
    <w:rsid w:val="00F12D8A"/>
    <w:rsid w:val="00F12E5B"/>
    <w:rsid w:val="00F12E69"/>
    <w:rsid w:val="00F12EEB"/>
    <w:rsid w:val="00F13119"/>
    <w:rsid w:val="00F13195"/>
    <w:rsid w:val="00F131DA"/>
    <w:rsid w:val="00F131F8"/>
    <w:rsid w:val="00F132B4"/>
    <w:rsid w:val="00F1332D"/>
    <w:rsid w:val="00F133A5"/>
    <w:rsid w:val="00F13453"/>
    <w:rsid w:val="00F135B0"/>
    <w:rsid w:val="00F1366E"/>
    <w:rsid w:val="00F13709"/>
    <w:rsid w:val="00F13790"/>
    <w:rsid w:val="00F137AA"/>
    <w:rsid w:val="00F137B5"/>
    <w:rsid w:val="00F137FD"/>
    <w:rsid w:val="00F13828"/>
    <w:rsid w:val="00F1385C"/>
    <w:rsid w:val="00F1388D"/>
    <w:rsid w:val="00F13918"/>
    <w:rsid w:val="00F1398B"/>
    <w:rsid w:val="00F139C1"/>
    <w:rsid w:val="00F139EA"/>
    <w:rsid w:val="00F13A0C"/>
    <w:rsid w:val="00F13A91"/>
    <w:rsid w:val="00F13B41"/>
    <w:rsid w:val="00F13C44"/>
    <w:rsid w:val="00F13C5E"/>
    <w:rsid w:val="00F13C94"/>
    <w:rsid w:val="00F13D0D"/>
    <w:rsid w:val="00F13DB6"/>
    <w:rsid w:val="00F13E77"/>
    <w:rsid w:val="00F13EC3"/>
    <w:rsid w:val="00F13F0E"/>
    <w:rsid w:val="00F13F80"/>
    <w:rsid w:val="00F14068"/>
    <w:rsid w:val="00F140F1"/>
    <w:rsid w:val="00F140F7"/>
    <w:rsid w:val="00F14196"/>
    <w:rsid w:val="00F141A6"/>
    <w:rsid w:val="00F141C1"/>
    <w:rsid w:val="00F141D2"/>
    <w:rsid w:val="00F142EF"/>
    <w:rsid w:val="00F14378"/>
    <w:rsid w:val="00F1438A"/>
    <w:rsid w:val="00F1439D"/>
    <w:rsid w:val="00F143A1"/>
    <w:rsid w:val="00F143AC"/>
    <w:rsid w:val="00F143E0"/>
    <w:rsid w:val="00F14820"/>
    <w:rsid w:val="00F1483E"/>
    <w:rsid w:val="00F14889"/>
    <w:rsid w:val="00F148F0"/>
    <w:rsid w:val="00F1495D"/>
    <w:rsid w:val="00F1499A"/>
    <w:rsid w:val="00F149D7"/>
    <w:rsid w:val="00F14A80"/>
    <w:rsid w:val="00F14A8D"/>
    <w:rsid w:val="00F14AB3"/>
    <w:rsid w:val="00F14B83"/>
    <w:rsid w:val="00F14BE8"/>
    <w:rsid w:val="00F14BEF"/>
    <w:rsid w:val="00F14C53"/>
    <w:rsid w:val="00F14CCA"/>
    <w:rsid w:val="00F14CE7"/>
    <w:rsid w:val="00F14D62"/>
    <w:rsid w:val="00F14DE8"/>
    <w:rsid w:val="00F14E6F"/>
    <w:rsid w:val="00F14F7F"/>
    <w:rsid w:val="00F14F80"/>
    <w:rsid w:val="00F14FF9"/>
    <w:rsid w:val="00F151B5"/>
    <w:rsid w:val="00F1524E"/>
    <w:rsid w:val="00F15327"/>
    <w:rsid w:val="00F153D2"/>
    <w:rsid w:val="00F15476"/>
    <w:rsid w:val="00F154ED"/>
    <w:rsid w:val="00F1551E"/>
    <w:rsid w:val="00F155A9"/>
    <w:rsid w:val="00F15645"/>
    <w:rsid w:val="00F1569D"/>
    <w:rsid w:val="00F157A8"/>
    <w:rsid w:val="00F158F9"/>
    <w:rsid w:val="00F15980"/>
    <w:rsid w:val="00F1598C"/>
    <w:rsid w:val="00F159E3"/>
    <w:rsid w:val="00F15A23"/>
    <w:rsid w:val="00F15A68"/>
    <w:rsid w:val="00F15B26"/>
    <w:rsid w:val="00F15BAB"/>
    <w:rsid w:val="00F15C50"/>
    <w:rsid w:val="00F15C7F"/>
    <w:rsid w:val="00F15CD5"/>
    <w:rsid w:val="00F15E27"/>
    <w:rsid w:val="00F15E55"/>
    <w:rsid w:val="00F15F40"/>
    <w:rsid w:val="00F1610F"/>
    <w:rsid w:val="00F16230"/>
    <w:rsid w:val="00F16282"/>
    <w:rsid w:val="00F16324"/>
    <w:rsid w:val="00F16342"/>
    <w:rsid w:val="00F163E8"/>
    <w:rsid w:val="00F164D3"/>
    <w:rsid w:val="00F164F5"/>
    <w:rsid w:val="00F16624"/>
    <w:rsid w:val="00F1663E"/>
    <w:rsid w:val="00F166C6"/>
    <w:rsid w:val="00F16806"/>
    <w:rsid w:val="00F16827"/>
    <w:rsid w:val="00F16836"/>
    <w:rsid w:val="00F16864"/>
    <w:rsid w:val="00F16920"/>
    <w:rsid w:val="00F16B1D"/>
    <w:rsid w:val="00F16B34"/>
    <w:rsid w:val="00F16B58"/>
    <w:rsid w:val="00F16B65"/>
    <w:rsid w:val="00F16B6E"/>
    <w:rsid w:val="00F16B7A"/>
    <w:rsid w:val="00F16BB9"/>
    <w:rsid w:val="00F16CA4"/>
    <w:rsid w:val="00F16D20"/>
    <w:rsid w:val="00F16D48"/>
    <w:rsid w:val="00F16DB9"/>
    <w:rsid w:val="00F16DD2"/>
    <w:rsid w:val="00F16DD5"/>
    <w:rsid w:val="00F16E4A"/>
    <w:rsid w:val="00F16E79"/>
    <w:rsid w:val="00F16E87"/>
    <w:rsid w:val="00F16EB7"/>
    <w:rsid w:val="00F16EE8"/>
    <w:rsid w:val="00F16FD9"/>
    <w:rsid w:val="00F17132"/>
    <w:rsid w:val="00F17188"/>
    <w:rsid w:val="00F171C3"/>
    <w:rsid w:val="00F171FB"/>
    <w:rsid w:val="00F17269"/>
    <w:rsid w:val="00F17334"/>
    <w:rsid w:val="00F1755B"/>
    <w:rsid w:val="00F17596"/>
    <w:rsid w:val="00F175BF"/>
    <w:rsid w:val="00F17643"/>
    <w:rsid w:val="00F176AD"/>
    <w:rsid w:val="00F17844"/>
    <w:rsid w:val="00F17875"/>
    <w:rsid w:val="00F1788B"/>
    <w:rsid w:val="00F17893"/>
    <w:rsid w:val="00F17A6D"/>
    <w:rsid w:val="00F17AAF"/>
    <w:rsid w:val="00F17B3F"/>
    <w:rsid w:val="00F17B93"/>
    <w:rsid w:val="00F17B97"/>
    <w:rsid w:val="00F17BA3"/>
    <w:rsid w:val="00F17BCE"/>
    <w:rsid w:val="00F17C58"/>
    <w:rsid w:val="00F17CFB"/>
    <w:rsid w:val="00F17E8D"/>
    <w:rsid w:val="00F20050"/>
    <w:rsid w:val="00F200CC"/>
    <w:rsid w:val="00F201F7"/>
    <w:rsid w:val="00F20279"/>
    <w:rsid w:val="00F202CA"/>
    <w:rsid w:val="00F20360"/>
    <w:rsid w:val="00F20388"/>
    <w:rsid w:val="00F203B4"/>
    <w:rsid w:val="00F2041B"/>
    <w:rsid w:val="00F204CA"/>
    <w:rsid w:val="00F204F8"/>
    <w:rsid w:val="00F20517"/>
    <w:rsid w:val="00F2056C"/>
    <w:rsid w:val="00F205AD"/>
    <w:rsid w:val="00F20687"/>
    <w:rsid w:val="00F2069C"/>
    <w:rsid w:val="00F206C1"/>
    <w:rsid w:val="00F20815"/>
    <w:rsid w:val="00F2086F"/>
    <w:rsid w:val="00F208A7"/>
    <w:rsid w:val="00F209B4"/>
    <w:rsid w:val="00F20C9E"/>
    <w:rsid w:val="00F20CA3"/>
    <w:rsid w:val="00F20CED"/>
    <w:rsid w:val="00F20D32"/>
    <w:rsid w:val="00F20D6D"/>
    <w:rsid w:val="00F20DEB"/>
    <w:rsid w:val="00F20F03"/>
    <w:rsid w:val="00F20F37"/>
    <w:rsid w:val="00F20F44"/>
    <w:rsid w:val="00F21014"/>
    <w:rsid w:val="00F2107A"/>
    <w:rsid w:val="00F210A8"/>
    <w:rsid w:val="00F210D3"/>
    <w:rsid w:val="00F2110E"/>
    <w:rsid w:val="00F2112B"/>
    <w:rsid w:val="00F2112F"/>
    <w:rsid w:val="00F211B7"/>
    <w:rsid w:val="00F21212"/>
    <w:rsid w:val="00F213EF"/>
    <w:rsid w:val="00F21423"/>
    <w:rsid w:val="00F214D2"/>
    <w:rsid w:val="00F214DE"/>
    <w:rsid w:val="00F21512"/>
    <w:rsid w:val="00F21544"/>
    <w:rsid w:val="00F215AA"/>
    <w:rsid w:val="00F215F1"/>
    <w:rsid w:val="00F2162D"/>
    <w:rsid w:val="00F21635"/>
    <w:rsid w:val="00F216B9"/>
    <w:rsid w:val="00F216C0"/>
    <w:rsid w:val="00F21704"/>
    <w:rsid w:val="00F21748"/>
    <w:rsid w:val="00F217DD"/>
    <w:rsid w:val="00F217FD"/>
    <w:rsid w:val="00F218D6"/>
    <w:rsid w:val="00F21A09"/>
    <w:rsid w:val="00F21C39"/>
    <w:rsid w:val="00F21CC0"/>
    <w:rsid w:val="00F21D57"/>
    <w:rsid w:val="00F21DC1"/>
    <w:rsid w:val="00F21E59"/>
    <w:rsid w:val="00F21EA8"/>
    <w:rsid w:val="00F22197"/>
    <w:rsid w:val="00F221BD"/>
    <w:rsid w:val="00F22269"/>
    <w:rsid w:val="00F22289"/>
    <w:rsid w:val="00F22365"/>
    <w:rsid w:val="00F2236E"/>
    <w:rsid w:val="00F22404"/>
    <w:rsid w:val="00F2245B"/>
    <w:rsid w:val="00F2249F"/>
    <w:rsid w:val="00F224E4"/>
    <w:rsid w:val="00F2263A"/>
    <w:rsid w:val="00F226C4"/>
    <w:rsid w:val="00F226CA"/>
    <w:rsid w:val="00F2286E"/>
    <w:rsid w:val="00F22885"/>
    <w:rsid w:val="00F229BB"/>
    <w:rsid w:val="00F22A2A"/>
    <w:rsid w:val="00F22A3D"/>
    <w:rsid w:val="00F22A87"/>
    <w:rsid w:val="00F22A8D"/>
    <w:rsid w:val="00F22C94"/>
    <w:rsid w:val="00F22CC4"/>
    <w:rsid w:val="00F22CCF"/>
    <w:rsid w:val="00F22CE0"/>
    <w:rsid w:val="00F22D45"/>
    <w:rsid w:val="00F22E9D"/>
    <w:rsid w:val="00F22F18"/>
    <w:rsid w:val="00F22FEF"/>
    <w:rsid w:val="00F23057"/>
    <w:rsid w:val="00F2318E"/>
    <w:rsid w:val="00F231BD"/>
    <w:rsid w:val="00F2331B"/>
    <w:rsid w:val="00F23355"/>
    <w:rsid w:val="00F23423"/>
    <w:rsid w:val="00F235D7"/>
    <w:rsid w:val="00F23671"/>
    <w:rsid w:val="00F2367F"/>
    <w:rsid w:val="00F236DB"/>
    <w:rsid w:val="00F23770"/>
    <w:rsid w:val="00F237A9"/>
    <w:rsid w:val="00F2386D"/>
    <w:rsid w:val="00F239E6"/>
    <w:rsid w:val="00F23A08"/>
    <w:rsid w:val="00F23A18"/>
    <w:rsid w:val="00F23ACF"/>
    <w:rsid w:val="00F23BB0"/>
    <w:rsid w:val="00F23BB1"/>
    <w:rsid w:val="00F23BE1"/>
    <w:rsid w:val="00F23C0C"/>
    <w:rsid w:val="00F23EB3"/>
    <w:rsid w:val="00F23FAC"/>
    <w:rsid w:val="00F23FC0"/>
    <w:rsid w:val="00F24048"/>
    <w:rsid w:val="00F2404A"/>
    <w:rsid w:val="00F2404C"/>
    <w:rsid w:val="00F240A9"/>
    <w:rsid w:val="00F2414B"/>
    <w:rsid w:val="00F24177"/>
    <w:rsid w:val="00F2417F"/>
    <w:rsid w:val="00F241C8"/>
    <w:rsid w:val="00F24401"/>
    <w:rsid w:val="00F244B9"/>
    <w:rsid w:val="00F244FF"/>
    <w:rsid w:val="00F24607"/>
    <w:rsid w:val="00F24619"/>
    <w:rsid w:val="00F24620"/>
    <w:rsid w:val="00F246A0"/>
    <w:rsid w:val="00F246AB"/>
    <w:rsid w:val="00F24746"/>
    <w:rsid w:val="00F2488C"/>
    <w:rsid w:val="00F24890"/>
    <w:rsid w:val="00F24A3E"/>
    <w:rsid w:val="00F24A44"/>
    <w:rsid w:val="00F24A8B"/>
    <w:rsid w:val="00F24A8D"/>
    <w:rsid w:val="00F24BC0"/>
    <w:rsid w:val="00F24C48"/>
    <w:rsid w:val="00F24D18"/>
    <w:rsid w:val="00F24D86"/>
    <w:rsid w:val="00F24F02"/>
    <w:rsid w:val="00F24F49"/>
    <w:rsid w:val="00F2510F"/>
    <w:rsid w:val="00F251AD"/>
    <w:rsid w:val="00F25229"/>
    <w:rsid w:val="00F25263"/>
    <w:rsid w:val="00F252FF"/>
    <w:rsid w:val="00F25383"/>
    <w:rsid w:val="00F2554A"/>
    <w:rsid w:val="00F255B2"/>
    <w:rsid w:val="00F255DF"/>
    <w:rsid w:val="00F2565C"/>
    <w:rsid w:val="00F2565E"/>
    <w:rsid w:val="00F2566D"/>
    <w:rsid w:val="00F256AE"/>
    <w:rsid w:val="00F25725"/>
    <w:rsid w:val="00F25735"/>
    <w:rsid w:val="00F257C8"/>
    <w:rsid w:val="00F258F7"/>
    <w:rsid w:val="00F2595D"/>
    <w:rsid w:val="00F25BA0"/>
    <w:rsid w:val="00F25C52"/>
    <w:rsid w:val="00F25DBD"/>
    <w:rsid w:val="00F25DD7"/>
    <w:rsid w:val="00F25FFE"/>
    <w:rsid w:val="00F2602C"/>
    <w:rsid w:val="00F26080"/>
    <w:rsid w:val="00F26081"/>
    <w:rsid w:val="00F26083"/>
    <w:rsid w:val="00F26095"/>
    <w:rsid w:val="00F260D4"/>
    <w:rsid w:val="00F26106"/>
    <w:rsid w:val="00F26149"/>
    <w:rsid w:val="00F2617C"/>
    <w:rsid w:val="00F261A5"/>
    <w:rsid w:val="00F262D0"/>
    <w:rsid w:val="00F262FC"/>
    <w:rsid w:val="00F2639F"/>
    <w:rsid w:val="00F263BE"/>
    <w:rsid w:val="00F263D0"/>
    <w:rsid w:val="00F26464"/>
    <w:rsid w:val="00F26493"/>
    <w:rsid w:val="00F2661C"/>
    <w:rsid w:val="00F26867"/>
    <w:rsid w:val="00F2688A"/>
    <w:rsid w:val="00F2688C"/>
    <w:rsid w:val="00F268C7"/>
    <w:rsid w:val="00F26937"/>
    <w:rsid w:val="00F26983"/>
    <w:rsid w:val="00F26998"/>
    <w:rsid w:val="00F26A01"/>
    <w:rsid w:val="00F26A32"/>
    <w:rsid w:val="00F26A9D"/>
    <w:rsid w:val="00F26AAA"/>
    <w:rsid w:val="00F26C02"/>
    <w:rsid w:val="00F26C40"/>
    <w:rsid w:val="00F26C9B"/>
    <w:rsid w:val="00F26CEC"/>
    <w:rsid w:val="00F26CFA"/>
    <w:rsid w:val="00F26DA0"/>
    <w:rsid w:val="00F26E12"/>
    <w:rsid w:val="00F26E1E"/>
    <w:rsid w:val="00F26E70"/>
    <w:rsid w:val="00F26E7F"/>
    <w:rsid w:val="00F26E9F"/>
    <w:rsid w:val="00F2705E"/>
    <w:rsid w:val="00F2712B"/>
    <w:rsid w:val="00F2712F"/>
    <w:rsid w:val="00F272A3"/>
    <w:rsid w:val="00F274C4"/>
    <w:rsid w:val="00F27523"/>
    <w:rsid w:val="00F27555"/>
    <w:rsid w:val="00F27591"/>
    <w:rsid w:val="00F275DC"/>
    <w:rsid w:val="00F27600"/>
    <w:rsid w:val="00F27609"/>
    <w:rsid w:val="00F2762C"/>
    <w:rsid w:val="00F277E1"/>
    <w:rsid w:val="00F2788F"/>
    <w:rsid w:val="00F278A3"/>
    <w:rsid w:val="00F27901"/>
    <w:rsid w:val="00F27945"/>
    <w:rsid w:val="00F27991"/>
    <w:rsid w:val="00F27A45"/>
    <w:rsid w:val="00F27B19"/>
    <w:rsid w:val="00F27BA4"/>
    <w:rsid w:val="00F27CA6"/>
    <w:rsid w:val="00F27E62"/>
    <w:rsid w:val="00F27E65"/>
    <w:rsid w:val="00F27E85"/>
    <w:rsid w:val="00F27EC8"/>
    <w:rsid w:val="00F27EF3"/>
    <w:rsid w:val="00F27F47"/>
    <w:rsid w:val="00F27F7A"/>
    <w:rsid w:val="00F27FDA"/>
    <w:rsid w:val="00F30019"/>
    <w:rsid w:val="00F300F9"/>
    <w:rsid w:val="00F3013E"/>
    <w:rsid w:val="00F3014D"/>
    <w:rsid w:val="00F30162"/>
    <w:rsid w:val="00F301AB"/>
    <w:rsid w:val="00F301C4"/>
    <w:rsid w:val="00F3024C"/>
    <w:rsid w:val="00F30279"/>
    <w:rsid w:val="00F302F2"/>
    <w:rsid w:val="00F303A9"/>
    <w:rsid w:val="00F304BF"/>
    <w:rsid w:val="00F30554"/>
    <w:rsid w:val="00F3062F"/>
    <w:rsid w:val="00F30727"/>
    <w:rsid w:val="00F30742"/>
    <w:rsid w:val="00F3075A"/>
    <w:rsid w:val="00F3078B"/>
    <w:rsid w:val="00F308E4"/>
    <w:rsid w:val="00F30923"/>
    <w:rsid w:val="00F30964"/>
    <w:rsid w:val="00F30B10"/>
    <w:rsid w:val="00F30B29"/>
    <w:rsid w:val="00F30B3A"/>
    <w:rsid w:val="00F30B60"/>
    <w:rsid w:val="00F30C27"/>
    <w:rsid w:val="00F30D61"/>
    <w:rsid w:val="00F30DB2"/>
    <w:rsid w:val="00F30E10"/>
    <w:rsid w:val="00F30E1A"/>
    <w:rsid w:val="00F30E46"/>
    <w:rsid w:val="00F30E99"/>
    <w:rsid w:val="00F30F24"/>
    <w:rsid w:val="00F30F3E"/>
    <w:rsid w:val="00F30F54"/>
    <w:rsid w:val="00F30F79"/>
    <w:rsid w:val="00F30F92"/>
    <w:rsid w:val="00F31051"/>
    <w:rsid w:val="00F31057"/>
    <w:rsid w:val="00F31089"/>
    <w:rsid w:val="00F310DF"/>
    <w:rsid w:val="00F31189"/>
    <w:rsid w:val="00F311DD"/>
    <w:rsid w:val="00F311F2"/>
    <w:rsid w:val="00F3139E"/>
    <w:rsid w:val="00F313EB"/>
    <w:rsid w:val="00F31407"/>
    <w:rsid w:val="00F314F1"/>
    <w:rsid w:val="00F3158A"/>
    <w:rsid w:val="00F3158B"/>
    <w:rsid w:val="00F31593"/>
    <w:rsid w:val="00F315A6"/>
    <w:rsid w:val="00F31670"/>
    <w:rsid w:val="00F3172C"/>
    <w:rsid w:val="00F317A0"/>
    <w:rsid w:val="00F318B0"/>
    <w:rsid w:val="00F318B8"/>
    <w:rsid w:val="00F31A02"/>
    <w:rsid w:val="00F31AAF"/>
    <w:rsid w:val="00F31AF6"/>
    <w:rsid w:val="00F31AFC"/>
    <w:rsid w:val="00F31C67"/>
    <w:rsid w:val="00F31CA9"/>
    <w:rsid w:val="00F31CF8"/>
    <w:rsid w:val="00F31D34"/>
    <w:rsid w:val="00F31D49"/>
    <w:rsid w:val="00F31E68"/>
    <w:rsid w:val="00F31F44"/>
    <w:rsid w:val="00F31FD5"/>
    <w:rsid w:val="00F31FFD"/>
    <w:rsid w:val="00F320BF"/>
    <w:rsid w:val="00F320CD"/>
    <w:rsid w:val="00F321CB"/>
    <w:rsid w:val="00F321F2"/>
    <w:rsid w:val="00F32230"/>
    <w:rsid w:val="00F32327"/>
    <w:rsid w:val="00F3238F"/>
    <w:rsid w:val="00F323CB"/>
    <w:rsid w:val="00F324B4"/>
    <w:rsid w:val="00F324F9"/>
    <w:rsid w:val="00F325D9"/>
    <w:rsid w:val="00F325DC"/>
    <w:rsid w:val="00F326DC"/>
    <w:rsid w:val="00F3271F"/>
    <w:rsid w:val="00F3275C"/>
    <w:rsid w:val="00F3275D"/>
    <w:rsid w:val="00F3282C"/>
    <w:rsid w:val="00F32999"/>
    <w:rsid w:val="00F32A1F"/>
    <w:rsid w:val="00F32A44"/>
    <w:rsid w:val="00F32A53"/>
    <w:rsid w:val="00F32B3C"/>
    <w:rsid w:val="00F32C30"/>
    <w:rsid w:val="00F32C78"/>
    <w:rsid w:val="00F32CE7"/>
    <w:rsid w:val="00F32E98"/>
    <w:rsid w:val="00F32F12"/>
    <w:rsid w:val="00F32F35"/>
    <w:rsid w:val="00F32F63"/>
    <w:rsid w:val="00F33072"/>
    <w:rsid w:val="00F3307E"/>
    <w:rsid w:val="00F331CC"/>
    <w:rsid w:val="00F331E6"/>
    <w:rsid w:val="00F33350"/>
    <w:rsid w:val="00F333C6"/>
    <w:rsid w:val="00F333D1"/>
    <w:rsid w:val="00F3347A"/>
    <w:rsid w:val="00F33553"/>
    <w:rsid w:val="00F33592"/>
    <w:rsid w:val="00F337AF"/>
    <w:rsid w:val="00F337CD"/>
    <w:rsid w:val="00F3390D"/>
    <w:rsid w:val="00F33925"/>
    <w:rsid w:val="00F33939"/>
    <w:rsid w:val="00F33998"/>
    <w:rsid w:val="00F339D9"/>
    <w:rsid w:val="00F339F4"/>
    <w:rsid w:val="00F33A21"/>
    <w:rsid w:val="00F33BF8"/>
    <w:rsid w:val="00F33BFF"/>
    <w:rsid w:val="00F33C1B"/>
    <w:rsid w:val="00F33C5C"/>
    <w:rsid w:val="00F33C74"/>
    <w:rsid w:val="00F33CD0"/>
    <w:rsid w:val="00F33CF6"/>
    <w:rsid w:val="00F33D19"/>
    <w:rsid w:val="00F33DF5"/>
    <w:rsid w:val="00F33EA0"/>
    <w:rsid w:val="00F33EE8"/>
    <w:rsid w:val="00F3406B"/>
    <w:rsid w:val="00F340B1"/>
    <w:rsid w:val="00F341D8"/>
    <w:rsid w:val="00F34204"/>
    <w:rsid w:val="00F34336"/>
    <w:rsid w:val="00F3434C"/>
    <w:rsid w:val="00F34372"/>
    <w:rsid w:val="00F343D1"/>
    <w:rsid w:val="00F3441D"/>
    <w:rsid w:val="00F344AB"/>
    <w:rsid w:val="00F344E8"/>
    <w:rsid w:val="00F34525"/>
    <w:rsid w:val="00F345FB"/>
    <w:rsid w:val="00F3461E"/>
    <w:rsid w:val="00F3464D"/>
    <w:rsid w:val="00F34675"/>
    <w:rsid w:val="00F346A5"/>
    <w:rsid w:val="00F3475B"/>
    <w:rsid w:val="00F347C8"/>
    <w:rsid w:val="00F34803"/>
    <w:rsid w:val="00F34856"/>
    <w:rsid w:val="00F34A01"/>
    <w:rsid w:val="00F34A42"/>
    <w:rsid w:val="00F34A47"/>
    <w:rsid w:val="00F34AE2"/>
    <w:rsid w:val="00F34B02"/>
    <w:rsid w:val="00F34B18"/>
    <w:rsid w:val="00F34CA8"/>
    <w:rsid w:val="00F34CD3"/>
    <w:rsid w:val="00F34D63"/>
    <w:rsid w:val="00F34D67"/>
    <w:rsid w:val="00F34EAF"/>
    <w:rsid w:val="00F34EFE"/>
    <w:rsid w:val="00F34F72"/>
    <w:rsid w:val="00F34FD3"/>
    <w:rsid w:val="00F35046"/>
    <w:rsid w:val="00F350A3"/>
    <w:rsid w:val="00F350B2"/>
    <w:rsid w:val="00F3514F"/>
    <w:rsid w:val="00F3516E"/>
    <w:rsid w:val="00F353E0"/>
    <w:rsid w:val="00F354C5"/>
    <w:rsid w:val="00F354EF"/>
    <w:rsid w:val="00F354FC"/>
    <w:rsid w:val="00F35689"/>
    <w:rsid w:val="00F356A8"/>
    <w:rsid w:val="00F35772"/>
    <w:rsid w:val="00F357EE"/>
    <w:rsid w:val="00F35841"/>
    <w:rsid w:val="00F3586A"/>
    <w:rsid w:val="00F35870"/>
    <w:rsid w:val="00F3593D"/>
    <w:rsid w:val="00F35944"/>
    <w:rsid w:val="00F3596B"/>
    <w:rsid w:val="00F359F7"/>
    <w:rsid w:val="00F35A3C"/>
    <w:rsid w:val="00F35ABA"/>
    <w:rsid w:val="00F35AF7"/>
    <w:rsid w:val="00F35B27"/>
    <w:rsid w:val="00F35D0A"/>
    <w:rsid w:val="00F35D61"/>
    <w:rsid w:val="00F35D62"/>
    <w:rsid w:val="00F35DAD"/>
    <w:rsid w:val="00F35E1B"/>
    <w:rsid w:val="00F35F63"/>
    <w:rsid w:val="00F35FB6"/>
    <w:rsid w:val="00F35FB8"/>
    <w:rsid w:val="00F36141"/>
    <w:rsid w:val="00F361B7"/>
    <w:rsid w:val="00F36206"/>
    <w:rsid w:val="00F36211"/>
    <w:rsid w:val="00F36267"/>
    <w:rsid w:val="00F36308"/>
    <w:rsid w:val="00F363EC"/>
    <w:rsid w:val="00F363F1"/>
    <w:rsid w:val="00F364C9"/>
    <w:rsid w:val="00F3662E"/>
    <w:rsid w:val="00F36639"/>
    <w:rsid w:val="00F3663B"/>
    <w:rsid w:val="00F36640"/>
    <w:rsid w:val="00F36647"/>
    <w:rsid w:val="00F36697"/>
    <w:rsid w:val="00F366C4"/>
    <w:rsid w:val="00F368C1"/>
    <w:rsid w:val="00F368D0"/>
    <w:rsid w:val="00F3693A"/>
    <w:rsid w:val="00F36977"/>
    <w:rsid w:val="00F36A64"/>
    <w:rsid w:val="00F36AFE"/>
    <w:rsid w:val="00F36B21"/>
    <w:rsid w:val="00F36B5D"/>
    <w:rsid w:val="00F36C9D"/>
    <w:rsid w:val="00F36D74"/>
    <w:rsid w:val="00F36F99"/>
    <w:rsid w:val="00F36FFC"/>
    <w:rsid w:val="00F3711C"/>
    <w:rsid w:val="00F37186"/>
    <w:rsid w:val="00F37494"/>
    <w:rsid w:val="00F374CA"/>
    <w:rsid w:val="00F374E0"/>
    <w:rsid w:val="00F374EA"/>
    <w:rsid w:val="00F37529"/>
    <w:rsid w:val="00F37634"/>
    <w:rsid w:val="00F37688"/>
    <w:rsid w:val="00F37699"/>
    <w:rsid w:val="00F376A8"/>
    <w:rsid w:val="00F376B9"/>
    <w:rsid w:val="00F376C3"/>
    <w:rsid w:val="00F376F1"/>
    <w:rsid w:val="00F37809"/>
    <w:rsid w:val="00F37845"/>
    <w:rsid w:val="00F37894"/>
    <w:rsid w:val="00F378EA"/>
    <w:rsid w:val="00F37946"/>
    <w:rsid w:val="00F379B3"/>
    <w:rsid w:val="00F379E2"/>
    <w:rsid w:val="00F379EA"/>
    <w:rsid w:val="00F37A15"/>
    <w:rsid w:val="00F37A5D"/>
    <w:rsid w:val="00F37B25"/>
    <w:rsid w:val="00F37BDE"/>
    <w:rsid w:val="00F37BE4"/>
    <w:rsid w:val="00F37C46"/>
    <w:rsid w:val="00F37C5D"/>
    <w:rsid w:val="00F37E22"/>
    <w:rsid w:val="00F37E3E"/>
    <w:rsid w:val="00F37E77"/>
    <w:rsid w:val="00F37FE0"/>
    <w:rsid w:val="00F37FFA"/>
    <w:rsid w:val="00F40006"/>
    <w:rsid w:val="00F4009F"/>
    <w:rsid w:val="00F40171"/>
    <w:rsid w:val="00F401DF"/>
    <w:rsid w:val="00F4022E"/>
    <w:rsid w:val="00F4024F"/>
    <w:rsid w:val="00F4037B"/>
    <w:rsid w:val="00F4037D"/>
    <w:rsid w:val="00F403B5"/>
    <w:rsid w:val="00F403CC"/>
    <w:rsid w:val="00F403E5"/>
    <w:rsid w:val="00F40445"/>
    <w:rsid w:val="00F4044E"/>
    <w:rsid w:val="00F4049B"/>
    <w:rsid w:val="00F404F6"/>
    <w:rsid w:val="00F40523"/>
    <w:rsid w:val="00F40525"/>
    <w:rsid w:val="00F405E3"/>
    <w:rsid w:val="00F40644"/>
    <w:rsid w:val="00F40661"/>
    <w:rsid w:val="00F406F8"/>
    <w:rsid w:val="00F40754"/>
    <w:rsid w:val="00F4075D"/>
    <w:rsid w:val="00F40887"/>
    <w:rsid w:val="00F40A31"/>
    <w:rsid w:val="00F40AC8"/>
    <w:rsid w:val="00F40B82"/>
    <w:rsid w:val="00F40BD2"/>
    <w:rsid w:val="00F40CDB"/>
    <w:rsid w:val="00F40D27"/>
    <w:rsid w:val="00F40D31"/>
    <w:rsid w:val="00F40F69"/>
    <w:rsid w:val="00F40FB5"/>
    <w:rsid w:val="00F40FD1"/>
    <w:rsid w:val="00F410B4"/>
    <w:rsid w:val="00F41147"/>
    <w:rsid w:val="00F4127C"/>
    <w:rsid w:val="00F413BA"/>
    <w:rsid w:val="00F4154C"/>
    <w:rsid w:val="00F41575"/>
    <w:rsid w:val="00F416BA"/>
    <w:rsid w:val="00F41703"/>
    <w:rsid w:val="00F41879"/>
    <w:rsid w:val="00F418BD"/>
    <w:rsid w:val="00F41923"/>
    <w:rsid w:val="00F4196D"/>
    <w:rsid w:val="00F41AD6"/>
    <w:rsid w:val="00F41B87"/>
    <w:rsid w:val="00F41C49"/>
    <w:rsid w:val="00F41C71"/>
    <w:rsid w:val="00F41C78"/>
    <w:rsid w:val="00F41DFB"/>
    <w:rsid w:val="00F41F7B"/>
    <w:rsid w:val="00F42010"/>
    <w:rsid w:val="00F4209E"/>
    <w:rsid w:val="00F420BD"/>
    <w:rsid w:val="00F421EE"/>
    <w:rsid w:val="00F423E1"/>
    <w:rsid w:val="00F42494"/>
    <w:rsid w:val="00F42497"/>
    <w:rsid w:val="00F424BF"/>
    <w:rsid w:val="00F424FB"/>
    <w:rsid w:val="00F4251A"/>
    <w:rsid w:val="00F42531"/>
    <w:rsid w:val="00F42565"/>
    <w:rsid w:val="00F425C1"/>
    <w:rsid w:val="00F425E8"/>
    <w:rsid w:val="00F4268A"/>
    <w:rsid w:val="00F426A0"/>
    <w:rsid w:val="00F426D3"/>
    <w:rsid w:val="00F427FC"/>
    <w:rsid w:val="00F42802"/>
    <w:rsid w:val="00F42863"/>
    <w:rsid w:val="00F428AD"/>
    <w:rsid w:val="00F429CB"/>
    <w:rsid w:val="00F42A23"/>
    <w:rsid w:val="00F42A8B"/>
    <w:rsid w:val="00F42B6D"/>
    <w:rsid w:val="00F42D0F"/>
    <w:rsid w:val="00F42DE7"/>
    <w:rsid w:val="00F42E29"/>
    <w:rsid w:val="00F42FE0"/>
    <w:rsid w:val="00F43084"/>
    <w:rsid w:val="00F430C0"/>
    <w:rsid w:val="00F43188"/>
    <w:rsid w:val="00F4318E"/>
    <w:rsid w:val="00F431DC"/>
    <w:rsid w:val="00F4327F"/>
    <w:rsid w:val="00F43488"/>
    <w:rsid w:val="00F4349F"/>
    <w:rsid w:val="00F435EB"/>
    <w:rsid w:val="00F4374F"/>
    <w:rsid w:val="00F43802"/>
    <w:rsid w:val="00F43850"/>
    <w:rsid w:val="00F43885"/>
    <w:rsid w:val="00F43949"/>
    <w:rsid w:val="00F43A46"/>
    <w:rsid w:val="00F43B89"/>
    <w:rsid w:val="00F43BB9"/>
    <w:rsid w:val="00F43D22"/>
    <w:rsid w:val="00F43D5A"/>
    <w:rsid w:val="00F43E70"/>
    <w:rsid w:val="00F43ED4"/>
    <w:rsid w:val="00F43FEC"/>
    <w:rsid w:val="00F4401F"/>
    <w:rsid w:val="00F4406F"/>
    <w:rsid w:val="00F4416A"/>
    <w:rsid w:val="00F44219"/>
    <w:rsid w:val="00F442BE"/>
    <w:rsid w:val="00F442D0"/>
    <w:rsid w:val="00F442D9"/>
    <w:rsid w:val="00F4431C"/>
    <w:rsid w:val="00F4443A"/>
    <w:rsid w:val="00F44519"/>
    <w:rsid w:val="00F44613"/>
    <w:rsid w:val="00F44749"/>
    <w:rsid w:val="00F44817"/>
    <w:rsid w:val="00F44959"/>
    <w:rsid w:val="00F449E6"/>
    <w:rsid w:val="00F449F6"/>
    <w:rsid w:val="00F44A37"/>
    <w:rsid w:val="00F44A77"/>
    <w:rsid w:val="00F44A94"/>
    <w:rsid w:val="00F44ABC"/>
    <w:rsid w:val="00F44BDE"/>
    <w:rsid w:val="00F44C2D"/>
    <w:rsid w:val="00F44C73"/>
    <w:rsid w:val="00F44C7A"/>
    <w:rsid w:val="00F44CC7"/>
    <w:rsid w:val="00F44D03"/>
    <w:rsid w:val="00F44DA0"/>
    <w:rsid w:val="00F44DC3"/>
    <w:rsid w:val="00F44E4A"/>
    <w:rsid w:val="00F44EAA"/>
    <w:rsid w:val="00F44F58"/>
    <w:rsid w:val="00F44F84"/>
    <w:rsid w:val="00F44F92"/>
    <w:rsid w:val="00F44FA6"/>
    <w:rsid w:val="00F44FDB"/>
    <w:rsid w:val="00F45052"/>
    <w:rsid w:val="00F4518F"/>
    <w:rsid w:val="00F45199"/>
    <w:rsid w:val="00F451D4"/>
    <w:rsid w:val="00F452F6"/>
    <w:rsid w:val="00F4538B"/>
    <w:rsid w:val="00F453CD"/>
    <w:rsid w:val="00F4544C"/>
    <w:rsid w:val="00F45515"/>
    <w:rsid w:val="00F45557"/>
    <w:rsid w:val="00F455D9"/>
    <w:rsid w:val="00F455EC"/>
    <w:rsid w:val="00F45619"/>
    <w:rsid w:val="00F4561D"/>
    <w:rsid w:val="00F458CD"/>
    <w:rsid w:val="00F458DF"/>
    <w:rsid w:val="00F45976"/>
    <w:rsid w:val="00F459C1"/>
    <w:rsid w:val="00F45A92"/>
    <w:rsid w:val="00F45B8F"/>
    <w:rsid w:val="00F45BC3"/>
    <w:rsid w:val="00F45C49"/>
    <w:rsid w:val="00F45C81"/>
    <w:rsid w:val="00F45D40"/>
    <w:rsid w:val="00F45E17"/>
    <w:rsid w:val="00F45E8E"/>
    <w:rsid w:val="00F45EF0"/>
    <w:rsid w:val="00F45F72"/>
    <w:rsid w:val="00F45FD7"/>
    <w:rsid w:val="00F46035"/>
    <w:rsid w:val="00F46182"/>
    <w:rsid w:val="00F462DC"/>
    <w:rsid w:val="00F463E7"/>
    <w:rsid w:val="00F4644B"/>
    <w:rsid w:val="00F46505"/>
    <w:rsid w:val="00F46511"/>
    <w:rsid w:val="00F46562"/>
    <w:rsid w:val="00F465E6"/>
    <w:rsid w:val="00F46600"/>
    <w:rsid w:val="00F4678D"/>
    <w:rsid w:val="00F467C9"/>
    <w:rsid w:val="00F467EE"/>
    <w:rsid w:val="00F4684F"/>
    <w:rsid w:val="00F46B1D"/>
    <w:rsid w:val="00F46B5D"/>
    <w:rsid w:val="00F46BA7"/>
    <w:rsid w:val="00F46C22"/>
    <w:rsid w:val="00F46C83"/>
    <w:rsid w:val="00F46D14"/>
    <w:rsid w:val="00F46D18"/>
    <w:rsid w:val="00F46DAA"/>
    <w:rsid w:val="00F46E0C"/>
    <w:rsid w:val="00F46E35"/>
    <w:rsid w:val="00F46EED"/>
    <w:rsid w:val="00F46F4D"/>
    <w:rsid w:val="00F4701E"/>
    <w:rsid w:val="00F47086"/>
    <w:rsid w:val="00F47152"/>
    <w:rsid w:val="00F4719B"/>
    <w:rsid w:val="00F47223"/>
    <w:rsid w:val="00F4724A"/>
    <w:rsid w:val="00F47253"/>
    <w:rsid w:val="00F4736C"/>
    <w:rsid w:val="00F47373"/>
    <w:rsid w:val="00F4738E"/>
    <w:rsid w:val="00F47413"/>
    <w:rsid w:val="00F4743E"/>
    <w:rsid w:val="00F47465"/>
    <w:rsid w:val="00F47549"/>
    <w:rsid w:val="00F475BB"/>
    <w:rsid w:val="00F475D0"/>
    <w:rsid w:val="00F475E8"/>
    <w:rsid w:val="00F4764C"/>
    <w:rsid w:val="00F47708"/>
    <w:rsid w:val="00F477EC"/>
    <w:rsid w:val="00F478A0"/>
    <w:rsid w:val="00F47916"/>
    <w:rsid w:val="00F4792D"/>
    <w:rsid w:val="00F479F5"/>
    <w:rsid w:val="00F47AAC"/>
    <w:rsid w:val="00F47B61"/>
    <w:rsid w:val="00F47D51"/>
    <w:rsid w:val="00F47D6F"/>
    <w:rsid w:val="00F47E8F"/>
    <w:rsid w:val="00F47EF8"/>
    <w:rsid w:val="00F47EFA"/>
    <w:rsid w:val="00F47FD8"/>
    <w:rsid w:val="00F500A5"/>
    <w:rsid w:val="00F500B1"/>
    <w:rsid w:val="00F501B3"/>
    <w:rsid w:val="00F502C2"/>
    <w:rsid w:val="00F50320"/>
    <w:rsid w:val="00F50407"/>
    <w:rsid w:val="00F50421"/>
    <w:rsid w:val="00F50438"/>
    <w:rsid w:val="00F5045A"/>
    <w:rsid w:val="00F5045C"/>
    <w:rsid w:val="00F5047C"/>
    <w:rsid w:val="00F504CA"/>
    <w:rsid w:val="00F504F5"/>
    <w:rsid w:val="00F50582"/>
    <w:rsid w:val="00F505B7"/>
    <w:rsid w:val="00F50644"/>
    <w:rsid w:val="00F50656"/>
    <w:rsid w:val="00F506B8"/>
    <w:rsid w:val="00F506FE"/>
    <w:rsid w:val="00F50704"/>
    <w:rsid w:val="00F50748"/>
    <w:rsid w:val="00F50774"/>
    <w:rsid w:val="00F507D4"/>
    <w:rsid w:val="00F50807"/>
    <w:rsid w:val="00F508A9"/>
    <w:rsid w:val="00F50A8E"/>
    <w:rsid w:val="00F50AE4"/>
    <w:rsid w:val="00F50B5D"/>
    <w:rsid w:val="00F50B6B"/>
    <w:rsid w:val="00F50D01"/>
    <w:rsid w:val="00F50D3A"/>
    <w:rsid w:val="00F50D73"/>
    <w:rsid w:val="00F50E4C"/>
    <w:rsid w:val="00F50F41"/>
    <w:rsid w:val="00F51078"/>
    <w:rsid w:val="00F51085"/>
    <w:rsid w:val="00F51129"/>
    <w:rsid w:val="00F51132"/>
    <w:rsid w:val="00F51178"/>
    <w:rsid w:val="00F511AC"/>
    <w:rsid w:val="00F5134A"/>
    <w:rsid w:val="00F513F0"/>
    <w:rsid w:val="00F513F7"/>
    <w:rsid w:val="00F514A2"/>
    <w:rsid w:val="00F514B4"/>
    <w:rsid w:val="00F514DB"/>
    <w:rsid w:val="00F514FF"/>
    <w:rsid w:val="00F51582"/>
    <w:rsid w:val="00F51648"/>
    <w:rsid w:val="00F516D1"/>
    <w:rsid w:val="00F517D1"/>
    <w:rsid w:val="00F5183C"/>
    <w:rsid w:val="00F51A1A"/>
    <w:rsid w:val="00F51BCC"/>
    <w:rsid w:val="00F51D0B"/>
    <w:rsid w:val="00F51D63"/>
    <w:rsid w:val="00F51D71"/>
    <w:rsid w:val="00F51EB8"/>
    <w:rsid w:val="00F51F6E"/>
    <w:rsid w:val="00F51FA0"/>
    <w:rsid w:val="00F520A3"/>
    <w:rsid w:val="00F52117"/>
    <w:rsid w:val="00F5216F"/>
    <w:rsid w:val="00F5219F"/>
    <w:rsid w:val="00F52291"/>
    <w:rsid w:val="00F522A1"/>
    <w:rsid w:val="00F522CC"/>
    <w:rsid w:val="00F5244F"/>
    <w:rsid w:val="00F52459"/>
    <w:rsid w:val="00F524A6"/>
    <w:rsid w:val="00F524FA"/>
    <w:rsid w:val="00F52545"/>
    <w:rsid w:val="00F525C1"/>
    <w:rsid w:val="00F525E9"/>
    <w:rsid w:val="00F525FD"/>
    <w:rsid w:val="00F52603"/>
    <w:rsid w:val="00F52667"/>
    <w:rsid w:val="00F526DF"/>
    <w:rsid w:val="00F526E2"/>
    <w:rsid w:val="00F5274B"/>
    <w:rsid w:val="00F527A2"/>
    <w:rsid w:val="00F527E6"/>
    <w:rsid w:val="00F527F4"/>
    <w:rsid w:val="00F52835"/>
    <w:rsid w:val="00F52839"/>
    <w:rsid w:val="00F5284C"/>
    <w:rsid w:val="00F5286C"/>
    <w:rsid w:val="00F5286F"/>
    <w:rsid w:val="00F52872"/>
    <w:rsid w:val="00F528E1"/>
    <w:rsid w:val="00F529EE"/>
    <w:rsid w:val="00F52A10"/>
    <w:rsid w:val="00F52A71"/>
    <w:rsid w:val="00F52B2D"/>
    <w:rsid w:val="00F52BD3"/>
    <w:rsid w:val="00F52C1C"/>
    <w:rsid w:val="00F52CA8"/>
    <w:rsid w:val="00F52D3F"/>
    <w:rsid w:val="00F52DDF"/>
    <w:rsid w:val="00F52DEF"/>
    <w:rsid w:val="00F52E2C"/>
    <w:rsid w:val="00F52E3C"/>
    <w:rsid w:val="00F52E47"/>
    <w:rsid w:val="00F52EAE"/>
    <w:rsid w:val="00F52EE6"/>
    <w:rsid w:val="00F52F97"/>
    <w:rsid w:val="00F52FD4"/>
    <w:rsid w:val="00F53102"/>
    <w:rsid w:val="00F531E9"/>
    <w:rsid w:val="00F53251"/>
    <w:rsid w:val="00F53264"/>
    <w:rsid w:val="00F532E9"/>
    <w:rsid w:val="00F53357"/>
    <w:rsid w:val="00F533A5"/>
    <w:rsid w:val="00F5343A"/>
    <w:rsid w:val="00F5352B"/>
    <w:rsid w:val="00F53621"/>
    <w:rsid w:val="00F53793"/>
    <w:rsid w:val="00F53864"/>
    <w:rsid w:val="00F5387F"/>
    <w:rsid w:val="00F538B7"/>
    <w:rsid w:val="00F53929"/>
    <w:rsid w:val="00F53975"/>
    <w:rsid w:val="00F539EF"/>
    <w:rsid w:val="00F53AF4"/>
    <w:rsid w:val="00F53B34"/>
    <w:rsid w:val="00F53B6F"/>
    <w:rsid w:val="00F53B74"/>
    <w:rsid w:val="00F53C41"/>
    <w:rsid w:val="00F53E64"/>
    <w:rsid w:val="00F53F7B"/>
    <w:rsid w:val="00F5404E"/>
    <w:rsid w:val="00F540DD"/>
    <w:rsid w:val="00F54123"/>
    <w:rsid w:val="00F54191"/>
    <w:rsid w:val="00F54294"/>
    <w:rsid w:val="00F54314"/>
    <w:rsid w:val="00F543F2"/>
    <w:rsid w:val="00F54523"/>
    <w:rsid w:val="00F54552"/>
    <w:rsid w:val="00F54554"/>
    <w:rsid w:val="00F545EF"/>
    <w:rsid w:val="00F546D7"/>
    <w:rsid w:val="00F54848"/>
    <w:rsid w:val="00F54862"/>
    <w:rsid w:val="00F548D5"/>
    <w:rsid w:val="00F548FB"/>
    <w:rsid w:val="00F54927"/>
    <w:rsid w:val="00F5495B"/>
    <w:rsid w:val="00F54998"/>
    <w:rsid w:val="00F549BA"/>
    <w:rsid w:val="00F549EE"/>
    <w:rsid w:val="00F54B0E"/>
    <w:rsid w:val="00F54B11"/>
    <w:rsid w:val="00F54CBD"/>
    <w:rsid w:val="00F54CBE"/>
    <w:rsid w:val="00F54CD6"/>
    <w:rsid w:val="00F54CDF"/>
    <w:rsid w:val="00F54D13"/>
    <w:rsid w:val="00F54E91"/>
    <w:rsid w:val="00F54EC8"/>
    <w:rsid w:val="00F54F2C"/>
    <w:rsid w:val="00F54F46"/>
    <w:rsid w:val="00F54F5D"/>
    <w:rsid w:val="00F55179"/>
    <w:rsid w:val="00F551BE"/>
    <w:rsid w:val="00F5526D"/>
    <w:rsid w:val="00F55414"/>
    <w:rsid w:val="00F55425"/>
    <w:rsid w:val="00F554DE"/>
    <w:rsid w:val="00F554F4"/>
    <w:rsid w:val="00F55511"/>
    <w:rsid w:val="00F55586"/>
    <w:rsid w:val="00F555A6"/>
    <w:rsid w:val="00F55601"/>
    <w:rsid w:val="00F55655"/>
    <w:rsid w:val="00F5578E"/>
    <w:rsid w:val="00F5579F"/>
    <w:rsid w:val="00F557C7"/>
    <w:rsid w:val="00F55809"/>
    <w:rsid w:val="00F55861"/>
    <w:rsid w:val="00F55873"/>
    <w:rsid w:val="00F558EA"/>
    <w:rsid w:val="00F559C2"/>
    <w:rsid w:val="00F559E1"/>
    <w:rsid w:val="00F55A85"/>
    <w:rsid w:val="00F55AD1"/>
    <w:rsid w:val="00F55AE5"/>
    <w:rsid w:val="00F55B06"/>
    <w:rsid w:val="00F55B76"/>
    <w:rsid w:val="00F55BB0"/>
    <w:rsid w:val="00F55C34"/>
    <w:rsid w:val="00F55C42"/>
    <w:rsid w:val="00F55DC5"/>
    <w:rsid w:val="00F55DED"/>
    <w:rsid w:val="00F55EBB"/>
    <w:rsid w:val="00F55F3D"/>
    <w:rsid w:val="00F55F9D"/>
    <w:rsid w:val="00F55FB9"/>
    <w:rsid w:val="00F55FC0"/>
    <w:rsid w:val="00F55FE5"/>
    <w:rsid w:val="00F560EB"/>
    <w:rsid w:val="00F560EF"/>
    <w:rsid w:val="00F560F2"/>
    <w:rsid w:val="00F56138"/>
    <w:rsid w:val="00F5613D"/>
    <w:rsid w:val="00F56142"/>
    <w:rsid w:val="00F561E5"/>
    <w:rsid w:val="00F56227"/>
    <w:rsid w:val="00F5625D"/>
    <w:rsid w:val="00F5629D"/>
    <w:rsid w:val="00F562BD"/>
    <w:rsid w:val="00F562F5"/>
    <w:rsid w:val="00F56395"/>
    <w:rsid w:val="00F56398"/>
    <w:rsid w:val="00F563F4"/>
    <w:rsid w:val="00F56437"/>
    <w:rsid w:val="00F5645F"/>
    <w:rsid w:val="00F56483"/>
    <w:rsid w:val="00F56499"/>
    <w:rsid w:val="00F564F6"/>
    <w:rsid w:val="00F56519"/>
    <w:rsid w:val="00F565D4"/>
    <w:rsid w:val="00F565DA"/>
    <w:rsid w:val="00F56615"/>
    <w:rsid w:val="00F567E2"/>
    <w:rsid w:val="00F56907"/>
    <w:rsid w:val="00F5697D"/>
    <w:rsid w:val="00F569E5"/>
    <w:rsid w:val="00F56A3E"/>
    <w:rsid w:val="00F56A3F"/>
    <w:rsid w:val="00F56AF8"/>
    <w:rsid w:val="00F56BD2"/>
    <w:rsid w:val="00F56D54"/>
    <w:rsid w:val="00F56DDF"/>
    <w:rsid w:val="00F56E1A"/>
    <w:rsid w:val="00F56E2D"/>
    <w:rsid w:val="00F56F05"/>
    <w:rsid w:val="00F56F56"/>
    <w:rsid w:val="00F57024"/>
    <w:rsid w:val="00F5702D"/>
    <w:rsid w:val="00F570BF"/>
    <w:rsid w:val="00F5716E"/>
    <w:rsid w:val="00F57187"/>
    <w:rsid w:val="00F5722C"/>
    <w:rsid w:val="00F5727A"/>
    <w:rsid w:val="00F572B5"/>
    <w:rsid w:val="00F572D8"/>
    <w:rsid w:val="00F57307"/>
    <w:rsid w:val="00F5739C"/>
    <w:rsid w:val="00F573CE"/>
    <w:rsid w:val="00F573F9"/>
    <w:rsid w:val="00F573FF"/>
    <w:rsid w:val="00F57413"/>
    <w:rsid w:val="00F5754D"/>
    <w:rsid w:val="00F57565"/>
    <w:rsid w:val="00F575F1"/>
    <w:rsid w:val="00F5762A"/>
    <w:rsid w:val="00F57697"/>
    <w:rsid w:val="00F577B1"/>
    <w:rsid w:val="00F57887"/>
    <w:rsid w:val="00F578E7"/>
    <w:rsid w:val="00F57A2E"/>
    <w:rsid w:val="00F57A6A"/>
    <w:rsid w:val="00F57B3C"/>
    <w:rsid w:val="00F57D29"/>
    <w:rsid w:val="00F57D95"/>
    <w:rsid w:val="00F57DE7"/>
    <w:rsid w:val="00F60032"/>
    <w:rsid w:val="00F60041"/>
    <w:rsid w:val="00F600A6"/>
    <w:rsid w:val="00F600DF"/>
    <w:rsid w:val="00F60135"/>
    <w:rsid w:val="00F60137"/>
    <w:rsid w:val="00F60170"/>
    <w:rsid w:val="00F6034E"/>
    <w:rsid w:val="00F60355"/>
    <w:rsid w:val="00F6037E"/>
    <w:rsid w:val="00F60386"/>
    <w:rsid w:val="00F6040E"/>
    <w:rsid w:val="00F604F3"/>
    <w:rsid w:val="00F60519"/>
    <w:rsid w:val="00F6056A"/>
    <w:rsid w:val="00F60620"/>
    <w:rsid w:val="00F6062D"/>
    <w:rsid w:val="00F60691"/>
    <w:rsid w:val="00F606CA"/>
    <w:rsid w:val="00F6070B"/>
    <w:rsid w:val="00F6072A"/>
    <w:rsid w:val="00F60769"/>
    <w:rsid w:val="00F607A7"/>
    <w:rsid w:val="00F607EE"/>
    <w:rsid w:val="00F6081F"/>
    <w:rsid w:val="00F608A8"/>
    <w:rsid w:val="00F60900"/>
    <w:rsid w:val="00F609A5"/>
    <w:rsid w:val="00F60A01"/>
    <w:rsid w:val="00F60A05"/>
    <w:rsid w:val="00F60A6A"/>
    <w:rsid w:val="00F60A9C"/>
    <w:rsid w:val="00F60BB6"/>
    <w:rsid w:val="00F60C21"/>
    <w:rsid w:val="00F60C7A"/>
    <w:rsid w:val="00F60D3C"/>
    <w:rsid w:val="00F60D6A"/>
    <w:rsid w:val="00F60D8C"/>
    <w:rsid w:val="00F60DE2"/>
    <w:rsid w:val="00F60E29"/>
    <w:rsid w:val="00F60EAB"/>
    <w:rsid w:val="00F60EE9"/>
    <w:rsid w:val="00F60EF6"/>
    <w:rsid w:val="00F60F71"/>
    <w:rsid w:val="00F60F72"/>
    <w:rsid w:val="00F60FBE"/>
    <w:rsid w:val="00F60FF8"/>
    <w:rsid w:val="00F61029"/>
    <w:rsid w:val="00F610BA"/>
    <w:rsid w:val="00F610F3"/>
    <w:rsid w:val="00F61174"/>
    <w:rsid w:val="00F61189"/>
    <w:rsid w:val="00F61225"/>
    <w:rsid w:val="00F61243"/>
    <w:rsid w:val="00F6126E"/>
    <w:rsid w:val="00F61271"/>
    <w:rsid w:val="00F61364"/>
    <w:rsid w:val="00F613E1"/>
    <w:rsid w:val="00F61487"/>
    <w:rsid w:val="00F614C4"/>
    <w:rsid w:val="00F61616"/>
    <w:rsid w:val="00F61658"/>
    <w:rsid w:val="00F616DD"/>
    <w:rsid w:val="00F617E2"/>
    <w:rsid w:val="00F61877"/>
    <w:rsid w:val="00F618CC"/>
    <w:rsid w:val="00F61970"/>
    <w:rsid w:val="00F61A96"/>
    <w:rsid w:val="00F61AE4"/>
    <w:rsid w:val="00F61B00"/>
    <w:rsid w:val="00F61BBD"/>
    <w:rsid w:val="00F61CCE"/>
    <w:rsid w:val="00F61D08"/>
    <w:rsid w:val="00F61D18"/>
    <w:rsid w:val="00F61D56"/>
    <w:rsid w:val="00F61DA9"/>
    <w:rsid w:val="00F61DF5"/>
    <w:rsid w:val="00F61E04"/>
    <w:rsid w:val="00F61E79"/>
    <w:rsid w:val="00F61E99"/>
    <w:rsid w:val="00F61EC7"/>
    <w:rsid w:val="00F61F32"/>
    <w:rsid w:val="00F61FC4"/>
    <w:rsid w:val="00F62029"/>
    <w:rsid w:val="00F62052"/>
    <w:rsid w:val="00F62112"/>
    <w:rsid w:val="00F62113"/>
    <w:rsid w:val="00F62187"/>
    <w:rsid w:val="00F621D6"/>
    <w:rsid w:val="00F623DC"/>
    <w:rsid w:val="00F62409"/>
    <w:rsid w:val="00F6249C"/>
    <w:rsid w:val="00F6257B"/>
    <w:rsid w:val="00F6263A"/>
    <w:rsid w:val="00F626B6"/>
    <w:rsid w:val="00F6271F"/>
    <w:rsid w:val="00F6284A"/>
    <w:rsid w:val="00F62873"/>
    <w:rsid w:val="00F62909"/>
    <w:rsid w:val="00F62930"/>
    <w:rsid w:val="00F62AB7"/>
    <w:rsid w:val="00F62ACB"/>
    <w:rsid w:val="00F62B88"/>
    <w:rsid w:val="00F62BA9"/>
    <w:rsid w:val="00F62CA4"/>
    <w:rsid w:val="00F62D0A"/>
    <w:rsid w:val="00F62D0C"/>
    <w:rsid w:val="00F62D37"/>
    <w:rsid w:val="00F62D7B"/>
    <w:rsid w:val="00F62E68"/>
    <w:rsid w:val="00F62F52"/>
    <w:rsid w:val="00F62FBE"/>
    <w:rsid w:val="00F62FD2"/>
    <w:rsid w:val="00F63053"/>
    <w:rsid w:val="00F63069"/>
    <w:rsid w:val="00F6309A"/>
    <w:rsid w:val="00F6312B"/>
    <w:rsid w:val="00F63229"/>
    <w:rsid w:val="00F633FB"/>
    <w:rsid w:val="00F63417"/>
    <w:rsid w:val="00F63418"/>
    <w:rsid w:val="00F63466"/>
    <w:rsid w:val="00F634F6"/>
    <w:rsid w:val="00F6359F"/>
    <w:rsid w:val="00F635A6"/>
    <w:rsid w:val="00F63606"/>
    <w:rsid w:val="00F63702"/>
    <w:rsid w:val="00F63777"/>
    <w:rsid w:val="00F637B9"/>
    <w:rsid w:val="00F638FE"/>
    <w:rsid w:val="00F6393A"/>
    <w:rsid w:val="00F63A05"/>
    <w:rsid w:val="00F63B20"/>
    <w:rsid w:val="00F63BA1"/>
    <w:rsid w:val="00F63BE2"/>
    <w:rsid w:val="00F63BF2"/>
    <w:rsid w:val="00F63C7A"/>
    <w:rsid w:val="00F63DAE"/>
    <w:rsid w:val="00F63DE0"/>
    <w:rsid w:val="00F63E5C"/>
    <w:rsid w:val="00F63E8B"/>
    <w:rsid w:val="00F63FBF"/>
    <w:rsid w:val="00F64063"/>
    <w:rsid w:val="00F6409A"/>
    <w:rsid w:val="00F64107"/>
    <w:rsid w:val="00F641AD"/>
    <w:rsid w:val="00F64399"/>
    <w:rsid w:val="00F643EB"/>
    <w:rsid w:val="00F643F4"/>
    <w:rsid w:val="00F643F5"/>
    <w:rsid w:val="00F64466"/>
    <w:rsid w:val="00F644C9"/>
    <w:rsid w:val="00F64592"/>
    <w:rsid w:val="00F6469F"/>
    <w:rsid w:val="00F646D5"/>
    <w:rsid w:val="00F6478D"/>
    <w:rsid w:val="00F648AB"/>
    <w:rsid w:val="00F64982"/>
    <w:rsid w:val="00F64996"/>
    <w:rsid w:val="00F64B29"/>
    <w:rsid w:val="00F64B7F"/>
    <w:rsid w:val="00F64BB6"/>
    <w:rsid w:val="00F64CFF"/>
    <w:rsid w:val="00F64D3D"/>
    <w:rsid w:val="00F64D48"/>
    <w:rsid w:val="00F64D6B"/>
    <w:rsid w:val="00F64E39"/>
    <w:rsid w:val="00F64E82"/>
    <w:rsid w:val="00F64EC8"/>
    <w:rsid w:val="00F64F17"/>
    <w:rsid w:val="00F64FA7"/>
    <w:rsid w:val="00F65002"/>
    <w:rsid w:val="00F65013"/>
    <w:rsid w:val="00F650F8"/>
    <w:rsid w:val="00F651AA"/>
    <w:rsid w:val="00F651D3"/>
    <w:rsid w:val="00F6521E"/>
    <w:rsid w:val="00F6534C"/>
    <w:rsid w:val="00F6543D"/>
    <w:rsid w:val="00F655D2"/>
    <w:rsid w:val="00F65667"/>
    <w:rsid w:val="00F65678"/>
    <w:rsid w:val="00F65690"/>
    <w:rsid w:val="00F656D5"/>
    <w:rsid w:val="00F65719"/>
    <w:rsid w:val="00F6573B"/>
    <w:rsid w:val="00F65743"/>
    <w:rsid w:val="00F65782"/>
    <w:rsid w:val="00F65799"/>
    <w:rsid w:val="00F657A2"/>
    <w:rsid w:val="00F6590E"/>
    <w:rsid w:val="00F6592D"/>
    <w:rsid w:val="00F65933"/>
    <w:rsid w:val="00F659A9"/>
    <w:rsid w:val="00F659B3"/>
    <w:rsid w:val="00F659E5"/>
    <w:rsid w:val="00F65ABA"/>
    <w:rsid w:val="00F65B31"/>
    <w:rsid w:val="00F65C09"/>
    <w:rsid w:val="00F65CC7"/>
    <w:rsid w:val="00F65CDF"/>
    <w:rsid w:val="00F65CFF"/>
    <w:rsid w:val="00F65D39"/>
    <w:rsid w:val="00F65D3E"/>
    <w:rsid w:val="00F65D5F"/>
    <w:rsid w:val="00F65DC0"/>
    <w:rsid w:val="00F65E5D"/>
    <w:rsid w:val="00F65ED0"/>
    <w:rsid w:val="00F65ED5"/>
    <w:rsid w:val="00F65F68"/>
    <w:rsid w:val="00F66040"/>
    <w:rsid w:val="00F6618F"/>
    <w:rsid w:val="00F66190"/>
    <w:rsid w:val="00F66204"/>
    <w:rsid w:val="00F66243"/>
    <w:rsid w:val="00F6630C"/>
    <w:rsid w:val="00F663CF"/>
    <w:rsid w:val="00F663EF"/>
    <w:rsid w:val="00F663FE"/>
    <w:rsid w:val="00F66482"/>
    <w:rsid w:val="00F66554"/>
    <w:rsid w:val="00F665A9"/>
    <w:rsid w:val="00F6668F"/>
    <w:rsid w:val="00F666DD"/>
    <w:rsid w:val="00F66784"/>
    <w:rsid w:val="00F6678C"/>
    <w:rsid w:val="00F668A2"/>
    <w:rsid w:val="00F668E2"/>
    <w:rsid w:val="00F66902"/>
    <w:rsid w:val="00F669C3"/>
    <w:rsid w:val="00F669DD"/>
    <w:rsid w:val="00F66A45"/>
    <w:rsid w:val="00F66AAC"/>
    <w:rsid w:val="00F66B00"/>
    <w:rsid w:val="00F66B6D"/>
    <w:rsid w:val="00F66B74"/>
    <w:rsid w:val="00F66C19"/>
    <w:rsid w:val="00F66C7F"/>
    <w:rsid w:val="00F66D6D"/>
    <w:rsid w:val="00F66E76"/>
    <w:rsid w:val="00F66E85"/>
    <w:rsid w:val="00F66F8C"/>
    <w:rsid w:val="00F6706C"/>
    <w:rsid w:val="00F67099"/>
    <w:rsid w:val="00F671F4"/>
    <w:rsid w:val="00F67215"/>
    <w:rsid w:val="00F67259"/>
    <w:rsid w:val="00F67277"/>
    <w:rsid w:val="00F67285"/>
    <w:rsid w:val="00F672B3"/>
    <w:rsid w:val="00F67346"/>
    <w:rsid w:val="00F674F6"/>
    <w:rsid w:val="00F67500"/>
    <w:rsid w:val="00F675CF"/>
    <w:rsid w:val="00F67601"/>
    <w:rsid w:val="00F6762E"/>
    <w:rsid w:val="00F67993"/>
    <w:rsid w:val="00F67A77"/>
    <w:rsid w:val="00F67BBD"/>
    <w:rsid w:val="00F67C91"/>
    <w:rsid w:val="00F67C9E"/>
    <w:rsid w:val="00F67CE6"/>
    <w:rsid w:val="00F67E41"/>
    <w:rsid w:val="00F67FE7"/>
    <w:rsid w:val="00F70081"/>
    <w:rsid w:val="00F70141"/>
    <w:rsid w:val="00F7022E"/>
    <w:rsid w:val="00F70246"/>
    <w:rsid w:val="00F702BF"/>
    <w:rsid w:val="00F70347"/>
    <w:rsid w:val="00F70418"/>
    <w:rsid w:val="00F7062C"/>
    <w:rsid w:val="00F70737"/>
    <w:rsid w:val="00F70764"/>
    <w:rsid w:val="00F707BF"/>
    <w:rsid w:val="00F7080F"/>
    <w:rsid w:val="00F70870"/>
    <w:rsid w:val="00F70897"/>
    <w:rsid w:val="00F7090C"/>
    <w:rsid w:val="00F7093F"/>
    <w:rsid w:val="00F709DD"/>
    <w:rsid w:val="00F70A3A"/>
    <w:rsid w:val="00F70A60"/>
    <w:rsid w:val="00F70C9D"/>
    <w:rsid w:val="00F70D65"/>
    <w:rsid w:val="00F70DDF"/>
    <w:rsid w:val="00F70E0C"/>
    <w:rsid w:val="00F70E2B"/>
    <w:rsid w:val="00F70EB4"/>
    <w:rsid w:val="00F70F7F"/>
    <w:rsid w:val="00F70F84"/>
    <w:rsid w:val="00F71049"/>
    <w:rsid w:val="00F710B3"/>
    <w:rsid w:val="00F710C2"/>
    <w:rsid w:val="00F711C5"/>
    <w:rsid w:val="00F711F3"/>
    <w:rsid w:val="00F712A6"/>
    <w:rsid w:val="00F71461"/>
    <w:rsid w:val="00F714E6"/>
    <w:rsid w:val="00F7156E"/>
    <w:rsid w:val="00F715EC"/>
    <w:rsid w:val="00F71711"/>
    <w:rsid w:val="00F71800"/>
    <w:rsid w:val="00F71805"/>
    <w:rsid w:val="00F71826"/>
    <w:rsid w:val="00F71A00"/>
    <w:rsid w:val="00F71ACC"/>
    <w:rsid w:val="00F71C17"/>
    <w:rsid w:val="00F71C31"/>
    <w:rsid w:val="00F71C3E"/>
    <w:rsid w:val="00F71CFA"/>
    <w:rsid w:val="00F71D24"/>
    <w:rsid w:val="00F71EDC"/>
    <w:rsid w:val="00F71FE6"/>
    <w:rsid w:val="00F71FFC"/>
    <w:rsid w:val="00F72083"/>
    <w:rsid w:val="00F7213B"/>
    <w:rsid w:val="00F72172"/>
    <w:rsid w:val="00F721B9"/>
    <w:rsid w:val="00F721F1"/>
    <w:rsid w:val="00F7225E"/>
    <w:rsid w:val="00F722D1"/>
    <w:rsid w:val="00F72398"/>
    <w:rsid w:val="00F723A0"/>
    <w:rsid w:val="00F72427"/>
    <w:rsid w:val="00F72480"/>
    <w:rsid w:val="00F72600"/>
    <w:rsid w:val="00F726E3"/>
    <w:rsid w:val="00F7274D"/>
    <w:rsid w:val="00F72817"/>
    <w:rsid w:val="00F729B6"/>
    <w:rsid w:val="00F729CF"/>
    <w:rsid w:val="00F72A30"/>
    <w:rsid w:val="00F72AC6"/>
    <w:rsid w:val="00F72AE1"/>
    <w:rsid w:val="00F72AE2"/>
    <w:rsid w:val="00F72B48"/>
    <w:rsid w:val="00F72B58"/>
    <w:rsid w:val="00F72BD3"/>
    <w:rsid w:val="00F72D87"/>
    <w:rsid w:val="00F72DCE"/>
    <w:rsid w:val="00F72F29"/>
    <w:rsid w:val="00F72F7A"/>
    <w:rsid w:val="00F72F9A"/>
    <w:rsid w:val="00F72FA4"/>
    <w:rsid w:val="00F72FCA"/>
    <w:rsid w:val="00F730AF"/>
    <w:rsid w:val="00F73165"/>
    <w:rsid w:val="00F73206"/>
    <w:rsid w:val="00F73219"/>
    <w:rsid w:val="00F73253"/>
    <w:rsid w:val="00F73260"/>
    <w:rsid w:val="00F7338C"/>
    <w:rsid w:val="00F7350B"/>
    <w:rsid w:val="00F73517"/>
    <w:rsid w:val="00F73528"/>
    <w:rsid w:val="00F73583"/>
    <w:rsid w:val="00F73589"/>
    <w:rsid w:val="00F735B3"/>
    <w:rsid w:val="00F736CA"/>
    <w:rsid w:val="00F736D3"/>
    <w:rsid w:val="00F7372C"/>
    <w:rsid w:val="00F737B9"/>
    <w:rsid w:val="00F73899"/>
    <w:rsid w:val="00F738D7"/>
    <w:rsid w:val="00F7390D"/>
    <w:rsid w:val="00F73939"/>
    <w:rsid w:val="00F739D3"/>
    <w:rsid w:val="00F739E3"/>
    <w:rsid w:val="00F73A60"/>
    <w:rsid w:val="00F73A82"/>
    <w:rsid w:val="00F73A99"/>
    <w:rsid w:val="00F73A9F"/>
    <w:rsid w:val="00F73C4B"/>
    <w:rsid w:val="00F73D14"/>
    <w:rsid w:val="00F73FD2"/>
    <w:rsid w:val="00F74017"/>
    <w:rsid w:val="00F74136"/>
    <w:rsid w:val="00F7417B"/>
    <w:rsid w:val="00F74213"/>
    <w:rsid w:val="00F74233"/>
    <w:rsid w:val="00F742DD"/>
    <w:rsid w:val="00F74302"/>
    <w:rsid w:val="00F74381"/>
    <w:rsid w:val="00F744A8"/>
    <w:rsid w:val="00F744EA"/>
    <w:rsid w:val="00F7451E"/>
    <w:rsid w:val="00F74742"/>
    <w:rsid w:val="00F74764"/>
    <w:rsid w:val="00F747EB"/>
    <w:rsid w:val="00F7499A"/>
    <w:rsid w:val="00F74A60"/>
    <w:rsid w:val="00F74AFF"/>
    <w:rsid w:val="00F74B2E"/>
    <w:rsid w:val="00F74C2B"/>
    <w:rsid w:val="00F74C8A"/>
    <w:rsid w:val="00F74CEB"/>
    <w:rsid w:val="00F74F23"/>
    <w:rsid w:val="00F74F67"/>
    <w:rsid w:val="00F75024"/>
    <w:rsid w:val="00F750B2"/>
    <w:rsid w:val="00F750F8"/>
    <w:rsid w:val="00F75102"/>
    <w:rsid w:val="00F751BF"/>
    <w:rsid w:val="00F751E8"/>
    <w:rsid w:val="00F7532D"/>
    <w:rsid w:val="00F75457"/>
    <w:rsid w:val="00F755A2"/>
    <w:rsid w:val="00F75752"/>
    <w:rsid w:val="00F758FF"/>
    <w:rsid w:val="00F75924"/>
    <w:rsid w:val="00F7595B"/>
    <w:rsid w:val="00F75A0A"/>
    <w:rsid w:val="00F75A36"/>
    <w:rsid w:val="00F75A67"/>
    <w:rsid w:val="00F75B9F"/>
    <w:rsid w:val="00F75C26"/>
    <w:rsid w:val="00F75E69"/>
    <w:rsid w:val="00F75EB6"/>
    <w:rsid w:val="00F75EC9"/>
    <w:rsid w:val="00F75F0E"/>
    <w:rsid w:val="00F75F43"/>
    <w:rsid w:val="00F75F45"/>
    <w:rsid w:val="00F76054"/>
    <w:rsid w:val="00F76086"/>
    <w:rsid w:val="00F761F6"/>
    <w:rsid w:val="00F76242"/>
    <w:rsid w:val="00F7624C"/>
    <w:rsid w:val="00F76271"/>
    <w:rsid w:val="00F762BA"/>
    <w:rsid w:val="00F762BF"/>
    <w:rsid w:val="00F76329"/>
    <w:rsid w:val="00F76348"/>
    <w:rsid w:val="00F7639E"/>
    <w:rsid w:val="00F763BA"/>
    <w:rsid w:val="00F763F6"/>
    <w:rsid w:val="00F76440"/>
    <w:rsid w:val="00F7646D"/>
    <w:rsid w:val="00F764DC"/>
    <w:rsid w:val="00F764E5"/>
    <w:rsid w:val="00F7659C"/>
    <w:rsid w:val="00F765A3"/>
    <w:rsid w:val="00F765B8"/>
    <w:rsid w:val="00F765D4"/>
    <w:rsid w:val="00F76699"/>
    <w:rsid w:val="00F766EC"/>
    <w:rsid w:val="00F76710"/>
    <w:rsid w:val="00F767AB"/>
    <w:rsid w:val="00F76841"/>
    <w:rsid w:val="00F769CC"/>
    <w:rsid w:val="00F76A12"/>
    <w:rsid w:val="00F76ADE"/>
    <w:rsid w:val="00F76ADF"/>
    <w:rsid w:val="00F76C36"/>
    <w:rsid w:val="00F76D21"/>
    <w:rsid w:val="00F76DEB"/>
    <w:rsid w:val="00F76E83"/>
    <w:rsid w:val="00F76EA4"/>
    <w:rsid w:val="00F76F27"/>
    <w:rsid w:val="00F76F2E"/>
    <w:rsid w:val="00F76F43"/>
    <w:rsid w:val="00F76F7A"/>
    <w:rsid w:val="00F76FDB"/>
    <w:rsid w:val="00F7702D"/>
    <w:rsid w:val="00F77036"/>
    <w:rsid w:val="00F77048"/>
    <w:rsid w:val="00F77053"/>
    <w:rsid w:val="00F77103"/>
    <w:rsid w:val="00F77154"/>
    <w:rsid w:val="00F7736E"/>
    <w:rsid w:val="00F77476"/>
    <w:rsid w:val="00F7754E"/>
    <w:rsid w:val="00F77632"/>
    <w:rsid w:val="00F77654"/>
    <w:rsid w:val="00F77731"/>
    <w:rsid w:val="00F77892"/>
    <w:rsid w:val="00F77924"/>
    <w:rsid w:val="00F77933"/>
    <w:rsid w:val="00F77A17"/>
    <w:rsid w:val="00F77A40"/>
    <w:rsid w:val="00F77B6B"/>
    <w:rsid w:val="00F77C86"/>
    <w:rsid w:val="00F77D5C"/>
    <w:rsid w:val="00F77D68"/>
    <w:rsid w:val="00F77DA7"/>
    <w:rsid w:val="00F77DE8"/>
    <w:rsid w:val="00F77F7B"/>
    <w:rsid w:val="00F77FF1"/>
    <w:rsid w:val="00F77FFA"/>
    <w:rsid w:val="00F7B862"/>
    <w:rsid w:val="00F80019"/>
    <w:rsid w:val="00F800E1"/>
    <w:rsid w:val="00F80163"/>
    <w:rsid w:val="00F80178"/>
    <w:rsid w:val="00F801D4"/>
    <w:rsid w:val="00F801E1"/>
    <w:rsid w:val="00F80257"/>
    <w:rsid w:val="00F802FF"/>
    <w:rsid w:val="00F80341"/>
    <w:rsid w:val="00F803CA"/>
    <w:rsid w:val="00F8046B"/>
    <w:rsid w:val="00F806A4"/>
    <w:rsid w:val="00F8080A"/>
    <w:rsid w:val="00F80913"/>
    <w:rsid w:val="00F8095F"/>
    <w:rsid w:val="00F80999"/>
    <w:rsid w:val="00F809A2"/>
    <w:rsid w:val="00F809CE"/>
    <w:rsid w:val="00F809FD"/>
    <w:rsid w:val="00F80A8A"/>
    <w:rsid w:val="00F80A9E"/>
    <w:rsid w:val="00F80B83"/>
    <w:rsid w:val="00F80BD7"/>
    <w:rsid w:val="00F80C0A"/>
    <w:rsid w:val="00F80CF4"/>
    <w:rsid w:val="00F80D59"/>
    <w:rsid w:val="00F80D65"/>
    <w:rsid w:val="00F80DAC"/>
    <w:rsid w:val="00F80DCF"/>
    <w:rsid w:val="00F80E20"/>
    <w:rsid w:val="00F80E7F"/>
    <w:rsid w:val="00F80F24"/>
    <w:rsid w:val="00F81067"/>
    <w:rsid w:val="00F81402"/>
    <w:rsid w:val="00F8155B"/>
    <w:rsid w:val="00F815E9"/>
    <w:rsid w:val="00F81603"/>
    <w:rsid w:val="00F816FB"/>
    <w:rsid w:val="00F817B1"/>
    <w:rsid w:val="00F817B3"/>
    <w:rsid w:val="00F818E5"/>
    <w:rsid w:val="00F81945"/>
    <w:rsid w:val="00F8196E"/>
    <w:rsid w:val="00F8198C"/>
    <w:rsid w:val="00F81998"/>
    <w:rsid w:val="00F81A32"/>
    <w:rsid w:val="00F81B41"/>
    <w:rsid w:val="00F81C42"/>
    <w:rsid w:val="00F81C71"/>
    <w:rsid w:val="00F81C98"/>
    <w:rsid w:val="00F81D72"/>
    <w:rsid w:val="00F81DF9"/>
    <w:rsid w:val="00F81EFA"/>
    <w:rsid w:val="00F81F86"/>
    <w:rsid w:val="00F81FC8"/>
    <w:rsid w:val="00F81FD9"/>
    <w:rsid w:val="00F820FE"/>
    <w:rsid w:val="00F82110"/>
    <w:rsid w:val="00F8219E"/>
    <w:rsid w:val="00F82205"/>
    <w:rsid w:val="00F8226A"/>
    <w:rsid w:val="00F822B6"/>
    <w:rsid w:val="00F82320"/>
    <w:rsid w:val="00F82392"/>
    <w:rsid w:val="00F823C4"/>
    <w:rsid w:val="00F82416"/>
    <w:rsid w:val="00F82442"/>
    <w:rsid w:val="00F82481"/>
    <w:rsid w:val="00F824A3"/>
    <w:rsid w:val="00F8252D"/>
    <w:rsid w:val="00F8252E"/>
    <w:rsid w:val="00F8253A"/>
    <w:rsid w:val="00F825DC"/>
    <w:rsid w:val="00F82630"/>
    <w:rsid w:val="00F82694"/>
    <w:rsid w:val="00F82711"/>
    <w:rsid w:val="00F8281D"/>
    <w:rsid w:val="00F82890"/>
    <w:rsid w:val="00F828AE"/>
    <w:rsid w:val="00F82B36"/>
    <w:rsid w:val="00F82B67"/>
    <w:rsid w:val="00F82CB1"/>
    <w:rsid w:val="00F82D16"/>
    <w:rsid w:val="00F82D40"/>
    <w:rsid w:val="00F82DB4"/>
    <w:rsid w:val="00F82F5E"/>
    <w:rsid w:val="00F82F9F"/>
    <w:rsid w:val="00F83067"/>
    <w:rsid w:val="00F8308A"/>
    <w:rsid w:val="00F8310D"/>
    <w:rsid w:val="00F83123"/>
    <w:rsid w:val="00F83221"/>
    <w:rsid w:val="00F83292"/>
    <w:rsid w:val="00F8329F"/>
    <w:rsid w:val="00F832E5"/>
    <w:rsid w:val="00F833C7"/>
    <w:rsid w:val="00F8346C"/>
    <w:rsid w:val="00F83473"/>
    <w:rsid w:val="00F83487"/>
    <w:rsid w:val="00F835BA"/>
    <w:rsid w:val="00F8362F"/>
    <w:rsid w:val="00F8367A"/>
    <w:rsid w:val="00F8367C"/>
    <w:rsid w:val="00F83716"/>
    <w:rsid w:val="00F838D1"/>
    <w:rsid w:val="00F838F0"/>
    <w:rsid w:val="00F83914"/>
    <w:rsid w:val="00F8395B"/>
    <w:rsid w:val="00F83A79"/>
    <w:rsid w:val="00F83A9D"/>
    <w:rsid w:val="00F83B6E"/>
    <w:rsid w:val="00F83BE6"/>
    <w:rsid w:val="00F83C1D"/>
    <w:rsid w:val="00F83C42"/>
    <w:rsid w:val="00F83C97"/>
    <w:rsid w:val="00F83CA2"/>
    <w:rsid w:val="00F83F50"/>
    <w:rsid w:val="00F83F68"/>
    <w:rsid w:val="00F83FD0"/>
    <w:rsid w:val="00F841D4"/>
    <w:rsid w:val="00F84394"/>
    <w:rsid w:val="00F843CF"/>
    <w:rsid w:val="00F84432"/>
    <w:rsid w:val="00F84479"/>
    <w:rsid w:val="00F844E0"/>
    <w:rsid w:val="00F84584"/>
    <w:rsid w:val="00F8461A"/>
    <w:rsid w:val="00F84634"/>
    <w:rsid w:val="00F8464B"/>
    <w:rsid w:val="00F846B4"/>
    <w:rsid w:val="00F84706"/>
    <w:rsid w:val="00F8489F"/>
    <w:rsid w:val="00F8490A"/>
    <w:rsid w:val="00F84961"/>
    <w:rsid w:val="00F849A6"/>
    <w:rsid w:val="00F84A0C"/>
    <w:rsid w:val="00F84A41"/>
    <w:rsid w:val="00F84A77"/>
    <w:rsid w:val="00F84C3E"/>
    <w:rsid w:val="00F84C5F"/>
    <w:rsid w:val="00F84C7A"/>
    <w:rsid w:val="00F84CE5"/>
    <w:rsid w:val="00F84D38"/>
    <w:rsid w:val="00F84DAB"/>
    <w:rsid w:val="00F84F7A"/>
    <w:rsid w:val="00F84F81"/>
    <w:rsid w:val="00F8505C"/>
    <w:rsid w:val="00F850BC"/>
    <w:rsid w:val="00F85106"/>
    <w:rsid w:val="00F85147"/>
    <w:rsid w:val="00F8519E"/>
    <w:rsid w:val="00F85269"/>
    <w:rsid w:val="00F852C8"/>
    <w:rsid w:val="00F852F1"/>
    <w:rsid w:val="00F853BC"/>
    <w:rsid w:val="00F854D2"/>
    <w:rsid w:val="00F854F6"/>
    <w:rsid w:val="00F8556B"/>
    <w:rsid w:val="00F85603"/>
    <w:rsid w:val="00F85674"/>
    <w:rsid w:val="00F856DE"/>
    <w:rsid w:val="00F857D2"/>
    <w:rsid w:val="00F857FA"/>
    <w:rsid w:val="00F85886"/>
    <w:rsid w:val="00F85894"/>
    <w:rsid w:val="00F859A8"/>
    <w:rsid w:val="00F859BB"/>
    <w:rsid w:val="00F859F5"/>
    <w:rsid w:val="00F85A09"/>
    <w:rsid w:val="00F85A27"/>
    <w:rsid w:val="00F85A9A"/>
    <w:rsid w:val="00F85B50"/>
    <w:rsid w:val="00F85B69"/>
    <w:rsid w:val="00F85C26"/>
    <w:rsid w:val="00F85C99"/>
    <w:rsid w:val="00F85DFC"/>
    <w:rsid w:val="00F85E09"/>
    <w:rsid w:val="00F85E7D"/>
    <w:rsid w:val="00F85F9D"/>
    <w:rsid w:val="00F86037"/>
    <w:rsid w:val="00F8607A"/>
    <w:rsid w:val="00F8616E"/>
    <w:rsid w:val="00F8621D"/>
    <w:rsid w:val="00F86261"/>
    <w:rsid w:val="00F862AE"/>
    <w:rsid w:val="00F8635A"/>
    <w:rsid w:val="00F8651A"/>
    <w:rsid w:val="00F8655D"/>
    <w:rsid w:val="00F86577"/>
    <w:rsid w:val="00F86726"/>
    <w:rsid w:val="00F8672E"/>
    <w:rsid w:val="00F86734"/>
    <w:rsid w:val="00F86766"/>
    <w:rsid w:val="00F86829"/>
    <w:rsid w:val="00F86A66"/>
    <w:rsid w:val="00F86BFB"/>
    <w:rsid w:val="00F86D62"/>
    <w:rsid w:val="00F86E6A"/>
    <w:rsid w:val="00F86E6D"/>
    <w:rsid w:val="00F870D3"/>
    <w:rsid w:val="00F871B3"/>
    <w:rsid w:val="00F872DE"/>
    <w:rsid w:val="00F872F1"/>
    <w:rsid w:val="00F87382"/>
    <w:rsid w:val="00F873B5"/>
    <w:rsid w:val="00F8743B"/>
    <w:rsid w:val="00F874A9"/>
    <w:rsid w:val="00F87503"/>
    <w:rsid w:val="00F8754F"/>
    <w:rsid w:val="00F8758E"/>
    <w:rsid w:val="00F875A6"/>
    <w:rsid w:val="00F875BC"/>
    <w:rsid w:val="00F875EA"/>
    <w:rsid w:val="00F875F5"/>
    <w:rsid w:val="00F8760E"/>
    <w:rsid w:val="00F87852"/>
    <w:rsid w:val="00F87869"/>
    <w:rsid w:val="00F87901"/>
    <w:rsid w:val="00F8796E"/>
    <w:rsid w:val="00F87986"/>
    <w:rsid w:val="00F879A1"/>
    <w:rsid w:val="00F87BC8"/>
    <w:rsid w:val="00F87BF3"/>
    <w:rsid w:val="00F87CAF"/>
    <w:rsid w:val="00F87D89"/>
    <w:rsid w:val="00F87DB2"/>
    <w:rsid w:val="00F87F3C"/>
    <w:rsid w:val="00F87FA3"/>
    <w:rsid w:val="00F900B0"/>
    <w:rsid w:val="00F900FC"/>
    <w:rsid w:val="00F9014A"/>
    <w:rsid w:val="00F90240"/>
    <w:rsid w:val="00F90323"/>
    <w:rsid w:val="00F90345"/>
    <w:rsid w:val="00F9051B"/>
    <w:rsid w:val="00F905C0"/>
    <w:rsid w:val="00F906B8"/>
    <w:rsid w:val="00F90708"/>
    <w:rsid w:val="00F90793"/>
    <w:rsid w:val="00F907AB"/>
    <w:rsid w:val="00F907C4"/>
    <w:rsid w:val="00F907D9"/>
    <w:rsid w:val="00F907FF"/>
    <w:rsid w:val="00F908A0"/>
    <w:rsid w:val="00F908C4"/>
    <w:rsid w:val="00F909EB"/>
    <w:rsid w:val="00F90B28"/>
    <w:rsid w:val="00F90BBA"/>
    <w:rsid w:val="00F90BDC"/>
    <w:rsid w:val="00F90E07"/>
    <w:rsid w:val="00F90ECD"/>
    <w:rsid w:val="00F90F00"/>
    <w:rsid w:val="00F90F17"/>
    <w:rsid w:val="00F90F5D"/>
    <w:rsid w:val="00F90FFD"/>
    <w:rsid w:val="00F910DA"/>
    <w:rsid w:val="00F91146"/>
    <w:rsid w:val="00F911BF"/>
    <w:rsid w:val="00F91260"/>
    <w:rsid w:val="00F91263"/>
    <w:rsid w:val="00F91323"/>
    <w:rsid w:val="00F9139D"/>
    <w:rsid w:val="00F914DF"/>
    <w:rsid w:val="00F91514"/>
    <w:rsid w:val="00F91519"/>
    <w:rsid w:val="00F915A4"/>
    <w:rsid w:val="00F9161A"/>
    <w:rsid w:val="00F9163C"/>
    <w:rsid w:val="00F91654"/>
    <w:rsid w:val="00F91725"/>
    <w:rsid w:val="00F9187D"/>
    <w:rsid w:val="00F918A3"/>
    <w:rsid w:val="00F918D1"/>
    <w:rsid w:val="00F918EF"/>
    <w:rsid w:val="00F9197F"/>
    <w:rsid w:val="00F91AE4"/>
    <w:rsid w:val="00F91AF1"/>
    <w:rsid w:val="00F91B1A"/>
    <w:rsid w:val="00F91BBC"/>
    <w:rsid w:val="00F91C8A"/>
    <w:rsid w:val="00F91D52"/>
    <w:rsid w:val="00F91D59"/>
    <w:rsid w:val="00F91E01"/>
    <w:rsid w:val="00F91E1E"/>
    <w:rsid w:val="00F91EE7"/>
    <w:rsid w:val="00F91FB4"/>
    <w:rsid w:val="00F91FC2"/>
    <w:rsid w:val="00F92184"/>
    <w:rsid w:val="00F92231"/>
    <w:rsid w:val="00F9229E"/>
    <w:rsid w:val="00F92317"/>
    <w:rsid w:val="00F924E8"/>
    <w:rsid w:val="00F92578"/>
    <w:rsid w:val="00F92616"/>
    <w:rsid w:val="00F92888"/>
    <w:rsid w:val="00F928BF"/>
    <w:rsid w:val="00F928C0"/>
    <w:rsid w:val="00F9293C"/>
    <w:rsid w:val="00F92A01"/>
    <w:rsid w:val="00F92B34"/>
    <w:rsid w:val="00F92BC1"/>
    <w:rsid w:val="00F92C19"/>
    <w:rsid w:val="00F92C7C"/>
    <w:rsid w:val="00F92CB3"/>
    <w:rsid w:val="00F92E1B"/>
    <w:rsid w:val="00F92EAE"/>
    <w:rsid w:val="00F92F22"/>
    <w:rsid w:val="00F92F9B"/>
    <w:rsid w:val="00F92FF8"/>
    <w:rsid w:val="00F9308C"/>
    <w:rsid w:val="00F930F3"/>
    <w:rsid w:val="00F93173"/>
    <w:rsid w:val="00F931F4"/>
    <w:rsid w:val="00F93380"/>
    <w:rsid w:val="00F9355B"/>
    <w:rsid w:val="00F935E4"/>
    <w:rsid w:val="00F935F0"/>
    <w:rsid w:val="00F9365E"/>
    <w:rsid w:val="00F9379E"/>
    <w:rsid w:val="00F9398F"/>
    <w:rsid w:val="00F939CF"/>
    <w:rsid w:val="00F93A33"/>
    <w:rsid w:val="00F93AFF"/>
    <w:rsid w:val="00F93C1A"/>
    <w:rsid w:val="00F93D6A"/>
    <w:rsid w:val="00F93DC8"/>
    <w:rsid w:val="00F93E90"/>
    <w:rsid w:val="00F93F32"/>
    <w:rsid w:val="00F93F84"/>
    <w:rsid w:val="00F93FBE"/>
    <w:rsid w:val="00F940EB"/>
    <w:rsid w:val="00F94216"/>
    <w:rsid w:val="00F94225"/>
    <w:rsid w:val="00F942B1"/>
    <w:rsid w:val="00F9431E"/>
    <w:rsid w:val="00F943B2"/>
    <w:rsid w:val="00F943F7"/>
    <w:rsid w:val="00F94411"/>
    <w:rsid w:val="00F944AC"/>
    <w:rsid w:val="00F9459F"/>
    <w:rsid w:val="00F945EF"/>
    <w:rsid w:val="00F945F7"/>
    <w:rsid w:val="00F94623"/>
    <w:rsid w:val="00F94662"/>
    <w:rsid w:val="00F9470A"/>
    <w:rsid w:val="00F947EC"/>
    <w:rsid w:val="00F947ED"/>
    <w:rsid w:val="00F9487F"/>
    <w:rsid w:val="00F9489B"/>
    <w:rsid w:val="00F94A19"/>
    <w:rsid w:val="00F94A70"/>
    <w:rsid w:val="00F94A80"/>
    <w:rsid w:val="00F94A8F"/>
    <w:rsid w:val="00F94AA3"/>
    <w:rsid w:val="00F94ADA"/>
    <w:rsid w:val="00F94C40"/>
    <w:rsid w:val="00F94DB5"/>
    <w:rsid w:val="00F94E0F"/>
    <w:rsid w:val="00F94F44"/>
    <w:rsid w:val="00F950D8"/>
    <w:rsid w:val="00F95180"/>
    <w:rsid w:val="00F95244"/>
    <w:rsid w:val="00F95279"/>
    <w:rsid w:val="00F9529B"/>
    <w:rsid w:val="00F952BC"/>
    <w:rsid w:val="00F9530F"/>
    <w:rsid w:val="00F95329"/>
    <w:rsid w:val="00F9538B"/>
    <w:rsid w:val="00F953A4"/>
    <w:rsid w:val="00F9542E"/>
    <w:rsid w:val="00F954FB"/>
    <w:rsid w:val="00F95535"/>
    <w:rsid w:val="00F955D9"/>
    <w:rsid w:val="00F95749"/>
    <w:rsid w:val="00F95784"/>
    <w:rsid w:val="00F9578C"/>
    <w:rsid w:val="00F957EA"/>
    <w:rsid w:val="00F9582B"/>
    <w:rsid w:val="00F95843"/>
    <w:rsid w:val="00F9591E"/>
    <w:rsid w:val="00F9592C"/>
    <w:rsid w:val="00F95974"/>
    <w:rsid w:val="00F95A44"/>
    <w:rsid w:val="00F95A97"/>
    <w:rsid w:val="00F95AE0"/>
    <w:rsid w:val="00F95B5B"/>
    <w:rsid w:val="00F95BA8"/>
    <w:rsid w:val="00F95C15"/>
    <w:rsid w:val="00F95CEA"/>
    <w:rsid w:val="00F95CF9"/>
    <w:rsid w:val="00F95DBC"/>
    <w:rsid w:val="00F95E12"/>
    <w:rsid w:val="00F95E75"/>
    <w:rsid w:val="00F95F25"/>
    <w:rsid w:val="00F96016"/>
    <w:rsid w:val="00F9603C"/>
    <w:rsid w:val="00F960BB"/>
    <w:rsid w:val="00F960DA"/>
    <w:rsid w:val="00F9610C"/>
    <w:rsid w:val="00F96266"/>
    <w:rsid w:val="00F962F8"/>
    <w:rsid w:val="00F96342"/>
    <w:rsid w:val="00F963B4"/>
    <w:rsid w:val="00F9640E"/>
    <w:rsid w:val="00F964F0"/>
    <w:rsid w:val="00F96522"/>
    <w:rsid w:val="00F96621"/>
    <w:rsid w:val="00F96664"/>
    <w:rsid w:val="00F967BC"/>
    <w:rsid w:val="00F96A02"/>
    <w:rsid w:val="00F96B0A"/>
    <w:rsid w:val="00F96B48"/>
    <w:rsid w:val="00F96B4A"/>
    <w:rsid w:val="00F96B93"/>
    <w:rsid w:val="00F96D52"/>
    <w:rsid w:val="00F96DAF"/>
    <w:rsid w:val="00F96E73"/>
    <w:rsid w:val="00F96F3E"/>
    <w:rsid w:val="00F97082"/>
    <w:rsid w:val="00F97092"/>
    <w:rsid w:val="00F97135"/>
    <w:rsid w:val="00F97142"/>
    <w:rsid w:val="00F971CC"/>
    <w:rsid w:val="00F971FD"/>
    <w:rsid w:val="00F972AF"/>
    <w:rsid w:val="00F97450"/>
    <w:rsid w:val="00F9747D"/>
    <w:rsid w:val="00F9759F"/>
    <w:rsid w:val="00F975C1"/>
    <w:rsid w:val="00F976A3"/>
    <w:rsid w:val="00F976CF"/>
    <w:rsid w:val="00F9774F"/>
    <w:rsid w:val="00F977CB"/>
    <w:rsid w:val="00F977EC"/>
    <w:rsid w:val="00F97824"/>
    <w:rsid w:val="00F9791F"/>
    <w:rsid w:val="00F9793E"/>
    <w:rsid w:val="00F979ED"/>
    <w:rsid w:val="00F97A13"/>
    <w:rsid w:val="00F97A98"/>
    <w:rsid w:val="00F97B58"/>
    <w:rsid w:val="00F97CE3"/>
    <w:rsid w:val="00F97F9D"/>
    <w:rsid w:val="00FA0128"/>
    <w:rsid w:val="00FA0130"/>
    <w:rsid w:val="00FA015B"/>
    <w:rsid w:val="00FA0167"/>
    <w:rsid w:val="00FA0231"/>
    <w:rsid w:val="00FA0286"/>
    <w:rsid w:val="00FA032F"/>
    <w:rsid w:val="00FA0360"/>
    <w:rsid w:val="00FA038E"/>
    <w:rsid w:val="00FA03AC"/>
    <w:rsid w:val="00FA0521"/>
    <w:rsid w:val="00FA054F"/>
    <w:rsid w:val="00FA05BE"/>
    <w:rsid w:val="00FA0616"/>
    <w:rsid w:val="00FA0635"/>
    <w:rsid w:val="00FA06C0"/>
    <w:rsid w:val="00FA07BE"/>
    <w:rsid w:val="00FA07E0"/>
    <w:rsid w:val="00FA088E"/>
    <w:rsid w:val="00FA08BA"/>
    <w:rsid w:val="00FA08E7"/>
    <w:rsid w:val="00FA0A22"/>
    <w:rsid w:val="00FA0A5B"/>
    <w:rsid w:val="00FA0AA2"/>
    <w:rsid w:val="00FA0AA9"/>
    <w:rsid w:val="00FA0B85"/>
    <w:rsid w:val="00FA0C6C"/>
    <w:rsid w:val="00FA0D11"/>
    <w:rsid w:val="00FA0DEB"/>
    <w:rsid w:val="00FA0E33"/>
    <w:rsid w:val="00FA0E53"/>
    <w:rsid w:val="00FA0E8B"/>
    <w:rsid w:val="00FA0EF9"/>
    <w:rsid w:val="00FA0F2E"/>
    <w:rsid w:val="00FA10A2"/>
    <w:rsid w:val="00FA118E"/>
    <w:rsid w:val="00FA11F2"/>
    <w:rsid w:val="00FA1220"/>
    <w:rsid w:val="00FA123C"/>
    <w:rsid w:val="00FA1256"/>
    <w:rsid w:val="00FA128F"/>
    <w:rsid w:val="00FA1368"/>
    <w:rsid w:val="00FA1391"/>
    <w:rsid w:val="00FA13EA"/>
    <w:rsid w:val="00FA1426"/>
    <w:rsid w:val="00FA14ED"/>
    <w:rsid w:val="00FA1517"/>
    <w:rsid w:val="00FA1530"/>
    <w:rsid w:val="00FA1556"/>
    <w:rsid w:val="00FA1589"/>
    <w:rsid w:val="00FA164E"/>
    <w:rsid w:val="00FA167F"/>
    <w:rsid w:val="00FA16D4"/>
    <w:rsid w:val="00FA175C"/>
    <w:rsid w:val="00FA1786"/>
    <w:rsid w:val="00FA17F1"/>
    <w:rsid w:val="00FA1990"/>
    <w:rsid w:val="00FA19A9"/>
    <w:rsid w:val="00FA1A8F"/>
    <w:rsid w:val="00FA1AB6"/>
    <w:rsid w:val="00FA1B92"/>
    <w:rsid w:val="00FA1BA7"/>
    <w:rsid w:val="00FA1C47"/>
    <w:rsid w:val="00FA1C59"/>
    <w:rsid w:val="00FA1C6B"/>
    <w:rsid w:val="00FA1C6E"/>
    <w:rsid w:val="00FA1CAD"/>
    <w:rsid w:val="00FA1CC2"/>
    <w:rsid w:val="00FA1D1D"/>
    <w:rsid w:val="00FA1E30"/>
    <w:rsid w:val="00FA1F8C"/>
    <w:rsid w:val="00FA1FDF"/>
    <w:rsid w:val="00FA2234"/>
    <w:rsid w:val="00FA22B6"/>
    <w:rsid w:val="00FA22C3"/>
    <w:rsid w:val="00FA22D4"/>
    <w:rsid w:val="00FA23AE"/>
    <w:rsid w:val="00FA23EF"/>
    <w:rsid w:val="00FA248A"/>
    <w:rsid w:val="00FA2633"/>
    <w:rsid w:val="00FA2752"/>
    <w:rsid w:val="00FA2775"/>
    <w:rsid w:val="00FA2804"/>
    <w:rsid w:val="00FA281E"/>
    <w:rsid w:val="00FA2892"/>
    <w:rsid w:val="00FA28EE"/>
    <w:rsid w:val="00FA2954"/>
    <w:rsid w:val="00FA2AD1"/>
    <w:rsid w:val="00FA2B2F"/>
    <w:rsid w:val="00FA2B83"/>
    <w:rsid w:val="00FA2B88"/>
    <w:rsid w:val="00FA2BAB"/>
    <w:rsid w:val="00FA2BDF"/>
    <w:rsid w:val="00FA2C7B"/>
    <w:rsid w:val="00FA2CB2"/>
    <w:rsid w:val="00FA2CE4"/>
    <w:rsid w:val="00FA2D1C"/>
    <w:rsid w:val="00FA2D4D"/>
    <w:rsid w:val="00FA2E15"/>
    <w:rsid w:val="00FA2F3B"/>
    <w:rsid w:val="00FA2F96"/>
    <w:rsid w:val="00FA302F"/>
    <w:rsid w:val="00FA305B"/>
    <w:rsid w:val="00FA308E"/>
    <w:rsid w:val="00FA3141"/>
    <w:rsid w:val="00FA31F4"/>
    <w:rsid w:val="00FA31FE"/>
    <w:rsid w:val="00FA3202"/>
    <w:rsid w:val="00FA32CA"/>
    <w:rsid w:val="00FA351F"/>
    <w:rsid w:val="00FA3567"/>
    <w:rsid w:val="00FA35C9"/>
    <w:rsid w:val="00FA36F0"/>
    <w:rsid w:val="00FA3725"/>
    <w:rsid w:val="00FA3884"/>
    <w:rsid w:val="00FA3967"/>
    <w:rsid w:val="00FA3A72"/>
    <w:rsid w:val="00FA3A8B"/>
    <w:rsid w:val="00FA3AEB"/>
    <w:rsid w:val="00FA3B2B"/>
    <w:rsid w:val="00FA3B32"/>
    <w:rsid w:val="00FA3B6B"/>
    <w:rsid w:val="00FA3D77"/>
    <w:rsid w:val="00FA3E95"/>
    <w:rsid w:val="00FA3F7D"/>
    <w:rsid w:val="00FA3F88"/>
    <w:rsid w:val="00FA3FD2"/>
    <w:rsid w:val="00FA4027"/>
    <w:rsid w:val="00FA41E0"/>
    <w:rsid w:val="00FA42F2"/>
    <w:rsid w:val="00FA43BC"/>
    <w:rsid w:val="00FA4559"/>
    <w:rsid w:val="00FA45C1"/>
    <w:rsid w:val="00FA4725"/>
    <w:rsid w:val="00FA47C1"/>
    <w:rsid w:val="00FA4945"/>
    <w:rsid w:val="00FA49A6"/>
    <w:rsid w:val="00FA4B35"/>
    <w:rsid w:val="00FA4BB6"/>
    <w:rsid w:val="00FA4C46"/>
    <w:rsid w:val="00FA4C4A"/>
    <w:rsid w:val="00FA4DA0"/>
    <w:rsid w:val="00FA4DF3"/>
    <w:rsid w:val="00FA4E0D"/>
    <w:rsid w:val="00FA4E1A"/>
    <w:rsid w:val="00FA4E4F"/>
    <w:rsid w:val="00FA4E8A"/>
    <w:rsid w:val="00FA4F65"/>
    <w:rsid w:val="00FA501A"/>
    <w:rsid w:val="00FA50F3"/>
    <w:rsid w:val="00FA5212"/>
    <w:rsid w:val="00FA5303"/>
    <w:rsid w:val="00FA531D"/>
    <w:rsid w:val="00FA5365"/>
    <w:rsid w:val="00FA53BE"/>
    <w:rsid w:val="00FA5412"/>
    <w:rsid w:val="00FA545D"/>
    <w:rsid w:val="00FA5489"/>
    <w:rsid w:val="00FA55B8"/>
    <w:rsid w:val="00FA5609"/>
    <w:rsid w:val="00FA5688"/>
    <w:rsid w:val="00FA56D5"/>
    <w:rsid w:val="00FA56F9"/>
    <w:rsid w:val="00FA5782"/>
    <w:rsid w:val="00FA58FC"/>
    <w:rsid w:val="00FA5964"/>
    <w:rsid w:val="00FA5A02"/>
    <w:rsid w:val="00FA5AB6"/>
    <w:rsid w:val="00FA5AEB"/>
    <w:rsid w:val="00FA5AF7"/>
    <w:rsid w:val="00FA5B17"/>
    <w:rsid w:val="00FA5B63"/>
    <w:rsid w:val="00FA5BA1"/>
    <w:rsid w:val="00FA5BB3"/>
    <w:rsid w:val="00FA5C57"/>
    <w:rsid w:val="00FA5D8E"/>
    <w:rsid w:val="00FA5E33"/>
    <w:rsid w:val="00FA5E7E"/>
    <w:rsid w:val="00FA5EB6"/>
    <w:rsid w:val="00FA5EE9"/>
    <w:rsid w:val="00FA5F40"/>
    <w:rsid w:val="00FA5F60"/>
    <w:rsid w:val="00FA5F64"/>
    <w:rsid w:val="00FA5FCF"/>
    <w:rsid w:val="00FA60E4"/>
    <w:rsid w:val="00FA612F"/>
    <w:rsid w:val="00FA6172"/>
    <w:rsid w:val="00FA6265"/>
    <w:rsid w:val="00FA6269"/>
    <w:rsid w:val="00FA62DA"/>
    <w:rsid w:val="00FA6499"/>
    <w:rsid w:val="00FA64C9"/>
    <w:rsid w:val="00FA6533"/>
    <w:rsid w:val="00FA6673"/>
    <w:rsid w:val="00FA6682"/>
    <w:rsid w:val="00FA6683"/>
    <w:rsid w:val="00FA66E7"/>
    <w:rsid w:val="00FA682E"/>
    <w:rsid w:val="00FA685E"/>
    <w:rsid w:val="00FA6880"/>
    <w:rsid w:val="00FA68DB"/>
    <w:rsid w:val="00FA6919"/>
    <w:rsid w:val="00FA6AAD"/>
    <w:rsid w:val="00FA6AF6"/>
    <w:rsid w:val="00FA6B0A"/>
    <w:rsid w:val="00FA6B35"/>
    <w:rsid w:val="00FA6C78"/>
    <w:rsid w:val="00FA6C98"/>
    <w:rsid w:val="00FA6DAD"/>
    <w:rsid w:val="00FA6F20"/>
    <w:rsid w:val="00FA6FB0"/>
    <w:rsid w:val="00FA70D9"/>
    <w:rsid w:val="00FA71ED"/>
    <w:rsid w:val="00FA71F8"/>
    <w:rsid w:val="00FA7412"/>
    <w:rsid w:val="00FA742B"/>
    <w:rsid w:val="00FA7455"/>
    <w:rsid w:val="00FA7504"/>
    <w:rsid w:val="00FA7539"/>
    <w:rsid w:val="00FA7562"/>
    <w:rsid w:val="00FA7567"/>
    <w:rsid w:val="00FA756D"/>
    <w:rsid w:val="00FA75C6"/>
    <w:rsid w:val="00FA761C"/>
    <w:rsid w:val="00FA777F"/>
    <w:rsid w:val="00FA77CE"/>
    <w:rsid w:val="00FA78DD"/>
    <w:rsid w:val="00FA79AF"/>
    <w:rsid w:val="00FA79E7"/>
    <w:rsid w:val="00FA7B65"/>
    <w:rsid w:val="00FA7BD6"/>
    <w:rsid w:val="00FA7D8D"/>
    <w:rsid w:val="00FA7E24"/>
    <w:rsid w:val="00FA7F5E"/>
    <w:rsid w:val="00FAA231"/>
    <w:rsid w:val="00FB007D"/>
    <w:rsid w:val="00FB0096"/>
    <w:rsid w:val="00FB009F"/>
    <w:rsid w:val="00FB00D1"/>
    <w:rsid w:val="00FB017C"/>
    <w:rsid w:val="00FB0187"/>
    <w:rsid w:val="00FB01DC"/>
    <w:rsid w:val="00FB0299"/>
    <w:rsid w:val="00FB02CD"/>
    <w:rsid w:val="00FB02FF"/>
    <w:rsid w:val="00FB033E"/>
    <w:rsid w:val="00FB0468"/>
    <w:rsid w:val="00FB047B"/>
    <w:rsid w:val="00FB0492"/>
    <w:rsid w:val="00FB0499"/>
    <w:rsid w:val="00FB04ED"/>
    <w:rsid w:val="00FB06A7"/>
    <w:rsid w:val="00FB06F9"/>
    <w:rsid w:val="00FB0732"/>
    <w:rsid w:val="00FB07C5"/>
    <w:rsid w:val="00FB0820"/>
    <w:rsid w:val="00FB0881"/>
    <w:rsid w:val="00FB08D8"/>
    <w:rsid w:val="00FB0A6A"/>
    <w:rsid w:val="00FB0A84"/>
    <w:rsid w:val="00FB0ABF"/>
    <w:rsid w:val="00FB0AD1"/>
    <w:rsid w:val="00FB0C06"/>
    <w:rsid w:val="00FB0C1B"/>
    <w:rsid w:val="00FB0C81"/>
    <w:rsid w:val="00FB0D0E"/>
    <w:rsid w:val="00FB0D46"/>
    <w:rsid w:val="00FB0D73"/>
    <w:rsid w:val="00FB0DCC"/>
    <w:rsid w:val="00FB0E50"/>
    <w:rsid w:val="00FB0E66"/>
    <w:rsid w:val="00FB0FD4"/>
    <w:rsid w:val="00FB1035"/>
    <w:rsid w:val="00FB10A3"/>
    <w:rsid w:val="00FB1147"/>
    <w:rsid w:val="00FB1149"/>
    <w:rsid w:val="00FB11B7"/>
    <w:rsid w:val="00FB1294"/>
    <w:rsid w:val="00FB12B4"/>
    <w:rsid w:val="00FB12EE"/>
    <w:rsid w:val="00FB12F6"/>
    <w:rsid w:val="00FB12F7"/>
    <w:rsid w:val="00FB1308"/>
    <w:rsid w:val="00FB1311"/>
    <w:rsid w:val="00FB133D"/>
    <w:rsid w:val="00FB1563"/>
    <w:rsid w:val="00FB1607"/>
    <w:rsid w:val="00FB1627"/>
    <w:rsid w:val="00FB163A"/>
    <w:rsid w:val="00FB1652"/>
    <w:rsid w:val="00FB16C9"/>
    <w:rsid w:val="00FB1714"/>
    <w:rsid w:val="00FB1757"/>
    <w:rsid w:val="00FB1776"/>
    <w:rsid w:val="00FB17F4"/>
    <w:rsid w:val="00FB185F"/>
    <w:rsid w:val="00FB1869"/>
    <w:rsid w:val="00FB18DD"/>
    <w:rsid w:val="00FB1934"/>
    <w:rsid w:val="00FB1991"/>
    <w:rsid w:val="00FB1AC3"/>
    <w:rsid w:val="00FB1B0D"/>
    <w:rsid w:val="00FB1B6B"/>
    <w:rsid w:val="00FB1BCA"/>
    <w:rsid w:val="00FB1BF6"/>
    <w:rsid w:val="00FB1C17"/>
    <w:rsid w:val="00FB1C21"/>
    <w:rsid w:val="00FB1C69"/>
    <w:rsid w:val="00FB1CE1"/>
    <w:rsid w:val="00FB1CF7"/>
    <w:rsid w:val="00FB1D75"/>
    <w:rsid w:val="00FB1D8D"/>
    <w:rsid w:val="00FB1DA2"/>
    <w:rsid w:val="00FB1EDE"/>
    <w:rsid w:val="00FB1EFE"/>
    <w:rsid w:val="00FB1F17"/>
    <w:rsid w:val="00FB2092"/>
    <w:rsid w:val="00FB20BB"/>
    <w:rsid w:val="00FB20DB"/>
    <w:rsid w:val="00FB2167"/>
    <w:rsid w:val="00FB2170"/>
    <w:rsid w:val="00FB21B2"/>
    <w:rsid w:val="00FB21B9"/>
    <w:rsid w:val="00FB223D"/>
    <w:rsid w:val="00FB22D8"/>
    <w:rsid w:val="00FB23A0"/>
    <w:rsid w:val="00FB23D3"/>
    <w:rsid w:val="00FB23D4"/>
    <w:rsid w:val="00FB2479"/>
    <w:rsid w:val="00FB24B1"/>
    <w:rsid w:val="00FB24C0"/>
    <w:rsid w:val="00FB250B"/>
    <w:rsid w:val="00FB2519"/>
    <w:rsid w:val="00FB25DD"/>
    <w:rsid w:val="00FB261C"/>
    <w:rsid w:val="00FB2624"/>
    <w:rsid w:val="00FB2691"/>
    <w:rsid w:val="00FB26D5"/>
    <w:rsid w:val="00FB26DF"/>
    <w:rsid w:val="00FB2748"/>
    <w:rsid w:val="00FB280D"/>
    <w:rsid w:val="00FB28C6"/>
    <w:rsid w:val="00FB28FD"/>
    <w:rsid w:val="00FB2A1B"/>
    <w:rsid w:val="00FB2CD6"/>
    <w:rsid w:val="00FB2D61"/>
    <w:rsid w:val="00FB2DBA"/>
    <w:rsid w:val="00FB2E82"/>
    <w:rsid w:val="00FB3001"/>
    <w:rsid w:val="00FB312B"/>
    <w:rsid w:val="00FB320F"/>
    <w:rsid w:val="00FB3289"/>
    <w:rsid w:val="00FB33F7"/>
    <w:rsid w:val="00FB3423"/>
    <w:rsid w:val="00FB355D"/>
    <w:rsid w:val="00FB356C"/>
    <w:rsid w:val="00FB35F1"/>
    <w:rsid w:val="00FB363F"/>
    <w:rsid w:val="00FB372F"/>
    <w:rsid w:val="00FB374F"/>
    <w:rsid w:val="00FB37A7"/>
    <w:rsid w:val="00FB3817"/>
    <w:rsid w:val="00FB3850"/>
    <w:rsid w:val="00FB3888"/>
    <w:rsid w:val="00FB38AA"/>
    <w:rsid w:val="00FB38B7"/>
    <w:rsid w:val="00FB3934"/>
    <w:rsid w:val="00FB397C"/>
    <w:rsid w:val="00FB39A9"/>
    <w:rsid w:val="00FB39E3"/>
    <w:rsid w:val="00FB39F0"/>
    <w:rsid w:val="00FB3A0E"/>
    <w:rsid w:val="00FB3A66"/>
    <w:rsid w:val="00FB3A81"/>
    <w:rsid w:val="00FB3ADA"/>
    <w:rsid w:val="00FB3BFF"/>
    <w:rsid w:val="00FB3CC3"/>
    <w:rsid w:val="00FB4008"/>
    <w:rsid w:val="00FB408F"/>
    <w:rsid w:val="00FB413A"/>
    <w:rsid w:val="00FB41AF"/>
    <w:rsid w:val="00FB420F"/>
    <w:rsid w:val="00FB4243"/>
    <w:rsid w:val="00FB4259"/>
    <w:rsid w:val="00FB42B9"/>
    <w:rsid w:val="00FB4406"/>
    <w:rsid w:val="00FB444B"/>
    <w:rsid w:val="00FB44BA"/>
    <w:rsid w:val="00FB4524"/>
    <w:rsid w:val="00FB4554"/>
    <w:rsid w:val="00FB4610"/>
    <w:rsid w:val="00FB4627"/>
    <w:rsid w:val="00FB46C8"/>
    <w:rsid w:val="00FB4777"/>
    <w:rsid w:val="00FB4836"/>
    <w:rsid w:val="00FB4839"/>
    <w:rsid w:val="00FB48D0"/>
    <w:rsid w:val="00FB49B3"/>
    <w:rsid w:val="00FB4A01"/>
    <w:rsid w:val="00FB4AEB"/>
    <w:rsid w:val="00FB4C22"/>
    <w:rsid w:val="00FB4CE3"/>
    <w:rsid w:val="00FB4EA3"/>
    <w:rsid w:val="00FB4EFE"/>
    <w:rsid w:val="00FB4F68"/>
    <w:rsid w:val="00FB5014"/>
    <w:rsid w:val="00FB5030"/>
    <w:rsid w:val="00FB50DD"/>
    <w:rsid w:val="00FB50E0"/>
    <w:rsid w:val="00FB510E"/>
    <w:rsid w:val="00FB520A"/>
    <w:rsid w:val="00FB5220"/>
    <w:rsid w:val="00FB5268"/>
    <w:rsid w:val="00FB526E"/>
    <w:rsid w:val="00FB52A7"/>
    <w:rsid w:val="00FB52CD"/>
    <w:rsid w:val="00FB52D6"/>
    <w:rsid w:val="00FB52DA"/>
    <w:rsid w:val="00FB537B"/>
    <w:rsid w:val="00FB5504"/>
    <w:rsid w:val="00FB555B"/>
    <w:rsid w:val="00FB55E7"/>
    <w:rsid w:val="00FB5704"/>
    <w:rsid w:val="00FB576E"/>
    <w:rsid w:val="00FB5771"/>
    <w:rsid w:val="00FB58C4"/>
    <w:rsid w:val="00FB58EF"/>
    <w:rsid w:val="00FB5A57"/>
    <w:rsid w:val="00FB5C13"/>
    <w:rsid w:val="00FB5C42"/>
    <w:rsid w:val="00FB5DB1"/>
    <w:rsid w:val="00FB5E02"/>
    <w:rsid w:val="00FB5E6C"/>
    <w:rsid w:val="00FB5F46"/>
    <w:rsid w:val="00FB5F49"/>
    <w:rsid w:val="00FB5F4F"/>
    <w:rsid w:val="00FB6027"/>
    <w:rsid w:val="00FB60C6"/>
    <w:rsid w:val="00FB60CC"/>
    <w:rsid w:val="00FB60E2"/>
    <w:rsid w:val="00FB60E7"/>
    <w:rsid w:val="00FB61C8"/>
    <w:rsid w:val="00FB623C"/>
    <w:rsid w:val="00FB625C"/>
    <w:rsid w:val="00FB62B7"/>
    <w:rsid w:val="00FB6314"/>
    <w:rsid w:val="00FB6358"/>
    <w:rsid w:val="00FB6477"/>
    <w:rsid w:val="00FB64C3"/>
    <w:rsid w:val="00FB6529"/>
    <w:rsid w:val="00FB660C"/>
    <w:rsid w:val="00FB6613"/>
    <w:rsid w:val="00FB6684"/>
    <w:rsid w:val="00FB676E"/>
    <w:rsid w:val="00FB67D0"/>
    <w:rsid w:val="00FB67F8"/>
    <w:rsid w:val="00FB6860"/>
    <w:rsid w:val="00FB68D1"/>
    <w:rsid w:val="00FB690A"/>
    <w:rsid w:val="00FB6931"/>
    <w:rsid w:val="00FB6947"/>
    <w:rsid w:val="00FB69B7"/>
    <w:rsid w:val="00FB69DD"/>
    <w:rsid w:val="00FB6A0C"/>
    <w:rsid w:val="00FB6A20"/>
    <w:rsid w:val="00FB6A8F"/>
    <w:rsid w:val="00FB6B2F"/>
    <w:rsid w:val="00FB6BAE"/>
    <w:rsid w:val="00FB6BF7"/>
    <w:rsid w:val="00FB6C73"/>
    <w:rsid w:val="00FB6E95"/>
    <w:rsid w:val="00FB6FBB"/>
    <w:rsid w:val="00FB6FBC"/>
    <w:rsid w:val="00FB7014"/>
    <w:rsid w:val="00FB7033"/>
    <w:rsid w:val="00FB70FA"/>
    <w:rsid w:val="00FB70FD"/>
    <w:rsid w:val="00FB7119"/>
    <w:rsid w:val="00FB711A"/>
    <w:rsid w:val="00FB7180"/>
    <w:rsid w:val="00FB7206"/>
    <w:rsid w:val="00FB72BF"/>
    <w:rsid w:val="00FB72C3"/>
    <w:rsid w:val="00FB7330"/>
    <w:rsid w:val="00FB748A"/>
    <w:rsid w:val="00FB751F"/>
    <w:rsid w:val="00FB752E"/>
    <w:rsid w:val="00FB75EC"/>
    <w:rsid w:val="00FB7629"/>
    <w:rsid w:val="00FB764B"/>
    <w:rsid w:val="00FB76CC"/>
    <w:rsid w:val="00FB7749"/>
    <w:rsid w:val="00FB77F9"/>
    <w:rsid w:val="00FB7802"/>
    <w:rsid w:val="00FB7857"/>
    <w:rsid w:val="00FB787D"/>
    <w:rsid w:val="00FB7929"/>
    <w:rsid w:val="00FB7952"/>
    <w:rsid w:val="00FB7987"/>
    <w:rsid w:val="00FB7A11"/>
    <w:rsid w:val="00FB7A8F"/>
    <w:rsid w:val="00FB7BD0"/>
    <w:rsid w:val="00FB7BF6"/>
    <w:rsid w:val="00FB7C04"/>
    <w:rsid w:val="00FB7C35"/>
    <w:rsid w:val="00FB7C83"/>
    <w:rsid w:val="00FB7D53"/>
    <w:rsid w:val="00FB7D5C"/>
    <w:rsid w:val="00FB7E19"/>
    <w:rsid w:val="00FB7E1F"/>
    <w:rsid w:val="00FB7F4E"/>
    <w:rsid w:val="00FB7F83"/>
    <w:rsid w:val="00FBC368"/>
    <w:rsid w:val="00FC00CD"/>
    <w:rsid w:val="00FC00F1"/>
    <w:rsid w:val="00FC0133"/>
    <w:rsid w:val="00FC013C"/>
    <w:rsid w:val="00FC0271"/>
    <w:rsid w:val="00FC027C"/>
    <w:rsid w:val="00FC031F"/>
    <w:rsid w:val="00FC03DB"/>
    <w:rsid w:val="00FC0400"/>
    <w:rsid w:val="00FC0424"/>
    <w:rsid w:val="00FC04D0"/>
    <w:rsid w:val="00FC04ED"/>
    <w:rsid w:val="00FC0746"/>
    <w:rsid w:val="00FC07A0"/>
    <w:rsid w:val="00FC07C3"/>
    <w:rsid w:val="00FC07E1"/>
    <w:rsid w:val="00FC0846"/>
    <w:rsid w:val="00FC086B"/>
    <w:rsid w:val="00FC093D"/>
    <w:rsid w:val="00FC0960"/>
    <w:rsid w:val="00FC0971"/>
    <w:rsid w:val="00FC09F1"/>
    <w:rsid w:val="00FC0A61"/>
    <w:rsid w:val="00FC0ABD"/>
    <w:rsid w:val="00FC0B1B"/>
    <w:rsid w:val="00FC0B51"/>
    <w:rsid w:val="00FC0B65"/>
    <w:rsid w:val="00FC0CC8"/>
    <w:rsid w:val="00FC0CD0"/>
    <w:rsid w:val="00FC0DB4"/>
    <w:rsid w:val="00FC0EB4"/>
    <w:rsid w:val="00FC0EB5"/>
    <w:rsid w:val="00FC0EDF"/>
    <w:rsid w:val="00FC0F43"/>
    <w:rsid w:val="00FC0F66"/>
    <w:rsid w:val="00FC0F68"/>
    <w:rsid w:val="00FC1064"/>
    <w:rsid w:val="00FC1090"/>
    <w:rsid w:val="00FC10B6"/>
    <w:rsid w:val="00FC10BB"/>
    <w:rsid w:val="00FC11F6"/>
    <w:rsid w:val="00FC1244"/>
    <w:rsid w:val="00FC1328"/>
    <w:rsid w:val="00FC132F"/>
    <w:rsid w:val="00FC150F"/>
    <w:rsid w:val="00FC1541"/>
    <w:rsid w:val="00FC162D"/>
    <w:rsid w:val="00FC179B"/>
    <w:rsid w:val="00FC17DD"/>
    <w:rsid w:val="00FC184E"/>
    <w:rsid w:val="00FC187D"/>
    <w:rsid w:val="00FC1A37"/>
    <w:rsid w:val="00FC1B2F"/>
    <w:rsid w:val="00FC1C28"/>
    <w:rsid w:val="00FC1CFD"/>
    <w:rsid w:val="00FC1D17"/>
    <w:rsid w:val="00FC1DA8"/>
    <w:rsid w:val="00FC1F24"/>
    <w:rsid w:val="00FC1F90"/>
    <w:rsid w:val="00FC2099"/>
    <w:rsid w:val="00FC2113"/>
    <w:rsid w:val="00FC2166"/>
    <w:rsid w:val="00FC218F"/>
    <w:rsid w:val="00FC2205"/>
    <w:rsid w:val="00FC2270"/>
    <w:rsid w:val="00FC2292"/>
    <w:rsid w:val="00FC22FB"/>
    <w:rsid w:val="00FC23C7"/>
    <w:rsid w:val="00FC246E"/>
    <w:rsid w:val="00FC248A"/>
    <w:rsid w:val="00FC248D"/>
    <w:rsid w:val="00FC2490"/>
    <w:rsid w:val="00FC260E"/>
    <w:rsid w:val="00FC2636"/>
    <w:rsid w:val="00FC264E"/>
    <w:rsid w:val="00FC2668"/>
    <w:rsid w:val="00FC2729"/>
    <w:rsid w:val="00FC2847"/>
    <w:rsid w:val="00FC2888"/>
    <w:rsid w:val="00FC28A6"/>
    <w:rsid w:val="00FC2A7C"/>
    <w:rsid w:val="00FC2BAE"/>
    <w:rsid w:val="00FC2BF6"/>
    <w:rsid w:val="00FC2BFB"/>
    <w:rsid w:val="00FC2C57"/>
    <w:rsid w:val="00FC2D6A"/>
    <w:rsid w:val="00FC2D6B"/>
    <w:rsid w:val="00FC2E66"/>
    <w:rsid w:val="00FC2EDA"/>
    <w:rsid w:val="00FC2FF2"/>
    <w:rsid w:val="00FC3043"/>
    <w:rsid w:val="00FC3061"/>
    <w:rsid w:val="00FC30A1"/>
    <w:rsid w:val="00FC3227"/>
    <w:rsid w:val="00FC3459"/>
    <w:rsid w:val="00FC346F"/>
    <w:rsid w:val="00FC358E"/>
    <w:rsid w:val="00FC3673"/>
    <w:rsid w:val="00FC36FC"/>
    <w:rsid w:val="00FC373D"/>
    <w:rsid w:val="00FC3869"/>
    <w:rsid w:val="00FC38A5"/>
    <w:rsid w:val="00FC38AF"/>
    <w:rsid w:val="00FC39EA"/>
    <w:rsid w:val="00FC3ABA"/>
    <w:rsid w:val="00FC3B6F"/>
    <w:rsid w:val="00FC3C62"/>
    <w:rsid w:val="00FC3CEC"/>
    <w:rsid w:val="00FC3D15"/>
    <w:rsid w:val="00FC3EBF"/>
    <w:rsid w:val="00FC3EE1"/>
    <w:rsid w:val="00FC3F3A"/>
    <w:rsid w:val="00FC402B"/>
    <w:rsid w:val="00FC40E2"/>
    <w:rsid w:val="00FC4131"/>
    <w:rsid w:val="00FC422B"/>
    <w:rsid w:val="00FC438A"/>
    <w:rsid w:val="00FC43BC"/>
    <w:rsid w:val="00FC43CE"/>
    <w:rsid w:val="00FC447A"/>
    <w:rsid w:val="00FC453D"/>
    <w:rsid w:val="00FC455F"/>
    <w:rsid w:val="00FC45CB"/>
    <w:rsid w:val="00FC4617"/>
    <w:rsid w:val="00FC462A"/>
    <w:rsid w:val="00FC463F"/>
    <w:rsid w:val="00FC46A2"/>
    <w:rsid w:val="00FC46BB"/>
    <w:rsid w:val="00FC46CD"/>
    <w:rsid w:val="00FC4708"/>
    <w:rsid w:val="00FC4761"/>
    <w:rsid w:val="00FC48FF"/>
    <w:rsid w:val="00FC49DB"/>
    <w:rsid w:val="00FC4A67"/>
    <w:rsid w:val="00FC4B40"/>
    <w:rsid w:val="00FC4BA8"/>
    <w:rsid w:val="00FC4BCA"/>
    <w:rsid w:val="00FC4BDB"/>
    <w:rsid w:val="00FC4C4C"/>
    <w:rsid w:val="00FC4CE7"/>
    <w:rsid w:val="00FC4DE7"/>
    <w:rsid w:val="00FC4E2B"/>
    <w:rsid w:val="00FC4E71"/>
    <w:rsid w:val="00FC4E9A"/>
    <w:rsid w:val="00FC4EA9"/>
    <w:rsid w:val="00FC4EE0"/>
    <w:rsid w:val="00FC4F95"/>
    <w:rsid w:val="00FC4FC9"/>
    <w:rsid w:val="00FC5200"/>
    <w:rsid w:val="00FC526E"/>
    <w:rsid w:val="00FC52D9"/>
    <w:rsid w:val="00FC5301"/>
    <w:rsid w:val="00FC530B"/>
    <w:rsid w:val="00FC5340"/>
    <w:rsid w:val="00FC53A0"/>
    <w:rsid w:val="00FC53D6"/>
    <w:rsid w:val="00FC5473"/>
    <w:rsid w:val="00FC55A0"/>
    <w:rsid w:val="00FC55DA"/>
    <w:rsid w:val="00FC5670"/>
    <w:rsid w:val="00FC5723"/>
    <w:rsid w:val="00FC5769"/>
    <w:rsid w:val="00FC58B1"/>
    <w:rsid w:val="00FC59E3"/>
    <w:rsid w:val="00FC5A19"/>
    <w:rsid w:val="00FC5ABF"/>
    <w:rsid w:val="00FC5B54"/>
    <w:rsid w:val="00FC5BFB"/>
    <w:rsid w:val="00FC5C9C"/>
    <w:rsid w:val="00FC5D37"/>
    <w:rsid w:val="00FC5D51"/>
    <w:rsid w:val="00FC5D63"/>
    <w:rsid w:val="00FC5E43"/>
    <w:rsid w:val="00FC5EF9"/>
    <w:rsid w:val="00FC5F5D"/>
    <w:rsid w:val="00FC5F7A"/>
    <w:rsid w:val="00FC5F9E"/>
    <w:rsid w:val="00FC5FFB"/>
    <w:rsid w:val="00FC6119"/>
    <w:rsid w:val="00FC61A1"/>
    <w:rsid w:val="00FC61E0"/>
    <w:rsid w:val="00FC626C"/>
    <w:rsid w:val="00FC6316"/>
    <w:rsid w:val="00FC64B0"/>
    <w:rsid w:val="00FC6515"/>
    <w:rsid w:val="00FC65BA"/>
    <w:rsid w:val="00FC65F4"/>
    <w:rsid w:val="00FC6623"/>
    <w:rsid w:val="00FC6765"/>
    <w:rsid w:val="00FC67C2"/>
    <w:rsid w:val="00FC6841"/>
    <w:rsid w:val="00FC68CC"/>
    <w:rsid w:val="00FC690C"/>
    <w:rsid w:val="00FC69EE"/>
    <w:rsid w:val="00FC6A20"/>
    <w:rsid w:val="00FC6A3C"/>
    <w:rsid w:val="00FC6A41"/>
    <w:rsid w:val="00FC6AA5"/>
    <w:rsid w:val="00FC6ADB"/>
    <w:rsid w:val="00FC6B72"/>
    <w:rsid w:val="00FC6B7D"/>
    <w:rsid w:val="00FC6B8A"/>
    <w:rsid w:val="00FC6C52"/>
    <w:rsid w:val="00FC6DC0"/>
    <w:rsid w:val="00FC6E06"/>
    <w:rsid w:val="00FC6F57"/>
    <w:rsid w:val="00FC6FAF"/>
    <w:rsid w:val="00FC6FC7"/>
    <w:rsid w:val="00FC6FEC"/>
    <w:rsid w:val="00FC700B"/>
    <w:rsid w:val="00FC7076"/>
    <w:rsid w:val="00FC7167"/>
    <w:rsid w:val="00FC726E"/>
    <w:rsid w:val="00FC73AF"/>
    <w:rsid w:val="00FC73CD"/>
    <w:rsid w:val="00FC74A7"/>
    <w:rsid w:val="00FC753F"/>
    <w:rsid w:val="00FC7593"/>
    <w:rsid w:val="00FC76BD"/>
    <w:rsid w:val="00FC780B"/>
    <w:rsid w:val="00FC78E5"/>
    <w:rsid w:val="00FC7996"/>
    <w:rsid w:val="00FC79A7"/>
    <w:rsid w:val="00FC7A37"/>
    <w:rsid w:val="00FC7A8F"/>
    <w:rsid w:val="00FC7AAA"/>
    <w:rsid w:val="00FC7B73"/>
    <w:rsid w:val="00FC7BB1"/>
    <w:rsid w:val="00FC7C4A"/>
    <w:rsid w:val="00FC7C67"/>
    <w:rsid w:val="00FC7D53"/>
    <w:rsid w:val="00FC7D81"/>
    <w:rsid w:val="00FC7D92"/>
    <w:rsid w:val="00FC7DC7"/>
    <w:rsid w:val="00FC7E24"/>
    <w:rsid w:val="00FC7F58"/>
    <w:rsid w:val="00FC7F74"/>
    <w:rsid w:val="00FC7FC9"/>
    <w:rsid w:val="00FD0018"/>
    <w:rsid w:val="00FD00EC"/>
    <w:rsid w:val="00FD00F8"/>
    <w:rsid w:val="00FD015F"/>
    <w:rsid w:val="00FD01E6"/>
    <w:rsid w:val="00FD034F"/>
    <w:rsid w:val="00FD0358"/>
    <w:rsid w:val="00FD0375"/>
    <w:rsid w:val="00FD037F"/>
    <w:rsid w:val="00FD03ED"/>
    <w:rsid w:val="00FD04A9"/>
    <w:rsid w:val="00FD0510"/>
    <w:rsid w:val="00FD05BE"/>
    <w:rsid w:val="00FD0650"/>
    <w:rsid w:val="00FD0671"/>
    <w:rsid w:val="00FD06A2"/>
    <w:rsid w:val="00FD0704"/>
    <w:rsid w:val="00FD07C1"/>
    <w:rsid w:val="00FD07FF"/>
    <w:rsid w:val="00FD0803"/>
    <w:rsid w:val="00FD090F"/>
    <w:rsid w:val="00FD09D4"/>
    <w:rsid w:val="00FD09E9"/>
    <w:rsid w:val="00FD0A07"/>
    <w:rsid w:val="00FD0A50"/>
    <w:rsid w:val="00FD0BE7"/>
    <w:rsid w:val="00FD0C45"/>
    <w:rsid w:val="00FD0D89"/>
    <w:rsid w:val="00FD0E7F"/>
    <w:rsid w:val="00FD1034"/>
    <w:rsid w:val="00FD10EC"/>
    <w:rsid w:val="00FD1159"/>
    <w:rsid w:val="00FD1161"/>
    <w:rsid w:val="00FD1175"/>
    <w:rsid w:val="00FD117A"/>
    <w:rsid w:val="00FD11FF"/>
    <w:rsid w:val="00FD12E3"/>
    <w:rsid w:val="00FD1361"/>
    <w:rsid w:val="00FD1458"/>
    <w:rsid w:val="00FD1488"/>
    <w:rsid w:val="00FD14A7"/>
    <w:rsid w:val="00FD1512"/>
    <w:rsid w:val="00FD15AB"/>
    <w:rsid w:val="00FD1608"/>
    <w:rsid w:val="00FD1626"/>
    <w:rsid w:val="00FD1803"/>
    <w:rsid w:val="00FD18AA"/>
    <w:rsid w:val="00FD18C8"/>
    <w:rsid w:val="00FD1A61"/>
    <w:rsid w:val="00FD1CA7"/>
    <w:rsid w:val="00FD1CFE"/>
    <w:rsid w:val="00FD1D12"/>
    <w:rsid w:val="00FD1D3C"/>
    <w:rsid w:val="00FD1E74"/>
    <w:rsid w:val="00FD1EBE"/>
    <w:rsid w:val="00FD1F51"/>
    <w:rsid w:val="00FD1FAF"/>
    <w:rsid w:val="00FD1FFD"/>
    <w:rsid w:val="00FD2028"/>
    <w:rsid w:val="00FD218A"/>
    <w:rsid w:val="00FD2190"/>
    <w:rsid w:val="00FD21B4"/>
    <w:rsid w:val="00FD223B"/>
    <w:rsid w:val="00FD2366"/>
    <w:rsid w:val="00FD2400"/>
    <w:rsid w:val="00FD2403"/>
    <w:rsid w:val="00FD2508"/>
    <w:rsid w:val="00FD25D2"/>
    <w:rsid w:val="00FD260B"/>
    <w:rsid w:val="00FD265D"/>
    <w:rsid w:val="00FD26CF"/>
    <w:rsid w:val="00FD285A"/>
    <w:rsid w:val="00FD2862"/>
    <w:rsid w:val="00FD2965"/>
    <w:rsid w:val="00FD299A"/>
    <w:rsid w:val="00FD29BB"/>
    <w:rsid w:val="00FD2A1C"/>
    <w:rsid w:val="00FD2A8D"/>
    <w:rsid w:val="00FD2A97"/>
    <w:rsid w:val="00FD2A9F"/>
    <w:rsid w:val="00FD2B44"/>
    <w:rsid w:val="00FD2C16"/>
    <w:rsid w:val="00FD2CBD"/>
    <w:rsid w:val="00FD2D13"/>
    <w:rsid w:val="00FD2D3B"/>
    <w:rsid w:val="00FD2D76"/>
    <w:rsid w:val="00FD2E53"/>
    <w:rsid w:val="00FD2E9C"/>
    <w:rsid w:val="00FD2EC8"/>
    <w:rsid w:val="00FD2EDB"/>
    <w:rsid w:val="00FD2EED"/>
    <w:rsid w:val="00FD2FEA"/>
    <w:rsid w:val="00FD31A9"/>
    <w:rsid w:val="00FD32A0"/>
    <w:rsid w:val="00FD335D"/>
    <w:rsid w:val="00FD337F"/>
    <w:rsid w:val="00FD3394"/>
    <w:rsid w:val="00FD35A1"/>
    <w:rsid w:val="00FD35E8"/>
    <w:rsid w:val="00FD35F5"/>
    <w:rsid w:val="00FD361B"/>
    <w:rsid w:val="00FD362A"/>
    <w:rsid w:val="00FD3659"/>
    <w:rsid w:val="00FD36FF"/>
    <w:rsid w:val="00FD3711"/>
    <w:rsid w:val="00FD380F"/>
    <w:rsid w:val="00FD38DF"/>
    <w:rsid w:val="00FD38FC"/>
    <w:rsid w:val="00FD3907"/>
    <w:rsid w:val="00FD39C5"/>
    <w:rsid w:val="00FD3B53"/>
    <w:rsid w:val="00FD3B55"/>
    <w:rsid w:val="00FD3BEC"/>
    <w:rsid w:val="00FD3C15"/>
    <w:rsid w:val="00FD3D20"/>
    <w:rsid w:val="00FD3D63"/>
    <w:rsid w:val="00FD3DA3"/>
    <w:rsid w:val="00FD3E3E"/>
    <w:rsid w:val="00FD3F20"/>
    <w:rsid w:val="00FD3F61"/>
    <w:rsid w:val="00FD3FA4"/>
    <w:rsid w:val="00FD4000"/>
    <w:rsid w:val="00FD40AA"/>
    <w:rsid w:val="00FD4192"/>
    <w:rsid w:val="00FD4194"/>
    <w:rsid w:val="00FD41AA"/>
    <w:rsid w:val="00FD4375"/>
    <w:rsid w:val="00FD4427"/>
    <w:rsid w:val="00FD4446"/>
    <w:rsid w:val="00FD4587"/>
    <w:rsid w:val="00FD45FA"/>
    <w:rsid w:val="00FD464D"/>
    <w:rsid w:val="00FD4927"/>
    <w:rsid w:val="00FD4A61"/>
    <w:rsid w:val="00FD4B11"/>
    <w:rsid w:val="00FD4B69"/>
    <w:rsid w:val="00FD4BFB"/>
    <w:rsid w:val="00FD4C8E"/>
    <w:rsid w:val="00FD4CEE"/>
    <w:rsid w:val="00FD4D3E"/>
    <w:rsid w:val="00FD4E12"/>
    <w:rsid w:val="00FD4E3F"/>
    <w:rsid w:val="00FD4E92"/>
    <w:rsid w:val="00FD4F0A"/>
    <w:rsid w:val="00FD4F21"/>
    <w:rsid w:val="00FD4F22"/>
    <w:rsid w:val="00FD4F32"/>
    <w:rsid w:val="00FD4F4F"/>
    <w:rsid w:val="00FD507A"/>
    <w:rsid w:val="00FD50B1"/>
    <w:rsid w:val="00FD50B2"/>
    <w:rsid w:val="00FD50BA"/>
    <w:rsid w:val="00FD50C5"/>
    <w:rsid w:val="00FD50DB"/>
    <w:rsid w:val="00FD5140"/>
    <w:rsid w:val="00FD5169"/>
    <w:rsid w:val="00FD51C0"/>
    <w:rsid w:val="00FD5269"/>
    <w:rsid w:val="00FD52B2"/>
    <w:rsid w:val="00FD52F7"/>
    <w:rsid w:val="00FD53D5"/>
    <w:rsid w:val="00FD53F8"/>
    <w:rsid w:val="00FD544A"/>
    <w:rsid w:val="00FD5450"/>
    <w:rsid w:val="00FD550B"/>
    <w:rsid w:val="00FD5510"/>
    <w:rsid w:val="00FD554B"/>
    <w:rsid w:val="00FD55E4"/>
    <w:rsid w:val="00FD5618"/>
    <w:rsid w:val="00FD5706"/>
    <w:rsid w:val="00FD5807"/>
    <w:rsid w:val="00FD5866"/>
    <w:rsid w:val="00FD5878"/>
    <w:rsid w:val="00FD58EC"/>
    <w:rsid w:val="00FD5991"/>
    <w:rsid w:val="00FD5A45"/>
    <w:rsid w:val="00FD5A46"/>
    <w:rsid w:val="00FD5BCD"/>
    <w:rsid w:val="00FD5C9D"/>
    <w:rsid w:val="00FD5E32"/>
    <w:rsid w:val="00FD5E68"/>
    <w:rsid w:val="00FD5E73"/>
    <w:rsid w:val="00FD614B"/>
    <w:rsid w:val="00FD61A3"/>
    <w:rsid w:val="00FD6216"/>
    <w:rsid w:val="00FD623C"/>
    <w:rsid w:val="00FD629A"/>
    <w:rsid w:val="00FD6374"/>
    <w:rsid w:val="00FD63B5"/>
    <w:rsid w:val="00FD649C"/>
    <w:rsid w:val="00FD6596"/>
    <w:rsid w:val="00FD6747"/>
    <w:rsid w:val="00FD67AB"/>
    <w:rsid w:val="00FD67B3"/>
    <w:rsid w:val="00FD681C"/>
    <w:rsid w:val="00FD688C"/>
    <w:rsid w:val="00FD68AA"/>
    <w:rsid w:val="00FD6941"/>
    <w:rsid w:val="00FD6955"/>
    <w:rsid w:val="00FD6ADF"/>
    <w:rsid w:val="00FD6C23"/>
    <w:rsid w:val="00FD6CDB"/>
    <w:rsid w:val="00FD6E0F"/>
    <w:rsid w:val="00FD7019"/>
    <w:rsid w:val="00FD70F5"/>
    <w:rsid w:val="00FD7145"/>
    <w:rsid w:val="00FD71AF"/>
    <w:rsid w:val="00FD71EE"/>
    <w:rsid w:val="00FD72EE"/>
    <w:rsid w:val="00FD7391"/>
    <w:rsid w:val="00FD73E5"/>
    <w:rsid w:val="00FD7448"/>
    <w:rsid w:val="00FD75A0"/>
    <w:rsid w:val="00FD7635"/>
    <w:rsid w:val="00FD768A"/>
    <w:rsid w:val="00FD76C5"/>
    <w:rsid w:val="00FD775B"/>
    <w:rsid w:val="00FD7783"/>
    <w:rsid w:val="00FD783E"/>
    <w:rsid w:val="00FD7848"/>
    <w:rsid w:val="00FD7888"/>
    <w:rsid w:val="00FD7889"/>
    <w:rsid w:val="00FD78D1"/>
    <w:rsid w:val="00FD7A48"/>
    <w:rsid w:val="00FD7B46"/>
    <w:rsid w:val="00FD7C71"/>
    <w:rsid w:val="00FD7D17"/>
    <w:rsid w:val="00FD7E1D"/>
    <w:rsid w:val="00FD7EFD"/>
    <w:rsid w:val="00FD7F95"/>
    <w:rsid w:val="00FD7FD9"/>
    <w:rsid w:val="00FD7FEE"/>
    <w:rsid w:val="00FD7FF9"/>
    <w:rsid w:val="00FE0041"/>
    <w:rsid w:val="00FE01EE"/>
    <w:rsid w:val="00FE0241"/>
    <w:rsid w:val="00FE03D0"/>
    <w:rsid w:val="00FE0408"/>
    <w:rsid w:val="00FE0414"/>
    <w:rsid w:val="00FE054E"/>
    <w:rsid w:val="00FE057A"/>
    <w:rsid w:val="00FE057C"/>
    <w:rsid w:val="00FE058C"/>
    <w:rsid w:val="00FE06B7"/>
    <w:rsid w:val="00FE07D1"/>
    <w:rsid w:val="00FE0879"/>
    <w:rsid w:val="00FE08BE"/>
    <w:rsid w:val="00FE09E7"/>
    <w:rsid w:val="00FE0AA7"/>
    <w:rsid w:val="00FE0B79"/>
    <w:rsid w:val="00FE0BDD"/>
    <w:rsid w:val="00FE0BFF"/>
    <w:rsid w:val="00FE0CD4"/>
    <w:rsid w:val="00FE0E7F"/>
    <w:rsid w:val="00FE0EA2"/>
    <w:rsid w:val="00FE0ED3"/>
    <w:rsid w:val="00FE10AD"/>
    <w:rsid w:val="00FE112E"/>
    <w:rsid w:val="00FE117C"/>
    <w:rsid w:val="00FE12B2"/>
    <w:rsid w:val="00FE1376"/>
    <w:rsid w:val="00FE13A8"/>
    <w:rsid w:val="00FE13F5"/>
    <w:rsid w:val="00FE140A"/>
    <w:rsid w:val="00FE14CC"/>
    <w:rsid w:val="00FE15F5"/>
    <w:rsid w:val="00FE1609"/>
    <w:rsid w:val="00FE160F"/>
    <w:rsid w:val="00FE1632"/>
    <w:rsid w:val="00FE16EF"/>
    <w:rsid w:val="00FE1822"/>
    <w:rsid w:val="00FE182E"/>
    <w:rsid w:val="00FE18F1"/>
    <w:rsid w:val="00FE1932"/>
    <w:rsid w:val="00FE1990"/>
    <w:rsid w:val="00FE199B"/>
    <w:rsid w:val="00FE19F0"/>
    <w:rsid w:val="00FE19F9"/>
    <w:rsid w:val="00FE1A6B"/>
    <w:rsid w:val="00FE1A8E"/>
    <w:rsid w:val="00FE1AFB"/>
    <w:rsid w:val="00FE1B14"/>
    <w:rsid w:val="00FE1B9D"/>
    <w:rsid w:val="00FE1BA1"/>
    <w:rsid w:val="00FE1BEE"/>
    <w:rsid w:val="00FE1C07"/>
    <w:rsid w:val="00FE1C20"/>
    <w:rsid w:val="00FE1F12"/>
    <w:rsid w:val="00FE1F70"/>
    <w:rsid w:val="00FE1F8B"/>
    <w:rsid w:val="00FE2035"/>
    <w:rsid w:val="00FE2172"/>
    <w:rsid w:val="00FE21C4"/>
    <w:rsid w:val="00FE21FB"/>
    <w:rsid w:val="00FE21FD"/>
    <w:rsid w:val="00FE2259"/>
    <w:rsid w:val="00FE22E3"/>
    <w:rsid w:val="00FE2322"/>
    <w:rsid w:val="00FE2387"/>
    <w:rsid w:val="00FE243C"/>
    <w:rsid w:val="00FE2553"/>
    <w:rsid w:val="00FE2597"/>
    <w:rsid w:val="00FE25D3"/>
    <w:rsid w:val="00FE2659"/>
    <w:rsid w:val="00FE26C8"/>
    <w:rsid w:val="00FE2700"/>
    <w:rsid w:val="00FE2706"/>
    <w:rsid w:val="00FE2745"/>
    <w:rsid w:val="00FE274A"/>
    <w:rsid w:val="00FE2772"/>
    <w:rsid w:val="00FE27A9"/>
    <w:rsid w:val="00FE281E"/>
    <w:rsid w:val="00FE284E"/>
    <w:rsid w:val="00FE28B4"/>
    <w:rsid w:val="00FE28B5"/>
    <w:rsid w:val="00FE2978"/>
    <w:rsid w:val="00FE2A83"/>
    <w:rsid w:val="00FE2A93"/>
    <w:rsid w:val="00FE2B0C"/>
    <w:rsid w:val="00FE2C80"/>
    <w:rsid w:val="00FE2D0C"/>
    <w:rsid w:val="00FE30B9"/>
    <w:rsid w:val="00FE30C4"/>
    <w:rsid w:val="00FE30E0"/>
    <w:rsid w:val="00FE31A6"/>
    <w:rsid w:val="00FE31AA"/>
    <w:rsid w:val="00FE3200"/>
    <w:rsid w:val="00FE3254"/>
    <w:rsid w:val="00FE3356"/>
    <w:rsid w:val="00FE34E8"/>
    <w:rsid w:val="00FE351D"/>
    <w:rsid w:val="00FE359D"/>
    <w:rsid w:val="00FE35DC"/>
    <w:rsid w:val="00FE37BA"/>
    <w:rsid w:val="00FE3970"/>
    <w:rsid w:val="00FE3989"/>
    <w:rsid w:val="00FE39C0"/>
    <w:rsid w:val="00FE3BBB"/>
    <w:rsid w:val="00FE3C85"/>
    <w:rsid w:val="00FE3D03"/>
    <w:rsid w:val="00FE3D54"/>
    <w:rsid w:val="00FE3D89"/>
    <w:rsid w:val="00FE3E68"/>
    <w:rsid w:val="00FE3EAF"/>
    <w:rsid w:val="00FE3EBA"/>
    <w:rsid w:val="00FE3EE3"/>
    <w:rsid w:val="00FE3F24"/>
    <w:rsid w:val="00FE3F57"/>
    <w:rsid w:val="00FE4054"/>
    <w:rsid w:val="00FE4070"/>
    <w:rsid w:val="00FE408E"/>
    <w:rsid w:val="00FE40F2"/>
    <w:rsid w:val="00FE4199"/>
    <w:rsid w:val="00FE42C4"/>
    <w:rsid w:val="00FE42C8"/>
    <w:rsid w:val="00FE4347"/>
    <w:rsid w:val="00FE4446"/>
    <w:rsid w:val="00FE465F"/>
    <w:rsid w:val="00FE468E"/>
    <w:rsid w:val="00FE46E4"/>
    <w:rsid w:val="00FE4757"/>
    <w:rsid w:val="00FE479B"/>
    <w:rsid w:val="00FE47BE"/>
    <w:rsid w:val="00FE481C"/>
    <w:rsid w:val="00FE495E"/>
    <w:rsid w:val="00FE49A9"/>
    <w:rsid w:val="00FE49B9"/>
    <w:rsid w:val="00FE4A55"/>
    <w:rsid w:val="00FE4A74"/>
    <w:rsid w:val="00FE4B79"/>
    <w:rsid w:val="00FE4BA2"/>
    <w:rsid w:val="00FE4BA8"/>
    <w:rsid w:val="00FE4BD2"/>
    <w:rsid w:val="00FE4D67"/>
    <w:rsid w:val="00FE4D79"/>
    <w:rsid w:val="00FE4D9C"/>
    <w:rsid w:val="00FE4E34"/>
    <w:rsid w:val="00FE4E67"/>
    <w:rsid w:val="00FE4F60"/>
    <w:rsid w:val="00FE4F92"/>
    <w:rsid w:val="00FE5105"/>
    <w:rsid w:val="00FE51A1"/>
    <w:rsid w:val="00FE51C6"/>
    <w:rsid w:val="00FE51CC"/>
    <w:rsid w:val="00FE5330"/>
    <w:rsid w:val="00FE534C"/>
    <w:rsid w:val="00FE538D"/>
    <w:rsid w:val="00FE5446"/>
    <w:rsid w:val="00FE5560"/>
    <w:rsid w:val="00FE55AC"/>
    <w:rsid w:val="00FE55AD"/>
    <w:rsid w:val="00FE5690"/>
    <w:rsid w:val="00FE57DD"/>
    <w:rsid w:val="00FE57DF"/>
    <w:rsid w:val="00FE5870"/>
    <w:rsid w:val="00FE58BC"/>
    <w:rsid w:val="00FE5ABE"/>
    <w:rsid w:val="00FE5B47"/>
    <w:rsid w:val="00FE5CE5"/>
    <w:rsid w:val="00FE5D06"/>
    <w:rsid w:val="00FE5D40"/>
    <w:rsid w:val="00FE5DD2"/>
    <w:rsid w:val="00FE5E0C"/>
    <w:rsid w:val="00FE5ECA"/>
    <w:rsid w:val="00FE5F58"/>
    <w:rsid w:val="00FE5FAD"/>
    <w:rsid w:val="00FE60B4"/>
    <w:rsid w:val="00FE6173"/>
    <w:rsid w:val="00FE6281"/>
    <w:rsid w:val="00FE6705"/>
    <w:rsid w:val="00FE671F"/>
    <w:rsid w:val="00FE684F"/>
    <w:rsid w:val="00FE6906"/>
    <w:rsid w:val="00FE6951"/>
    <w:rsid w:val="00FE6966"/>
    <w:rsid w:val="00FE69EC"/>
    <w:rsid w:val="00FE6B52"/>
    <w:rsid w:val="00FE6B83"/>
    <w:rsid w:val="00FE6BA5"/>
    <w:rsid w:val="00FE6C9A"/>
    <w:rsid w:val="00FE6D37"/>
    <w:rsid w:val="00FE6DB6"/>
    <w:rsid w:val="00FE6DED"/>
    <w:rsid w:val="00FE6E3A"/>
    <w:rsid w:val="00FE6EE3"/>
    <w:rsid w:val="00FE6F33"/>
    <w:rsid w:val="00FE6F99"/>
    <w:rsid w:val="00FE6FAD"/>
    <w:rsid w:val="00FE6FC5"/>
    <w:rsid w:val="00FE700B"/>
    <w:rsid w:val="00FE707B"/>
    <w:rsid w:val="00FE71E9"/>
    <w:rsid w:val="00FE737A"/>
    <w:rsid w:val="00FE7469"/>
    <w:rsid w:val="00FE756B"/>
    <w:rsid w:val="00FE75E3"/>
    <w:rsid w:val="00FE76C6"/>
    <w:rsid w:val="00FE788C"/>
    <w:rsid w:val="00FE795F"/>
    <w:rsid w:val="00FE7A29"/>
    <w:rsid w:val="00FE7B41"/>
    <w:rsid w:val="00FE7B9C"/>
    <w:rsid w:val="00FE7C23"/>
    <w:rsid w:val="00FE7CFF"/>
    <w:rsid w:val="00FE7E25"/>
    <w:rsid w:val="00FF000D"/>
    <w:rsid w:val="00FF000F"/>
    <w:rsid w:val="00FF0076"/>
    <w:rsid w:val="00FF00C9"/>
    <w:rsid w:val="00FF0115"/>
    <w:rsid w:val="00FF011F"/>
    <w:rsid w:val="00FF02A9"/>
    <w:rsid w:val="00FF08AE"/>
    <w:rsid w:val="00FF09BF"/>
    <w:rsid w:val="00FF09CF"/>
    <w:rsid w:val="00FF0A01"/>
    <w:rsid w:val="00FF0A26"/>
    <w:rsid w:val="00FF0B9B"/>
    <w:rsid w:val="00FF0BFA"/>
    <w:rsid w:val="00FF0C9B"/>
    <w:rsid w:val="00FF0D4C"/>
    <w:rsid w:val="00FF0D5F"/>
    <w:rsid w:val="00FF0D72"/>
    <w:rsid w:val="00FF0E14"/>
    <w:rsid w:val="00FF0E4E"/>
    <w:rsid w:val="00FF0F75"/>
    <w:rsid w:val="00FF0FBD"/>
    <w:rsid w:val="00FF1038"/>
    <w:rsid w:val="00FF1039"/>
    <w:rsid w:val="00FF1088"/>
    <w:rsid w:val="00FF116D"/>
    <w:rsid w:val="00FF11C0"/>
    <w:rsid w:val="00FF1409"/>
    <w:rsid w:val="00FF1487"/>
    <w:rsid w:val="00FF1730"/>
    <w:rsid w:val="00FF184C"/>
    <w:rsid w:val="00FF1877"/>
    <w:rsid w:val="00FF18CB"/>
    <w:rsid w:val="00FF18E3"/>
    <w:rsid w:val="00FF1A50"/>
    <w:rsid w:val="00FF1A7D"/>
    <w:rsid w:val="00FF1BF5"/>
    <w:rsid w:val="00FF1C11"/>
    <w:rsid w:val="00FF1CB2"/>
    <w:rsid w:val="00FF1DCB"/>
    <w:rsid w:val="00FF1F7C"/>
    <w:rsid w:val="00FF1F9D"/>
    <w:rsid w:val="00FF2038"/>
    <w:rsid w:val="00FF2092"/>
    <w:rsid w:val="00FF211C"/>
    <w:rsid w:val="00FF21EC"/>
    <w:rsid w:val="00FF227D"/>
    <w:rsid w:val="00FF22F7"/>
    <w:rsid w:val="00FF2369"/>
    <w:rsid w:val="00FF2400"/>
    <w:rsid w:val="00FF255A"/>
    <w:rsid w:val="00FF26B9"/>
    <w:rsid w:val="00FF2800"/>
    <w:rsid w:val="00FF28B2"/>
    <w:rsid w:val="00FF28C8"/>
    <w:rsid w:val="00FF2912"/>
    <w:rsid w:val="00FF2915"/>
    <w:rsid w:val="00FF2935"/>
    <w:rsid w:val="00FF2A12"/>
    <w:rsid w:val="00FF2A2D"/>
    <w:rsid w:val="00FF2A7A"/>
    <w:rsid w:val="00FF2AC4"/>
    <w:rsid w:val="00FF2C53"/>
    <w:rsid w:val="00FF2C74"/>
    <w:rsid w:val="00FF2C8C"/>
    <w:rsid w:val="00FF2CFE"/>
    <w:rsid w:val="00FF2D12"/>
    <w:rsid w:val="00FF2DF0"/>
    <w:rsid w:val="00FF2DF2"/>
    <w:rsid w:val="00FF2F9E"/>
    <w:rsid w:val="00FF2FDE"/>
    <w:rsid w:val="00FF3120"/>
    <w:rsid w:val="00FF3162"/>
    <w:rsid w:val="00FF3197"/>
    <w:rsid w:val="00FF3344"/>
    <w:rsid w:val="00FF3455"/>
    <w:rsid w:val="00FF3469"/>
    <w:rsid w:val="00FF3491"/>
    <w:rsid w:val="00FF354F"/>
    <w:rsid w:val="00FF3564"/>
    <w:rsid w:val="00FF3615"/>
    <w:rsid w:val="00FF3648"/>
    <w:rsid w:val="00FF36CA"/>
    <w:rsid w:val="00FF376F"/>
    <w:rsid w:val="00FF3807"/>
    <w:rsid w:val="00FF38F9"/>
    <w:rsid w:val="00FF3935"/>
    <w:rsid w:val="00FF39D5"/>
    <w:rsid w:val="00FF3AFE"/>
    <w:rsid w:val="00FF3B2A"/>
    <w:rsid w:val="00FF3B2B"/>
    <w:rsid w:val="00FF3B70"/>
    <w:rsid w:val="00FF3BDA"/>
    <w:rsid w:val="00FF3BFB"/>
    <w:rsid w:val="00FF3C18"/>
    <w:rsid w:val="00FF3C6F"/>
    <w:rsid w:val="00FF3C73"/>
    <w:rsid w:val="00FF3DA9"/>
    <w:rsid w:val="00FF3E6F"/>
    <w:rsid w:val="00FF3E7C"/>
    <w:rsid w:val="00FF4229"/>
    <w:rsid w:val="00FF422E"/>
    <w:rsid w:val="00FF4375"/>
    <w:rsid w:val="00FF438C"/>
    <w:rsid w:val="00FF44CA"/>
    <w:rsid w:val="00FF4510"/>
    <w:rsid w:val="00FF4677"/>
    <w:rsid w:val="00FF473D"/>
    <w:rsid w:val="00FF4777"/>
    <w:rsid w:val="00FF489F"/>
    <w:rsid w:val="00FF4A76"/>
    <w:rsid w:val="00FF4AEC"/>
    <w:rsid w:val="00FF4AF4"/>
    <w:rsid w:val="00FF4C53"/>
    <w:rsid w:val="00FF4D03"/>
    <w:rsid w:val="00FF4D9E"/>
    <w:rsid w:val="00FF4E48"/>
    <w:rsid w:val="00FF4EBB"/>
    <w:rsid w:val="00FF50F6"/>
    <w:rsid w:val="00FF5181"/>
    <w:rsid w:val="00FF5187"/>
    <w:rsid w:val="00FF51E0"/>
    <w:rsid w:val="00FF5248"/>
    <w:rsid w:val="00FF52F3"/>
    <w:rsid w:val="00FF534A"/>
    <w:rsid w:val="00FF536E"/>
    <w:rsid w:val="00FF539B"/>
    <w:rsid w:val="00FF5455"/>
    <w:rsid w:val="00FF548E"/>
    <w:rsid w:val="00FF54B5"/>
    <w:rsid w:val="00FF552A"/>
    <w:rsid w:val="00FF5530"/>
    <w:rsid w:val="00FF568F"/>
    <w:rsid w:val="00FF569B"/>
    <w:rsid w:val="00FF586F"/>
    <w:rsid w:val="00FF5978"/>
    <w:rsid w:val="00FF597B"/>
    <w:rsid w:val="00FF5B4C"/>
    <w:rsid w:val="00FF5B6E"/>
    <w:rsid w:val="00FF5BB2"/>
    <w:rsid w:val="00FF5BD3"/>
    <w:rsid w:val="00FF5BE3"/>
    <w:rsid w:val="00FF5C09"/>
    <w:rsid w:val="00FF5C9A"/>
    <w:rsid w:val="00FF5DDD"/>
    <w:rsid w:val="00FF5E30"/>
    <w:rsid w:val="00FF5F14"/>
    <w:rsid w:val="00FF6051"/>
    <w:rsid w:val="00FF6083"/>
    <w:rsid w:val="00FF60AB"/>
    <w:rsid w:val="00FF60B7"/>
    <w:rsid w:val="00FF60C9"/>
    <w:rsid w:val="00FF60FD"/>
    <w:rsid w:val="00FF6120"/>
    <w:rsid w:val="00FF61F0"/>
    <w:rsid w:val="00FF6234"/>
    <w:rsid w:val="00FF628E"/>
    <w:rsid w:val="00FF62B5"/>
    <w:rsid w:val="00FF62DE"/>
    <w:rsid w:val="00FF6357"/>
    <w:rsid w:val="00FF6370"/>
    <w:rsid w:val="00FF637D"/>
    <w:rsid w:val="00FF6397"/>
    <w:rsid w:val="00FF63DD"/>
    <w:rsid w:val="00FF6403"/>
    <w:rsid w:val="00FF67CD"/>
    <w:rsid w:val="00FF686C"/>
    <w:rsid w:val="00FF68ED"/>
    <w:rsid w:val="00FF6A0A"/>
    <w:rsid w:val="00FF6B95"/>
    <w:rsid w:val="00FF6BCF"/>
    <w:rsid w:val="00FF6BE4"/>
    <w:rsid w:val="00FF6C04"/>
    <w:rsid w:val="00FF6C42"/>
    <w:rsid w:val="00FF6D22"/>
    <w:rsid w:val="00FF6D40"/>
    <w:rsid w:val="00FF6DE7"/>
    <w:rsid w:val="00FF6E16"/>
    <w:rsid w:val="00FF6E1B"/>
    <w:rsid w:val="00FF6F44"/>
    <w:rsid w:val="00FF70A8"/>
    <w:rsid w:val="00FF7131"/>
    <w:rsid w:val="00FF7137"/>
    <w:rsid w:val="00FF7237"/>
    <w:rsid w:val="00FF723E"/>
    <w:rsid w:val="00FF72EA"/>
    <w:rsid w:val="00FF7517"/>
    <w:rsid w:val="00FF7538"/>
    <w:rsid w:val="00FF7551"/>
    <w:rsid w:val="00FF756F"/>
    <w:rsid w:val="00FF7585"/>
    <w:rsid w:val="00FF75D8"/>
    <w:rsid w:val="00FF75D9"/>
    <w:rsid w:val="00FF7622"/>
    <w:rsid w:val="00FF7769"/>
    <w:rsid w:val="00FF789F"/>
    <w:rsid w:val="00FF78AA"/>
    <w:rsid w:val="00FF79C8"/>
    <w:rsid w:val="00FF79EE"/>
    <w:rsid w:val="00FF7A0A"/>
    <w:rsid w:val="00FF7A1A"/>
    <w:rsid w:val="00FF7A7E"/>
    <w:rsid w:val="00FF7ADD"/>
    <w:rsid w:val="00FF7AFE"/>
    <w:rsid w:val="00FF7C8F"/>
    <w:rsid w:val="00FF7CD9"/>
    <w:rsid w:val="00FF7D22"/>
    <w:rsid w:val="00FF7D46"/>
    <w:rsid w:val="00FF7D7E"/>
    <w:rsid w:val="00FF7DDB"/>
    <w:rsid w:val="00FF7E64"/>
    <w:rsid w:val="00FF7EA2"/>
    <w:rsid w:val="00FF7F0B"/>
    <w:rsid w:val="00FF7F2F"/>
    <w:rsid w:val="0100439F"/>
    <w:rsid w:val="01020DC3"/>
    <w:rsid w:val="0105B8B7"/>
    <w:rsid w:val="0109C669"/>
    <w:rsid w:val="010AB501"/>
    <w:rsid w:val="010EED8B"/>
    <w:rsid w:val="010FE614"/>
    <w:rsid w:val="0118258B"/>
    <w:rsid w:val="011A516B"/>
    <w:rsid w:val="011B2E8D"/>
    <w:rsid w:val="011E3F74"/>
    <w:rsid w:val="011F27B1"/>
    <w:rsid w:val="01247620"/>
    <w:rsid w:val="01298C90"/>
    <w:rsid w:val="012A134A"/>
    <w:rsid w:val="012C00F6"/>
    <w:rsid w:val="012C4BD5"/>
    <w:rsid w:val="012CA7F7"/>
    <w:rsid w:val="012ED370"/>
    <w:rsid w:val="012F6345"/>
    <w:rsid w:val="013471DA"/>
    <w:rsid w:val="013601AD"/>
    <w:rsid w:val="013D2555"/>
    <w:rsid w:val="013E2B42"/>
    <w:rsid w:val="014F895E"/>
    <w:rsid w:val="0151287D"/>
    <w:rsid w:val="01513295"/>
    <w:rsid w:val="0152933A"/>
    <w:rsid w:val="01543460"/>
    <w:rsid w:val="01575665"/>
    <w:rsid w:val="0159EA57"/>
    <w:rsid w:val="015DEB4F"/>
    <w:rsid w:val="015FE6A4"/>
    <w:rsid w:val="01606A9C"/>
    <w:rsid w:val="01679B96"/>
    <w:rsid w:val="0167F454"/>
    <w:rsid w:val="016AC616"/>
    <w:rsid w:val="016B89E9"/>
    <w:rsid w:val="017309B2"/>
    <w:rsid w:val="0173B176"/>
    <w:rsid w:val="0175933A"/>
    <w:rsid w:val="017961FF"/>
    <w:rsid w:val="017A1127"/>
    <w:rsid w:val="017C03CF"/>
    <w:rsid w:val="017CC3E9"/>
    <w:rsid w:val="017CD866"/>
    <w:rsid w:val="017DAB4C"/>
    <w:rsid w:val="0180D225"/>
    <w:rsid w:val="01862EF2"/>
    <w:rsid w:val="018B0D9F"/>
    <w:rsid w:val="018B1E82"/>
    <w:rsid w:val="018B8B4A"/>
    <w:rsid w:val="018D401F"/>
    <w:rsid w:val="018E170B"/>
    <w:rsid w:val="0190C10A"/>
    <w:rsid w:val="01948054"/>
    <w:rsid w:val="0195FDFC"/>
    <w:rsid w:val="019A063E"/>
    <w:rsid w:val="019B353C"/>
    <w:rsid w:val="019BD051"/>
    <w:rsid w:val="01A13BC8"/>
    <w:rsid w:val="01A2863A"/>
    <w:rsid w:val="01A95EA0"/>
    <w:rsid w:val="01AA37B8"/>
    <w:rsid w:val="01ACE3D5"/>
    <w:rsid w:val="01AD5A68"/>
    <w:rsid w:val="01AF597E"/>
    <w:rsid w:val="01B40584"/>
    <w:rsid w:val="01B52817"/>
    <w:rsid w:val="01B57DA9"/>
    <w:rsid w:val="01B907EC"/>
    <w:rsid w:val="01BE89AC"/>
    <w:rsid w:val="01C27463"/>
    <w:rsid w:val="01C4F565"/>
    <w:rsid w:val="01C5B7A7"/>
    <w:rsid w:val="01C5FD9C"/>
    <w:rsid w:val="01C72D22"/>
    <w:rsid w:val="01C79E21"/>
    <w:rsid w:val="01C7B30F"/>
    <w:rsid w:val="01D0B88D"/>
    <w:rsid w:val="01D8D35E"/>
    <w:rsid w:val="01DC02BE"/>
    <w:rsid w:val="01DC08DE"/>
    <w:rsid w:val="01DE532A"/>
    <w:rsid w:val="01DF2491"/>
    <w:rsid w:val="01DFCC5C"/>
    <w:rsid w:val="01E44BC7"/>
    <w:rsid w:val="01EA11A9"/>
    <w:rsid w:val="01EA3125"/>
    <w:rsid w:val="01EDF054"/>
    <w:rsid w:val="01F0B0C3"/>
    <w:rsid w:val="01F2CD13"/>
    <w:rsid w:val="01F36C7F"/>
    <w:rsid w:val="01F38F9F"/>
    <w:rsid w:val="01F56B34"/>
    <w:rsid w:val="01FC07CE"/>
    <w:rsid w:val="01FEDE63"/>
    <w:rsid w:val="01FF5363"/>
    <w:rsid w:val="0200BE27"/>
    <w:rsid w:val="0202EDD8"/>
    <w:rsid w:val="0204F7AB"/>
    <w:rsid w:val="020A5E39"/>
    <w:rsid w:val="020C9302"/>
    <w:rsid w:val="020CE6D5"/>
    <w:rsid w:val="020D7A24"/>
    <w:rsid w:val="020EF9DE"/>
    <w:rsid w:val="021225A5"/>
    <w:rsid w:val="0213B65C"/>
    <w:rsid w:val="021611C0"/>
    <w:rsid w:val="02195EE3"/>
    <w:rsid w:val="021A9180"/>
    <w:rsid w:val="021ABB9F"/>
    <w:rsid w:val="021B00EE"/>
    <w:rsid w:val="021B02CC"/>
    <w:rsid w:val="021CF3EF"/>
    <w:rsid w:val="021D2F8B"/>
    <w:rsid w:val="021DAD6B"/>
    <w:rsid w:val="0220DC10"/>
    <w:rsid w:val="022112C5"/>
    <w:rsid w:val="02246DC9"/>
    <w:rsid w:val="02250631"/>
    <w:rsid w:val="02262838"/>
    <w:rsid w:val="02278277"/>
    <w:rsid w:val="02282A5C"/>
    <w:rsid w:val="02287C21"/>
    <w:rsid w:val="022A8AAE"/>
    <w:rsid w:val="022BEDF4"/>
    <w:rsid w:val="022D0D40"/>
    <w:rsid w:val="02326329"/>
    <w:rsid w:val="02339A70"/>
    <w:rsid w:val="023ABED1"/>
    <w:rsid w:val="023D2538"/>
    <w:rsid w:val="0240A2B8"/>
    <w:rsid w:val="02414D6C"/>
    <w:rsid w:val="02415619"/>
    <w:rsid w:val="02429049"/>
    <w:rsid w:val="0242D85D"/>
    <w:rsid w:val="02430924"/>
    <w:rsid w:val="02437C67"/>
    <w:rsid w:val="02467278"/>
    <w:rsid w:val="0248F887"/>
    <w:rsid w:val="024945F9"/>
    <w:rsid w:val="024CF22A"/>
    <w:rsid w:val="024E309F"/>
    <w:rsid w:val="024E4F55"/>
    <w:rsid w:val="0251CD3F"/>
    <w:rsid w:val="0251F810"/>
    <w:rsid w:val="0253C65F"/>
    <w:rsid w:val="02540ABE"/>
    <w:rsid w:val="02565469"/>
    <w:rsid w:val="025AA7F5"/>
    <w:rsid w:val="02614C80"/>
    <w:rsid w:val="02615C3A"/>
    <w:rsid w:val="0262173A"/>
    <w:rsid w:val="02641B29"/>
    <w:rsid w:val="0264C815"/>
    <w:rsid w:val="02652B51"/>
    <w:rsid w:val="0265784B"/>
    <w:rsid w:val="0268622F"/>
    <w:rsid w:val="026A5BD7"/>
    <w:rsid w:val="026CABC4"/>
    <w:rsid w:val="0277B25B"/>
    <w:rsid w:val="027CC3E7"/>
    <w:rsid w:val="027F4CB0"/>
    <w:rsid w:val="027F8C34"/>
    <w:rsid w:val="0280660D"/>
    <w:rsid w:val="0282917F"/>
    <w:rsid w:val="028A114E"/>
    <w:rsid w:val="0290D87A"/>
    <w:rsid w:val="0293A11B"/>
    <w:rsid w:val="029630A1"/>
    <w:rsid w:val="0296601A"/>
    <w:rsid w:val="02990F08"/>
    <w:rsid w:val="029AA553"/>
    <w:rsid w:val="029D1C4D"/>
    <w:rsid w:val="02A01D17"/>
    <w:rsid w:val="02A2D578"/>
    <w:rsid w:val="02A31700"/>
    <w:rsid w:val="02A47343"/>
    <w:rsid w:val="02A6A51F"/>
    <w:rsid w:val="02A9D02E"/>
    <w:rsid w:val="02ACD352"/>
    <w:rsid w:val="02AF970F"/>
    <w:rsid w:val="02B138D2"/>
    <w:rsid w:val="02B2C85D"/>
    <w:rsid w:val="02B2F7B6"/>
    <w:rsid w:val="02B3BC59"/>
    <w:rsid w:val="02B60C74"/>
    <w:rsid w:val="02B76896"/>
    <w:rsid w:val="02B93779"/>
    <w:rsid w:val="02BC802E"/>
    <w:rsid w:val="02BCBF88"/>
    <w:rsid w:val="02BFD7A8"/>
    <w:rsid w:val="02C1A9EC"/>
    <w:rsid w:val="02C2C2F3"/>
    <w:rsid w:val="02C36F30"/>
    <w:rsid w:val="02C5A8A6"/>
    <w:rsid w:val="02C6A064"/>
    <w:rsid w:val="02C6C796"/>
    <w:rsid w:val="02C86B2A"/>
    <w:rsid w:val="02C98D0B"/>
    <w:rsid w:val="02CCE279"/>
    <w:rsid w:val="02CEF28A"/>
    <w:rsid w:val="02D26E69"/>
    <w:rsid w:val="02D34644"/>
    <w:rsid w:val="02D40E99"/>
    <w:rsid w:val="02D58375"/>
    <w:rsid w:val="02D99EA3"/>
    <w:rsid w:val="02DDACF0"/>
    <w:rsid w:val="02DF848B"/>
    <w:rsid w:val="02E45262"/>
    <w:rsid w:val="02E57726"/>
    <w:rsid w:val="02E6C489"/>
    <w:rsid w:val="02E7C31B"/>
    <w:rsid w:val="02EDB572"/>
    <w:rsid w:val="02F0D13F"/>
    <w:rsid w:val="02F26FE0"/>
    <w:rsid w:val="02F402AD"/>
    <w:rsid w:val="02F55F5E"/>
    <w:rsid w:val="02F593C7"/>
    <w:rsid w:val="02F94E2D"/>
    <w:rsid w:val="02F964A7"/>
    <w:rsid w:val="03007B22"/>
    <w:rsid w:val="0307897B"/>
    <w:rsid w:val="030BD155"/>
    <w:rsid w:val="031059E8"/>
    <w:rsid w:val="03113FFE"/>
    <w:rsid w:val="03125AEF"/>
    <w:rsid w:val="03147FF7"/>
    <w:rsid w:val="03182E6C"/>
    <w:rsid w:val="031C1F04"/>
    <w:rsid w:val="031CA033"/>
    <w:rsid w:val="031E14DD"/>
    <w:rsid w:val="031E870A"/>
    <w:rsid w:val="031F57B0"/>
    <w:rsid w:val="032436DA"/>
    <w:rsid w:val="032D8392"/>
    <w:rsid w:val="032E40B5"/>
    <w:rsid w:val="0332811D"/>
    <w:rsid w:val="0334FA56"/>
    <w:rsid w:val="033E6192"/>
    <w:rsid w:val="03401CAB"/>
    <w:rsid w:val="0342B9BD"/>
    <w:rsid w:val="03455188"/>
    <w:rsid w:val="03477FA8"/>
    <w:rsid w:val="03480227"/>
    <w:rsid w:val="034CF8DA"/>
    <w:rsid w:val="034E7F42"/>
    <w:rsid w:val="03508C03"/>
    <w:rsid w:val="0354CEC2"/>
    <w:rsid w:val="0355C0B5"/>
    <w:rsid w:val="03580AF6"/>
    <w:rsid w:val="0358748D"/>
    <w:rsid w:val="035AAD9E"/>
    <w:rsid w:val="035CA8EC"/>
    <w:rsid w:val="035CCCC5"/>
    <w:rsid w:val="035E399B"/>
    <w:rsid w:val="035F5C7A"/>
    <w:rsid w:val="0362112B"/>
    <w:rsid w:val="0363F3F0"/>
    <w:rsid w:val="0366FBE3"/>
    <w:rsid w:val="0369056D"/>
    <w:rsid w:val="036DAEAE"/>
    <w:rsid w:val="036DED4A"/>
    <w:rsid w:val="036EC5B4"/>
    <w:rsid w:val="036F0D19"/>
    <w:rsid w:val="036FA621"/>
    <w:rsid w:val="0376275E"/>
    <w:rsid w:val="037BEA73"/>
    <w:rsid w:val="037C3D00"/>
    <w:rsid w:val="0382D231"/>
    <w:rsid w:val="03857259"/>
    <w:rsid w:val="0385F573"/>
    <w:rsid w:val="03864C2C"/>
    <w:rsid w:val="03886068"/>
    <w:rsid w:val="03886E28"/>
    <w:rsid w:val="0390ADB7"/>
    <w:rsid w:val="03952524"/>
    <w:rsid w:val="03971B02"/>
    <w:rsid w:val="03988031"/>
    <w:rsid w:val="0398B8DF"/>
    <w:rsid w:val="03993F6B"/>
    <w:rsid w:val="039A088A"/>
    <w:rsid w:val="039AAFB8"/>
    <w:rsid w:val="039C1564"/>
    <w:rsid w:val="039E5638"/>
    <w:rsid w:val="03A69A3D"/>
    <w:rsid w:val="03A7F0FC"/>
    <w:rsid w:val="03AAC054"/>
    <w:rsid w:val="03AFA8FD"/>
    <w:rsid w:val="03B06637"/>
    <w:rsid w:val="03B0957F"/>
    <w:rsid w:val="03B0BE1D"/>
    <w:rsid w:val="03B1206A"/>
    <w:rsid w:val="03B2D743"/>
    <w:rsid w:val="03B401B6"/>
    <w:rsid w:val="03B43DBB"/>
    <w:rsid w:val="03B470B6"/>
    <w:rsid w:val="03B7B204"/>
    <w:rsid w:val="03BA5E75"/>
    <w:rsid w:val="03BBE9E8"/>
    <w:rsid w:val="03BDEAE6"/>
    <w:rsid w:val="03BF7784"/>
    <w:rsid w:val="03BF7E49"/>
    <w:rsid w:val="03C02708"/>
    <w:rsid w:val="03C13886"/>
    <w:rsid w:val="03C1FA36"/>
    <w:rsid w:val="03C1FEF2"/>
    <w:rsid w:val="03C2EC29"/>
    <w:rsid w:val="03C39479"/>
    <w:rsid w:val="03C59B3A"/>
    <w:rsid w:val="03C61B4E"/>
    <w:rsid w:val="03C807A9"/>
    <w:rsid w:val="03C95A31"/>
    <w:rsid w:val="03CB60BF"/>
    <w:rsid w:val="03CC8BAA"/>
    <w:rsid w:val="03CE3594"/>
    <w:rsid w:val="03D0A8DC"/>
    <w:rsid w:val="03D28C92"/>
    <w:rsid w:val="03D79D27"/>
    <w:rsid w:val="03D8F898"/>
    <w:rsid w:val="03D90B42"/>
    <w:rsid w:val="03DAE9B7"/>
    <w:rsid w:val="03DDFF73"/>
    <w:rsid w:val="03E0D60A"/>
    <w:rsid w:val="03E69912"/>
    <w:rsid w:val="03E82B41"/>
    <w:rsid w:val="03E9F46A"/>
    <w:rsid w:val="03EC510E"/>
    <w:rsid w:val="03EC72A6"/>
    <w:rsid w:val="03EEC8DD"/>
    <w:rsid w:val="03F2D91D"/>
    <w:rsid w:val="03F4D0F5"/>
    <w:rsid w:val="03F55C32"/>
    <w:rsid w:val="03FA4881"/>
    <w:rsid w:val="03FB61BD"/>
    <w:rsid w:val="03FF69A2"/>
    <w:rsid w:val="03FFC04C"/>
    <w:rsid w:val="040046B9"/>
    <w:rsid w:val="0403478E"/>
    <w:rsid w:val="0403C889"/>
    <w:rsid w:val="0403E280"/>
    <w:rsid w:val="040507D4"/>
    <w:rsid w:val="040510E0"/>
    <w:rsid w:val="0405A6F1"/>
    <w:rsid w:val="04068A55"/>
    <w:rsid w:val="04089D29"/>
    <w:rsid w:val="040AEF3C"/>
    <w:rsid w:val="040CF374"/>
    <w:rsid w:val="040D163D"/>
    <w:rsid w:val="040F93CC"/>
    <w:rsid w:val="041075D8"/>
    <w:rsid w:val="0412866E"/>
    <w:rsid w:val="04141304"/>
    <w:rsid w:val="041B240B"/>
    <w:rsid w:val="041C8954"/>
    <w:rsid w:val="041CDCE4"/>
    <w:rsid w:val="041FC7A8"/>
    <w:rsid w:val="0426804E"/>
    <w:rsid w:val="04271AFC"/>
    <w:rsid w:val="042A2123"/>
    <w:rsid w:val="042D4897"/>
    <w:rsid w:val="042DDBE9"/>
    <w:rsid w:val="042EFADF"/>
    <w:rsid w:val="0430A2F2"/>
    <w:rsid w:val="0430F0DF"/>
    <w:rsid w:val="043852CC"/>
    <w:rsid w:val="043C196F"/>
    <w:rsid w:val="043C5AD6"/>
    <w:rsid w:val="043CA770"/>
    <w:rsid w:val="043F5B9E"/>
    <w:rsid w:val="0440099C"/>
    <w:rsid w:val="0440E293"/>
    <w:rsid w:val="04463EB6"/>
    <w:rsid w:val="044CB3F6"/>
    <w:rsid w:val="044E927F"/>
    <w:rsid w:val="04519128"/>
    <w:rsid w:val="0453F795"/>
    <w:rsid w:val="0457262A"/>
    <w:rsid w:val="0459EE50"/>
    <w:rsid w:val="045C4B14"/>
    <w:rsid w:val="045F8EEE"/>
    <w:rsid w:val="0460EAB7"/>
    <w:rsid w:val="0461BF35"/>
    <w:rsid w:val="0463D530"/>
    <w:rsid w:val="046736C0"/>
    <w:rsid w:val="0469112B"/>
    <w:rsid w:val="046CCD72"/>
    <w:rsid w:val="046F6455"/>
    <w:rsid w:val="046F8293"/>
    <w:rsid w:val="04778F15"/>
    <w:rsid w:val="0478F1BF"/>
    <w:rsid w:val="047C6FE3"/>
    <w:rsid w:val="047E637E"/>
    <w:rsid w:val="0481FCEE"/>
    <w:rsid w:val="048241A1"/>
    <w:rsid w:val="04827D56"/>
    <w:rsid w:val="0485EA29"/>
    <w:rsid w:val="04892725"/>
    <w:rsid w:val="048942F8"/>
    <w:rsid w:val="048E0D89"/>
    <w:rsid w:val="048E5725"/>
    <w:rsid w:val="048EDEDB"/>
    <w:rsid w:val="048F3F0B"/>
    <w:rsid w:val="048FE841"/>
    <w:rsid w:val="04908008"/>
    <w:rsid w:val="049548E7"/>
    <w:rsid w:val="0497A9D5"/>
    <w:rsid w:val="049A21B9"/>
    <w:rsid w:val="049BE398"/>
    <w:rsid w:val="04A02301"/>
    <w:rsid w:val="04A0C285"/>
    <w:rsid w:val="04A1BC8F"/>
    <w:rsid w:val="04A6B3AC"/>
    <w:rsid w:val="04A79C21"/>
    <w:rsid w:val="04ADA144"/>
    <w:rsid w:val="04AE5486"/>
    <w:rsid w:val="04AE6B1F"/>
    <w:rsid w:val="04B3EB80"/>
    <w:rsid w:val="04C219D2"/>
    <w:rsid w:val="04C5721C"/>
    <w:rsid w:val="04C7C0EB"/>
    <w:rsid w:val="04C82795"/>
    <w:rsid w:val="04CDBF6E"/>
    <w:rsid w:val="04CE6476"/>
    <w:rsid w:val="04D0C892"/>
    <w:rsid w:val="04D18FA2"/>
    <w:rsid w:val="04D1F863"/>
    <w:rsid w:val="04D41D8D"/>
    <w:rsid w:val="04D530C5"/>
    <w:rsid w:val="04D587A1"/>
    <w:rsid w:val="04D7A9B9"/>
    <w:rsid w:val="04DAA169"/>
    <w:rsid w:val="04DB1B54"/>
    <w:rsid w:val="04DC5F70"/>
    <w:rsid w:val="04DEBBA2"/>
    <w:rsid w:val="04E207A0"/>
    <w:rsid w:val="04E28901"/>
    <w:rsid w:val="04E67C5A"/>
    <w:rsid w:val="04E86713"/>
    <w:rsid w:val="04ECE64E"/>
    <w:rsid w:val="04ECED8B"/>
    <w:rsid w:val="04EFC7CD"/>
    <w:rsid w:val="04F46F54"/>
    <w:rsid w:val="04F73A68"/>
    <w:rsid w:val="04F9760E"/>
    <w:rsid w:val="04FA1A7E"/>
    <w:rsid w:val="04FD7A20"/>
    <w:rsid w:val="05045C80"/>
    <w:rsid w:val="05048340"/>
    <w:rsid w:val="05051C19"/>
    <w:rsid w:val="050A369C"/>
    <w:rsid w:val="051276D7"/>
    <w:rsid w:val="051293DE"/>
    <w:rsid w:val="0516D740"/>
    <w:rsid w:val="05177BA7"/>
    <w:rsid w:val="051BB41F"/>
    <w:rsid w:val="052390DC"/>
    <w:rsid w:val="052479A4"/>
    <w:rsid w:val="0525366F"/>
    <w:rsid w:val="052B8648"/>
    <w:rsid w:val="052E3CBE"/>
    <w:rsid w:val="052E72DA"/>
    <w:rsid w:val="052EBA8E"/>
    <w:rsid w:val="0532DABC"/>
    <w:rsid w:val="0533A33B"/>
    <w:rsid w:val="0535835D"/>
    <w:rsid w:val="0539BECD"/>
    <w:rsid w:val="053D305A"/>
    <w:rsid w:val="053FCC13"/>
    <w:rsid w:val="0544CB8D"/>
    <w:rsid w:val="0545778E"/>
    <w:rsid w:val="05486C01"/>
    <w:rsid w:val="0548E98A"/>
    <w:rsid w:val="05502AFB"/>
    <w:rsid w:val="05528865"/>
    <w:rsid w:val="05528CCE"/>
    <w:rsid w:val="05591D21"/>
    <w:rsid w:val="05591FE5"/>
    <w:rsid w:val="055DF069"/>
    <w:rsid w:val="0560AEAF"/>
    <w:rsid w:val="05617CED"/>
    <w:rsid w:val="05621019"/>
    <w:rsid w:val="05647F1B"/>
    <w:rsid w:val="0566742F"/>
    <w:rsid w:val="056919A9"/>
    <w:rsid w:val="056CAF31"/>
    <w:rsid w:val="05750194"/>
    <w:rsid w:val="05787A70"/>
    <w:rsid w:val="057A4937"/>
    <w:rsid w:val="057A6F39"/>
    <w:rsid w:val="057DE121"/>
    <w:rsid w:val="057DE88E"/>
    <w:rsid w:val="057F4A52"/>
    <w:rsid w:val="0585D44E"/>
    <w:rsid w:val="058A373B"/>
    <w:rsid w:val="058AF4A6"/>
    <w:rsid w:val="058FBF4C"/>
    <w:rsid w:val="05904E62"/>
    <w:rsid w:val="0590AEB3"/>
    <w:rsid w:val="0592BC5A"/>
    <w:rsid w:val="05931DF5"/>
    <w:rsid w:val="0596D5CD"/>
    <w:rsid w:val="059AC87D"/>
    <w:rsid w:val="059B62D2"/>
    <w:rsid w:val="059CECAF"/>
    <w:rsid w:val="05A25683"/>
    <w:rsid w:val="05A4C985"/>
    <w:rsid w:val="05A922F8"/>
    <w:rsid w:val="05AB5831"/>
    <w:rsid w:val="05AB58F9"/>
    <w:rsid w:val="05AE16C1"/>
    <w:rsid w:val="05AEA8DA"/>
    <w:rsid w:val="05AFF6C1"/>
    <w:rsid w:val="05B25935"/>
    <w:rsid w:val="05B2D52C"/>
    <w:rsid w:val="05B38126"/>
    <w:rsid w:val="05B4DA6A"/>
    <w:rsid w:val="05BC5C2E"/>
    <w:rsid w:val="05BC9381"/>
    <w:rsid w:val="05C1DDB6"/>
    <w:rsid w:val="05C22B04"/>
    <w:rsid w:val="05C290B6"/>
    <w:rsid w:val="05C3924F"/>
    <w:rsid w:val="05C61C8F"/>
    <w:rsid w:val="05C6BBD2"/>
    <w:rsid w:val="05C9CF71"/>
    <w:rsid w:val="05CA06DA"/>
    <w:rsid w:val="05CD74C4"/>
    <w:rsid w:val="05D14737"/>
    <w:rsid w:val="05D5D6FC"/>
    <w:rsid w:val="05D66C6D"/>
    <w:rsid w:val="05D83047"/>
    <w:rsid w:val="05DA1EE5"/>
    <w:rsid w:val="05E331E5"/>
    <w:rsid w:val="05E49121"/>
    <w:rsid w:val="05E76BFE"/>
    <w:rsid w:val="05E89BB9"/>
    <w:rsid w:val="05EC79B0"/>
    <w:rsid w:val="05EDC144"/>
    <w:rsid w:val="05EDDD73"/>
    <w:rsid w:val="05F21F64"/>
    <w:rsid w:val="05F23C8C"/>
    <w:rsid w:val="05F5F3FA"/>
    <w:rsid w:val="05F635E0"/>
    <w:rsid w:val="05F7A80A"/>
    <w:rsid w:val="05F84E97"/>
    <w:rsid w:val="05F986B0"/>
    <w:rsid w:val="05F99CB2"/>
    <w:rsid w:val="05FA53EE"/>
    <w:rsid w:val="05FABD4C"/>
    <w:rsid w:val="05FB5021"/>
    <w:rsid w:val="06013DF3"/>
    <w:rsid w:val="06042D05"/>
    <w:rsid w:val="060502F3"/>
    <w:rsid w:val="06061186"/>
    <w:rsid w:val="060B391A"/>
    <w:rsid w:val="060EAB9F"/>
    <w:rsid w:val="0610CF3D"/>
    <w:rsid w:val="0612FD95"/>
    <w:rsid w:val="0617390B"/>
    <w:rsid w:val="0619F33C"/>
    <w:rsid w:val="061B641B"/>
    <w:rsid w:val="061E90D6"/>
    <w:rsid w:val="06242998"/>
    <w:rsid w:val="06262A68"/>
    <w:rsid w:val="0627921A"/>
    <w:rsid w:val="062B33D9"/>
    <w:rsid w:val="062B4755"/>
    <w:rsid w:val="062C552C"/>
    <w:rsid w:val="062FAC4F"/>
    <w:rsid w:val="063233D6"/>
    <w:rsid w:val="063380A1"/>
    <w:rsid w:val="06369C62"/>
    <w:rsid w:val="063708CC"/>
    <w:rsid w:val="0637B945"/>
    <w:rsid w:val="06384F8C"/>
    <w:rsid w:val="063E8369"/>
    <w:rsid w:val="063FE39B"/>
    <w:rsid w:val="064378AE"/>
    <w:rsid w:val="06481168"/>
    <w:rsid w:val="064AF8F9"/>
    <w:rsid w:val="064D5A0D"/>
    <w:rsid w:val="0650F90A"/>
    <w:rsid w:val="065356EA"/>
    <w:rsid w:val="06563A24"/>
    <w:rsid w:val="06578D5F"/>
    <w:rsid w:val="0658AE98"/>
    <w:rsid w:val="065C4A43"/>
    <w:rsid w:val="065E53C3"/>
    <w:rsid w:val="065FBDCD"/>
    <w:rsid w:val="06641834"/>
    <w:rsid w:val="0666EF25"/>
    <w:rsid w:val="0667A047"/>
    <w:rsid w:val="066E4A71"/>
    <w:rsid w:val="066EA83F"/>
    <w:rsid w:val="066F452B"/>
    <w:rsid w:val="06706FF5"/>
    <w:rsid w:val="067611DB"/>
    <w:rsid w:val="067BC78B"/>
    <w:rsid w:val="067D6F05"/>
    <w:rsid w:val="067DA4FA"/>
    <w:rsid w:val="067DCC5A"/>
    <w:rsid w:val="0681BB46"/>
    <w:rsid w:val="0682B98E"/>
    <w:rsid w:val="06857E1F"/>
    <w:rsid w:val="0686F0D6"/>
    <w:rsid w:val="068F9B51"/>
    <w:rsid w:val="069056EA"/>
    <w:rsid w:val="06908FD3"/>
    <w:rsid w:val="06934659"/>
    <w:rsid w:val="0695C634"/>
    <w:rsid w:val="06973B8E"/>
    <w:rsid w:val="069B3B09"/>
    <w:rsid w:val="069FF384"/>
    <w:rsid w:val="06A28CD6"/>
    <w:rsid w:val="06A4A741"/>
    <w:rsid w:val="06AA0639"/>
    <w:rsid w:val="06AD9EE3"/>
    <w:rsid w:val="06B0414E"/>
    <w:rsid w:val="06B1F762"/>
    <w:rsid w:val="06B5A198"/>
    <w:rsid w:val="06B616AE"/>
    <w:rsid w:val="06B84B5C"/>
    <w:rsid w:val="06BE582E"/>
    <w:rsid w:val="06BEF936"/>
    <w:rsid w:val="06C132F2"/>
    <w:rsid w:val="06C24BC6"/>
    <w:rsid w:val="06C89F2F"/>
    <w:rsid w:val="06CC1129"/>
    <w:rsid w:val="06CCE66A"/>
    <w:rsid w:val="06CF880E"/>
    <w:rsid w:val="06D1B739"/>
    <w:rsid w:val="06D71C53"/>
    <w:rsid w:val="06D9CA9A"/>
    <w:rsid w:val="06DD960E"/>
    <w:rsid w:val="06E1932D"/>
    <w:rsid w:val="06EAD5B8"/>
    <w:rsid w:val="06ECDEB0"/>
    <w:rsid w:val="06ED887E"/>
    <w:rsid w:val="06F16A69"/>
    <w:rsid w:val="06F30C69"/>
    <w:rsid w:val="06F49592"/>
    <w:rsid w:val="06F4A829"/>
    <w:rsid w:val="06F5D794"/>
    <w:rsid w:val="06FA7C49"/>
    <w:rsid w:val="0703AF7C"/>
    <w:rsid w:val="070763B1"/>
    <w:rsid w:val="070BBEF7"/>
    <w:rsid w:val="070E507F"/>
    <w:rsid w:val="071028D4"/>
    <w:rsid w:val="0710A8EA"/>
    <w:rsid w:val="0711125F"/>
    <w:rsid w:val="0712ABB0"/>
    <w:rsid w:val="0716A63F"/>
    <w:rsid w:val="07195120"/>
    <w:rsid w:val="0719CB1F"/>
    <w:rsid w:val="071A635E"/>
    <w:rsid w:val="071EA7E1"/>
    <w:rsid w:val="071ED9B3"/>
    <w:rsid w:val="071F2D23"/>
    <w:rsid w:val="07207B24"/>
    <w:rsid w:val="07210DE4"/>
    <w:rsid w:val="07216564"/>
    <w:rsid w:val="07221D34"/>
    <w:rsid w:val="0722BC95"/>
    <w:rsid w:val="07254B3D"/>
    <w:rsid w:val="072AEBB4"/>
    <w:rsid w:val="072E950D"/>
    <w:rsid w:val="0730D552"/>
    <w:rsid w:val="0733D2F4"/>
    <w:rsid w:val="0734909C"/>
    <w:rsid w:val="07349D63"/>
    <w:rsid w:val="07376DDC"/>
    <w:rsid w:val="0737D857"/>
    <w:rsid w:val="0737E9BB"/>
    <w:rsid w:val="073D0E0C"/>
    <w:rsid w:val="073F8F51"/>
    <w:rsid w:val="0740DF15"/>
    <w:rsid w:val="07426283"/>
    <w:rsid w:val="074475EA"/>
    <w:rsid w:val="074551D0"/>
    <w:rsid w:val="07468F5D"/>
    <w:rsid w:val="07480FD3"/>
    <w:rsid w:val="0748BE27"/>
    <w:rsid w:val="0749DB05"/>
    <w:rsid w:val="074ACF66"/>
    <w:rsid w:val="074B2008"/>
    <w:rsid w:val="074D05FA"/>
    <w:rsid w:val="074E3047"/>
    <w:rsid w:val="074F42FE"/>
    <w:rsid w:val="074FE110"/>
    <w:rsid w:val="07508E13"/>
    <w:rsid w:val="0753715A"/>
    <w:rsid w:val="075569DE"/>
    <w:rsid w:val="075961CB"/>
    <w:rsid w:val="0759BFCC"/>
    <w:rsid w:val="075F6BF7"/>
    <w:rsid w:val="07602E2C"/>
    <w:rsid w:val="07637081"/>
    <w:rsid w:val="0764A335"/>
    <w:rsid w:val="0768395B"/>
    <w:rsid w:val="076A72B6"/>
    <w:rsid w:val="076C0B05"/>
    <w:rsid w:val="076CD6DB"/>
    <w:rsid w:val="076CE703"/>
    <w:rsid w:val="076D27F5"/>
    <w:rsid w:val="076D3BEE"/>
    <w:rsid w:val="076E06BE"/>
    <w:rsid w:val="076F104E"/>
    <w:rsid w:val="076FC50A"/>
    <w:rsid w:val="0770E314"/>
    <w:rsid w:val="0771ACD4"/>
    <w:rsid w:val="077402F1"/>
    <w:rsid w:val="077A088F"/>
    <w:rsid w:val="077A4053"/>
    <w:rsid w:val="077B81C4"/>
    <w:rsid w:val="077EBBDF"/>
    <w:rsid w:val="07811B0A"/>
    <w:rsid w:val="07824471"/>
    <w:rsid w:val="07850B19"/>
    <w:rsid w:val="078602D3"/>
    <w:rsid w:val="0787BDAF"/>
    <w:rsid w:val="078AEF16"/>
    <w:rsid w:val="078D3C3C"/>
    <w:rsid w:val="078F1182"/>
    <w:rsid w:val="0793135C"/>
    <w:rsid w:val="07952A9F"/>
    <w:rsid w:val="079AED47"/>
    <w:rsid w:val="079C05E9"/>
    <w:rsid w:val="079FFC9A"/>
    <w:rsid w:val="07A08124"/>
    <w:rsid w:val="07A11D7C"/>
    <w:rsid w:val="07ABDD14"/>
    <w:rsid w:val="07AC6A26"/>
    <w:rsid w:val="07AD713F"/>
    <w:rsid w:val="07B05510"/>
    <w:rsid w:val="07B4EDF6"/>
    <w:rsid w:val="07B6FB24"/>
    <w:rsid w:val="07B71A22"/>
    <w:rsid w:val="07BC1A04"/>
    <w:rsid w:val="07BC6683"/>
    <w:rsid w:val="07BE0D7A"/>
    <w:rsid w:val="07BF0088"/>
    <w:rsid w:val="07C495A1"/>
    <w:rsid w:val="07C52C1F"/>
    <w:rsid w:val="07C58FB6"/>
    <w:rsid w:val="07CD78BB"/>
    <w:rsid w:val="07D5C248"/>
    <w:rsid w:val="07D93A14"/>
    <w:rsid w:val="07E214B5"/>
    <w:rsid w:val="07E9886F"/>
    <w:rsid w:val="07E9E532"/>
    <w:rsid w:val="07EB5A1C"/>
    <w:rsid w:val="07EDE1F1"/>
    <w:rsid w:val="07F0B41D"/>
    <w:rsid w:val="07F1B91E"/>
    <w:rsid w:val="07FB28D5"/>
    <w:rsid w:val="07FC45C8"/>
    <w:rsid w:val="07FD7C84"/>
    <w:rsid w:val="08001038"/>
    <w:rsid w:val="08032C40"/>
    <w:rsid w:val="0804A84E"/>
    <w:rsid w:val="080A1ACC"/>
    <w:rsid w:val="080AE3C0"/>
    <w:rsid w:val="080DAA3B"/>
    <w:rsid w:val="080E6463"/>
    <w:rsid w:val="080EBE9C"/>
    <w:rsid w:val="080F31A8"/>
    <w:rsid w:val="0810F7D8"/>
    <w:rsid w:val="0814632D"/>
    <w:rsid w:val="08155E4C"/>
    <w:rsid w:val="0817503E"/>
    <w:rsid w:val="0817A5A0"/>
    <w:rsid w:val="0818F8A8"/>
    <w:rsid w:val="081A5AD9"/>
    <w:rsid w:val="081B82BE"/>
    <w:rsid w:val="081CF8DE"/>
    <w:rsid w:val="08210B7E"/>
    <w:rsid w:val="08229E55"/>
    <w:rsid w:val="082641DF"/>
    <w:rsid w:val="0827685F"/>
    <w:rsid w:val="0827BD0A"/>
    <w:rsid w:val="082DE0FB"/>
    <w:rsid w:val="082ED44C"/>
    <w:rsid w:val="0830988A"/>
    <w:rsid w:val="0832ECC0"/>
    <w:rsid w:val="083591E1"/>
    <w:rsid w:val="083B75A8"/>
    <w:rsid w:val="083EA76A"/>
    <w:rsid w:val="0840FC01"/>
    <w:rsid w:val="0842C99E"/>
    <w:rsid w:val="0844E037"/>
    <w:rsid w:val="0845AEEF"/>
    <w:rsid w:val="08468857"/>
    <w:rsid w:val="084953BD"/>
    <w:rsid w:val="08496DD3"/>
    <w:rsid w:val="084EA102"/>
    <w:rsid w:val="084EBD80"/>
    <w:rsid w:val="0850B58D"/>
    <w:rsid w:val="0850DD75"/>
    <w:rsid w:val="08581ADE"/>
    <w:rsid w:val="0859A794"/>
    <w:rsid w:val="0862980D"/>
    <w:rsid w:val="0863AA04"/>
    <w:rsid w:val="0865EC6E"/>
    <w:rsid w:val="08699793"/>
    <w:rsid w:val="0869AE94"/>
    <w:rsid w:val="086F4497"/>
    <w:rsid w:val="0870A03F"/>
    <w:rsid w:val="0874DF39"/>
    <w:rsid w:val="08771032"/>
    <w:rsid w:val="087912A4"/>
    <w:rsid w:val="0879731E"/>
    <w:rsid w:val="08799408"/>
    <w:rsid w:val="087A041C"/>
    <w:rsid w:val="087A593B"/>
    <w:rsid w:val="087CD726"/>
    <w:rsid w:val="087CDA3A"/>
    <w:rsid w:val="087D212A"/>
    <w:rsid w:val="087E0BF2"/>
    <w:rsid w:val="087ED0A2"/>
    <w:rsid w:val="087F9C72"/>
    <w:rsid w:val="087FEB37"/>
    <w:rsid w:val="08821DE5"/>
    <w:rsid w:val="08833027"/>
    <w:rsid w:val="0883E875"/>
    <w:rsid w:val="088E9CDF"/>
    <w:rsid w:val="088F0D7E"/>
    <w:rsid w:val="0890CB78"/>
    <w:rsid w:val="08937C45"/>
    <w:rsid w:val="0894AEEA"/>
    <w:rsid w:val="0894B34A"/>
    <w:rsid w:val="089A4E6F"/>
    <w:rsid w:val="089AAAD1"/>
    <w:rsid w:val="089B8430"/>
    <w:rsid w:val="089D55E0"/>
    <w:rsid w:val="089F8CFF"/>
    <w:rsid w:val="089FB97E"/>
    <w:rsid w:val="08A089D5"/>
    <w:rsid w:val="08A2F352"/>
    <w:rsid w:val="08A6E1C3"/>
    <w:rsid w:val="08A7CFB7"/>
    <w:rsid w:val="08AB6105"/>
    <w:rsid w:val="08AEF286"/>
    <w:rsid w:val="08B3BABF"/>
    <w:rsid w:val="08B51C1F"/>
    <w:rsid w:val="08B677AA"/>
    <w:rsid w:val="08B6DCB9"/>
    <w:rsid w:val="08B71416"/>
    <w:rsid w:val="08B7A9ED"/>
    <w:rsid w:val="08BD0757"/>
    <w:rsid w:val="08C048DB"/>
    <w:rsid w:val="08C0ADC5"/>
    <w:rsid w:val="08C5087E"/>
    <w:rsid w:val="08C6BD17"/>
    <w:rsid w:val="08C876BB"/>
    <w:rsid w:val="08C8D131"/>
    <w:rsid w:val="08C9BFF1"/>
    <w:rsid w:val="08CBAF40"/>
    <w:rsid w:val="08D19799"/>
    <w:rsid w:val="08D82E6E"/>
    <w:rsid w:val="08D9CD76"/>
    <w:rsid w:val="08DB427F"/>
    <w:rsid w:val="08E1A08F"/>
    <w:rsid w:val="08E2514C"/>
    <w:rsid w:val="08E26B3C"/>
    <w:rsid w:val="08E429CA"/>
    <w:rsid w:val="08E4D139"/>
    <w:rsid w:val="08E64A8B"/>
    <w:rsid w:val="08E6DA88"/>
    <w:rsid w:val="08E76DC9"/>
    <w:rsid w:val="08E77DD3"/>
    <w:rsid w:val="08E98C99"/>
    <w:rsid w:val="08EAD175"/>
    <w:rsid w:val="08F07FCB"/>
    <w:rsid w:val="08F2C5CA"/>
    <w:rsid w:val="08F3FFF6"/>
    <w:rsid w:val="08F79712"/>
    <w:rsid w:val="08F9E7EF"/>
    <w:rsid w:val="08FD2825"/>
    <w:rsid w:val="08FE3E81"/>
    <w:rsid w:val="08FFF74C"/>
    <w:rsid w:val="0902CB34"/>
    <w:rsid w:val="09083C68"/>
    <w:rsid w:val="090D32A7"/>
    <w:rsid w:val="090DDAB5"/>
    <w:rsid w:val="091034C2"/>
    <w:rsid w:val="0914C473"/>
    <w:rsid w:val="09152C1D"/>
    <w:rsid w:val="09155860"/>
    <w:rsid w:val="09164601"/>
    <w:rsid w:val="0916F989"/>
    <w:rsid w:val="09196998"/>
    <w:rsid w:val="091B9842"/>
    <w:rsid w:val="091C2E40"/>
    <w:rsid w:val="091E29EA"/>
    <w:rsid w:val="091E4FEB"/>
    <w:rsid w:val="092804E1"/>
    <w:rsid w:val="092A9495"/>
    <w:rsid w:val="092D4613"/>
    <w:rsid w:val="092EADEA"/>
    <w:rsid w:val="0931D5A1"/>
    <w:rsid w:val="09353AA4"/>
    <w:rsid w:val="09355C33"/>
    <w:rsid w:val="0939D8A8"/>
    <w:rsid w:val="093C9FDB"/>
    <w:rsid w:val="0940FDD6"/>
    <w:rsid w:val="09428A6C"/>
    <w:rsid w:val="0944B8FD"/>
    <w:rsid w:val="0949FA8C"/>
    <w:rsid w:val="094AA8D2"/>
    <w:rsid w:val="094FA252"/>
    <w:rsid w:val="094FF2C8"/>
    <w:rsid w:val="09500F40"/>
    <w:rsid w:val="09517EC6"/>
    <w:rsid w:val="095AFE81"/>
    <w:rsid w:val="095B7CE8"/>
    <w:rsid w:val="095D8E4B"/>
    <w:rsid w:val="0960F448"/>
    <w:rsid w:val="096202C6"/>
    <w:rsid w:val="096418EC"/>
    <w:rsid w:val="0966E208"/>
    <w:rsid w:val="09675DC7"/>
    <w:rsid w:val="096A5081"/>
    <w:rsid w:val="096A80C9"/>
    <w:rsid w:val="096A9434"/>
    <w:rsid w:val="096CB0A0"/>
    <w:rsid w:val="096DF024"/>
    <w:rsid w:val="096E8638"/>
    <w:rsid w:val="096F9F25"/>
    <w:rsid w:val="0971571C"/>
    <w:rsid w:val="0977C3B3"/>
    <w:rsid w:val="097A1F78"/>
    <w:rsid w:val="097AD056"/>
    <w:rsid w:val="097B695E"/>
    <w:rsid w:val="097DC72F"/>
    <w:rsid w:val="09805265"/>
    <w:rsid w:val="0987AF82"/>
    <w:rsid w:val="098F117A"/>
    <w:rsid w:val="098F5634"/>
    <w:rsid w:val="098F6836"/>
    <w:rsid w:val="098FC29B"/>
    <w:rsid w:val="099305BE"/>
    <w:rsid w:val="09956700"/>
    <w:rsid w:val="099A84B3"/>
    <w:rsid w:val="099BDA7B"/>
    <w:rsid w:val="099D027F"/>
    <w:rsid w:val="099EF907"/>
    <w:rsid w:val="099F7BA3"/>
    <w:rsid w:val="09A3413B"/>
    <w:rsid w:val="09A342B0"/>
    <w:rsid w:val="09AD586B"/>
    <w:rsid w:val="09AFF9D1"/>
    <w:rsid w:val="09B1FCF2"/>
    <w:rsid w:val="09B52A2B"/>
    <w:rsid w:val="09B98E36"/>
    <w:rsid w:val="09BAD6A0"/>
    <w:rsid w:val="09BF03DF"/>
    <w:rsid w:val="09C17E68"/>
    <w:rsid w:val="09C56D25"/>
    <w:rsid w:val="09CAE856"/>
    <w:rsid w:val="09CB7386"/>
    <w:rsid w:val="09CB7A4F"/>
    <w:rsid w:val="09CCA9E4"/>
    <w:rsid w:val="09CDB2F8"/>
    <w:rsid w:val="09D08946"/>
    <w:rsid w:val="09D12C1F"/>
    <w:rsid w:val="09D242C1"/>
    <w:rsid w:val="09D774CD"/>
    <w:rsid w:val="09DDAF4B"/>
    <w:rsid w:val="09E043E4"/>
    <w:rsid w:val="09E1DB99"/>
    <w:rsid w:val="09E6EDD5"/>
    <w:rsid w:val="09E7BA54"/>
    <w:rsid w:val="09E8BE19"/>
    <w:rsid w:val="09EC2169"/>
    <w:rsid w:val="09EFABC1"/>
    <w:rsid w:val="09F8F600"/>
    <w:rsid w:val="09F96F3D"/>
    <w:rsid w:val="09FC04DF"/>
    <w:rsid w:val="09FFC959"/>
    <w:rsid w:val="0A01A8F2"/>
    <w:rsid w:val="0A042374"/>
    <w:rsid w:val="0A09B41C"/>
    <w:rsid w:val="0A0D0AC2"/>
    <w:rsid w:val="0A11072B"/>
    <w:rsid w:val="0A15B9E2"/>
    <w:rsid w:val="0A1714D0"/>
    <w:rsid w:val="0A18FF39"/>
    <w:rsid w:val="0A1BD6E5"/>
    <w:rsid w:val="0A1CCDB9"/>
    <w:rsid w:val="0A2720F5"/>
    <w:rsid w:val="0A273A18"/>
    <w:rsid w:val="0A28722A"/>
    <w:rsid w:val="0A28A4EA"/>
    <w:rsid w:val="0A2A9AB7"/>
    <w:rsid w:val="0A2B779D"/>
    <w:rsid w:val="0A2FEA2F"/>
    <w:rsid w:val="0A30F0AC"/>
    <w:rsid w:val="0A32AE4D"/>
    <w:rsid w:val="0A32DA4A"/>
    <w:rsid w:val="0A362FA9"/>
    <w:rsid w:val="0A391DD0"/>
    <w:rsid w:val="0A395F54"/>
    <w:rsid w:val="0A397247"/>
    <w:rsid w:val="0A3DCDDD"/>
    <w:rsid w:val="0A3E5A4D"/>
    <w:rsid w:val="0A41ACB9"/>
    <w:rsid w:val="0A44E12C"/>
    <w:rsid w:val="0A49A5E8"/>
    <w:rsid w:val="0A4A6741"/>
    <w:rsid w:val="0A4B61A4"/>
    <w:rsid w:val="0A4CEEE4"/>
    <w:rsid w:val="0A539F15"/>
    <w:rsid w:val="0A5AEC6D"/>
    <w:rsid w:val="0A5CADA1"/>
    <w:rsid w:val="0A5DC48B"/>
    <w:rsid w:val="0A628D70"/>
    <w:rsid w:val="0A633D97"/>
    <w:rsid w:val="0A638879"/>
    <w:rsid w:val="0A6AECC5"/>
    <w:rsid w:val="0A6B3705"/>
    <w:rsid w:val="0A6B971D"/>
    <w:rsid w:val="0A6CEF36"/>
    <w:rsid w:val="0A6D6F89"/>
    <w:rsid w:val="0A6F9231"/>
    <w:rsid w:val="0A719794"/>
    <w:rsid w:val="0A7D349D"/>
    <w:rsid w:val="0A7FAADB"/>
    <w:rsid w:val="0A808E3A"/>
    <w:rsid w:val="0A851648"/>
    <w:rsid w:val="0A851DC8"/>
    <w:rsid w:val="0A891C6E"/>
    <w:rsid w:val="0A8B932B"/>
    <w:rsid w:val="0A8C293D"/>
    <w:rsid w:val="0A8FD9B6"/>
    <w:rsid w:val="0A944E7D"/>
    <w:rsid w:val="0A989F3A"/>
    <w:rsid w:val="0A9A202A"/>
    <w:rsid w:val="0AA05D2F"/>
    <w:rsid w:val="0AA39398"/>
    <w:rsid w:val="0AA4EFC2"/>
    <w:rsid w:val="0AA59770"/>
    <w:rsid w:val="0AA632F0"/>
    <w:rsid w:val="0AA68115"/>
    <w:rsid w:val="0AA9C616"/>
    <w:rsid w:val="0AB07E91"/>
    <w:rsid w:val="0AB4F226"/>
    <w:rsid w:val="0AB530AA"/>
    <w:rsid w:val="0AB9F57D"/>
    <w:rsid w:val="0AC09A04"/>
    <w:rsid w:val="0AC51625"/>
    <w:rsid w:val="0ACE506C"/>
    <w:rsid w:val="0AD098BE"/>
    <w:rsid w:val="0AD144B7"/>
    <w:rsid w:val="0AD16DA9"/>
    <w:rsid w:val="0AD4EB4E"/>
    <w:rsid w:val="0ADA0CD9"/>
    <w:rsid w:val="0ADDD160"/>
    <w:rsid w:val="0ADE83EE"/>
    <w:rsid w:val="0ADF0097"/>
    <w:rsid w:val="0AE104F1"/>
    <w:rsid w:val="0AE18065"/>
    <w:rsid w:val="0AE6EC27"/>
    <w:rsid w:val="0AE81511"/>
    <w:rsid w:val="0AE9AD43"/>
    <w:rsid w:val="0AEAC1E7"/>
    <w:rsid w:val="0AEB7B60"/>
    <w:rsid w:val="0AED057F"/>
    <w:rsid w:val="0AF1F5A2"/>
    <w:rsid w:val="0AF679E8"/>
    <w:rsid w:val="0AF6C100"/>
    <w:rsid w:val="0AF7C209"/>
    <w:rsid w:val="0AF7D6CD"/>
    <w:rsid w:val="0AFA5D98"/>
    <w:rsid w:val="0AFC2AA6"/>
    <w:rsid w:val="0AFC7AD1"/>
    <w:rsid w:val="0B02DE11"/>
    <w:rsid w:val="0B03D5D1"/>
    <w:rsid w:val="0B05ABA9"/>
    <w:rsid w:val="0B05C397"/>
    <w:rsid w:val="0B0849FD"/>
    <w:rsid w:val="0B09DAA7"/>
    <w:rsid w:val="0B0FA5A3"/>
    <w:rsid w:val="0B11F334"/>
    <w:rsid w:val="0B15687E"/>
    <w:rsid w:val="0B191031"/>
    <w:rsid w:val="0B196888"/>
    <w:rsid w:val="0B19C6DF"/>
    <w:rsid w:val="0B1ACB88"/>
    <w:rsid w:val="0B2293D9"/>
    <w:rsid w:val="0B2ADEB8"/>
    <w:rsid w:val="0B2DB276"/>
    <w:rsid w:val="0B2F8508"/>
    <w:rsid w:val="0B30F23F"/>
    <w:rsid w:val="0B332423"/>
    <w:rsid w:val="0B34A3A2"/>
    <w:rsid w:val="0B35B808"/>
    <w:rsid w:val="0B37A636"/>
    <w:rsid w:val="0B3B8FB0"/>
    <w:rsid w:val="0B3ECE98"/>
    <w:rsid w:val="0B400647"/>
    <w:rsid w:val="0B401A37"/>
    <w:rsid w:val="0B43209C"/>
    <w:rsid w:val="0B43B193"/>
    <w:rsid w:val="0B48C360"/>
    <w:rsid w:val="0B4A95E3"/>
    <w:rsid w:val="0B4E3168"/>
    <w:rsid w:val="0B4E74B3"/>
    <w:rsid w:val="0B4ECC18"/>
    <w:rsid w:val="0B5F8ABC"/>
    <w:rsid w:val="0B5F9276"/>
    <w:rsid w:val="0B61B361"/>
    <w:rsid w:val="0B62348B"/>
    <w:rsid w:val="0B6319B5"/>
    <w:rsid w:val="0B638743"/>
    <w:rsid w:val="0B63CF11"/>
    <w:rsid w:val="0B67B7F4"/>
    <w:rsid w:val="0B68DFDD"/>
    <w:rsid w:val="0B69CBE6"/>
    <w:rsid w:val="0B6D9BEB"/>
    <w:rsid w:val="0B6DB81B"/>
    <w:rsid w:val="0B72D78D"/>
    <w:rsid w:val="0B738E2E"/>
    <w:rsid w:val="0B7733D4"/>
    <w:rsid w:val="0B79450D"/>
    <w:rsid w:val="0B7958FE"/>
    <w:rsid w:val="0B7961B9"/>
    <w:rsid w:val="0B7AD186"/>
    <w:rsid w:val="0B7B8956"/>
    <w:rsid w:val="0B7CF394"/>
    <w:rsid w:val="0B81DD24"/>
    <w:rsid w:val="0B81FF6B"/>
    <w:rsid w:val="0B855B04"/>
    <w:rsid w:val="0B877253"/>
    <w:rsid w:val="0B8A2097"/>
    <w:rsid w:val="0B8BEFC7"/>
    <w:rsid w:val="0B8F90D1"/>
    <w:rsid w:val="0B906F5E"/>
    <w:rsid w:val="0B9120D8"/>
    <w:rsid w:val="0B92BFA3"/>
    <w:rsid w:val="0B952605"/>
    <w:rsid w:val="0B962FB8"/>
    <w:rsid w:val="0B9B9489"/>
    <w:rsid w:val="0BA06DCB"/>
    <w:rsid w:val="0BA27BBE"/>
    <w:rsid w:val="0BA6ED88"/>
    <w:rsid w:val="0BA920F7"/>
    <w:rsid w:val="0BAB9B03"/>
    <w:rsid w:val="0BABE376"/>
    <w:rsid w:val="0BADA415"/>
    <w:rsid w:val="0BAEC594"/>
    <w:rsid w:val="0BB11277"/>
    <w:rsid w:val="0BB66EB5"/>
    <w:rsid w:val="0BB90D2E"/>
    <w:rsid w:val="0BBC4220"/>
    <w:rsid w:val="0BBFCFC0"/>
    <w:rsid w:val="0BC473EB"/>
    <w:rsid w:val="0BC62625"/>
    <w:rsid w:val="0BC649C4"/>
    <w:rsid w:val="0BC6AA8E"/>
    <w:rsid w:val="0BC7EB7D"/>
    <w:rsid w:val="0BC95B1A"/>
    <w:rsid w:val="0BD1BAA9"/>
    <w:rsid w:val="0BD4B223"/>
    <w:rsid w:val="0BD4C76B"/>
    <w:rsid w:val="0BD62382"/>
    <w:rsid w:val="0BD7DD8B"/>
    <w:rsid w:val="0BDE8248"/>
    <w:rsid w:val="0BE040ED"/>
    <w:rsid w:val="0BE524A5"/>
    <w:rsid w:val="0BE788AC"/>
    <w:rsid w:val="0BE8AFCE"/>
    <w:rsid w:val="0BE8CAEA"/>
    <w:rsid w:val="0BEAF5DC"/>
    <w:rsid w:val="0BEDC5A6"/>
    <w:rsid w:val="0BF0EF02"/>
    <w:rsid w:val="0BF341D1"/>
    <w:rsid w:val="0BF557D1"/>
    <w:rsid w:val="0BF8C7FE"/>
    <w:rsid w:val="0BF96B48"/>
    <w:rsid w:val="0BFB35B0"/>
    <w:rsid w:val="0BFCDA4C"/>
    <w:rsid w:val="0C002B50"/>
    <w:rsid w:val="0C018E2F"/>
    <w:rsid w:val="0C06AD88"/>
    <w:rsid w:val="0C08AC61"/>
    <w:rsid w:val="0C0961EC"/>
    <w:rsid w:val="0C0A193C"/>
    <w:rsid w:val="0C0CBD1F"/>
    <w:rsid w:val="0C0E7972"/>
    <w:rsid w:val="0C14874A"/>
    <w:rsid w:val="0C1490C6"/>
    <w:rsid w:val="0C14DD6B"/>
    <w:rsid w:val="0C17A07B"/>
    <w:rsid w:val="0C186C5B"/>
    <w:rsid w:val="0C18B71D"/>
    <w:rsid w:val="0C1B0F08"/>
    <w:rsid w:val="0C1FB567"/>
    <w:rsid w:val="0C247CD0"/>
    <w:rsid w:val="0C2530F4"/>
    <w:rsid w:val="0C257A73"/>
    <w:rsid w:val="0C2619A1"/>
    <w:rsid w:val="0C2BFA99"/>
    <w:rsid w:val="0C31D05E"/>
    <w:rsid w:val="0C32DCC6"/>
    <w:rsid w:val="0C34DF7E"/>
    <w:rsid w:val="0C355138"/>
    <w:rsid w:val="0C3C050E"/>
    <w:rsid w:val="0C4007F0"/>
    <w:rsid w:val="0C405A83"/>
    <w:rsid w:val="0C41EF60"/>
    <w:rsid w:val="0C436BF9"/>
    <w:rsid w:val="0C44159C"/>
    <w:rsid w:val="0C454C45"/>
    <w:rsid w:val="0C47EDA2"/>
    <w:rsid w:val="0C4C1066"/>
    <w:rsid w:val="0C4F2F12"/>
    <w:rsid w:val="0C50AB2E"/>
    <w:rsid w:val="0C54DF15"/>
    <w:rsid w:val="0C5F00E8"/>
    <w:rsid w:val="0C606F49"/>
    <w:rsid w:val="0C627654"/>
    <w:rsid w:val="0C629FC3"/>
    <w:rsid w:val="0C666C5D"/>
    <w:rsid w:val="0C6875E8"/>
    <w:rsid w:val="0C70968A"/>
    <w:rsid w:val="0C72091A"/>
    <w:rsid w:val="0C72492E"/>
    <w:rsid w:val="0C755C0A"/>
    <w:rsid w:val="0C761600"/>
    <w:rsid w:val="0C76205F"/>
    <w:rsid w:val="0C7B2CA5"/>
    <w:rsid w:val="0C7C91B6"/>
    <w:rsid w:val="0C7CEE95"/>
    <w:rsid w:val="0C80042C"/>
    <w:rsid w:val="0C8162EC"/>
    <w:rsid w:val="0C821B1B"/>
    <w:rsid w:val="0C822A5F"/>
    <w:rsid w:val="0C8777B1"/>
    <w:rsid w:val="0C8B0445"/>
    <w:rsid w:val="0C8C05B2"/>
    <w:rsid w:val="0C8EA387"/>
    <w:rsid w:val="0C93F0FE"/>
    <w:rsid w:val="0C9473CF"/>
    <w:rsid w:val="0C94D48C"/>
    <w:rsid w:val="0C9549F1"/>
    <w:rsid w:val="0C95DAFB"/>
    <w:rsid w:val="0C9E7C9C"/>
    <w:rsid w:val="0CA6778C"/>
    <w:rsid w:val="0CAB25D8"/>
    <w:rsid w:val="0CAC223E"/>
    <w:rsid w:val="0CAC69FE"/>
    <w:rsid w:val="0CAD7B4E"/>
    <w:rsid w:val="0CAE6463"/>
    <w:rsid w:val="0CAEF825"/>
    <w:rsid w:val="0CB148DB"/>
    <w:rsid w:val="0CB180B9"/>
    <w:rsid w:val="0CB5FBF0"/>
    <w:rsid w:val="0CB78112"/>
    <w:rsid w:val="0CBBF24F"/>
    <w:rsid w:val="0CBDFC78"/>
    <w:rsid w:val="0CC12636"/>
    <w:rsid w:val="0CC1C51B"/>
    <w:rsid w:val="0CC24887"/>
    <w:rsid w:val="0CC766F6"/>
    <w:rsid w:val="0CC906A3"/>
    <w:rsid w:val="0CC9B67D"/>
    <w:rsid w:val="0CC9F414"/>
    <w:rsid w:val="0CCEE645"/>
    <w:rsid w:val="0CCFF4D4"/>
    <w:rsid w:val="0CD1AE73"/>
    <w:rsid w:val="0CD1EC43"/>
    <w:rsid w:val="0CD358B9"/>
    <w:rsid w:val="0CD4C8EE"/>
    <w:rsid w:val="0CD5A349"/>
    <w:rsid w:val="0CD65B3C"/>
    <w:rsid w:val="0CD65D59"/>
    <w:rsid w:val="0CDDECE3"/>
    <w:rsid w:val="0CE0A03F"/>
    <w:rsid w:val="0CEAF181"/>
    <w:rsid w:val="0CF03AC4"/>
    <w:rsid w:val="0CF0E208"/>
    <w:rsid w:val="0CF18A54"/>
    <w:rsid w:val="0CF28BC2"/>
    <w:rsid w:val="0CF89060"/>
    <w:rsid w:val="0CFF43A5"/>
    <w:rsid w:val="0D00F5AA"/>
    <w:rsid w:val="0D080A4C"/>
    <w:rsid w:val="0D0D7F8A"/>
    <w:rsid w:val="0D0E3DA4"/>
    <w:rsid w:val="0D124FD9"/>
    <w:rsid w:val="0D137D9F"/>
    <w:rsid w:val="0D16E88F"/>
    <w:rsid w:val="0D1E01BB"/>
    <w:rsid w:val="0D1E5E6D"/>
    <w:rsid w:val="0D22D5EC"/>
    <w:rsid w:val="0D23ADAB"/>
    <w:rsid w:val="0D24A103"/>
    <w:rsid w:val="0D280724"/>
    <w:rsid w:val="0D28ABC8"/>
    <w:rsid w:val="0D28F242"/>
    <w:rsid w:val="0D2BDB07"/>
    <w:rsid w:val="0D30A5ED"/>
    <w:rsid w:val="0D3372DC"/>
    <w:rsid w:val="0D33C950"/>
    <w:rsid w:val="0D3478DE"/>
    <w:rsid w:val="0D35DC22"/>
    <w:rsid w:val="0D3CC7A5"/>
    <w:rsid w:val="0D3FE4DA"/>
    <w:rsid w:val="0D40C91D"/>
    <w:rsid w:val="0D40D5CC"/>
    <w:rsid w:val="0D40F5FC"/>
    <w:rsid w:val="0D47FDC6"/>
    <w:rsid w:val="0D481510"/>
    <w:rsid w:val="0D4C19DE"/>
    <w:rsid w:val="0D4DF794"/>
    <w:rsid w:val="0D513F89"/>
    <w:rsid w:val="0D564540"/>
    <w:rsid w:val="0D5954A3"/>
    <w:rsid w:val="0D5A6125"/>
    <w:rsid w:val="0D5B614B"/>
    <w:rsid w:val="0D5BA158"/>
    <w:rsid w:val="0D5CCEF0"/>
    <w:rsid w:val="0D5DC2FE"/>
    <w:rsid w:val="0D61DB42"/>
    <w:rsid w:val="0D659033"/>
    <w:rsid w:val="0D668CBA"/>
    <w:rsid w:val="0D6E53B7"/>
    <w:rsid w:val="0D6F311F"/>
    <w:rsid w:val="0D72BDA3"/>
    <w:rsid w:val="0D74F5F4"/>
    <w:rsid w:val="0D7554CE"/>
    <w:rsid w:val="0D7AA30C"/>
    <w:rsid w:val="0D7AAFA6"/>
    <w:rsid w:val="0D7BB7B0"/>
    <w:rsid w:val="0D7DCDF8"/>
    <w:rsid w:val="0D7ED03F"/>
    <w:rsid w:val="0D8062E2"/>
    <w:rsid w:val="0D80B6A2"/>
    <w:rsid w:val="0D81A364"/>
    <w:rsid w:val="0D8309F2"/>
    <w:rsid w:val="0D8488CB"/>
    <w:rsid w:val="0D851F44"/>
    <w:rsid w:val="0D863700"/>
    <w:rsid w:val="0D882CB6"/>
    <w:rsid w:val="0D89D809"/>
    <w:rsid w:val="0D8BC927"/>
    <w:rsid w:val="0D8DDCCA"/>
    <w:rsid w:val="0D8E7652"/>
    <w:rsid w:val="0D909B5F"/>
    <w:rsid w:val="0D91DE88"/>
    <w:rsid w:val="0D923EB0"/>
    <w:rsid w:val="0D926913"/>
    <w:rsid w:val="0D9271F1"/>
    <w:rsid w:val="0D992803"/>
    <w:rsid w:val="0DA63C44"/>
    <w:rsid w:val="0DA86B04"/>
    <w:rsid w:val="0DAA00DC"/>
    <w:rsid w:val="0DAA8087"/>
    <w:rsid w:val="0DAFF3E5"/>
    <w:rsid w:val="0DB0E652"/>
    <w:rsid w:val="0DB117B3"/>
    <w:rsid w:val="0DB74AB2"/>
    <w:rsid w:val="0DB7F302"/>
    <w:rsid w:val="0DB8476F"/>
    <w:rsid w:val="0DB9144D"/>
    <w:rsid w:val="0DBACF73"/>
    <w:rsid w:val="0DBE2F81"/>
    <w:rsid w:val="0DBE8285"/>
    <w:rsid w:val="0DBEC1FA"/>
    <w:rsid w:val="0DBF0F60"/>
    <w:rsid w:val="0DBF87B3"/>
    <w:rsid w:val="0DC1F53A"/>
    <w:rsid w:val="0DC31BAA"/>
    <w:rsid w:val="0DC3E6B1"/>
    <w:rsid w:val="0DC4DA46"/>
    <w:rsid w:val="0DC56551"/>
    <w:rsid w:val="0DC756F4"/>
    <w:rsid w:val="0DC978A9"/>
    <w:rsid w:val="0DCA5C30"/>
    <w:rsid w:val="0DCBE0B0"/>
    <w:rsid w:val="0DD029F8"/>
    <w:rsid w:val="0DD2F59B"/>
    <w:rsid w:val="0DD520D7"/>
    <w:rsid w:val="0DD6B6A1"/>
    <w:rsid w:val="0DD7F906"/>
    <w:rsid w:val="0DD89BE7"/>
    <w:rsid w:val="0DDDCEEA"/>
    <w:rsid w:val="0DE3A3D4"/>
    <w:rsid w:val="0DE4D729"/>
    <w:rsid w:val="0DE5693F"/>
    <w:rsid w:val="0DEAF5AC"/>
    <w:rsid w:val="0DEC4289"/>
    <w:rsid w:val="0DED165E"/>
    <w:rsid w:val="0DEE69B8"/>
    <w:rsid w:val="0DF2B615"/>
    <w:rsid w:val="0DF375ED"/>
    <w:rsid w:val="0DF683AB"/>
    <w:rsid w:val="0DF79307"/>
    <w:rsid w:val="0E043DE0"/>
    <w:rsid w:val="0E04DCF7"/>
    <w:rsid w:val="0E072C05"/>
    <w:rsid w:val="0E090E37"/>
    <w:rsid w:val="0E0988A5"/>
    <w:rsid w:val="0E09A446"/>
    <w:rsid w:val="0E0ADCD1"/>
    <w:rsid w:val="0E0EC130"/>
    <w:rsid w:val="0E0F8C97"/>
    <w:rsid w:val="0E105561"/>
    <w:rsid w:val="0E11B18D"/>
    <w:rsid w:val="0E11F51D"/>
    <w:rsid w:val="0E131FC1"/>
    <w:rsid w:val="0E15337C"/>
    <w:rsid w:val="0E17A9F9"/>
    <w:rsid w:val="0E17B812"/>
    <w:rsid w:val="0E18638B"/>
    <w:rsid w:val="0E189495"/>
    <w:rsid w:val="0E1963EC"/>
    <w:rsid w:val="0E1ACD64"/>
    <w:rsid w:val="0E1C7620"/>
    <w:rsid w:val="0E1EF736"/>
    <w:rsid w:val="0E1F92E8"/>
    <w:rsid w:val="0E20CA87"/>
    <w:rsid w:val="0E225EA5"/>
    <w:rsid w:val="0E26D444"/>
    <w:rsid w:val="0E2D30B0"/>
    <w:rsid w:val="0E2EF03A"/>
    <w:rsid w:val="0E30C0A4"/>
    <w:rsid w:val="0E371943"/>
    <w:rsid w:val="0E37A844"/>
    <w:rsid w:val="0E3B2386"/>
    <w:rsid w:val="0E3B3CCF"/>
    <w:rsid w:val="0E3B73AA"/>
    <w:rsid w:val="0E3E5180"/>
    <w:rsid w:val="0E3E7451"/>
    <w:rsid w:val="0E41B446"/>
    <w:rsid w:val="0E44DE30"/>
    <w:rsid w:val="0E47A907"/>
    <w:rsid w:val="0E48C08E"/>
    <w:rsid w:val="0E490D84"/>
    <w:rsid w:val="0E4DE547"/>
    <w:rsid w:val="0E4E3A2E"/>
    <w:rsid w:val="0E510542"/>
    <w:rsid w:val="0E51A578"/>
    <w:rsid w:val="0E5560AF"/>
    <w:rsid w:val="0E578E1E"/>
    <w:rsid w:val="0E5A20B0"/>
    <w:rsid w:val="0E5A65DF"/>
    <w:rsid w:val="0E5DCE1B"/>
    <w:rsid w:val="0E62B3CC"/>
    <w:rsid w:val="0E67CDB9"/>
    <w:rsid w:val="0E697081"/>
    <w:rsid w:val="0E699637"/>
    <w:rsid w:val="0E6A474F"/>
    <w:rsid w:val="0E6D5AE3"/>
    <w:rsid w:val="0E7179A6"/>
    <w:rsid w:val="0E730100"/>
    <w:rsid w:val="0E776763"/>
    <w:rsid w:val="0E7D540C"/>
    <w:rsid w:val="0E7D9531"/>
    <w:rsid w:val="0E7E7636"/>
    <w:rsid w:val="0E7FF876"/>
    <w:rsid w:val="0E8139F7"/>
    <w:rsid w:val="0E84BC49"/>
    <w:rsid w:val="0E86F314"/>
    <w:rsid w:val="0E86FB35"/>
    <w:rsid w:val="0E87DFBF"/>
    <w:rsid w:val="0E88B75D"/>
    <w:rsid w:val="0E8CA432"/>
    <w:rsid w:val="0E91671F"/>
    <w:rsid w:val="0E94D99D"/>
    <w:rsid w:val="0E9A74E7"/>
    <w:rsid w:val="0E9E772F"/>
    <w:rsid w:val="0EA3434C"/>
    <w:rsid w:val="0EA37336"/>
    <w:rsid w:val="0EA40F64"/>
    <w:rsid w:val="0EA5BFE9"/>
    <w:rsid w:val="0EA64647"/>
    <w:rsid w:val="0EA69C75"/>
    <w:rsid w:val="0EB19EEA"/>
    <w:rsid w:val="0EB23530"/>
    <w:rsid w:val="0EB27070"/>
    <w:rsid w:val="0EB366CC"/>
    <w:rsid w:val="0EB375C1"/>
    <w:rsid w:val="0EB450DA"/>
    <w:rsid w:val="0EB600A9"/>
    <w:rsid w:val="0EB6AF14"/>
    <w:rsid w:val="0EB9D4C1"/>
    <w:rsid w:val="0EBDDAC3"/>
    <w:rsid w:val="0EBDF4A7"/>
    <w:rsid w:val="0EBE63BA"/>
    <w:rsid w:val="0EBF2684"/>
    <w:rsid w:val="0EBF4B5E"/>
    <w:rsid w:val="0EC421CB"/>
    <w:rsid w:val="0EC46C04"/>
    <w:rsid w:val="0EC4A552"/>
    <w:rsid w:val="0EC4B339"/>
    <w:rsid w:val="0EC50F3F"/>
    <w:rsid w:val="0EC633DF"/>
    <w:rsid w:val="0EC74440"/>
    <w:rsid w:val="0EC8E208"/>
    <w:rsid w:val="0ECC81E3"/>
    <w:rsid w:val="0ECD0995"/>
    <w:rsid w:val="0ECEED84"/>
    <w:rsid w:val="0ED0AFCD"/>
    <w:rsid w:val="0ED10E1E"/>
    <w:rsid w:val="0ED5DFC8"/>
    <w:rsid w:val="0ED7E95E"/>
    <w:rsid w:val="0EDAAD6D"/>
    <w:rsid w:val="0EDBBF5C"/>
    <w:rsid w:val="0EDCB62F"/>
    <w:rsid w:val="0EDE456E"/>
    <w:rsid w:val="0EE5CEC6"/>
    <w:rsid w:val="0EE5FFB2"/>
    <w:rsid w:val="0EE6FE47"/>
    <w:rsid w:val="0EEE348C"/>
    <w:rsid w:val="0EEFA424"/>
    <w:rsid w:val="0EEFE0D3"/>
    <w:rsid w:val="0EF012FD"/>
    <w:rsid w:val="0EF25FCC"/>
    <w:rsid w:val="0EF4237C"/>
    <w:rsid w:val="0EF66264"/>
    <w:rsid w:val="0EF90B0A"/>
    <w:rsid w:val="0EF945EB"/>
    <w:rsid w:val="0EF9B5A7"/>
    <w:rsid w:val="0EFA3C10"/>
    <w:rsid w:val="0EFB89A1"/>
    <w:rsid w:val="0EFD117C"/>
    <w:rsid w:val="0F007223"/>
    <w:rsid w:val="0F017A55"/>
    <w:rsid w:val="0F062041"/>
    <w:rsid w:val="0F07116F"/>
    <w:rsid w:val="0F072879"/>
    <w:rsid w:val="0F073DDC"/>
    <w:rsid w:val="0F0A0F1E"/>
    <w:rsid w:val="0F0A8AC9"/>
    <w:rsid w:val="0F11B106"/>
    <w:rsid w:val="0F1345B9"/>
    <w:rsid w:val="0F134756"/>
    <w:rsid w:val="0F13DC67"/>
    <w:rsid w:val="0F159E61"/>
    <w:rsid w:val="0F182AFE"/>
    <w:rsid w:val="0F1F14AD"/>
    <w:rsid w:val="0F1FF675"/>
    <w:rsid w:val="0F215210"/>
    <w:rsid w:val="0F224D2E"/>
    <w:rsid w:val="0F2B9EA5"/>
    <w:rsid w:val="0F2CC39B"/>
    <w:rsid w:val="0F2FB1A6"/>
    <w:rsid w:val="0F30D2A3"/>
    <w:rsid w:val="0F33E49E"/>
    <w:rsid w:val="0F345110"/>
    <w:rsid w:val="0F351F46"/>
    <w:rsid w:val="0F38ED91"/>
    <w:rsid w:val="0F3A1252"/>
    <w:rsid w:val="0F3D2E01"/>
    <w:rsid w:val="0F3D79FA"/>
    <w:rsid w:val="0F41E3F8"/>
    <w:rsid w:val="0F4306D3"/>
    <w:rsid w:val="0F431206"/>
    <w:rsid w:val="0F44A249"/>
    <w:rsid w:val="0F4568A0"/>
    <w:rsid w:val="0F4751F0"/>
    <w:rsid w:val="0F4C2468"/>
    <w:rsid w:val="0F4CAD06"/>
    <w:rsid w:val="0F4CFC5C"/>
    <w:rsid w:val="0F4F0376"/>
    <w:rsid w:val="0F4F0AD5"/>
    <w:rsid w:val="0F4FE38F"/>
    <w:rsid w:val="0F5277D9"/>
    <w:rsid w:val="0F530CD7"/>
    <w:rsid w:val="0F53A626"/>
    <w:rsid w:val="0F567297"/>
    <w:rsid w:val="0F57262E"/>
    <w:rsid w:val="0F574BC3"/>
    <w:rsid w:val="0F5E6DA9"/>
    <w:rsid w:val="0F620EC4"/>
    <w:rsid w:val="0F65CF3E"/>
    <w:rsid w:val="0F699759"/>
    <w:rsid w:val="0F6BC4B6"/>
    <w:rsid w:val="0F6D9D9E"/>
    <w:rsid w:val="0F6DE4C7"/>
    <w:rsid w:val="0F6F10E4"/>
    <w:rsid w:val="0F6F9C6C"/>
    <w:rsid w:val="0F7324B9"/>
    <w:rsid w:val="0F7854FC"/>
    <w:rsid w:val="0F78E44B"/>
    <w:rsid w:val="0F7BE9D4"/>
    <w:rsid w:val="0F7CAD98"/>
    <w:rsid w:val="0F7DDF68"/>
    <w:rsid w:val="0F7EB50D"/>
    <w:rsid w:val="0F831CD8"/>
    <w:rsid w:val="0F849277"/>
    <w:rsid w:val="0F86AEF2"/>
    <w:rsid w:val="0F8AE1EE"/>
    <w:rsid w:val="0F8C0DF0"/>
    <w:rsid w:val="0F8E3B2A"/>
    <w:rsid w:val="0F8F89D1"/>
    <w:rsid w:val="0F96337C"/>
    <w:rsid w:val="0F9A4464"/>
    <w:rsid w:val="0FA30466"/>
    <w:rsid w:val="0FA46483"/>
    <w:rsid w:val="0FA59C87"/>
    <w:rsid w:val="0FA7893A"/>
    <w:rsid w:val="0FAC35CB"/>
    <w:rsid w:val="0FAC519A"/>
    <w:rsid w:val="0FAF376E"/>
    <w:rsid w:val="0FB32698"/>
    <w:rsid w:val="0FB86BB1"/>
    <w:rsid w:val="0FBB0E91"/>
    <w:rsid w:val="0FBBC197"/>
    <w:rsid w:val="0FBC0FA6"/>
    <w:rsid w:val="0FBE17A6"/>
    <w:rsid w:val="0FC027E5"/>
    <w:rsid w:val="0FC11152"/>
    <w:rsid w:val="0FC13986"/>
    <w:rsid w:val="0FC2020E"/>
    <w:rsid w:val="0FC263EE"/>
    <w:rsid w:val="0FC3EDCE"/>
    <w:rsid w:val="0FC4277F"/>
    <w:rsid w:val="0FC490AA"/>
    <w:rsid w:val="0FC4BF71"/>
    <w:rsid w:val="0FC53E48"/>
    <w:rsid w:val="0FC61AD1"/>
    <w:rsid w:val="0FC78F34"/>
    <w:rsid w:val="0FC790D5"/>
    <w:rsid w:val="0FC80E59"/>
    <w:rsid w:val="0FCA8CE9"/>
    <w:rsid w:val="0FCE49C6"/>
    <w:rsid w:val="0FCF6040"/>
    <w:rsid w:val="0FCF692A"/>
    <w:rsid w:val="0FCF7183"/>
    <w:rsid w:val="0FD25C9B"/>
    <w:rsid w:val="0FD483BE"/>
    <w:rsid w:val="0FD51760"/>
    <w:rsid w:val="0FD60EFE"/>
    <w:rsid w:val="0FD93B9F"/>
    <w:rsid w:val="0FDB1B78"/>
    <w:rsid w:val="0FDB7A89"/>
    <w:rsid w:val="0FDD7705"/>
    <w:rsid w:val="0FDEF898"/>
    <w:rsid w:val="0FDF1278"/>
    <w:rsid w:val="0FE0B347"/>
    <w:rsid w:val="0FE32AA6"/>
    <w:rsid w:val="0FE3659B"/>
    <w:rsid w:val="0FE75274"/>
    <w:rsid w:val="0FE996AF"/>
    <w:rsid w:val="0FEB0C3C"/>
    <w:rsid w:val="0FEF698B"/>
    <w:rsid w:val="0FEFB87B"/>
    <w:rsid w:val="0FF0C2C5"/>
    <w:rsid w:val="0FF32436"/>
    <w:rsid w:val="0FF4BBD6"/>
    <w:rsid w:val="0FF8BD98"/>
    <w:rsid w:val="0FFC6DA9"/>
    <w:rsid w:val="0FFCE305"/>
    <w:rsid w:val="0FFDDDC9"/>
    <w:rsid w:val="10006655"/>
    <w:rsid w:val="10008F91"/>
    <w:rsid w:val="1000BFC0"/>
    <w:rsid w:val="10041FC9"/>
    <w:rsid w:val="10075704"/>
    <w:rsid w:val="100A26A9"/>
    <w:rsid w:val="100AE63A"/>
    <w:rsid w:val="100E01BD"/>
    <w:rsid w:val="100EA494"/>
    <w:rsid w:val="1010B131"/>
    <w:rsid w:val="1018DD8F"/>
    <w:rsid w:val="101988FD"/>
    <w:rsid w:val="1019DA74"/>
    <w:rsid w:val="101B9722"/>
    <w:rsid w:val="101F9A93"/>
    <w:rsid w:val="10212F2E"/>
    <w:rsid w:val="1023B0DB"/>
    <w:rsid w:val="1025D1F6"/>
    <w:rsid w:val="102702C6"/>
    <w:rsid w:val="103436B8"/>
    <w:rsid w:val="1035FDF3"/>
    <w:rsid w:val="1037142A"/>
    <w:rsid w:val="103EABFD"/>
    <w:rsid w:val="10422E4B"/>
    <w:rsid w:val="1044CF2C"/>
    <w:rsid w:val="104693AB"/>
    <w:rsid w:val="10485404"/>
    <w:rsid w:val="10487184"/>
    <w:rsid w:val="104A1915"/>
    <w:rsid w:val="104A603C"/>
    <w:rsid w:val="104C099E"/>
    <w:rsid w:val="104CAD00"/>
    <w:rsid w:val="104DB284"/>
    <w:rsid w:val="104FCED9"/>
    <w:rsid w:val="104FEAEE"/>
    <w:rsid w:val="10514745"/>
    <w:rsid w:val="1053ED6E"/>
    <w:rsid w:val="10540788"/>
    <w:rsid w:val="10552B4C"/>
    <w:rsid w:val="1055A569"/>
    <w:rsid w:val="105A7692"/>
    <w:rsid w:val="105BA1B3"/>
    <w:rsid w:val="105C3F2B"/>
    <w:rsid w:val="1060823A"/>
    <w:rsid w:val="1062ACB5"/>
    <w:rsid w:val="1066B5E4"/>
    <w:rsid w:val="106796B0"/>
    <w:rsid w:val="10686C86"/>
    <w:rsid w:val="10689374"/>
    <w:rsid w:val="10690F25"/>
    <w:rsid w:val="10699CD1"/>
    <w:rsid w:val="106E7643"/>
    <w:rsid w:val="106E7A15"/>
    <w:rsid w:val="106F7205"/>
    <w:rsid w:val="107023D9"/>
    <w:rsid w:val="10725AF6"/>
    <w:rsid w:val="107432D2"/>
    <w:rsid w:val="107A90D0"/>
    <w:rsid w:val="107C3A53"/>
    <w:rsid w:val="107C4030"/>
    <w:rsid w:val="1081F743"/>
    <w:rsid w:val="10869A9D"/>
    <w:rsid w:val="10876D81"/>
    <w:rsid w:val="10897DDC"/>
    <w:rsid w:val="108CCFB9"/>
    <w:rsid w:val="108D8FAB"/>
    <w:rsid w:val="1095187D"/>
    <w:rsid w:val="109DC818"/>
    <w:rsid w:val="10A388A3"/>
    <w:rsid w:val="10A8E36B"/>
    <w:rsid w:val="10A98F40"/>
    <w:rsid w:val="10A99C3B"/>
    <w:rsid w:val="10AB520E"/>
    <w:rsid w:val="10B04B27"/>
    <w:rsid w:val="10B1ECC2"/>
    <w:rsid w:val="10B4EBC2"/>
    <w:rsid w:val="10B5B9B6"/>
    <w:rsid w:val="10B7482C"/>
    <w:rsid w:val="10BA25EC"/>
    <w:rsid w:val="10BAF678"/>
    <w:rsid w:val="10BD937E"/>
    <w:rsid w:val="10C0358B"/>
    <w:rsid w:val="10C09041"/>
    <w:rsid w:val="10C16562"/>
    <w:rsid w:val="10C1CE07"/>
    <w:rsid w:val="10C33764"/>
    <w:rsid w:val="10C34231"/>
    <w:rsid w:val="10C5F455"/>
    <w:rsid w:val="10C8A475"/>
    <w:rsid w:val="10C9B025"/>
    <w:rsid w:val="10CBC2C7"/>
    <w:rsid w:val="10CF73B7"/>
    <w:rsid w:val="10D3EC07"/>
    <w:rsid w:val="10D70E77"/>
    <w:rsid w:val="10D839E5"/>
    <w:rsid w:val="10D8D9B6"/>
    <w:rsid w:val="10DA1E2C"/>
    <w:rsid w:val="10DAF3FE"/>
    <w:rsid w:val="10DF98AE"/>
    <w:rsid w:val="10DFA7AD"/>
    <w:rsid w:val="10E01CD0"/>
    <w:rsid w:val="10E4AA0B"/>
    <w:rsid w:val="10E892DC"/>
    <w:rsid w:val="10ECB3BA"/>
    <w:rsid w:val="10F36682"/>
    <w:rsid w:val="10F5563E"/>
    <w:rsid w:val="10F5B5F5"/>
    <w:rsid w:val="10F5B701"/>
    <w:rsid w:val="10F68666"/>
    <w:rsid w:val="10F71BD5"/>
    <w:rsid w:val="10F795B3"/>
    <w:rsid w:val="10FB6179"/>
    <w:rsid w:val="10FBA56B"/>
    <w:rsid w:val="11001C09"/>
    <w:rsid w:val="11009273"/>
    <w:rsid w:val="1100AAAF"/>
    <w:rsid w:val="11031AFB"/>
    <w:rsid w:val="1105DD45"/>
    <w:rsid w:val="110AAA3A"/>
    <w:rsid w:val="110BCC77"/>
    <w:rsid w:val="110C489E"/>
    <w:rsid w:val="110E8204"/>
    <w:rsid w:val="110E9310"/>
    <w:rsid w:val="1114B374"/>
    <w:rsid w:val="11169E76"/>
    <w:rsid w:val="11171472"/>
    <w:rsid w:val="111753F7"/>
    <w:rsid w:val="11176BFB"/>
    <w:rsid w:val="11182959"/>
    <w:rsid w:val="111AB0A0"/>
    <w:rsid w:val="111B4266"/>
    <w:rsid w:val="1121945B"/>
    <w:rsid w:val="11276C66"/>
    <w:rsid w:val="112ACB5B"/>
    <w:rsid w:val="112B421F"/>
    <w:rsid w:val="112F3D01"/>
    <w:rsid w:val="112FF70B"/>
    <w:rsid w:val="11306531"/>
    <w:rsid w:val="11355FB6"/>
    <w:rsid w:val="11381779"/>
    <w:rsid w:val="1139580A"/>
    <w:rsid w:val="113A62C6"/>
    <w:rsid w:val="113B2CD8"/>
    <w:rsid w:val="113C15D9"/>
    <w:rsid w:val="113DFF8F"/>
    <w:rsid w:val="11426841"/>
    <w:rsid w:val="11441365"/>
    <w:rsid w:val="1144A4BE"/>
    <w:rsid w:val="1149B5AF"/>
    <w:rsid w:val="1151EA45"/>
    <w:rsid w:val="11524802"/>
    <w:rsid w:val="1156E254"/>
    <w:rsid w:val="11578632"/>
    <w:rsid w:val="115794A3"/>
    <w:rsid w:val="115A8BEE"/>
    <w:rsid w:val="115F24B5"/>
    <w:rsid w:val="11617995"/>
    <w:rsid w:val="11669EAB"/>
    <w:rsid w:val="1169B0EE"/>
    <w:rsid w:val="116DA25B"/>
    <w:rsid w:val="116E58E6"/>
    <w:rsid w:val="1173AAE6"/>
    <w:rsid w:val="1173D7EB"/>
    <w:rsid w:val="11745210"/>
    <w:rsid w:val="11746286"/>
    <w:rsid w:val="1176BF2D"/>
    <w:rsid w:val="11771CF2"/>
    <w:rsid w:val="1178A158"/>
    <w:rsid w:val="1179C9F9"/>
    <w:rsid w:val="117D06BE"/>
    <w:rsid w:val="117D42E4"/>
    <w:rsid w:val="117DD1BE"/>
    <w:rsid w:val="117FE5D4"/>
    <w:rsid w:val="1180C2D1"/>
    <w:rsid w:val="1183083D"/>
    <w:rsid w:val="1183F07C"/>
    <w:rsid w:val="1183FE72"/>
    <w:rsid w:val="1184CB75"/>
    <w:rsid w:val="1188603A"/>
    <w:rsid w:val="11949D87"/>
    <w:rsid w:val="11955CA8"/>
    <w:rsid w:val="1195DE5A"/>
    <w:rsid w:val="1196F338"/>
    <w:rsid w:val="1198DCAE"/>
    <w:rsid w:val="119B1193"/>
    <w:rsid w:val="119C8C15"/>
    <w:rsid w:val="119EE176"/>
    <w:rsid w:val="119EF0FE"/>
    <w:rsid w:val="11A10797"/>
    <w:rsid w:val="11A3D960"/>
    <w:rsid w:val="11A4239F"/>
    <w:rsid w:val="11A46838"/>
    <w:rsid w:val="11A73E5E"/>
    <w:rsid w:val="11A7BAD4"/>
    <w:rsid w:val="11A86218"/>
    <w:rsid w:val="11A94407"/>
    <w:rsid w:val="11A982B7"/>
    <w:rsid w:val="11AB6430"/>
    <w:rsid w:val="11AF030F"/>
    <w:rsid w:val="11AFA665"/>
    <w:rsid w:val="11B1A487"/>
    <w:rsid w:val="11BCC488"/>
    <w:rsid w:val="11BF92D4"/>
    <w:rsid w:val="11C36A62"/>
    <w:rsid w:val="11C3B4C8"/>
    <w:rsid w:val="11C699BA"/>
    <w:rsid w:val="11C85C62"/>
    <w:rsid w:val="11C8746B"/>
    <w:rsid w:val="11C878B0"/>
    <w:rsid w:val="11CA4123"/>
    <w:rsid w:val="11CC86AA"/>
    <w:rsid w:val="11CCB1DB"/>
    <w:rsid w:val="11CD9A47"/>
    <w:rsid w:val="11CFB622"/>
    <w:rsid w:val="11D2682F"/>
    <w:rsid w:val="11D3AD70"/>
    <w:rsid w:val="11D5658D"/>
    <w:rsid w:val="11D5A0DE"/>
    <w:rsid w:val="11D975A9"/>
    <w:rsid w:val="11DE6F86"/>
    <w:rsid w:val="11DF51E0"/>
    <w:rsid w:val="11E04408"/>
    <w:rsid w:val="11E17ACA"/>
    <w:rsid w:val="11E55D03"/>
    <w:rsid w:val="11E595A6"/>
    <w:rsid w:val="11E6837C"/>
    <w:rsid w:val="11F0083B"/>
    <w:rsid w:val="11F06930"/>
    <w:rsid w:val="11F1E9A1"/>
    <w:rsid w:val="11F28C51"/>
    <w:rsid w:val="11F5ACCF"/>
    <w:rsid w:val="12007113"/>
    <w:rsid w:val="120173A1"/>
    <w:rsid w:val="12042080"/>
    <w:rsid w:val="12061F28"/>
    <w:rsid w:val="1209ED0B"/>
    <w:rsid w:val="120A88FB"/>
    <w:rsid w:val="120D345D"/>
    <w:rsid w:val="1210C754"/>
    <w:rsid w:val="121122EB"/>
    <w:rsid w:val="12143222"/>
    <w:rsid w:val="12154529"/>
    <w:rsid w:val="1215880F"/>
    <w:rsid w:val="1216AFA3"/>
    <w:rsid w:val="121A7BBC"/>
    <w:rsid w:val="121CDE3D"/>
    <w:rsid w:val="122D45E3"/>
    <w:rsid w:val="122DCEEF"/>
    <w:rsid w:val="122E72A5"/>
    <w:rsid w:val="122E7C1D"/>
    <w:rsid w:val="122FF12D"/>
    <w:rsid w:val="1231D4CC"/>
    <w:rsid w:val="12349CA0"/>
    <w:rsid w:val="12350BD8"/>
    <w:rsid w:val="1235F384"/>
    <w:rsid w:val="12360F03"/>
    <w:rsid w:val="123DA827"/>
    <w:rsid w:val="12407352"/>
    <w:rsid w:val="1240996B"/>
    <w:rsid w:val="1240E383"/>
    <w:rsid w:val="12443581"/>
    <w:rsid w:val="124517E0"/>
    <w:rsid w:val="12464432"/>
    <w:rsid w:val="1246C5A7"/>
    <w:rsid w:val="1247C844"/>
    <w:rsid w:val="1247E2E9"/>
    <w:rsid w:val="124AE900"/>
    <w:rsid w:val="124B1150"/>
    <w:rsid w:val="124DD422"/>
    <w:rsid w:val="124F079B"/>
    <w:rsid w:val="1253954D"/>
    <w:rsid w:val="1253E073"/>
    <w:rsid w:val="1255BAB3"/>
    <w:rsid w:val="1256F6F9"/>
    <w:rsid w:val="1258E265"/>
    <w:rsid w:val="125A3B37"/>
    <w:rsid w:val="125A422D"/>
    <w:rsid w:val="125B2C6B"/>
    <w:rsid w:val="125C8045"/>
    <w:rsid w:val="125D57FC"/>
    <w:rsid w:val="125FFAB7"/>
    <w:rsid w:val="1262F1E4"/>
    <w:rsid w:val="12640310"/>
    <w:rsid w:val="12642FD7"/>
    <w:rsid w:val="126471E3"/>
    <w:rsid w:val="12699995"/>
    <w:rsid w:val="126DBF26"/>
    <w:rsid w:val="126FE81E"/>
    <w:rsid w:val="126FFDC8"/>
    <w:rsid w:val="12701DD7"/>
    <w:rsid w:val="12704D02"/>
    <w:rsid w:val="127236C0"/>
    <w:rsid w:val="1274A30C"/>
    <w:rsid w:val="12786A8C"/>
    <w:rsid w:val="1279B2CC"/>
    <w:rsid w:val="127C3D39"/>
    <w:rsid w:val="127DC549"/>
    <w:rsid w:val="127E3C1F"/>
    <w:rsid w:val="12806C7C"/>
    <w:rsid w:val="1281F000"/>
    <w:rsid w:val="12890A29"/>
    <w:rsid w:val="128AB87B"/>
    <w:rsid w:val="128D1E62"/>
    <w:rsid w:val="128FD7D3"/>
    <w:rsid w:val="12935BA0"/>
    <w:rsid w:val="129B97AA"/>
    <w:rsid w:val="129C0C57"/>
    <w:rsid w:val="129C3CD9"/>
    <w:rsid w:val="129FC43B"/>
    <w:rsid w:val="12A1928D"/>
    <w:rsid w:val="12A22D7A"/>
    <w:rsid w:val="12A363A3"/>
    <w:rsid w:val="12A38509"/>
    <w:rsid w:val="12A65D73"/>
    <w:rsid w:val="12A780AE"/>
    <w:rsid w:val="12AB4BF9"/>
    <w:rsid w:val="12AB521C"/>
    <w:rsid w:val="12AB69CA"/>
    <w:rsid w:val="12AB8D88"/>
    <w:rsid w:val="12AD196C"/>
    <w:rsid w:val="12AF6335"/>
    <w:rsid w:val="12B8B266"/>
    <w:rsid w:val="12B90C95"/>
    <w:rsid w:val="12BF1D06"/>
    <w:rsid w:val="12C460AD"/>
    <w:rsid w:val="12C46FC7"/>
    <w:rsid w:val="12C49F87"/>
    <w:rsid w:val="12C5AEF6"/>
    <w:rsid w:val="12C5DCC5"/>
    <w:rsid w:val="12C9913B"/>
    <w:rsid w:val="12CC7476"/>
    <w:rsid w:val="12CDFA91"/>
    <w:rsid w:val="12CE212A"/>
    <w:rsid w:val="12CE323C"/>
    <w:rsid w:val="12CECC3A"/>
    <w:rsid w:val="12CFD0A1"/>
    <w:rsid w:val="12D0A56B"/>
    <w:rsid w:val="12D23E38"/>
    <w:rsid w:val="12D2D0F9"/>
    <w:rsid w:val="12D60ADF"/>
    <w:rsid w:val="12D807CC"/>
    <w:rsid w:val="12D83ED1"/>
    <w:rsid w:val="12D8C8AD"/>
    <w:rsid w:val="12DA12D3"/>
    <w:rsid w:val="12DC8CBB"/>
    <w:rsid w:val="12DD29F3"/>
    <w:rsid w:val="12DD7168"/>
    <w:rsid w:val="12DFD5C0"/>
    <w:rsid w:val="12E0FE6C"/>
    <w:rsid w:val="12E34F85"/>
    <w:rsid w:val="12E3BAD6"/>
    <w:rsid w:val="12E4B85C"/>
    <w:rsid w:val="12E6349C"/>
    <w:rsid w:val="12E7BB98"/>
    <w:rsid w:val="12E8AAE9"/>
    <w:rsid w:val="12EA0A3C"/>
    <w:rsid w:val="12EAF3AE"/>
    <w:rsid w:val="12EBC7A4"/>
    <w:rsid w:val="12ECF465"/>
    <w:rsid w:val="12EF1B2F"/>
    <w:rsid w:val="12F03A5A"/>
    <w:rsid w:val="12F0AB04"/>
    <w:rsid w:val="12F23AAD"/>
    <w:rsid w:val="12F42131"/>
    <w:rsid w:val="12F496C3"/>
    <w:rsid w:val="12F7A796"/>
    <w:rsid w:val="12FD8500"/>
    <w:rsid w:val="12FDA504"/>
    <w:rsid w:val="12FF244C"/>
    <w:rsid w:val="13018453"/>
    <w:rsid w:val="1303BD89"/>
    <w:rsid w:val="1305B1C1"/>
    <w:rsid w:val="1306946B"/>
    <w:rsid w:val="1309145A"/>
    <w:rsid w:val="130A4C55"/>
    <w:rsid w:val="130C9330"/>
    <w:rsid w:val="130D3730"/>
    <w:rsid w:val="131053A1"/>
    <w:rsid w:val="13112DE0"/>
    <w:rsid w:val="1314C7AC"/>
    <w:rsid w:val="13151B1B"/>
    <w:rsid w:val="131777FE"/>
    <w:rsid w:val="13188B2C"/>
    <w:rsid w:val="131AA5D6"/>
    <w:rsid w:val="131B7E61"/>
    <w:rsid w:val="131FA968"/>
    <w:rsid w:val="13206FBF"/>
    <w:rsid w:val="13229F9A"/>
    <w:rsid w:val="1322B7EF"/>
    <w:rsid w:val="1324F436"/>
    <w:rsid w:val="132672E3"/>
    <w:rsid w:val="132AE33E"/>
    <w:rsid w:val="132E3ED9"/>
    <w:rsid w:val="133004DE"/>
    <w:rsid w:val="1330A1E5"/>
    <w:rsid w:val="13318EA2"/>
    <w:rsid w:val="1332E7A2"/>
    <w:rsid w:val="1333A132"/>
    <w:rsid w:val="13358FF9"/>
    <w:rsid w:val="1338E4A8"/>
    <w:rsid w:val="1339659D"/>
    <w:rsid w:val="133A8C8A"/>
    <w:rsid w:val="133EF50B"/>
    <w:rsid w:val="133FC55E"/>
    <w:rsid w:val="134097CE"/>
    <w:rsid w:val="13423FBC"/>
    <w:rsid w:val="1344DE48"/>
    <w:rsid w:val="13462211"/>
    <w:rsid w:val="1346C828"/>
    <w:rsid w:val="134BFF06"/>
    <w:rsid w:val="134D1E1C"/>
    <w:rsid w:val="134D7E08"/>
    <w:rsid w:val="1352C3A3"/>
    <w:rsid w:val="1353707E"/>
    <w:rsid w:val="1356D013"/>
    <w:rsid w:val="135828EC"/>
    <w:rsid w:val="1358C95D"/>
    <w:rsid w:val="1359D7AD"/>
    <w:rsid w:val="135DDCC3"/>
    <w:rsid w:val="135FC928"/>
    <w:rsid w:val="136208D5"/>
    <w:rsid w:val="13630127"/>
    <w:rsid w:val="136BB5E6"/>
    <w:rsid w:val="136CD6F7"/>
    <w:rsid w:val="136E9DC4"/>
    <w:rsid w:val="13767731"/>
    <w:rsid w:val="1376786A"/>
    <w:rsid w:val="1376C941"/>
    <w:rsid w:val="137FF764"/>
    <w:rsid w:val="1381B8B7"/>
    <w:rsid w:val="1382471A"/>
    <w:rsid w:val="1385DFAE"/>
    <w:rsid w:val="138951C7"/>
    <w:rsid w:val="1389B347"/>
    <w:rsid w:val="138DA42A"/>
    <w:rsid w:val="138DE872"/>
    <w:rsid w:val="138E1AD8"/>
    <w:rsid w:val="138EEB62"/>
    <w:rsid w:val="13910AB8"/>
    <w:rsid w:val="1391D1F5"/>
    <w:rsid w:val="1393E4DA"/>
    <w:rsid w:val="1393FBA1"/>
    <w:rsid w:val="13944BBF"/>
    <w:rsid w:val="13967818"/>
    <w:rsid w:val="13981083"/>
    <w:rsid w:val="139838DE"/>
    <w:rsid w:val="1398C8D2"/>
    <w:rsid w:val="139A2008"/>
    <w:rsid w:val="139C5904"/>
    <w:rsid w:val="139E6622"/>
    <w:rsid w:val="13A2445E"/>
    <w:rsid w:val="13A6B421"/>
    <w:rsid w:val="13A79391"/>
    <w:rsid w:val="13AC3317"/>
    <w:rsid w:val="13AD3B05"/>
    <w:rsid w:val="13B114D7"/>
    <w:rsid w:val="13B158EE"/>
    <w:rsid w:val="13B57C82"/>
    <w:rsid w:val="13B7A939"/>
    <w:rsid w:val="13B8C60D"/>
    <w:rsid w:val="13B9F059"/>
    <w:rsid w:val="13B9F8A3"/>
    <w:rsid w:val="13BC198D"/>
    <w:rsid w:val="13C690FB"/>
    <w:rsid w:val="13CB998F"/>
    <w:rsid w:val="13CD0D1F"/>
    <w:rsid w:val="13CEDACC"/>
    <w:rsid w:val="13D533F3"/>
    <w:rsid w:val="13D55689"/>
    <w:rsid w:val="13D65953"/>
    <w:rsid w:val="13D8DF75"/>
    <w:rsid w:val="13D9490E"/>
    <w:rsid w:val="13DD1814"/>
    <w:rsid w:val="13E1A5A1"/>
    <w:rsid w:val="13E2BC67"/>
    <w:rsid w:val="13E52A2A"/>
    <w:rsid w:val="13E56108"/>
    <w:rsid w:val="13E59D9A"/>
    <w:rsid w:val="13E6658B"/>
    <w:rsid w:val="13E781E0"/>
    <w:rsid w:val="13ED0E9D"/>
    <w:rsid w:val="13F0D5D9"/>
    <w:rsid w:val="13F16A15"/>
    <w:rsid w:val="13F47110"/>
    <w:rsid w:val="13F49C65"/>
    <w:rsid w:val="13F6B1F3"/>
    <w:rsid w:val="13F8CE04"/>
    <w:rsid w:val="13FE3B20"/>
    <w:rsid w:val="1404B54B"/>
    <w:rsid w:val="140626C4"/>
    <w:rsid w:val="14081E0D"/>
    <w:rsid w:val="140A7F9A"/>
    <w:rsid w:val="140B79D8"/>
    <w:rsid w:val="140B940E"/>
    <w:rsid w:val="141122E5"/>
    <w:rsid w:val="14143CF5"/>
    <w:rsid w:val="1414C669"/>
    <w:rsid w:val="14151624"/>
    <w:rsid w:val="1419146E"/>
    <w:rsid w:val="141BF67B"/>
    <w:rsid w:val="141D376D"/>
    <w:rsid w:val="141F2C9D"/>
    <w:rsid w:val="141F3584"/>
    <w:rsid w:val="14202262"/>
    <w:rsid w:val="1421312D"/>
    <w:rsid w:val="14255863"/>
    <w:rsid w:val="142622D5"/>
    <w:rsid w:val="1426FD02"/>
    <w:rsid w:val="142B7E35"/>
    <w:rsid w:val="142E6306"/>
    <w:rsid w:val="14312749"/>
    <w:rsid w:val="14321CA3"/>
    <w:rsid w:val="1432D668"/>
    <w:rsid w:val="14344E7F"/>
    <w:rsid w:val="14361A34"/>
    <w:rsid w:val="14378788"/>
    <w:rsid w:val="1437A006"/>
    <w:rsid w:val="143A8F08"/>
    <w:rsid w:val="143B14DB"/>
    <w:rsid w:val="143B2B4B"/>
    <w:rsid w:val="143BA577"/>
    <w:rsid w:val="143F0585"/>
    <w:rsid w:val="143FEF04"/>
    <w:rsid w:val="1442DAE0"/>
    <w:rsid w:val="14444019"/>
    <w:rsid w:val="1444AD7B"/>
    <w:rsid w:val="1446248A"/>
    <w:rsid w:val="14481399"/>
    <w:rsid w:val="1450A90D"/>
    <w:rsid w:val="145274ED"/>
    <w:rsid w:val="1456B8BB"/>
    <w:rsid w:val="1457BAC4"/>
    <w:rsid w:val="1457E5EA"/>
    <w:rsid w:val="145BA8D3"/>
    <w:rsid w:val="145D24C5"/>
    <w:rsid w:val="145DAF7E"/>
    <w:rsid w:val="145F6D2B"/>
    <w:rsid w:val="145F8F29"/>
    <w:rsid w:val="1461A7D4"/>
    <w:rsid w:val="14649F87"/>
    <w:rsid w:val="146688E8"/>
    <w:rsid w:val="14674E41"/>
    <w:rsid w:val="14678EDC"/>
    <w:rsid w:val="146B6761"/>
    <w:rsid w:val="146DA2B5"/>
    <w:rsid w:val="146DFE05"/>
    <w:rsid w:val="1470CD70"/>
    <w:rsid w:val="14719070"/>
    <w:rsid w:val="147207E3"/>
    <w:rsid w:val="14786A79"/>
    <w:rsid w:val="147C3114"/>
    <w:rsid w:val="1484A6A9"/>
    <w:rsid w:val="148794B3"/>
    <w:rsid w:val="14889031"/>
    <w:rsid w:val="148BCAD5"/>
    <w:rsid w:val="148C6193"/>
    <w:rsid w:val="1491A4FF"/>
    <w:rsid w:val="14942706"/>
    <w:rsid w:val="149C6B2B"/>
    <w:rsid w:val="149C9BBC"/>
    <w:rsid w:val="14A396EC"/>
    <w:rsid w:val="14A55B34"/>
    <w:rsid w:val="14AA8957"/>
    <w:rsid w:val="14AAB391"/>
    <w:rsid w:val="14B242F3"/>
    <w:rsid w:val="14B3D943"/>
    <w:rsid w:val="14B3DC0C"/>
    <w:rsid w:val="14B54BF6"/>
    <w:rsid w:val="14B8C110"/>
    <w:rsid w:val="14B8DBEF"/>
    <w:rsid w:val="14BDB6B5"/>
    <w:rsid w:val="14BEC740"/>
    <w:rsid w:val="14C154D5"/>
    <w:rsid w:val="14C17F03"/>
    <w:rsid w:val="14C1AA7F"/>
    <w:rsid w:val="14C30E6E"/>
    <w:rsid w:val="14C4086D"/>
    <w:rsid w:val="14CB926B"/>
    <w:rsid w:val="14CD878B"/>
    <w:rsid w:val="14D0BF5F"/>
    <w:rsid w:val="14D2D2AC"/>
    <w:rsid w:val="14D36BEC"/>
    <w:rsid w:val="14D73C99"/>
    <w:rsid w:val="14DAA85D"/>
    <w:rsid w:val="14DAECD0"/>
    <w:rsid w:val="14DCA6CD"/>
    <w:rsid w:val="14DDA904"/>
    <w:rsid w:val="14DEFD0B"/>
    <w:rsid w:val="14E0781A"/>
    <w:rsid w:val="14E1A838"/>
    <w:rsid w:val="14E3A387"/>
    <w:rsid w:val="14EA7106"/>
    <w:rsid w:val="14EAC707"/>
    <w:rsid w:val="14EC5507"/>
    <w:rsid w:val="14EDDA70"/>
    <w:rsid w:val="14F22091"/>
    <w:rsid w:val="14F3E4DE"/>
    <w:rsid w:val="14FE51B2"/>
    <w:rsid w:val="14FE9B10"/>
    <w:rsid w:val="14FF10D6"/>
    <w:rsid w:val="15022504"/>
    <w:rsid w:val="1509357F"/>
    <w:rsid w:val="150F3254"/>
    <w:rsid w:val="15143EE7"/>
    <w:rsid w:val="1516FB9D"/>
    <w:rsid w:val="151EBA8F"/>
    <w:rsid w:val="15215014"/>
    <w:rsid w:val="1524BE99"/>
    <w:rsid w:val="152A29E5"/>
    <w:rsid w:val="152A48DF"/>
    <w:rsid w:val="152BB846"/>
    <w:rsid w:val="152E9AEE"/>
    <w:rsid w:val="1534A11C"/>
    <w:rsid w:val="1538F5A1"/>
    <w:rsid w:val="153D310D"/>
    <w:rsid w:val="1543832B"/>
    <w:rsid w:val="154495A3"/>
    <w:rsid w:val="15491FBB"/>
    <w:rsid w:val="154A3D5E"/>
    <w:rsid w:val="154B3920"/>
    <w:rsid w:val="154C879E"/>
    <w:rsid w:val="154F6C7D"/>
    <w:rsid w:val="1550B36B"/>
    <w:rsid w:val="155317AB"/>
    <w:rsid w:val="1553E8CB"/>
    <w:rsid w:val="1554032C"/>
    <w:rsid w:val="15544C0E"/>
    <w:rsid w:val="15570F07"/>
    <w:rsid w:val="155879AD"/>
    <w:rsid w:val="1559203A"/>
    <w:rsid w:val="155C2AC8"/>
    <w:rsid w:val="156257E9"/>
    <w:rsid w:val="156405DA"/>
    <w:rsid w:val="157002CC"/>
    <w:rsid w:val="15728A59"/>
    <w:rsid w:val="1579DC4A"/>
    <w:rsid w:val="157A10AD"/>
    <w:rsid w:val="157A1CCD"/>
    <w:rsid w:val="157A36D4"/>
    <w:rsid w:val="157F9891"/>
    <w:rsid w:val="15809211"/>
    <w:rsid w:val="158258D8"/>
    <w:rsid w:val="15886CBE"/>
    <w:rsid w:val="158A50AE"/>
    <w:rsid w:val="158A976D"/>
    <w:rsid w:val="158CFEAB"/>
    <w:rsid w:val="158DD3EC"/>
    <w:rsid w:val="158E4944"/>
    <w:rsid w:val="158FFF94"/>
    <w:rsid w:val="1592EABD"/>
    <w:rsid w:val="1593110D"/>
    <w:rsid w:val="159390BD"/>
    <w:rsid w:val="1594C827"/>
    <w:rsid w:val="1595FC7E"/>
    <w:rsid w:val="1597DC9D"/>
    <w:rsid w:val="159826F3"/>
    <w:rsid w:val="159B6DBE"/>
    <w:rsid w:val="159BB4E2"/>
    <w:rsid w:val="159C6512"/>
    <w:rsid w:val="159CF21F"/>
    <w:rsid w:val="159ECE21"/>
    <w:rsid w:val="15A4A4C7"/>
    <w:rsid w:val="15A6D953"/>
    <w:rsid w:val="15AB32F2"/>
    <w:rsid w:val="15ACA6E6"/>
    <w:rsid w:val="15AFAC8A"/>
    <w:rsid w:val="15B09F28"/>
    <w:rsid w:val="15B2DC07"/>
    <w:rsid w:val="15B31A79"/>
    <w:rsid w:val="15B84807"/>
    <w:rsid w:val="15BAAD3F"/>
    <w:rsid w:val="15BD7153"/>
    <w:rsid w:val="15BF230E"/>
    <w:rsid w:val="15C2B5C1"/>
    <w:rsid w:val="15C3B887"/>
    <w:rsid w:val="15C83025"/>
    <w:rsid w:val="15CB511B"/>
    <w:rsid w:val="15CF8AD3"/>
    <w:rsid w:val="15D19C82"/>
    <w:rsid w:val="15D21699"/>
    <w:rsid w:val="15D22846"/>
    <w:rsid w:val="15D33701"/>
    <w:rsid w:val="15D44601"/>
    <w:rsid w:val="15D47C04"/>
    <w:rsid w:val="15D55414"/>
    <w:rsid w:val="15D85F1F"/>
    <w:rsid w:val="15D8E6FC"/>
    <w:rsid w:val="15DBB77C"/>
    <w:rsid w:val="15DCB299"/>
    <w:rsid w:val="15DCE577"/>
    <w:rsid w:val="15E10A69"/>
    <w:rsid w:val="15E2E287"/>
    <w:rsid w:val="15E30C78"/>
    <w:rsid w:val="15E9283E"/>
    <w:rsid w:val="15EC8F93"/>
    <w:rsid w:val="15EF98B2"/>
    <w:rsid w:val="15F17D6D"/>
    <w:rsid w:val="15F3F54B"/>
    <w:rsid w:val="15F45264"/>
    <w:rsid w:val="15F4526B"/>
    <w:rsid w:val="15F5CFD9"/>
    <w:rsid w:val="15F95534"/>
    <w:rsid w:val="15FA8B8B"/>
    <w:rsid w:val="15FC1995"/>
    <w:rsid w:val="15FE278B"/>
    <w:rsid w:val="16015746"/>
    <w:rsid w:val="1602A1CC"/>
    <w:rsid w:val="16063D95"/>
    <w:rsid w:val="1606FCC6"/>
    <w:rsid w:val="1611DB44"/>
    <w:rsid w:val="1612512D"/>
    <w:rsid w:val="1615C44F"/>
    <w:rsid w:val="16179FB8"/>
    <w:rsid w:val="161BA54C"/>
    <w:rsid w:val="161D6977"/>
    <w:rsid w:val="161DE0A7"/>
    <w:rsid w:val="161E7A00"/>
    <w:rsid w:val="162006BA"/>
    <w:rsid w:val="16210378"/>
    <w:rsid w:val="1624DBE3"/>
    <w:rsid w:val="1626882C"/>
    <w:rsid w:val="16280733"/>
    <w:rsid w:val="162A6962"/>
    <w:rsid w:val="162CDD54"/>
    <w:rsid w:val="162F6C6B"/>
    <w:rsid w:val="1633FCDA"/>
    <w:rsid w:val="16344B3A"/>
    <w:rsid w:val="16358C25"/>
    <w:rsid w:val="16390852"/>
    <w:rsid w:val="163B74C8"/>
    <w:rsid w:val="163FD313"/>
    <w:rsid w:val="16402E71"/>
    <w:rsid w:val="1643A218"/>
    <w:rsid w:val="164504A5"/>
    <w:rsid w:val="16477E58"/>
    <w:rsid w:val="164A1F04"/>
    <w:rsid w:val="164A70EB"/>
    <w:rsid w:val="164C3390"/>
    <w:rsid w:val="164F4AAB"/>
    <w:rsid w:val="1651C8CA"/>
    <w:rsid w:val="16521336"/>
    <w:rsid w:val="1654EBC0"/>
    <w:rsid w:val="1655E84A"/>
    <w:rsid w:val="16586203"/>
    <w:rsid w:val="1659EC2C"/>
    <w:rsid w:val="165E518B"/>
    <w:rsid w:val="165EDA65"/>
    <w:rsid w:val="165F48AE"/>
    <w:rsid w:val="16638E8F"/>
    <w:rsid w:val="16656021"/>
    <w:rsid w:val="1665BBF8"/>
    <w:rsid w:val="1668A52B"/>
    <w:rsid w:val="1668C027"/>
    <w:rsid w:val="166949D8"/>
    <w:rsid w:val="166E1766"/>
    <w:rsid w:val="1672AF4F"/>
    <w:rsid w:val="1672CEE0"/>
    <w:rsid w:val="1673D3F4"/>
    <w:rsid w:val="1677FF42"/>
    <w:rsid w:val="167BF636"/>
    <w:rsid w:val="167F8142"/>
    <w:rsid w:val="16812F98"/>
    <w:rsid w:val="16823749"/>
    <w:rsid w:val="16826646"/>
    <w:rsid w:val="16881372"/>
    <w:rsid w:val="16884F28"/>
    <w:rsid w:val="168B0C47"/>
    <w:rsid w:val="168E6A7E"/>
    <w:rsid w:val="1691236E"/>
    <w:rsid w:val="16933035"/>
    <w:rsid w:val="1693A6D5"/>
    <w:rsid w:val="1694786F"/>
    <w:rsid w:val="1695DD87"/>
    <w:rsid w:val="16973520"/>
    <w:rsid w:val="1697C2E9"/>
    <w:rsid w:val="16994092"/>
    <w:rsid w:val="169A418F"/>
    <w:rsid w:val="169C39CC"/>
    <w:rsid w:val="169DBADD"/>
    <w:rsid w:val="16A04EE9"/>
    <w:rsid w:val="16A14F3E"/>
    <w:rsid w:val="16A38CA4"/>
    <w:rsid w:val="16A4F91E"/>
    <w:rsid w:val="16A5E1D1"/>
    <w:rsid w:val="16A8C1E9"/>
    <w:rsid w:val="16AAED1F"/>
    <w:rsid w:val="16AC6498"/>
    <w:rsid w:val="16AF63F5"/>
    <w:rsid w:val="16B204BA"/>
    <w:rsid w:val="16B90C8B"/>
    <w:rsid w:val="16BB3162"/>
    <w:rsid w:val="16BCAEBF"/>
    <w:rsid w:val="16BD9062"/>
    <w:rsid w:val="16BEB43B"/>
    <w:rsid w:val="16BF3097"/>
    <w:rsid w:val="16C1B0C4"/>
    <w:rsid w:val="16C5741B"/>
    <w:rsid w:val="16C6DC21"/>
    <w:rsid w:val="16C8CE50"/>
    <w:rsid w:val="16C929F2"/>
    <w:rsid w:val="16CD6B61"/>
    <w:rsid w:val="16D36FAA"/>
    <w:rsid w:val="16D4B35B"/>
    <w:rsid w:val="16D54E17"/>
    <w:rsid w:val="16D571CC"/>
    <w:rsid w:val="16D691CA"/>
    <w:rsid w:val="16D6D7B7"/>
    <w:rsid w:val="16E047C2"/>
    <w:rsid w:val="16E0E069"/>
    <w:rsid w:val="16E0F43E"/>
    <w:rsid w:val="16E17979"/>
    <w:rsid w:val="16E354C2"/>
    <w:rsid w:val="16E5556D"/>
    <w:rsid w:val="16E7363C"/>
    <w:rsid w:val="16E9FEC0"/>
    <w:rsid w:val="16ECE02B"/>
    <w:rsid w:val="16ED1D79"/>
    <w:rsid w:val="16EDD57C"/>
    <w:rsid w:val="16EF38F7"/>
    <w:rsid w:val="16F25909"/>
    <w:rsid w:val="16F66797"/>
    <w:rsid w:val="16F8173C"/>
    <w:rsid w:val="16F94DC5"/>
    <w:rsid w:val="16FCF762"/>
    <w:rsid w:val="16FDD974"/>
    <w:rsid w:val="16FE9B3C"/>
    <w:rsid w:val="17006BBC"/>
    <w:rsid w:val="1700A272"/>
    <w:rsid w:val="17051193"/>
    <w:rsid w:val="17093B8E"/>
    <w:rsid w:val="170DC672"/>
    <w:rsid w:val="170F5764"/>
    <w:rsid w:val="17135EF3"/>
    <w:rsid w:val="1714877B"/>
    <w:rsid w:val="171583FD"/>
    <w:rsid w:val="1719EA09"/>
    <w:rsid w:val="171BC118"/>
    <w:rsid w:val="171C5C25"/>
    <w:rsid w:val="1721AE93"/>
    <w:rsid w:val="17221865"/>
    <w:rsid w:val="1723154A"/>
    <w:rsid w:val="17248A32"/>
    <w:rsid w:val="1724BAC9"/>
    <w:rsid w:val="1728F140"/>
    <w:rsid w:val="1729E9DA"/>
    <w:rsid w:val="172DD864"/>
    <w:rsid w:val="17348ED2"/>
    <w:rsid w:val="17368A96"/>
    <w:rsid w:val="173E9C9D"/>
    <w:rsid w:val="173F5161"/>
    <w:rsid w:val="17434D0B"/>
    <w:rsid w:val="174379FF"/>
    <w:rsid w:val="174B1A08"/>
    <w:rsid w:val="174C5564"/>
    <w:rsid w:val="174CCC3E"/>
    <w:rsid w:val="174E2C80"/>
    <w:rsid w:val="17507C4B"/>
    <w:rsid w:val="175109EA"/>
    <w:rsid w:val="1752E903"/>
    <w:rsid w:val="17538E2E"/>
    <w:rsid w:val="17544087"/>
    <w:rsid w:val="175C6E2B"/>
    <w:rsid w:val="175F1FBC"/>
    <w:rsid w:val="175FFCA5"/>
    <w:rsid w:val="1767B6AA"/>
    <w:rsid w:val="1769CD39"/>
    <w:rsid w:val="176F68AE"/>
    <w:rsid w:val="17708464"/>
    <w:rsid w:val="17708D2E"/>
    <w:rsid w:val="1772CCA4"/>
    <w:rsid w:val="1772E2E1"/>
    <w:rsid w:val="1773A95C"/>
    <w:rsid w:val="17749995"/>
    <w:rsid w:val="17755FF3"/>
    <w:rsid w:val="177703FF"/>
    <w:rsid w:val="17778B0C"/>
    <w:rsid w:val="1778F621"/>
    <w:rsid w:val="177AD222"/>
    <w:rsid w:val="177D2C64"/>
    <w:rsid w:val="17824E70"/>
    <w:rsid w:val="178268FE"/>
    <w:rsid w:val="17827766"/>
    <w:rsid w:val="178535F7"/>
    <w:rsid w:val="17857137"/>
    <w:rsid w:val="1787E7F0"/>
    <w:rsid w:val="178BF736"/>
    <w:rsid w:val="178D1104"/>
    <w:rsid w:val="1792D0EE"/>
    <w:rsid w:val="17931585"/>
    <w:rsid w:val="1793CC30"/>
    <w:rsid w:val="17966A95"/>
    <w:rsid w:val="17986D7B"/>
    <w:rsid w:val="179A690F"/>
    <w:rsid w:val="179C3349"/>
    <w:rsid w:val="17A0372B"/>
    <w:rsid w:val="17A19419"/>
    <w:rsid w:val="17A522DB"/>
    <w:rsid w:val="17A9E81D"/>
    <w:rsid w:val="17A9ED0B"/>
    <w:rsid w:val="17AC01DE"/>
    <w:rsid w:val="17AD90CB"/>
    <w:rsid w:val="17AF77B8"/>
    <w:rsid w:val="17B375E2"/>
    <w:rsid w:val="17B3A694"/>
    <w:rsid w:val="17B3BCC3"/>
    <w:rsid w:val="17B404CA"/>
    <w:rsid w:val="17B60F92"/>
    <w:rsid w:val="17B72E14"/>
    <w:rsid w:val="17BB2E48"/>
    <w:rsid w:val="17BB5AFF"/>
    <w:rsid w:val="17BDF968"/>
    <w:rsid w:val="17BEE886"/>
    <w:rsid w:val="17C40D06"/>
    <w:rsid w:val="17C51D81"/>
    <w:rsid w:val="17C5ECBE"/>
    <w:rsid w:val="17C6EF03"/>
    <w:rsid w:val="17CB29F0"/>
    <w:rsid w:val="17CB89F5"/>
    <w:rsid w:val="17CC2292"/>
    <w:rsid w:val="17CCECA0"/>
    <w:rsid w:val="17D1DFB5"/>
    <w:rsid w:val="17D34C7E"/>
    <w:rsid w:val="17D76318"/>
    <w:rsid w:val="17D9B4B9"/>
    <w:rsid w:val="17DD0BE2"/>
    <w:rsid w:val="17DE056A"/>
    <w:rsid w:val="17E27226"/>
    <w:rsid w:val="17E4FDA6"/>
    <w:rsid w:val="17E5EDB6"/>
    <w:rsid w:val="17EAD7CE"/>
    <w:rsid w:val="17ECDBAF"/>
    <w:rsid w:val="17ED760A"/>
    <w:rsid w:val="17EFA422"/>
    <w:rsid w:val="17F1E463"/>
    <w:rsid w:val="17F3D176"/>
    <w:rsid w:val="17F41EA9"/>
    <w:rsid w:val="17F4ABF1"/>
    <w:rsid w:val="17F71C2D"/>
    <w:rsid w:val="17FB1BB2"/>
    <w:rsid w:val="17FD5382"/>
    <w:rsid w:val="18009ECC"/>
    <w:rsid w:val="180187EC"/>
    <w:rsid w:val="1801C029"/>
    <w:rsid w:val="1806C1AF"/>
    <w:rsid w:val="1806CE2B"/>
    <w:rsid w:val="1808190A"/>
    <w:rsid w:val="180B847E"/>
    <w:rsid w:val="180FE7F7"/>
    <w:rsid w:val="18108178"/>
    <w:rsid w:val="181157BC"/>
    <w:rsid w:val="181236CA"/>
    <w:rsid w:val="18143F9B"/>
    <w:rsid w:val="1818837B"/>
    <w:rsid w:val="1818A5EF"/>
    <w:rsid w:val="1819AB67"/>
    <w:rsid w:val="181DEDAC"/>
    <w:rsid w:val="1823F542"/>
    <w:rsid w:val="1828C122"/>
    <w:rsid w:val="1828FAB6"/>
    <w:rsid w:val="182A0CFB"/>
    <w:rsid w:val="182AA9A4"/>
    <w:rsid w:val="182D039D"/>
    <w:rsid w:val="1830AD9C"/>
    <w:rsid w:val="1830F9C6"/>
    <w:rsid w:val="18329396"/>
    <w:rsid w:val="18354158"/>
    <w:rsid w:val="1836A551"/>
    <w:rsid w:val="1836CD4C"/>
    <w:rsid w:val="18386CBC"/>
    <w:rsid w:val="1839BD59"/>
    <w:rsid w:val="183A8657"/>
    <w:rsid w:val="183E2042"/>
    <w:rsid w:val="183F4FBC"/>
    <w:rsid w:val="18470EF9"/>
    <w:rsid w:val="18490331"/>
    <w:rsid w:val="184F9E53"/>
    <w:rsid w:val="185256A0"/>
    <w:rsid w:val="1853553C"/>
    <w:rsid w:val="1853A83D"/>
    <w:rsid w:val="18547644"/>
    <w:rsid w:val="185752D1"/>
    <w:rsid w:val="185A8E6C"/>
    <w:rsid w:val="185E96EC"/>
    <w:rsid w:val="1862E909"/>
    <w:rsid w:val="186315EF"/>
    <w:rsid w:val="1865C15F"/>
    <w:rsid w:val="186BF20B"/>
    <w:rsid w:val="186C057F"/>
    <w:rsid w:val="186D60B4"/>
    <w:rsid w:val="186F4464"/>
    <w:rsid w:val="187187A1"/>
    <w:rsid w:val="187224B5"/>
    <w:rsid w:val="18724762"/>
    <w:rsid w:val="1872DDA5"/>
    <w:rsid w:val="187374AD"/>
    <w:rsid w:val="18744C50"/>
    <w:rsid w:val="1874DDE6"/>
    <w:rsid w:val="1875D440"/>
    <w:rsid w:val="187755A9"/>
    <w:rsid w:val="18778956"/>
    <w:rsid w:val="1880DC92"/>
    <w:rsid w:val="188148BA"/>
    <w:rsid w:val="18854407"/>
    <w:rsid w:val="18858399"/>
    <w:rsid w:val="188660C3"/>
    <w:rsid w:val="1886855E"/>
    <w:rsid w:val="18879652"/>
    <w:rsid w:val="18879C73"/>
    <w:rsid w:val="188ADB1C"/>
    <w:rsid w:val="188B054A"/>
    <w:rsid w:val="188B79B3"/>
    <w:rsid w:val="188C5A8C"/>
    <w:rsid w:val="188C6A8C"/>
    <w:rsid w:val="188CD224"/>
    <w:rsid w:val="188E3FF0"/>
    <w:rsid w:val="188FA483"/>
    <w:rsid w:val="18901E79"/>
    <w:rsid w:val="1891A5FE"/>
    <w:rsid w:val="1893F7A6"/>
    <w:rsid w:val="18953DE8"/>
    <w:rsid w:val="1895738F"/>
    <w:rsid w:val="189795C4"/>
    <w:rsid w:val="1898164C"/>
    <w:rsid w:val="1899BB55"/>
    <w:rsid w:val="189BCAF9"/>
    <w:rsid w:val="189C4003"/>
    <w:rsid w:val="189F9C7A"/>
    <w:rsid w:val="18A22B0E"/>
    <w:rsid w:val="18A70C53"/>
    <w:rsid w:val="18A7AA65"/>
    <w:rsid w:val="18AA329B"/>
    <w:rsid w:val="18ABB957"/>
    <w:rsid w:val="18AFBBD2"/>
    <w:rsid w:val="18B34ACC"/>
    <w:rsid w:val="18B38978"/>
    <w:rsid w:val="18B69C6E"/>
    <w:rsid w:val="18B88286"/>
    <w:rsid w:val="18BA54B2"/>
    <w:rsid w:val="18BB89D4"/>
    <w:rsid w:val="18BC85AA"/>
    <w:rsid w:val="18BDC38A"/>
    <w:rsid w:val="18BDC40E"/>
    <w:rsid w:val="18BFF017"/>
    <w:rsid w:val="18C252ED"/>
    <w:rsid w:val="18C353D9"/>
    <w:rsid w:val="18C6D343"/>
    <w:rsid w:val="18C94069"/>
    <w:rsid w:val="18C94816"/>
    <w:rsid w:val="18CBCF5B"/>
    <w:rsid w:val="18CC5437"/>
    <w:rsid w:val="18CEFF92"/>
    <w:rsid w:val="18D21379"/>
    <w:rsid w:val="18D46EE4"/>
    <w:rsid w:val="18D8E6C1"/>
    <w:rsid w:val="18DD70D6"/>
    <w:rsid w:val="18DFC9E9"/>
    <w:rsid w:val="18E35D32"/>
    <w:rsid w:val="18E3F29C"/>
    <w:rsid w:val="18E4FFE0"/>
    <w:rsid w:val="18E5C191"/>
    <w:rsid w:val="18E609B6"/>
    <w:rsid w:val="18E63116"/>
    <w:rsid w:val="18EB9361"/>
    <w:rsid w:val="18EC8FB5"/>
    <w:rsid w:val="18EDD787"/>
    <w:rsid w:val="18F0D1DB"/>
    <w:rsid w:val="18F168A9"/>
    <w:rsid w:val="18F1A316"/>
    <w:rsid w:val="18F6787F"/>
    <w:rsid w:val="18F8D7EB"/>
    <w:rsid w:val="18F98CB0"/>
    <w:rsid w:val="18FA0BA5"/>
    <w:rsid w:val="18FA6890"/>
    <w:rsid w:val="18FEBF86"/>
    <w:rsid w:val="18FFB01D"/>
    <w:rsid w:val="1907A1FD"/>
    <w:rsid w:val="190A6207"/>
    <w:rsid w:val="190EED5C"/>
    <w:rsid w:val="19105855"/>
    <w:rsid w:val="1910A132"/>
    <w:rsid w:val="19115CBE"/>
    <w:rsid w:val="1912923D"/>
    <w:rsid w:val="1912A12C"/>
    <w:rsid w:val="19132A04"/>
    <w:rsid w:val="19136FBE"/>
    <w:rsid w:val="19148B8A"/>
    <w:rsid w:val="1914B971"/>
    <w:rsid w:val="191517DF"/>
    <w:rsid w:val="1916827F"/>
    <w:rsid w:val="1919D97F"/>
    <w:rsid w:val="191AD97F"/>
    <w:rsid w:val="191E3939"/>
    <w:rsid w:val="19247CDC"/>
    <w:rsid w:val="192AC674"/>
    <w:rsid w:val="192AEF8B"/>
    <w:rsid w:val="192B18F4"/>
    <w:rsid w:val="192C694D"/>
    <w:rsid w:val="192CAE49"/>
    <w:rsid w:val="192E18F8"/>
    <w:rsid w:val="192E8C45"/>
    <w:rsid w:val="193084F5"/>
    <w:rsid w:val="1931256B"/>
    <w:rsid w:val="19391AC3"/>
    <w:rsid w:val="193AF3D4"/>
    <w:rsid w:val="193BC89D"/>
    <w:rsid w:val="193CDBD6"/>
    <w:rsid w:val="193F1A8A"/>
    <w:rsid w:val="19440C6E"/>
    <w:rsid w:val="1945B7B9"/>
    <w:rsid w:val="19478DDA"/>
    <w:rsid w:val="19479CA2"/>
    <w:rsid w:val="194A15DA"/>
    <w:rsid w:val="195237C4"/>
    <w:rsid w:val="1952BB12"/>
    <w:rsid w:val="1952C027"/>
    <w:rsid w:val="1955367E"/>
    <w:rsid w:val="1956DA8C"/>
    <w:rsid w:val="19581E5B"/>
    <w:rsid w:val="195AAEB0"/>
    <w:rsid w:val="195D2536"/>
    <w:rsid w:val="195E548D"/>
    <w:rsid w:val="1960DC6A"/>
    <w:rsid w:val="19638350"/>
    <w:rsid w:val="196413D3"/>
    <w:rsid w:val="19653C5F"/>
    <w:rsid w:val="19686E7C"/>
    <w:rsid w:val="197261C5"/>
    <w:rsid w:val="1974D8CF"/>
    <w:rsid w:val="1976B39E"/>
    <w:rsid w:val="197888CA"/>
    <w:rsid w:val="197DD651"/>
    <w:rsid w:val="197FA576"/>
    <w:rsid w:val="1980B073"/>
    <w:rsid w:val="19839FE7"/>
    <w:rsid w:val="198607C1"/>
    <w:rsid w:val="19871FD4"/>
    <w:rsid w:val="1987B43A"/>
    <w:rsid w:val="198A1080"/>
    <w:rsid w:val="198B5E37"/>
    <w:rsid w:val="198B6E83"/>
    <w:rsid w:val="198C6905"/>
    <w:rsid w:val="198D3971"/>
    <w:rsid w:val="198DF436"/>
    <w:rsid w:val="198F9BFE"/>
    <w:rsid w:val="1991DFBF"/>
    <w:rsid w:val="1992A236"/>
    <w:rsid w:val="19944C3A"/>
    <w:rsid w:val="199B8D85"/>
    <w:rsid w:val="199D94D6"/>
    <w:rsid w:val="19A33F66"/>
    <w:rsid w:val="19A634EB"/>
    <w:rsid w:val="19A999F8"/>
    <w:rsid w:val="19AA8A85"/>
    <w:rsid w:val="19AA92E4"/>
    <w:rsid w:val="19AACB1B"/>
    <w:rsid w:val="19AD451A"/>
    <w:rsid w:val="19B2BE84"/>
    <w:rsid w:val="19B2E21A"/>
    <w:rsid w:val="19B4299E"/>
    <w:rsid w:val="19BAC337"/>
    <w:rsid w:val="19BC73D7"/>
    <w:rsid w:val="19C0BB24"/>
    <w:rsid w:val="19C0F6B3"/>
    <w:rsid w:val="19C4037F"/>
    <w:rsid w:val="19CC6DF7"/>
    <w:rsid w:val="19CD06E1"/>
    <w:rsid w:val="19CD10B1"/>
    <w:rsid w:val="19CE8166"/>
    <w:rsid w:val="19D3CCE5"/>
    <w:rsid w:val="19D505A9"/>
    <w:rsid w:val="19E0A35F"/>
    <w:rsid w:val="19E0C0D7"/>
    <w:rsid w:val="19E1B4DE"/>
    <w:rsid w:val="19E27239"/>
    <w:rsid w:val="19E5BB3E"/>
    <w:rsid w:val="19E7CB38"/>
    <w:rsid w:val="19EA1391"/>
    <w:rsid w:val="19EA7E28"/>
    <w:rsid w:val="19EB19D2"/>
    <w:rsid w:val="19EB67E3"/>
    <w:rsid w:val="19F1F2E8"/>
    <w:rsid w:val="19F4D320"/>
    <w:rsid w:val="19FD9377"/>
    <w:rsid w:val="1A023E94"/>
    <w:rsid w:val="1A04B019"/>
    <w:rsid w:val="1A0503E7"/>
    <w:rsid w:val="1A06023E"/>
    <w:rsid w:val="1A068CA0"/>
    <w:rsid w:val="1A077BE2"/>
    <w:rsid w:val="1A0C955A"/>
    <w:rsid w:val="1A0F540B"/>
    <w:rsid w:val="1A13A801"/>
    <w:rsid w:val="1A141B19"/>
    <w:rsid w:val="1A163B29"/>
    <w:rsid w:val="1A187FB7"/>
    <w:rsid w:val="1A18DF67"/>
    <w:rsid w:val="1A18E93B"/>
    <w:rsid w:val="1A1B1170"/>
    <w:rsid w:val="1A1C48CF"/>
    <w:rsid w:val="1A1E3B62"/>
    <w:rsid w:val="1A1FB583"/>
    <w:rsid w:val="1A2580C7"/>
    <w:rsid w:val="1A2584C9"/>
    <w:rsid w:val="1A2595EF"/>
    <w:rsid w:val="1A25C87F"/>
    <w:rsid w:val="1A25FCBE"/>
    <w:rsid w:val="1A2869D4"/>
    <w:rsid w:val="1A297039"/>
    <w:rsid w:val="1A2AEB52"/>
    <w:rsid w:val="1A3083C3"/>
    <w:rsid w:val="1A30B484"/>
    <w:rsid w:val="1A318889"/>
    <w:rsid w:val="1A34C052"/>
    <w:rsid w:val="1A37C715"/>
    <w:rsid w:val="1A3846FE"/>
    <w:rsid w:val="1A3E69C7"/>
    <w:rsid w:val="1A3EB6C9"/>
    <w:rsid w:val="1A457FD9"/>
    <w:rsid w:val="1A461FCB"/>
    <w:rsid w:val="1A498EB1"/>
    <w:rsid w:val="1A4CF532"/>
    <w:rsid w:val="1A4D6477"/>
    <w:rsid w:val="1A5017CE"/>
    <w:rsid w:val="1A507A80"/>
    <w:rsid w:val="1A520880"/>
    <w:rsid w:val="1A56F4D3"/>
    <w:rsid w:val="1A58375E"/>
    <w:rsid w:val="1A58917B"/>
    <w:rsid w:val="1A5BAA68"/>
    <w:rsid w:val="1A5EF6EF"/>
    <w:rsid w:val="1A5F7A21"/>
    <w:rsid w:val="1A601216"/>
    <w:rsid w:val="1A62F176"/>
    <w:rsid w:val="1A647322"/>
    <w:rsid w:val="1A648743"/>
    <w:rsid w:val="1A6ABFEC"/>
    <w:rsid w:val="1A6B2EFA"/>
    <w:rsid w:val="1A6FAF09"/>
    <w:rsid w:val="1A736CA9"/>
    <w:rsid w:val="1A74016A"/>
    <w:rsid w:val="1A742C6B"/>
    <w:rsid w:val="1A75F940"/>
    <w:rsid w:val="1A781E35"/>
    <w:rsid w:val="1A78EDAB"/>
    <w:rsid w:val="1A794781"/>
    <w:rsid w:val="1A79FB8F"/>
    <w:rsid w:val="1A7F6999"/>
    <w:rsid w:val="1A7FF6B4"/>
    <w:rsid w:val="1A810E88"/>
    <w:rsid w:val="1A81E056"/>
    <w:rsid w:val="1A826BC2"/>
    <w:rsid w:val="1A876D98"/>
    <w:rsid w:val="1A8A2199"/>
    <w:rsid w:val="1A8B4BE8"/>
    <w:rsid w:val="1A8E8D01"/>
    <w:rsid w:val="1A906330"/>
    <w:rsid w:val="1A90D093"/>
    <w:rsid w:val="1A93F865"/>
    <w:rsid w:val="1A96053F"/>
    <w:rsid w:val="1A995D36"/>
    <w:rsid w:val="1A99B82E"/>
    <w:rsid w:val="1A99DA24"/>
    <w:rsid w:val="1A9A01CE"/>
    <w:rsid w:val="1A9CCE87"/>
    <w:rsid w:val="1A9DAD07"/>
    <w:rsid w:val="1A9E0B1F"/>
    <w:rsid w:val="1A9F2175"/>
    <w:rsid w:val="1AA33BA6"/>
    <w:rsid w:val="1AA3B54E"/>
    <w:rsid w:val="1AA42C06"/>
    <w:rsid w:val="1AA4C0C2"/>
    <w:rsid w:val="1AA4CAED"/>
    <w:rsid w:val="1AAA648E"/>
    <w:rsid w:val="1AAD7881"/>
    <w:rsid w:val="1AAFA30E"/>
    <w:rsid w:val="1AB90D36"/>
    <w:rsid w:val="1ABB0278"/>
    <w:rsid w:val="1ABC73E4"/>
    <w:rsid w:val="1ABE7190"/>
    <w:rsid w:val="1ABE8243"/>
    <w:rsid w:val="1AC05502"/>
    <w:rsid w:val="1AC0CA61"/>
    <w:rsid w:val="1AC0D9A3"/>
    <w:rsid w:val="1AC7D6F0"/>
    <w:rsid w:val="1AC867FF"/>
    <w:rsid w:val="1AC92B4A"/>
    <w:rsid w:val="1AC99D27"/>
    <w:rsid w:val="1AD24239"/>
    <w:rsid w:val="1AD31176"/>
    <w:rsid w:val="1ADB6797"/>
    <w:rsid w:val="1ADEE765"/>
    <w:rsid w:val="1AE01B94"/>
    <w:rsid w:val="1AE1FA81"/>
    <w:rsid w:val="1AE53ECE"/>
    <w:rsid w:val="1AE774D4"/>
    <w:rsid w:val="1AE9AE00"/>
    <w:rsid w:val="1AED8656"/>
    <w:rsid w:val="1AEDF997"/>
    <w:rsid w:val="1AEEB053"/>
    <w:rsid w:val="1AF5CD64"/>
    <w:rsid w:val="1AF96180"/>
    <w:rsid w:val="1AF99D1A"/>
    <w:rsid w:val="1AF9C6D0"/>
    <w:rsid w:val="1AF9D2A7"/>
    <w:rsid w:val="1AFABB25"/>
    <w:rsid w:val="1AFB8002"/>
    <w:rsid w:val="1AFC0E65"/>
    <w:rsid w:val="1AFCABFB"/>
    <w:rsid w:val="1AFEABA3"/>
    <w:rsid w:val="1AFF5B49"/>
    <w:rsid w:val="1B016B29"/>
    <w:rsid w:val="1B01F82E"/>
    <w:rsid w:val="1B0362E2"/>
    <w:rsid w:val="1B04508D"/>
    <w:rsid w:val="1B07C5DC"/>
    <w:rsid w:val="1B0ED0A1"/>
    <w:rsid w:val="1B1155C8"/>
    <w:rsid w:val="1B120C48"/>
    <w:rsid w:val="1B139337"/>
    <w:rsid w:val="1B159736"/>
    <w:rsid w:val="1B163598"/>
    <w:rsid w:val="1B17196E"/>
    <w:rsid w:val="1B1909FF"/>
    <w:rsid w:val="1B197119"/>
    <w:rsid w:val="1B1AD8E2"/>
    <w:rsid w:val="1B1BC9B3"/>
    <w:rsid w:val="1B1C5A4F"/>
    <w:rsid w:val="1B1C724D"/>
    <w:rsid w:val="1B1F76AB"/>
    <w:rsid w:val="1B217854"/>
    <w:rsid w:val="1B218423"/>
    <w:rsid w:val="1B21CC5F"/>
    <w:rsid w:val="1B229AEA"/>
    <w:rsid w:val="1B22E4CA"/>
    <w:rsid w:val="1B25FBD2"/>
    <w:rsid w:val="1B294BE3"/>
    <w:rsid w:val="1B2B8D67"/>
    <w:rsid w:val="1B2C4570"/>
    <w:rsid w:val="1B2F6C15"/>
    <w:rsid w:val="1B364852"/>
    <w:rsid w:val="1B3799AA"/>
    <w:rsid w:val="1B3AA188"/>
    <w:rsid w:val="1B3AE41F"/>
    <w:rsid w:val="1B3CD500"/>
    <w:rsid w:val="1B4106B2"/>
    <w:rsid w:val="1B41BCF0"/>
    <w:rsid w:val="1B447CA4"/>
    <w:rsid w:val="1B4A96F7"/>
    <w:rsid w:val="1B4B1D7E"/>
    <w:rsid w:val="1B4D516D"/>
    <w:rsid w:val="1B4E076C"/>
    <w:rsid w:val="1B52361B"/>
    <w:rsid w:val="1B55A0C1"/>
    <w:rsid w:val="1B565DE0"/>
    <w:rsid w:val="1B57CA1E"/>
    <w:rsid w:val="1B5A2AF8"/>
    <w:rsid w:val="1B5C17F7"/>
    <w:rsid w:val="1B5CB8A4"/>
    <w:rsid w:val="1B5D144D"/>
    <w:rsid w:val="1B5E1BD0"/>
    <w:rsid w:val="1B5ECB93"/>
    <w:rsid w:val="1B61BBF8"/>
    <w:rsid w:val="1B62B03E"/>
    <w:rsid w:val="1B631154"/>
    <w:rsid w:val="1B64199F"/>
    <w:rsid w:val="1B696A3F"/>
    <w:rsid w:val="1B696FC5"/>
    <w:rsid w:val="1B6BF204"/>
    <w:rsid w:val="1B6D3867"/>
    <w:rsid w:val="1B71B61A"/>
    <w:rsid w:val="1B72A084"/>
    <w:rsid w:val="1B760CD0"/>
    <w:rsid w:val="1B764E3D"/>
    <w:rsid w:val="1B7A0607"/>
    <w:rsid w:val="1B7A5D1C"/>
    <w:rsid w:val="1B7D369C"/>
    <w:rsid w:val="1B7E2DD0"/>
    <w:rsid w:val="1B7EA451"/>
    <w:rsid w:val="1B828BD7"/>
    <w:rsid w:val="1B83FFEE"/>
    <w:rsid w:val="1B84B6CC"/>
    <w:rsid w:val="1B87F8B1"/>
    <w:rsid w:val="1B886FAF"/>
    <w:rsid w:val="1B8C4CE8"/>
    <w:rsid w:val="1B8C61A0"/>
    <w:rsid w:val="1B8D1921"/>
    <w:rsid w:val="1B8E26BC"/>
    <w:rsid w:val="1B8F9B9B"/>
    <w:rsid w:val="1B90EDA8"/>
    <w:rsid w:val="1B91989E"/>
    <w:rsid w:val="1B93D779"/>
    <w:rsid w:val="1B980719"/>
    <w:rsid w:val="1B9B607F"/>
    <w:rsid w:val="1B9BDAB1"/>
    <w:rsid w:val="1BA2DDF0"/>
    <w:rsid w:val="1BA8CD96"/>
    <w:rsid w:val="1BA9F727"/>
    <w:rsid w:val="1BABD819"/>
    <w:rsid w:val="1BACA3DC"/>
    <w:rsid w:val="1BADD361"/>
    <w:rsid w:val="1BAFC5B0"/>
    <w:rsid w:val="1BB20443"/>
    <w:rsid w:val="1BB2EC77"/>
    <w:rsid w:val="1BBC69EE"/>
    <w:rsid w:val="1BBDB5DD"/>
    <w:rsid w:val="1BBDDBC8"/>
    <w:rsid w:val="1BBE65C2"/>
    <w:rsid w:val="1BC1984D"/>
    <w:rsid w:val="1BC92DA6"/>
    <w:rsid w:val="1BCA9B96"/>
    <w:rsid w:val="1BCBB19A"/>
    <w:rsid w:val="1BCD85C3"/>
    <w:rsid w:val="1BCE17A2"/>
    <w:rsid w:val="1BCF124B"/>
    <w:rsid w:val="1BCF7D0C"/>
    <w:rsid w:val="1BDAACE2"/>
    <w:rsid w:val="1BDAEACC"/>
    <w:rsid w:val="1BDB9D86"/>
    <w:rsid w:val="1BDE85BE"/>
    <w:rsid w:val="1BDF9AEE"/>
    <w:rsid w:val="1BE75B4A"/>
    <w:rsid w:val="1BE9D9AD"/>
    <w:rsid w:val="1BEB3012"/>
    <w:rsid w:val="1BF8F694"/>
    <w:rsid w:val="1BFD9513"/>
    <w:rsid w:val="1BFE5FEB"/>
    <w:rsid w:val="1BFFC959"/>
    <w:rsid w:val="1C023F46"/>
    <w:rsid w:val="1C02DF88"/>
    <w:rsid w:val="1C040306"/>
    <w:rsid w:val="1C047773"/>
    <w:rsid w:val="1C0539CE"/>
    <w:rsid w:val="1C0BA6F1"/>
    <w:rsid w:val="1C13ECA8"/>
    <w:rsid w:val="1C156DD8"/>
    <w:rsid w:val="1C169483"/>
    <w:rsid w:val="1C1746F4"/>
    <w:rsid w:val="1C179306"/>
    <w:rsid w:val="1C193BB8"/>
    <w:rsid w:val="1C197395"/>
    <w:rsid w:val="1C1EAEAF"/>
    <w:rsid w:val="1C1F17DF"/>
    <w:rsid w:val="1C276D4E"/>
    <w:rsid w:val="1C2DBC73"/>
    <w:rsid w:val="1C3059E9"/>
    <w:rsid w:val="1C320FC2"/>
    <w:rsid w:val="1C330830"/>
    <w:rsid w:val="1C33986E"/>
    <w:rsid w:val="1C339DEF"/>
    <w:rsid w:val="1C362C55"/>
    <w:rsid w:val="1C371CE9"/>
    <w:rsid w:val="1C375A73"/>
    <w:rsid w:val="1C3B61D7"/>
    <w:rsid w:val="1C3FF6BF"/>
    <w:rsid w:val="1C40E225"/>
    <w:rsid w:val="1C435578"/>
    <w:rsid w:val="1C48CA70"/>
    <w:rsid w:val="1C49C05A"/>
    <w:rsid w:val="1C4A90F4"/>
    <w:rsid w:val="1C4F48B9"/>
    <w:rsid w:val="1C4F710A"/>
    <w:rsid w:val="1C4FCF5E"/>
    <w:rsid w:val="1C54E086"/>
    <w:rsid w:val="1C54FEE6"/>
    <w:rsid w:val="1C5BFAEC"/>
    <w:rsid w:val="1C5DBD7B"/>
    <w:rsid w:val="1C5F7DC9"/>
    <w:rsid w:val="1C6223F1"/>
    <w:rsid w:val="1C62B6D8"/>
    <w:rsid w:val="1C6660F5"/>
    <w:rsid w:val="1C671D9A"/>
    <w:rsid w:val="1C67D05E"/>
    <w:rsid w:val="1C6961C9"/>
    <w:rsid w:val="1C6A3D40"/>
    <w:rsid w:val="1C70CCD4"/>
    <w:rsid w:val="1C743E47"/>
    <w:rsid w:val="1C74F3CF"/>
    <w:rsid w:val="1C7812D4"/>
    <w:rsid w:val="1C789A8A"/>
    <w:rsid w:val="1C7A6770"/>
    <w:rsid w:val="1C7B1179"/>
    <w:rsid w:val="1C80A79A"/>
    <w:rsid w:val="1C81014B"/>
    <w:rsid w:val="1C816DF1"/>
    <w:rsid w:val="1C83345B"/>
    <w:rsid w:val="1C85019C"/>
    <w:rsid w:val="1C87C4F1"/>
    <w:rsid w:val="1C87F66E"/>
    <w:rsid w:val="1C881D26"/>
    <w:rsid w:val="1C886E74"/>
    <w:rsid w:val="1C8AA5DC"/>
    <w:rsid w:val="1C8BEF02"/>
    <w:rsid w:val="1C92BCF4"/>
    <w:rsid w:val="1C95BBEF"/>
    <w:rsid w:val="1C9BAC65"/>
    <w:rsid w:val="1C9E76AA"/>
    <w:rsid w:val="1CA3EE1F"/>
    <w:rsid w:val="1CA41976"/>
    <w:rsid w:val="1CA53DE2"/>
    <w:rsid w:val="1CACE192"/>
    <w:rsid w:val="1CACFD5F"/>
    <w:rsid w:val="1CB07069"/>
    <w:rsid w:val="1CB43624"/>
    <w:rsid w:val="1CB98D0D"/>
    <w:rsid w:val="1CBEDCA7"/>
    <w:rsid w:val="1CBF16C8"/>
    <w:rsid w:val="1CC1D86E"/>
    <w:rsid w:val="1CC291BA"/>
    <w:rsid w:val="1CC3332C"/>
    <w:rsid w:val="1CC5F840"/>
    <w:rsid w:val="1CC76868"/>
    <w:rsid w:val="1CCEC532"/>
    <w:rsid w:val="1CCF8751"/>
    <w:rsid w:val="1CD02B2A"/>
    <w:rsid w:val="1CD22D0D"/>
    <w:rsid w:val="1CD5A437"/>
    <w:rsid w:val="1CD63848"/>
    <w:rsid w:val="1CD6CBC2"/>
    <w:rsid w:val="1CD79528"/>
    <w:rsid w:val="1CD8AC3B"/>
    <w:rsid w:val="1CDBC3BD"/>
    <w:rsid w:val="1CDF391A"/>
    <w:rsid w:val="1CE08BFE"/>
    <w:rsid w:val="1CE9C199"/>
    <w:rsid w:val="1CEB1D66"/>
    <w:rsid w:val="1CEB4A90"/>
    <w:rsid w:val="1CEC606D"/>
    <w:rsid w:val="1CF1FB34"/>
    <w:rsid w:val="1CF24AE4"/>
    <w:rsid w:val="1CF3764B"/>
    <w:rsid w:val="1CF5180A"/>
    <w:rsid w:val="1CF864D8"/>
    <w:rsid w:val="1CF9025C"/>
    <w:rsid w:val="1CF936B4"/>
    <w:rsid w:val="1CFD07CC"/>
    <w:rsid w:val="1CFF2971"/>
    <w:rsid w:val="1CFF5C4B"/>
    <w:rsid w:val="1CFF82A6"/>
    <w:rsid w:val="1CFFE2AF"/>
    <w:rsid w:val="1D09C814"/>
    <w:rsid w:val="1D0A1038"/>
    <w:rsid w:val="1D0DFA77"/>
    <w:rsid w:val="1D0FAF94"/>
    <w:rsid w:val="1D0FFF2F"/>
    <w:rsid w:val="1D139B81"/>
    <w:rsid w:val="1D1442A7"/>
    <w:rsid w:val="1D1649EE"/>
    <w:rsid w:val="1D1654A0"/>
    <w:rsid w:val="1D197E70"/>
    <w:rsid w:val="1D199134"/>
    <w:rsid w:val="1D1ED422"/>
    <w:rsid w:val="1D23B0B7"/>
    <w:rsid w:val="1D250D42"/>
    <w:rsid w:val="1D256CD1"/>
    <w:rsid w:val="1D27EB0C"/>
    <w:rsid w:val="1D296B18"/>
    <w:rsid w:val="1D2AD6FB"/>
    <w:rsid w:val="1D2E1652"/>
    <w:rsid w:val="1D308FA0"/>
    <w:rsid w:val="1D315CD8"/>
    <w:rsid w:val="1D31A321"/>
    <w:rsid w:val="1D31D5E9"/>
    <w:rsid w:val="1D3304F1"/>
    <w:rsid w:val="1D337D27"/>
    <w:rsid w:val="1D343D69"/>
    <w:rsid w:val="1D365DFC"/>
    <w:rsid w:val="1D38CC29"/>
    <w:rsid w:val="1D399BB6"/>
    <w:rsid w:val="1D45E3D7"/>
    <w:rsid w:val="1D473B4C"/>
    <w:rsid w:val="1D4832FF"/>
    <w:rsid w:val="1D4851D8"/>
    <w:rsid w:val="1D4A52F7"/>
    <w:rsid w:val="1D4D2FB9"/>
    <w:rsid w:val="1D4F36A6"/>
    <w:rsid w:val="1D511826"/>
    <w:rsid w:val="1D519FDE"/>
    <w:rsid w:val="1D51E861"/>
    <w:rsid w:val="1D5257AF"/>
    <w:rsid w:val="1D5376B0"/>
    <w:rsid w:val="1D59228F"/>
    <w:rsid w:val="1D5987F3"/>
    <w:rsid w:val="1D5DBF92"/>
    <w:rsid w:val="1D5EF745"/>
    <w:rsid w:val="1D5F7515"/>
    <w:rsid w:val="1D661BD5"/>
    <w:rsid w:val="1D6675BE"/>
    <w:rsid w:val="1D6726DF"/>
    <w:rsid w:val="1D6758D7"/>
    <w:rsid w:val="1D679482"/>
    <w:rsid w:val="1D6818AB"/>
    <w:rsid w:val="1D6C2CFB"/>
    <w:rsid w:val="1D6C95D1"/>
    <w:rsid w:val="1D6F1C91"/>
    <w:rsid w:val="1D6F7F03"/>
    <w:rsid w:val="1D715CF6"/>
    <w:rsid w:val="1D73DA29"/>
    <w:rsid w:val="1D74FFBD"/>
    <w:rsid w:val="1D76E60B"/>
    <w:rsid w:val="1D78B81E"/>
    <w:rsid w:val="1D7A2C3D"/>
    <w:rsid w:val="1D7BE165"/>
    <w:rsid w:val="1D7D7BBB"/>
    <w:rsid w:val="1D7FF635"/>
    <w:rsid w:val="1D843E96"/>
    <w:rsid w:val="1D852D2A"/>
    <w:rsid w:val="1D871708"/>
    <w:rsid w:val="1D877894"/>
    <w:rsid w:val="1D8D93E8"/>
    <w:rsid w:val="1D90B804"/>
    <w:rsid w:val="1D91BB2F"/>
    <w:rsid w:val="1D953BCA"/>
    <w:rsid w:val="1D977F7B"/>
    <w:rsid w:val="1D9CBC77"/>
    <w:rsid w:val="1DA1E840"/>
    <w:rsid w:val="1DA90962"/>
    <w:rsid w:val="1DA9D1F2"/>
    <w:rsid w:val="1DABD484"/>
    <w:rsid w:val="1DAC3ABA"/>
    <w:rsid w:val="1DAF8893"/>
    <w:rsid w:val="1DB21E60"/>
    <w:rsid w:val="1DB2C86D"/>
    <w:rsid w:val="1DB52BA9"/>
    <w:rsid w:val="1DB6B3FB"/>
    <w:rsid w:val="1DBC4383"/>
    <w:rsid w:val="1DBE9C0A"/>
    <w:rsid w:val="1DBF74B5"/>
    <w:rsid w:val="1DC0D1A2"/>
    <w:rsid w:val="1DC24A07"/>
    <w:rsid w:val="1DC26A91"/>
    <w:rsid w:val="1DC5B81C"/>
    <w:rsid w:val="1DC816C6"/>
    <w:rsid w:val="1DD0F5CD"/>
    <w:rsid w:val="1DD1E0BF"/>
    <w:rsid w:val="1DD60A96"/>
    <w:rsid w:val="1DD6EE16"/>
    <w:rsid w:val="1DD9D07C"/>
    <w:rsid w:val="1DDCAD51"/>
    <w:rsid w:val="1DDD840E"/>
    <w:rsid w:val="1DDF7C97"/>
    <w:rsid w:val="1DE00FE5"/>
    <w:rsid w:val="1DE14928"/>
    <w:rsid w:val="1DEC1DCB"/>
    <w:rsid w:val="1DED0A69"/>
    <w:rsid w:val="1DED861D"/>
    <w:rsid w:val="1DEEFA27"/>
    <w:rsid w:val="1DEFB518"/>
    <w:rsid w:val="1DF51C9D"/>
    <w:rsid w:val="1DF7551A"/>
    <w:rsid w:val="1DF84A98"/>
    <w:rsid w:val="1DF8FF40"/>
    <w:rsid w:val="1DF91161"/>
    <w:rsid w:val="1DFCF09F"/>
    <w:rsid w:val="1E01A58E"/>
    <w:rsid w:val="1E038194"/>
    <w:rsid w:val="1E056987"/>
    <w:rsid w:val="1E0A715C"/>
    <w:rsid w:val="1E0B09B2"/>
    <w:rsid w:val="1E0D4759"/>
    <w:rsid w:val="1E0F6138"/>
    <w:rsid w:val="1E100F2D"/>
    <w:rsid w:val="1E11EC27"/>
    <w:rsid w:val="1E13CBDB"/>
    <w:rsid w:val="1E165745"/>
    <w:rsid w:val="1E176D34"/>
    <w:rsid w:val="1E197378"/>
    <w:rsid w:val="1E199465"/>
    <w:rsid w:val="1E19E056"/>
    <w:rsid w:val="1E1ECDA1"/>
    <w:rsid w:val="1E221FAC"/>
    <w:rsid w:val="1E229EB0"/>
    <w:rsid w:val="1E2C12D3"/>
    <w:rsid w:val="1E2DD303"/>
    <w:rsid w:val="1E2F37CD"/>
    <w:rsid w:val="1E30C5BA"/>
    <w:rsid w:val="1E3105E5"/>
    <w:rsid w:val="1E3510F9"/>
    <w:rsid w:val="1E375015"/>
    <w:rsid w:val="1E3A23BE"/>
    <w:rsid w:val="1E3BD47E"/>
    <w:rsid w:val="1E3E7CB6"/>
    <w:rsid w:val="1E458E9E"/>
    <w:rsid w:val="1E461DC5"/>
    <w:rsid w:val="1E4B1370"/>
    <w:rsid w:val="1E4E616D"/>
    <w:rsid w:val="1E4FBAF2"/>
    <w:rsid w:val="1E525160"/>
    <w:rsid w:val="1E536E9E"/>
    <w:rsid w:val="1E53887B"/>
    <w:rsid w:val="1E53B73D"/>
    <w:rsid w:val="1E57FF1B"/>
    <w:rsid w:val="1E58CD05"/>
    <w:rsid w:val="1E59293B"/>
    <w:rsid w:val="1E5C0812"/>
    <w:rsid w:val="1E5DB3E4"/>
    <w:rsid w:val="1E6528DB"/>
    <w:rsid w:val="1E658F6F"/>
    <w:rsid w:val="1E677FFB"/>
    <w:rsid w:val="1E68E28F"/>
    <w:rsid w:val="1E6A0677"/>
    <w:rsid w:val="1E70BCDD"/>
    <w:rsid w:val="1E73F874"/>
    <w:rsid w:val="1E7D24A3"/>
    <w:rsid w:val="1E7E75A3"/>
    <w:rsid w:val="1E80650C"/>
    <w:rsid w:val="1E844C9C"/>
    <w:rsid w:val="1E872D41"/>
    <w:rsid w:val="1E8947DF"/>
    <w:rsid w:val="1E8A6D58"/>
    <w:rsid w:val="1E8A9D2A"/>
    <w:rsid w:val="1E8AA84B"/>
    <w:rsid w:val="1E90015E"/>
    <w:rsid w:val="1E908F5C"/>
    <w:rsid w:val="1E940D92"/>
    <w:rsid w:val="1E94F0E7"/>
    <w:rsid w:val="1E96B07F"/>
    <w:rsid w:val="1E99E2A6"/>
    <w:rsid w:val="1E9A47F5"/>
    <w:rsid w:val="1E9DE076"/>
    <w:rsid w:val="1E9DE8CA"/>
    <w:rsid w:val="1EA01C3D"/>
    <w:rsid w:val="1EA233E3"/>
    <w:rsid w:val="1EA82C05"/>
    <w:rsid w:val="1EA918F2"/>
    <w:rsid w:val="1EA92DD0"/>
    <w:rsid w:val="1EAA0437"/>
    <w:rsid w:val="1EAE76BD"/>
    <w:rsid w:val="1EB289ED"/>
    <w:rsid w:val="1EB42058"/>
    <w:rsid w:val="1EB7B7AC"/>
    <w:rsid w:val="1EBABEC2"/>
    <w:rsid w:val="1EBC65EF"/>
    <w:rsid w:val="1EBDC50D"/>
    <w:rsid w:val="1EC03E37"/>
    <w:rsid w:val="1EC064C9"/>
    <w:rsid w:val="1EC20CAE"/>
    <w:rsid w:val="1EC255C5"/>
    <w:rsid w:val="1EC844B8"/>
    <w:rsid w:val="1EC90249"/>
    <w:rsid w:val="1EC9487B"/>
    <w:rsid w:val="1EC96580"/>
    <w:rsid w:val="1ECB2D12"/>
    <w:rsid w:val="1ECBF34A"/>
    <w:rsid w:val="1ECFC9D3"/>
    <w:rsid w:val="1ED26A22"/>
    <w:rsid w:val="1ED26FB2"/>
    <w:rsid w:val="1ED2DF64"/>
    <w:rsid w:val="1ED32F64"/>
    <w:rsid w:val="1ED3A4E9"/>
    <w:rsid w:val="1ED49539"/>
    <w:rsid w:val="1ED5D477"/>
    <w:rsid w:val="1ED6960F"/>
    <w:rsid w:val="1ED6C59D"/>
    <w:rsid w:val="1ED90110"/>
    <w:rsid w:val="1ED95E90"/>
    <w:rsid w:val="1ED9D6E4"/>
    <w:rsid w:val="1EDC0166"/>
    <w:rsid w:val="1EDF1075"/>
    <w:rsid w:val="1EDF6DA4"/>
    <w:rsid w:val="1EE66F2E"/>
    <w:rsid w:val="1EE6C070"/>
    <w:rsid w:val="1EEABEA2"/>
    <w:rsid w:val="1EEE37D2"/>
    <w:rsid w:val="1EEF637A"/>
    <w:rsid w:val="1EEF8808"/>
    <w:rsid w:val="1EEFA7D8"/>
    <w:rsid w:val="1EF249B2"/>
    <w:rsid w:val="1EF777FC"/>
    <w:rsid w:val="1EF8B23A"/>
    <w:rsid w:val="1EFE10B2"/>
    <w:rsid w:val="1F043A43"/>
    <w:rsid w:val="1F06A450"/>
    <w:rsid w:val="1F06F4B4"/>
    <w:rsid w:val="1F07552B"/>
    <w:rsid w:val="1F08ADDA"/>
    <w:rsid w:val="1F0CDDDA"/>
    <w:rsid w:val="1F0EB465"/>
    <w:rsid w:val="1F114C4C"/>
    <w:rsid w:val="1F14D06B"/>
    <w:rsid w:val="1F1A9F45"/>
    <w:rsid w:val="1F1ACCEB"/>
    <w:rsid w:val="1F1EC425"/>
    <w:rsid w:val="1F238CD7"/>
    <w:rsid w:val="1F25C6A9"/>
    <w:rsid w:val="1F275832"/>
    <w:rsid w:val="1F2C0DBC"/>
    <w:rsid w:val="1F2C525D"/>
    <w:rsid w:val="1F2CE232"/>
    <w:rsid w:val="1F2D0EF7"/>
    <w:rsid w:val="1F311AAB"/>
    <w:rsid w:val="1F312E09"/>
    <w:rsid w:val="1F316198"/>
    <w:rsid w:val="1F36F659"/>
    <w:rsid w:val="1F37C103"/>
    <w:rsid w:val="1F3827A2"/>
    <w:rsid w:val="1F3BE62B"/>
    <w:rsid w:val="1F3EA388"/>
    <w:rsid w:val="1F3F2DB5"/>
    <w:rsid w:val="1F41232B"/>
    <w:rsid w:val="1F416274"/>
    <w:rsid w:val="1F46A40B"/>
    <w:rsid w:val="1F48F8D9"/>
    <w:rsid w:val="1F49634F"/>
    <w:rsid w:val="1F4975B9"/>
    <w:rsid w:val="1F4A1947"/>
    <w:rsid w:val="1F4DCF0C"/>
    <w:rsid w:val="1F4E5042"/>
    <w:rsid w:val="1F50F87D"/>
    <w:rsid w:val="1F533C0F"/>
    <w:rsid w:val="1F53AF0F"/>
    <w:rsid w:val="1F53D178"/>
    <w:rsid w:val="1F549D17"/>
    <w:rsid w:val="1F580830"/>
    <w:rsid w:val="1F5AC73E"/>
    <w:rsid w:val="1F5F8E46"/>
    <w:rsid w:val="1F5FF2D7"/>
    <w:rsid w:val="1F64A3FE"/>
    <w:rsid w:val="1F67281B"/>
    <w:rsid w:val="1F6C8579"/>
    <w:rsid w:val="1F6CE73E"/>
    <w:rsid w:val="1F6D6219"/>
    <w:rsid w:val="1F703BC7"/>
    <w:rsid w:val="1F717ABF"/>
    <w:rsid w:val="1F73B45D"/>
    <w:rsid w:val="1F7545B3"/>
    <w:rsid w:val="1F765BBD"/>
    <w:rsid w:val="1F791CD3"/>
    <w:rsid w:val="1F7BDD57"/>
    <w:rsid w:val="1F7E36F1"/>
    <w:rsid w:val="1F810D16"/>
    <w:rsid w:val="1F852F19"/>
    <w:rsid w:val="1F8609E5"/>
    <w:rsid w:val="1F866621"/>
    <w:rsid w:val="1F88363D"/>
    <w:rsid w:val="1F8E2AB2"/>
    <w:rsid w:val="1F8FD26A"/>
    <w:rsid w:val="1F92CF8A"/>
    <w:rsid w:val="1F98EA71"/>
    <w:rsid w:val="1F9DD6E0"/>
    <w:rsid w:val="1FA21B0B"/>
    <w:rsid w:val="1FA2AB7E"/>
    <w:rsid w:val="1FA670A7"/>
    <w:rsid w:val="1FA72455"/>
    <w:rsid w:val="1FA7D733"/>
    <w:rsid w:val="1FAB2413"/>
    <w:rsid w:val="1FADA5F2"/>
    <w:rsid w:val="1FB24020"/>
    <w:rsid w:val="1FB576D6"/>
    <w:rsid w:val="1FB62196"/>
    <w:rsid w:val="1FB66770"/>
    <w:rsid w:val="1FB6D0ED"/>
    <w:rsid w:val="1FB91B98"/>
    <w:rsid w:val="1FB9BAFF"/>
    <w:rsid w:val="1FBA7BA1"/>
    <w:rsid w:val="1FBBEDB6"/>
    <w:rsid w:val="1FBC23F3"/>
    <w:rsid w:val="1FBE60E0"/>
    <w:rsid w:val="1FC0A364"/>
    <w:rsid w:val="1FC1315E"/>
    <w:rsid w:val="1FC528A3"/>
    <w:rsid w:val="1FC75F96"/>
    <w:rsid w:val="1FCE86C0"/>
    <w:rsid w:val="1FCF25B0"/>
    <w:rsid w:val="1FCFA9C3"/>
    <w:rsid w:val="1FCFC4BB"/>
    <w:rsid w:val="1FD2645D"/>
    <w:rsid w:val="1FD3F4E8"/>
    <w:rsid w:val="1FD57BA9"/>
    <w:rsid w:val="1FD5D856"/>
    <w:rsid w:val="1FD602A0"/>
    <w:rsid w:val="1FD96104"/>
    <w:rsid w:val="1FDC3667"/>
    <w:rsid w:val="1FE2F927"/>
    <w:rsid w:val="1FE39679"/>
    <w:rsid w:val="1FE7D9EE"/>
    <w:rsid w:val="1FEA143B"/>
    <w:rsid w:val="1FEC5F13"/>
    <w:rsid w:val="1FED284B"/>
    <w:rsid w:val="1FEDDC0F"/>
    <w:rsid w:val="1FF22EA7"/>
    <w:rsid w:val="1FF3DD3E"/>
    <w:rsid w:val="1FF596A9"/>
    <w:rsid w:val="1FF6664B"/>
    <w:rsid w:val="1FF9F5FF"/>
    <w:rsid w:val="1FFC0572"/>
    <w:rsid w:val="1FFC1FAA"/>
    <w:rsid w:val="1FFC4537"/>
    <w:rsid w:val="1FFE98AD"/>
    <w:rsid w:val="1FFF0FC0"/>
    <w:rsid w:val="2002BF2D"/>
    <w:rsid w:val="2004691B"/>
    <w:rsid w:val="200CC3D0"/>
    <w:rsid w:val="20136E58"/>
    <w:rsid w:val="2014EE9B"/>
    <w:rsid w:val="20155413"/>
    <w:rsid w:val="2019F880"/>
    <w:rsid w:val="20213C66"/>
    <w:rsid w:val="2027AB77"/>
    <w:rsid w:val="202A406D"/>
    <w:rsid w:val="202B8073"/>
    <w:rsid w:val="202BFBA0"/>
    <w:rsid w:val="203668C8"/>
    <w:rsid w:val="203BDC6E"/>
    <w:rsid w:val="203CF2AB"/>
    <w:rsid w:val="203E6A5E"/>
    <w:rsid w:val="203F7684"/>
    <w:rsid w:val="20402F1D"/>
    <w:rsid w:val="20422472"/>
    <w:rsid w:val="2043E965"/>
    <w:rsid w:val="2045FAF4"/>
    <w:rsid w:val="2047F48A"/>
    <w:rsid w:val="20486C71"/>
    <w:rsid w:val="2048F953"/>
    <w:rsid w:val="2049771E"/>
    <w:rsid w:val="204AD21A"/>
    <w:rsid w:val="204C91EA"/>
    <w:rsid w:val="204F37A2"/>
    <w:rsid w:val="204FFBAD"/>
    <w:rsid w:val="2050C435"/>
    <w:rsid w:val="2052412D"/>
    <w:rsid w:val="2056F46E"/>
    <w:rsid w:val="2058893B"/>
    <w:rsid w:val="2058C25C"/>
    <w:rsid w:val="205AC28C"/>
    <w:rsid w:val="205B6518"/>
    <w:rsid w:val="205CEC14"/>
    <w:rsid w:val="20608291"/>
    <w:rsid w:val="206694B0"/>
    <w:rsid w:val="20671BD1"/>
    <w:rsid w:val="20675268"/>
    <w:rsid w:val="2067FF18"/>
    <w:rsid w:val="20683D04"/>
    <w:rsid w:val="20694AD2"/>
    <w:rsid w:val="206DB8D8"/>
    <w:rsid w:val="206DDC3A"/>
    <w:rsid w:val="206E40A2"/>
    <w:rsid w:val="2073F5E0"/>
    <w:rsid w:val="20750F70"/>
    <w:rsid w:val="2076C5D1"/>
    <w:rsid w:val="207C2D07"/>
    <w:rsid w:val="207C6355"/>
    <w:rsid w:val="2081A7BC"/>
    <w:rsid w:val="2084BE33"/>
    <w:rsid w:val="208742F3"/>
    <w:rsid w:val="208AB137"/>
    <w:rsid w:val="208AE705"/>
    <w:rsid w:val="208BBD87"/>
    <w:rsid w:val="208C364E"/>
    <w:rsid w:val="208D0563"/>
    <w:rsid w:val="208ED8B0"/>
    <w:rsid w:val="208EF8AF"/>
    <w:rsid w:val="208F5E49"/>
    <w:rsid w:val="20901643"/>
    <w:rsid w:val="20912CC4"/>
    <w:rsid w:val="2091D4AA"/>
    <w:rsid w:val="2092FFA2"/>
    <w:rsid w:val="20998FEE"/>
    <w:rsid w:val="209D87FF"/>
    <w:rsid w:val="209F569C"/>
    <w:rsid w:val="209F8120"/>
    <w:rsid w:val="209F8DA6"/>
    <w:rsid w:val="20A253F3"/>
    <w:rsid w:val="20A51076"/>
    <w:rsid w:val="20AB2D06"/>
    <w:rsid w:val="20AFDC0A"/>
    <w:rsid w:val="20B21FB1"/>
    <w:rsid w:val="20B47C39"/>
    <w:rsid w:val="20B5671F"/>
    <w:rsid w:val="20B59FD2"/>
    <w:rsid w:val="20B68890"/>
    <w:rsid w:val="20B6D58A"/>
    <w:rsid w:val="20B9F0E8"/>
    <w:rsid w:val="20BA56CB"/>
    <w:rsid w:val="20BAE627"/>
    <w:rsid w:val="20BC175F"/>
    <w:rsid w:val="20BF0B0D"/>
    <w:rsid w:val="20C08296"/>
    <w:rsid w:val="20C218BE"/>
    <w:rsid w:val="20C3FF80"/>
    <w:rsid w:val="20C5A19C"/>
    <w:rsid w:val="20C8998A"/>
    <w:rsid w:val="20CA7E60"/>
    <w:rsid w:val="20CB0652"/>
    <w:rsid w:val="20CE234B"/>
    <w:rsid w:val="20CF086D"/>
    <w:rsid w:val="20CF5180"/>
    <w:rsid w:val="20CF7F69"/>
    <w:rsid w:val="20CFAAD2"/>
    <w:rsid w:val="20D03798"/>
    <w:rsid w:val="20D08A9C"/>
    <w:rsid w:val="20D739AE"/>
    <w:rsid w:val="20D7ADC7"/>
    <w:rsid w:val="20DA2D01"/>
    <w:rsid w:val="20E0A005"/>
    <w:rsid w:val="20E3CDE8"/>
    <w:rsid w:val="20E85EE4"/>
    <w:rsid w:val="20EAB9EF"/>
    <w:rsid w:val="20EC981C"/>
    <w:rsid w:val="20ECC143"/>
    <w:rsid w:val="20EF1DD0"/>
    <w:rsid w:val="20EFDA71"/>
    <w:rsid w:val="20F06626"/>
    <w:rsid w:val="20F1BD1B"/>
    <w:rsid w:val="20F32854"/>
    <w:rsid w:val="20F53188"/>
    <w:rsid w:val="20F826FF"/>
    <w:rsid w:val="20F9918C"/>
    <w:rsid w:val="20FAEFC4"/>
    <w:rsid w:val="20FC288B"/>
    <w:rsid w:val="20FCCB43"/>
    <w:rsid w:val="20FD7DFA"/>
    <w:rsid w:val="21003E66"/>
    <w:rsid w:val="2100A312"/>
    <w:rsid w:val="2103EA8F"/>
    <w:rsid w:val="21054A66"/>
    <w:rsid w:val="2107BCC7"/>
    <w:rsid w:val="21084965"/>
    <w:rsid w:val="210B3447"/>
    <w:rsid w:val="210D0C78"/>
    <w:rsid w:val="210E2AB7"/>
    <w:rsid w:val="2110AD49"/>
    <w:rsid w:val="21130F58"/>
    <w:rsid w:val="2115FD57"/>
    <w:rsid w:val="211732A8"/>
    <w:rsid w:val="21177968"/>
    <w:rsid w:val="211CB29F"/>
    <w:rsid w:val="211E613D"/>
    <w:rsid w:val="21219350"/>
    <w:rsid w:val="21244171"/>
    <w:rsid w:val="21280A3D"/>
    <w:rsid w:val="212EB19A"/>
    <w:rsid w:val="212F24DD"/>
    <w:rsid w:val="212F5328"/>
    <w:rsid w:val="2130A7AF"/>
    <w:rsid w:val="2130BED4"/>
    <w:rsid w:val="213188DF"/>
    <w:rsid w:val="2134116E"/>
    <w:rsid w:val="213545C0"/>
    <w:rsid w:val="2136FE37"/>
    <w:rsid w:val="2137FB83"/>
    <w:rsid w:val="2137FF50"/>
    <w:rsid w:val="213C943F"/>
    <w:rsid w:val="213DF931"/>
    <w:rsid w:val="213EDF63"/>
    <w:rsid w:val="21401D41"/>
    <w:rsid w:val="21406E06"/>
    <w:rsid w:val="2142DFCA"/>
    <w:rsid w:val="21497FA0"/>
    <w:rsid w:val="2149C09D"/>
    <w:rsid w:val="214AB614"/>
    <w:rsid w:val="214B5343"/>
    <w:rsid w:val="214C308F"/>
    <w:rsid w:val="21525F1C"/>
    <w:rsid w:val="21540FB2"/>
    <w:rsid w:val="2155E7A4"/>
    <w:rsid w:val="2156BE85"/>
    <w:rsid w:val="21572CA1"/>
    <w:rsid w:val="215F1280"/>
    <w:rsid w:val="21621FAD"/>
    <w:rsid w:val="21622738"/>
    <w:rsid w:val="2162D530"/>
    <w:rsid w:val="2162EECB"/>
    <w:rsid w:val="2165B2B9"/>
    <w:rsid w:val="21686ACD"/>
    <w:rsid w:val="216AD024"/>
    <w:rsid w:val="216E281D"/>
    <w:rsid w:val="216E6F0C"/>
    <w:rsid w:val="21701238"/>
    <w:rsid w:val="2170CF6F"/>
    <w:rsid w:val="2172D44D"/>
    <w:rsid w:val="21793964"/>
    <w:rsid w:val="217A2A72"/>
    <w:rsid w:val="217B8BC1"/>
    <w:rsid w:val="217C656F"/>
    <w:rsid w:val="217C84E4"/>
    <w:rsid w:val="218001C7"/>
    <w:rsid w:val="218112B1"/>
    <w:rsid w:val="2182E966"/>
    <w:rsid w:val="2187C4ED"/>
    <w:rsid w:val="218ED3B8"/>
    <w:rsid w:val="218F829E"/>
    <w:rsid w:val="219034FF"/>
    <w:rsid w:val="2190A150"/>
    <w:rsid w:val="2193A555"/>
    <w:rsid w:val="2195D36B"/>
    <w:rsid w:val="2197EA50"/>
    <w:rsid w:val="21994DAE"/>
    <w:rsid w:val="219A0A51"/>
    <w:rsid w:val="219D49B6"/>
    <w:rsid w:val="219DA6DE"/>
    <w:rsid w:val="219E50F8"/>
    <w:rsid w:val="219F0569"/>
    <w:rsid w:val="21A149A4"/>
    <w:rsid w:val="21A35EEA"/>
    <w:rsid w:val="21A42371"/>
    <w:rsid w:val="21AB594E"/>
    <w:rsid w:val="21ADE9C5"/>
    <w:rsid w:val="21B49F08"/>
    <w:rsid w:val="21B53737"/>
    <w:rsid w:val="21B5FFF6"/>
    <w:rsid w:val="21B72BA0"/>
    <w:rsid w:val="21B877AF"/>
    <w:rsid w:val="21BBBBAA"/>
    <w:rsid w:val="21BD66C2"/>
    <w:rsid w:val="21C2737D"/>
    <w:rsid w:val="21C3EE05"/>
    <w:rsid w:val="21C405DD"/>
    <w:rsid w:val="21C511C8"/>
    <w:rsid w:val="21C647D1"/>
    <w:rsid w:val="21C6CA10"/>
    <w:rsid w:val="21C9CF41"/>
    <w:rsid w:val="21CACC5D"/>
    <w:rsid w:val="21CDE357"/>
    <w:rsid w:val="21CE2483"/>
    <w:rsid w:val="21CEC986"/>
    <w:rsid w:val="21D0ED57"/>
    <w:rsid w:val="21D21040"/>
    <w:rsid w:val="21D40B96"/>
    <w:rsid w:val="21D84DBF"/>
    <w:rsid w:val="21DA54B6"/>
    <w:rsid w:val="21DBCFEB"/>
    <w:rsid w:val="21DCF910"/>
    <w:rsid w:val="21DDABEB"/>
    <w:rsid w:val="21DEE8F4"/>
    <w:rsid w:val="21DF55A5"/>
    <w:rsid w:val="21E0A8D0"/>
    <w:rsid w:val="21E52BE1"/>
    <w:rsid w:val="21EA5A6F"/>
    <w:rsid w:val="21EA96DE"/>
    <w:rsid w:val="21EB025E"/>
    <w:rsid w:val="21EB1C4D"/>
    <w:rsid w:val="21EC2228"/>
    <w:rsid w:val="21EC3AEF"/>
    <w:rsid w:val="21EDC583"/>
    <w:rsid w:val="21EE7DA0"/>
    <w:rsid w:val="21EF5259"/>
    <w:rsid w:val="21F02EA6"/>
    <w:rsid w:val="21F1FF64"/>
    <w:rsid w:val="21F20BF1"/>
    <w:rsid w:val="21F4A3AD"/>
    <w:rsid w:val="21F803D8"/>
    <w:rsid w:val="21FA8A4A"/>
    <w:rsid w:val="21FB9A35"/>
    <w:rsid w:val="21FBA564"/>
    <w:rsid w:val="21FC1F95"/>
    <w:rsid w:val="21FC260D"/>
    <w:rsid w:val="21FE7C1A"/>
    <w:rsid w:val="22001D75"/>
    <w:rsid w:val="2200B130"/>
    <w:rsid w:val="22027767"/>
    <w:rsid w:val="2204856B"/>
    <w:rsid w:val="2204FD8A"/>
    <w:rsid w:val="220DBD0E"/>
    <w:rsid w:val="220F8057"/>
    <w:rsid w:val="22184DFE"/>
    <w:rsid w:val="221958A6"/>
    <w:rsid w:val="221DBA81"/>
    <w:rsid w:val="221ECDC3"/>
    <w:rsid w:val="221FBD7B"/>
    <w:rsid w:val="22204F12"/>
    <w:rsid w:val="222138F6"/>
    <w:rsid w:val="22258272"/>
    <w:rsid w:val="222ACBE2"/>
    <w:rsid w:val="22315DEF"/>
    <w:rsid w:val="2233698B"/>
    <w:rsid w:val="2235634E"/>
    <w:rsid w:val="2236C21C"/>
    <w:rsid w:val="22382A7A"/>
    <w:rsid w:val="2239698D"/>
    <w:rsid w:val="223ADCC2"/>
    <w:rsid w:val="223E97B1"/>
    <w:rsid w:val="223FD819"/>
    <w:rsid w:val="22404201"/>
    <w:rsid w:val="2243404E"/>
    <w:rsid w:val="22485162"/>
    <w:rsid w:val="22495900"/>
    <w:rsid w:val="224CA5CA"/>
    <w:rsid w:val="224D5732"/>
    <w:rsid w:val="2251EA9A"/>
    <w:rsid w:val="2252323D"/>
    <w:rsid w:val="2254321D"/>
    <w:rsid w:val="22550397"/>
    <w:rsid w:val="2255D4BF"/>
    <w:rsid w:val="2256ED1B"/>
    <w:rsid w:val="2257EED1"/>
    <w:rsid w:val="2258851E"/>
    <w:rsid w:val="2259B5BA"/>
    <w:rsid w:val="225DD3CB"/>
    <w:rsid w:val="225E7B17"/>
    <w:rsid w:val="225FA869"/>
    <w:rsid w:val="22604EFA"/>
    <w:rsid w:val="22609D72"/>
    <w:rsid w:val="2260CC6C"/>
    <w:rsid w:val="22639DFF"/>
    <w:rsid w:val="2268F180"/>
    <w:rsid w:val="2269B84D"/>
    <w:rsid w:val="226AEA63"/>
    <w:rsid w:val="226EB2D5"/>
    <w:rsid w:val="226EC2F0"/>
    <w:rsid w:val="22712C33"/>
    <w:rsid w:val="22751ECC"/>
    <w:rsid w:val="227BACD8"/>
    <w:rsid w:val="227C550D"/>
    <w:rsid w:val="227DDF07"/>
    <w:rsid w:val="227E18E8"/>
    <w:rsid w:val="2280434D"/>
    <w:rsid w:val="22836C5F"/>
    <w:rsid w:val="2284D1D3"/>
    <w:rsid w:val="22892D57"/>
    <w:rsid w:val="228B15A0"/>
    <w:rsid w:val="228E7420"/>
    <w:rsid w:val="22923ACB"/>
    <w:rsid w:val="22951357"/>
    <w:rsid w:val="229725CE"/>
    <w:rsid w:val="22982615"/>
    <w:rsid w:val="229A1B95"/>
    <w:rsid w:val="229AC6BE"/>
    <w:rsid w:val="229CB840"/>
    <w:rsid w:val="229D9A94"/>
    <w:rsid w:val="22A20DCF"/>
    <w:rsid w:val="22A488D8"/>
    <w:rsid w:val="22A59EC1"/>
    <w:rsid w:val="22A74422"/>
    <w:rsid w:val="22A77813"/>
    <w:rsid w:val="22A832B7"/>
    <w:rsid w:val="22A84A68"/>
    <w:rsid w:val="22AC6FBF"/>
    <w:rsid w:val="22AE5F9E"/>
    <w:rsid w:val="22AE81D1"/>
    <w:rsid w:val="22B399B9"/>
    <w:rsid w:val="22B44FD1"/>
    <w:rsid w:val="22B610C9"/>
    <w:rsid w:val="22BEBFBB"/>
    <w:rsid w:val="22C50579"/>
    <w:rsid w:val="22C65166"/>
    <w:rsid w:val="22C70AF9"/>
    <w:rsid w:val="22C8D307"/>
    <w:rsid w:val="22CBB477"/>
    <w:rsid w:val="22D1789E"/>
    <w:rsid w:val="22D181B8"/>
    <w:rsid w:val="22D4F55B"/>
    <w:rsid w:val="22D5A95D"/>
    <w:rsid w:val="22D7973C"/>
    <w:rsid w:val="22D8DB0A"/>
    <w:rsid w:val="22DBB937"/>
    <w:rsid w:val="22DFB3E3"/>
    <w:rsid w:val="22E2EAE1"/>
    <w:rsid w:val="22E5B1BF"/>
    <w:rsid w:val="22E5FB27"/>
    <w:rsid w:val="22E96849"/>
    <w:rsid w:val="22EB5007"/>
    <w:rsid w:val="22EC41C4"/>
    <w:rsid w:val="22ED4B4D"/>
    <w:rsid w:val="22EF866E"/>
    <w:rsid w:val="22F72793"/>
    <w:rsid w:val="22FB5221"/>
    <w:rsid w:val="22FD8D55"/>
    <w:rsid w:val="22FEAD64"/>
    <w:rsid w:val="23014E5E"/>
    <w:rsid w:val="230283CF"/>
    <w:rsid w:val="230384A5"/>
    <w:rsid w:val="23040C03"/>
    <w:rsid w:val="230B3892"/>
    <w:rsid w:val="230C16A4"/>
    <w:rsid w:val="230CD5FC"/>
    <w:rsid w:val="230F21EA"/>
    <w:rsid w:val="23125577"/>
    <w:rsid w:val="2318099D"/>
    <w:rsid w:val="2318A181"/>
    <w:rsid w:val="231AA363"/>
    <w:rsid w:val="231DB5F2"/>
    <w:rsid w:val="2320A30A"/>
    <w:rsid w:val="23241381"/>
    <w:rsid w:val="23260019"/>
    <w:rsid w:val="232788BD"/>
    <w:rsid w:val="232A6174"/>
    <w:rsid w:val="2330042E"/>
    <w:rsid w:val="23315769"/>
    <w:rsid w:val="233392CD"/>
    <w:rsid w:val="233599FC"/>
    <w:rsid w:val="233688C4"/>
    <w:rsid w:val="233A5657"/>
    <w:rsid w:val="233AF16B"/>
    <w:rsid w:val="233BE9AF"/>
    <w:rsid w:val="233E0CDC"/>
    <w:rsid w:val="233E31C1"/>
    <w:rsid w:val="233FD429"/>
    <w:rsid w:val="2341C6BD"/>
    <w:rsid w:val="2348EBE6"/>
    <w:rsid w:val="2349CB42"/>
    <w:rsid w:val="234C1569"/>
    <w:rsid w:val="234E51E8"/>
    <w:rsid w:val="23508746"/>
    <w:rsid w:val="23515F54"/>
    <w:rsid w:val="2352859A"/>
    <w:rsid w:val="2352AB08"/>
    <w:rsid w:val="2353E1DB"/>
    <w:rsid w:val="23572AC3"/>
    <w:rsid w:val="2358400C"/>
    <w:rsid w:val="23590F14"/>
    <w:rsid w:val="235A61F9"/>
    <w:rsid w:val="235C566B"/>
    <w:rsid w:val="235DCB2E"/>
    <w:rsid w:val="23601ECD"/>
    <w:rsid w:val="2362AAB8"/>
    <w:rsid w:val="23633C1A"/>
    <w:rsid w:val="23636650"/>
    <w:rsid w:val="236502B4"/>
    <w:rsid w:val="2366F851"/>
    <w:rsid w:val="236A2E6D"/>
    <w:rsid w:val="236BD614"/>
    <w:rsid w:val="236E0217"/>
    <w:rsid w:val="236E664F"/>
    <w:rsid w:val="23727CB2"/>
    <w:rsid w:val="237383E7"/>
    <w:rsid w:val="2378E61B"/>
    <w:rsid w:val="237A2A6F"/>
    <w:rsid w:val="237BECE0"/>
    <w:rsid w:val="237BEE3A"/>
    <w:rsid w:val="237D921F"/>
    <w:rsid w:val="237F713F"/>
    <w:rsid w:val="237FF2F4"/>
    <w:rsid w:val="23814936"/>
    <w:rsid w:val="23817E95"/>
    <w:rsid w:val="2388620A"/>
    <w:rsid w:val="2391B585"/>
    <w:rsid w:val="23928A42"/>
    <w:rsid w:val="239924F3"/>
    <w:rsid w:val="239AF90D"/>
    <w:rsid w:val="239C2CE4"/>
    <w:rsid w:val="239F5A5C"/>
    <w:rsid w:val="23A0FA23"/>
    <w:rsid w:val="23A28700"/>
    <w:rsid w:val="23A57357"/>
    <w:rsid w:val="23B12838"/>
    <w:rsid w:val="23B5AA00"/>
    <w:rsid w:val="23B7F27C"/>
    <w:rsid w:val="23B864B7"/>
    <w:rsid w:val="23B8B530"/>
    <w:rsid w:val="23BC3D74"/>
    <w:rsid w:val="23BFCE66"/>
    <w:rsid w:val="23C57958"/>
    <w:rsid w:val="23C92A53"/>
    <w:rsid w:val="23CC4CE7"/>
    <w:rsid w:val="23CF5CF8"/>
    <w:rsid w:val="23CF6223"/>
    <w:rsid w:val="23D05D95"/>
    <w:rsid w:val="23D2D228"/>
    <w:rsid w:val="23D65499"/>
    <w:rsid w:val="23D87D9E"/>
    <w:rsid w:val="23D95346"/>
    <w:rsid w:val="23DB159C"/>
    <w:rsid w:val="23DC6911"/>
    <w:rsid w:val="23DEEFFC"/>
    <w:rsid w:val="23E12E19"/>
    <w:rsid w:val="23E666E5"/>
    <w:rsid w:val="23E854A1"/>
    <w:rsid w:val="23EE3773"/>
    <w:rsid w:val="23EEA304"/>
    <w:rsid w:val="23EF2E92"/>
    <w:rsid w:val="23F06CFA"/>
    <w:rsid w:val="23F08D36"/>
    <w:rsid w:val="23F0BCEE"/>
    <w:rsid w:val="23F2B0F6"/>
    <w:rsid w:val="23F3DF91"/>
    <w:rsid w:val="23F5A5A9"/>
    <w:rsid w:val="23F67E2D"/>
    <w:rsid w:val="23FA7059"/>
    <w:rsid w:val="23FAF180"/>
    <w:rsid w:val="24048F60"/>
    <w:rsid w:val="240D6C01"/>
    <w:rsid w:val="240DEF23"/>
    <w:rsid w:val="240F2252"/>
    <w:rsid w:val="240F69A8"/>
    <w:rsid w:val="24116E08"/>
    <w:rsid w:val="24137E97"/>
    <w:rsid w:val="24147146"/>
    <w:rsid w:val="24165102"/>
    <w:rsid w:val="2416F0A9"/>
    <w:rsid w:val="24170FE9"/>
    <w:rsid w:val="241C49CD"/>
    <w:rsid w:val="241CBA5D"/>
    <w:rsid w:val="2421C20F"/>
    <w:rsid w:val="24258769"/>
    <w:rsid w:val="242F412B"/>
    <w:rsid w:val="242FF5CD"/>
    <w:rsid w:val="24345A00"/>
    <w:rsid w:val="2439D0D7"/>
    <w:rsid w:val="243AAEF7"/>
    <w:rsid w:val="243B9C9B"/>
    <w:rsid w:val="243C804A"/>
    <w:rsid w:val="243D51C8"/>
    <w:rsid w:val="243D5BC9"/>
    <w:rsid w:val="243DAC65"/>
    <w:rsid w:val="243EC4CB"/>
    <w:rsid w:val="2444D051"/>
    <w:rsid w:val="244696D8"/>
    <w:rsid w:val="24483F2E"/>
    <w:rsid w:val="244AF5B2"/>
    <w:rsid w:val="244EB8AD"/>
    <w:rsid w:val="24511A82"/>
    <w:rsid w:val="2452BE4B"/>
    <w:rsid w:val="2453651E"/>
    <w:rsid w:val="245892FF"/>
    <w:rsid w:val="24597BE0"/>
    <w:rsid w:val="245B9110"/>
    <w:rsid w:val="245E510D"/>
    <w:rsid w:val="245FC665"/>
    <w:rsid w:val="24609247"/>
    <w:rsid w:val="24629A21"/>
    <w:rsid w:val="24638C23"/>
    <w:rsid w:val="246488CA"/>
    <w:rsid w:val="24681D0E"/>
    <w:rsid w:val="246AC26A"/>
    <w:rsid w:val="24772295"/>
    <w:rsid w:val="2477B297"/>
    <w:rsid w:val="24785D73"/>
    <w:rsid w:val="24792966"/>
    <w:rsid w:val="247D0911"/>
    <w:rsid w:val="247D21F0"/>
    <w:rsid w:val="247D2E79"/>
    <w:rsid w:val="247E76E5"/>
    <w:rsid w:val="24892CF7"/>
    <w:rsid w:val="248DBE2B"/>
    <w:rsid w:val="248FD696"/>
    <w:rsid w:val="248FDB8F"/>
    <w:rsid w:val="249242A4"/>
    <w:rsid w:val="2497F662"/>
    <w:rsid w:val="249D8789"/>
    <w:rsid w:val="249FC836"/>
    <w:rsid w:val="24A145CD"/>
    <w:rsid w:val="24A40429"/>
    <w:rsid w:val="24A56FE5"/>
    <w:rsid w:val="24A6E0E1"/>
    <w:rsid w:val="24A805A3"/>
    <w:rsid w:val="24AE9433"/>
    <w:rsid w:val="24B21D69"/>
    <w:rsid w:val="24B4329C"/>
    <w:rsid w:val="24B45553"/>
    <w:rsid w:val="24B5571B"/>
    <w:rsid w:val="24B65ECB"/>
    <w:rsid w:val="24B66684"/>
    <w:rsid w:val="24B7CDB9"/>
    <w:rsid w:val="24B8947A"/>
    <w:rsid w:val="24BD63D4"/>
    <w:rsid w:val="24BD99AE"/>
    <w:rsid w:val="24C25A9E"/>
    <w:rsid w:val="24C2DCE9"/>
    <w:rsid w:val="24C48FA9"/>
    <w:rsid w:val="24C4F48A"/>
    <w:rsid w:val="24C6E523"/>
    <w:rsid w:val="24C8A846"/>
    <w:rsid w:val="24C98AC2"/>
    <w:rsid w:val="24CA4BD1"/>
    <w:rsid w:val="24CB056F"/>
    <w:rsid w:val="24CB549A"/>
    <w:rsid w:val="24D41E49"/>
    <w:rsid w:val="24D5E4B0"/>
    <w:rsid w:val="24DAB173"/>
    <w:rsid w:val="24DC0EC8"/>
    <w:rsid w:val="24DC41AF"/>
    <w:rsid w:val="24DDB2F9"/>
    <w:rsid w:val="24DF26B7"/>
    <w:rsid w:val="24E0C3D3"/>
    <w:rsid w:val="24E57E72"/>
    <w:rsid w:val="24E6AB95"/>
    <w:rsid w:val="24E8A4A3"/>
    <w:rsid w:val="24EA1B6C"/>
    <w:rsid w:val="24EA4EA2"/>
    <w:rsid w:val="24ED23A3"/>
    <w:rsid w:val="24F1853A"/>
    <w:rsid w:val="24F5A7E7"/>
    <w:rsid w:val="24F61B89"/>
    <w:rsid w:val="24F9F7A4"/>
    <w:rsid w:val="24FABE1D"/>
    <w:rsid w:val="24FAFC04"/>
    <w:rsid w:val="24FF24EA"/>
    <w:rsid w:val="2501CAED"/>
    <w:rsid w:val="2503E5BE"/>
    <w:rsid w:val="2503E968"/>
    <w:rsid w:val="2507C962"/>
    <w:rsid w:val="2508467B"/>
    <w:rsid w:val="250A9F6A"/>
    <w:rsid w:val="250D3B8C"/>
    <w:rsid w:val="250FAC84"/>
    <w:rsid w:val="25112F18"/>
    <w:rsid w:val="2511782C"/>
    <w:rsid w:val="2512B132"/>
    <w:rsid w:val="2514954C"/>
    <w:rsid w:val="25155895"/>
    <w:rsid w:val="2515DB55"/>
    <w:rsid w:val="2517F34C"/>
    <w:rsid w:val="251E7A0A"/>
    <w:rsid w:val="251F82CE"/>
    <w:rsid w:val="251F9081"/>
    <w:rsid w:val="2520863F"/>
    <w:rsid w:val="25210DF0"/>
    <w:rsid w:val="25219AAD"/>
    <w:rsid w:val="252C40F6"/>
    <w:rsid w:val="252CE600"/>
    <w:rsid w:val="252F376A"/>
    <w:rsid w:val="252F4C01"/>
    <w:rsid w:val="25311F1F"/>
    <w:rsid w:val="253197B2"/>
    <w:rsid w:val="2533498A"/>
    <w:rsid w:val="253D1707"/>
    <w:rsid w:val="253EE090"/>
    <w:rsid w:val="2540EDAE"/>
    <w:rsid w:val="2547CDF3"/>
    <w:rsid w:val="25492587"/>
    <w:rsid w:val="254EB42B"/>
    <w:rsid w:val="254FD721"/>
    <w:rsid w:val="2553874E"/>
    <w:rsid w:val="2557E071"/>
    <w:rsid w:val="255B69E8"/>
    <w:rsid w:val="255C3F6D"/>
    <w:rsid w:val="255FB9FF"/>
    <w:rsid w:val="2561F0E5"/>
    <w:rsid w:val="2562B3BB"/>
    <w:rsid w:val="2563602C"/>
    <w:rsid w:val="25659789"/>
    <w:rsid w:val="2566C691"/>
    <w:rsid w:val="2567740B"/>
    <w:rsid w:val="25686BBC"/>
    <w:rsid w:val="256CD397"/>
    <w:rsid w:val="25709A04"/>
    <w:rsid w:val="257659B3"/>
    <w:rsid w:val="2577ECE0"/>
    <w:rsid w:val="257AC439"/>
    <w:rsid w:val="257DF00B"/>
    <w:rsid w:val="257DFA43"/>
    <w:rsid w:val="257E3A2D"/>
    <w:rsid w:val="257FC985"/>
    <w:rsid w:val="258164F7"/>
    <w:rsid w:val="25817D6A"/>
    <w:rsid w:val="2582EEFB"/>
    <w:rsid w:val="2583C280"/>
    <w:rsid w:val="25859053"/>
    <w:rsid w:val="258612F3"/>
    <w:rsid w:val="25888090"/>
    <w:rsid w:val="25905D72"/>
    <w:rsid w:val="2590A140"/>
    <w:rsid w:val="25912824"/>
    <w:rsid w:val="25938DD4"/>
    <w:rsid w:val="2596CF4D"/>
    <w:rsid w:val="25976E7D"/>
    <w:rsid w:val="2597C164"/>
    <w:rsid w:val="25982E87"/>
    <w:rsid w:val="2598A7A8"/>
    <w:rsid w:val="2599333D"/>
    <w:rsid w:val="259F5006"/>
    <w:rsid w:val="259FC2C9"/>
    <w:rsid w:val="25A0097B"/>
    <w:rsid w:val="25A1FA32"/>
    <w:rsid w:val="25A54081"/>
    <w:rsid w:val="25A577F1"/>
    <w:rsid w:val="25A9D30B"/>
    <w:rsid w:val="25B2A802"/>
    <w:rsid w:val="25B40CCF"/>
    <w:rsid w:val="25B76D72"/>
    <w:rsid w:val="25B77E90"/>
    <w:rsid w:val="25BA6764"/>
    <w:rsid w:val="25C0A8A9"/>
    <w:rsid w:val="25C1969F"/>
    <w:rsid w:val="25C3AB78"/>
    <w:rsid w:val="25C45EFC"/>
    <w:rsid w:val="25C5AFEB"/>
    <w:rsid w:val="25C762F3"/>
    <w:rsid w:val="25C95FDC"/>
    <w:rsid w:val="25CA489F"/>
    <w:rsid w:val="25CA5578"/>
    <w:rsid w:val="25CC4944"/>
    <w:rsid w:val="25CFE3FC"/>
    <w:rsid w:val="25D19919"/>
    <w:rsid w:val="25D2947E"/>
    <w:rsid w:val="25D49A78"/>
    <w:rsid w:val="25DA31E2"/>
    <w:rsid w:val="25DA6FCE"/>
    <w:rsid w:val="25DB0E17"/>
    <w:rsid w:val="25DCEA46"/>
    <w:rsid w:val="25DD7301"/>
    <w:rsid w:val="25DF6E86"/>
    <w:rsid w:val="25DF81D7"/>
    <w:rsid w:val="25E49E22"/>
    <w:rsid w:val="25E61C0A"/>
    <w:rsid w:val="25E6BFB8"/>
    <w:rsid w:val="25E82F88"/>
    <w:rsid w:val="25EB437B"/>
    <w:rsid w:val="25F08786"/>
    <w:rsid w:val="25F13276"/>
    <w:rsid w:val="25F35092"/>
    <w:rsid w:val="25F35564"/>
    <w:rsid w:val="25F3CD28"/>
    <w:rsid w:val="25F3E1A6"/>
    <w:rsid w:val="25F3F815"/>
    <w:rsid w:val="25F56B59"/>
    <w:rsid w:val="25F58AB2"/>
    <w:rsid w:val="25F62016"/>
    <w:rsid w:val="25F69AA0"/>
    <w:rsid w:val="25F772B8"/>
    <w:rsid w:val="25F9E816"/>
    <w:rsid w:val="25FC5220"/>
    <w:rsid w:val="25FF6D23"/>
    <w:rsid w:val="260584CC"/>
    <w:rsid w:val="2609A309"/>
    <w:rsid w:val="2609FDEA"/>
    <w:rsid w:val="260AE633"/>
    <w:rsid w:val="260BB649"/>
    <w:rsid w:val="26134D99"/>
    <w:rsid w:val="26157CE1"/>
    <w:rsid w:val="26162598"/>
    <w:rsid w:val="2618B9D5"/>
    <w:rsid w:val="261AC944"/>
    <w:rsid w:val="261AD025"/>
    <w:rsid w:val="261DF04B"/>
    <w:rsid w:val="261E6E2B"/>
    <w:rsid w:val="261EE4B9"/>
    <w:rsid w:val="261F553C"/>
    <w:rsid w:val="2621FB6A"/>
    <w:rsid w:val="2623B7E3"/>
    <w:rsid w:val="2627DD6A"/>
    <w:rsid w:val="262961AA"/>
    <w:rsid w:val="262CCF8D"/>
    <w:rsid w:val="262D15AD"/>
    <w:rsid w:val="262D2CC4"/>
    <w:rsid w:val="262EC2C7"/>
    <w:rsid w:val="2632CD99"/>
    <w:rsid w:val="2633090B"/>
    <w:rsid w:val="26335F4F"/>
    <w:rsid w:val="2634BEA7"/>
    <w:rsid w:val="263514F3"/>
    <w:rsid w:val="263640E5"/>
    <w:rsid w:val="26380CDA"/>
    <w:rsid w:val="2638CE7D"/>
    <w:rsid w:val="26390927"/>
    <w:rsid w:val="26393A48"/>
    <w:rsid w:val="263B90C3"/>
    <w:rsid w:val="263BF938"/>
    <w:rsid w:val="263E56FA"/>
    <w:rsid w:val="263E9BFE"/>
    <w:rsid w:val="2640ED03"/>
    <w:rsid w:val="26433E81"/>
    <w:rsid w:val="26460416"/>
    <w:rsid w:val="264714F6"/>
    <w:rsid w:val="2649E4B4"/>
    <w:rsid w:val="264ECE10"/>
    <w:rsid w:val="264F55EE"/>
    <w:rsid w:val="264FB7BC"/>
    <w:rsid w:val="2651E33B"/>
    <w:rsid w:val="26568FEA"/>
    <w:rsid w:val="265A387F"/>
    <w:rsid w:val="265B2AF2"/>
    <w:rsid w:val="265E5A1B"/>
    <w:rsid w:val="265EA065"/>
    <w:rsid w:val="2663443B"/>
    <w:rsid w:val="26637DD9"/>
    <w:rsid w:val="26675BE6"/>
    <w:rsid w:val="266DFCB3"/>
    <w:rsid w:val="266E85CD"/>
    <w:rsid w:val="267140B3"/>
    <w:rsid w:val="267177BE"/>
    <w:rsid w:val="2672A5EA"/>
    <w:rsid w:val="2675101C"/>
    <w:rsid w:val="26771E40"/>
    <w:rsid w:val="2677CEDA"/>
    <w:rsid w:val="26780CA6"/>
    <w:rsid w:val="2679A1E4"/>
    <w:rsid w:val="267C8BBE"/>
    <w:rsid w:val="267E911A"/>
    <w:rsid w:val="267EEB9A"/>
    <w:rsid w:val="267F669A"/>
    <w:rsid w:val="26862F7E"/>
    <w:rsid w:val="2689330C"/>
    <w:rsid w:val="26919066"/>
    <w:rsid w:val="2691B7C6"/>
    <w:rsid w:val="269378BF"/>
    <w:rsid w:val="2697BE4D"/>
    <w:rsid w:val="2697D9F8"/>
    <w:rsid w:val="2697F19A"/>
    <w:rsid w:val="2697F26E"/>
    <w:rsid w:val="269D850D"/>
    <w:rsid w:val="269F9E93"/>
    <w:rsid w:val="26A7BE14"/>
    <w:rsid w:val="26AD2E25"/>
    <w:rsid w:val="26AF5528"/>
    <w:rsid w:val="26B71B9F"/>
    <w:rsid w:val="26BBAAA6"/>
    <w:rsid w:val="26BD7278"/>
    <w:rsid w:val="26BDEE7F"/>
    <w:rsid w:val="26BFB583"/>
    <w:rsid w:val="26C30475"/>
    <w:rsid w:val="26C54F61"/>
    <w:rsid w:val="26C87BF7"/>
    <w:rsid w:val="26CA3933"/>
    <w:rsid w:val="26CC0165"/>
    <w:rsid w:val="26CC9B62"/>
    <w:rsid w:val="26CCB23A"/>
    <w:rsid w:val="26CE98E1"/>
    <w:rsid w:val="26D3849F"/>
    <w:rsid w:val="26D3C3CC"/>
    <w:rsid w:val="26D45939"/>
    <w:rsid w:val="26D61163"/>
    <w:rsid w:val="26D6ADBA"/>
    <w:rsid w:val="26D8B791"/>
    <w:rsid w:val="26D91D02"/>
    <w:rsid w:val="26DB2179"/>
    <w:rsid w:val="26DC2F28"/>
    <w:rsid w:val="26DD0B0D"/>
    <w:rsid w:val="26DDE43D"/>
    <w:rsid w:val="26E0436B"/>
    <w:rsid w:val="26E06D04"/>
    <w:rsid w:val="26E1C2A0"/>
    <w:rsid w:val="26E2983D"/>
    <w:rsid w:val="26E388D8"/>
    <w:rsid w:val="26E4FCEF"/>
    <w:rsid w:val="26E561D4"/>
    <w:rsid w:val="26E5F7A8"/>
    <w:rsid w:val="26E8D3EE"/>
    <w:rsid w:val="26EDF50C"/>
    <w:rsid w:val="26EE08D9"/>
    <w:rsid w:val="26F126FD"/>
    <w:rsid w:val="26F53C38"/>
    <w:rsid w:val="26F637B9"/>
    <w:rsid w:val="26F7C9E0"/>
    <w:rsid w:val="26FA7567"/>
    <w:rsid w:val="26FB653B"/>
    <w:rsid w:val="26FD1608"/>
    <w:rsid w:val="2700AA22"/>
    <w:rsid w:val="2705D32B"/>
    <w:rsid w:val="27093E0B"/>
    <w:rsid w:val="270A5880"/>
    <w:rsid w:val="270AB461"/>
    <w:rsid w:val="270ADCD3"/>
    <w:rsid w:val="270C4991"/>
    <w:rsid w:val="27103929"/>
    <w:rsid w:val="2712B467"/>
    <w:rsid w:val="2715A7DA"/>
    <w:rsid w:val="2716C78D"/>
    <w:rsid w:val="271A979C"/>
    <w:rsid w:val="271AA678"/>
    <w:rsid w:val="271CFD0E"/>
    <w:rsid w:val="271FBED8"/>
    <w:rsid w:val="27205D38"/>
    <w:rsid w:val="272090E6"/>
    <w:rsid w:val="2720F29B"/>
    <w:rsid w:val="2723377C"/>
    <w:rsid w:val="2723A898"/>
    <w:rsid w:val="2724250D"/>
    <w:rsid w:val="27242FFB"/>
    <w:rsid w:val="2724A45D"/>
    <w:rsid w:val="27299FEC"/>
    <w:rsid w:val="272A114C"/>
    <w:rsid w:val="272ECE20"/>
    <w:rsid w:val="27301393"/>
    <w:rsid w:val="2730D943"/>
    <w:rsid w:val="27356363"/>
    <w:rsid w:val="2736B3FA"/>
    <w:rsid w:val="27408B10"/>
    <w:rsid w:val="2742689C"/>
    <w:rsid w:val="2743C2D6"/>
    <w:rsid w:val="2745275A"/>
    <w:rsid w:val="274DCF81"/>
    <w:rsid w:val="274FB4F3"/>
    <w:rsid w:val="2751CBBF"/>
    <w:rsid w:val="27552F3B"/>
    <w:rsid w:val="2755CAA7"/>
    <w:rsid w:val="27568DC8"/>
    <w:rsid w:val="27580A89"/>
    <w:rsid w:val="27589F0E"/>
    <w:rsid w:val="2758F3C9"/>
    <w:rsid w:val="2759F7AA"/>
    <w:rsid w:val="275F91B1"/>
    <w:rsid w:val="2762E54E"/>
    <w:rsid w:val="2764C233"/>
    <w:rsid w:val="2764D280"/>
    <w:rsid w:val="276582A6"/>
    <w:rsid w:val="27661313"/>
    <w:rsid w:val="27677C57"/>
    <w:rsid w:val="276CF2F2"/>
    <w:rsid w:val="276F17D2"/>
    <w:rsid w:val="2771E002"/>
    <w:rsid w:val="27761A8D"/>
    <w:rsid w:val="2776A86C"/>
    <w:rsid w:val="277B22C9"/>
    <w:rsid w:val="277C3267"/>
    <w:rsid w:val="277C7776"/>
    <w:rsid w:val="27807597"/>
    <w:rsid w:val="2781CE36"/>
    <w:rsid w:val="2781DE83"/>
    <w:rsid w:val="27820F6A"/>
    <w:rsid w:val="2784936D"/>
    <w:rsid w:val="2789C359"/>
    <w:rsid w:val="278AA0B1"/>
    <w:rsid w:val="278DE52A"/>
    <w:rsid w:val="278EFFF2"/>
    <w:rsid w:val="2790FE2C"/>
    <w:rsid w:val="2791C972"/>
    <w:rsid w:val="27942C97"/>
    <w:rsid w:val="27971DD1"/>
    <w:rsid w:val="279B0C45"/>
    <w:rsid w:val="27A06DBE"/>
    <w:rsid w:val="27A42E45"/>
    <w:rsid w:val="27A594A7"/>
    <w:rsid w:val="27A5D57C"/>
    <w:rsid w:val="27AC53CE"/>
    <w:rsid w:val="27B4FADF"/>
    <w:rsid w:val="27B5FE9C"/>
    <w:rsid w:val="27B7C979"/>
    <w:rsid w:val="27B92135"/>
    <w:rsid w:val="27BA43A5"/>
    <w:rsid w:val="27BAA7D7"/>
    <w:rsid w:val="27BACFA5"/>
    <w:rsid w:val="27BE3D2A"/>
    <w:rsid w:val="27C36C9B"/>
    <w:rsid w:val="27C5FF77"/>
    <w:rsid w:val="27CA35D9"/>
    <w:rsid w:val="27CDA3B3"/>
    <w:rsid w:val="27D34D1A"/>
    <w:rsid w:val="27D4955C"/>
    <w:rsid w:val="27D59032"/>
    <w:rsid w:val="27D670F9"/>
    <w:rsid w:val="27D7E314"/>
    <w:rsid w:val="27DAE26A"/>
    <w:rsid w:val="27E0D207"/>
    <w:rsid w:val="27E299AA"/>
    <w:rsid w:val="27E5C93E"/>
    <w:rsid w:val="27E614E6"/>
    <w:rsid w:val="27E6B5BE"/>
    <w:rsid w:val="27E7EA58"/>
    <w:rsid w:val="27E9243C"/>
    <w:rsid w:val="27EE4EE7"/>
    <w:rsid w:val="27EE7E80"/>
    <w:rsid w:val="27EF0DD0"/>
    <w:rsid w:val="27F1B4B2"/>
    <w:rsid w:val="27F46829"/>
    <w:rsid w:val="27F4EA17"/>
    <w:rsid w:val="27F6D2DC"/>
    <w:rsid w:val="27F7C90C"/>
    <w:rsid w:val="27FB0AC9"/>
    <w:rsid w:val="2800E068"/>
    <w:rsid w:val="2802A8C1"/>
    <w:rsid w:val="2803CC4A"/>
    <w:rsid w:val="2805D6F4"/>
    <w:rsid w:val="2806D148"/>
    <w:rsid w:val="280D26B9"/>
    <w:rsid w:val="280D8F68"/>
    <w:rsid w:val="280E69E2"/>
    <w:rsid w:val="280F2023"/>
    <w:rsid w:val="28119FB2"/>
    <w:rsid w:val="2813158C"/>
    <w:rsid w:val="2813DFF3"/>
    <w:rsid w:val="28155DE3"/>
    <w:rsid w:val="28189C9E"/>
    <w:rsid w:val="2819D72A"/>
    <w:rsid w:val="281A30A1"/>
    <w:rsid w:val="281AABB8"/>
    <w:rsid w:val="281CCDAE"/>
    <w:rsid w:val="28213503"/>
    <w:rsid w:val="2822BD12"/>
    <w:rsid w:val="28252CE1"/>
    <w:rsid w:val="2825B7B3"/>
    <w:rsid w:val="2826E47C"/>
    <w:rsid w:val="282A117A"/>
    <w:rsid w:val="282B3639"/>
    <w:rsid w:val="282CB0AF"/>
    <w:rsid w:val="282FC53A"/>
    <w:rsid w:val="2833AFDC"/>
    <w:rsid w:val="283B93E5"/>
    <w:rsid w:val="283E22A1"/>
    <w:rsid w:val="284002D3"/>
    <w:rsid w:val="2840AE6B"/>
    <w:rsid w:val="2840D19C"/>
    <w:rsid w:val="2840E5F9"/>
    <w:rsid w:val="2841DDD9"/>
    <w:rsid w:val="2843E7DB"/>
    <w:rsid w:val="2847BECA"/>
    <w:rsid w:val="2848ADE8"/>
    <w:rsid w:val="284A54D5"/>
    <w:rsid w:val="284AC9DE"/>
    <w:rsid w:val="28508AD1"/>
    <w:rsid w:val="2851AEF6"/>
    <w:rsid w:val="2852FA11"/>
    <w:rsid w:val="28533B3D"/>
    <w:rsid w:val="28540D61"/>
    <w:rsid w:val="28542EF4"/>
    <w:rsid w:val="28555AC0"/>
    <w:rsid w:val="285936C0"/>
    <w:rsid w:val="285D49B5"/>
    <w:rsid w:val="285EE03A"/>
    <w:rsid w:val="285F0A9C"/>
    <w:rsid w:val="285F4993"/>
    <w:rsid w:val="285F9A1C"/>
    <w:rsid w:val="286003A3"/>
    <w:rsid w:val="28618226"/>
    <w:rsid w:val="28632DCA"/>
    <w:rsid w:val="286442D8"/>
    <w:rsid w:val="28651537"/>
    <w:rsid w:val="2866E13B"/>
    <w:rsid w:val="286C53A7"/>
    <w:rsid w:val="28707E8C"/>
    <w:rsid w:val="2873B55D"/>
    <w:rsid w:val="28765F7B"/>
    <w:rsid w:val="28792A86"/>
    <w:rsid w:val="287C5955"/>
    <w:rsid w:val="287CC9C0"/>
    <w:rsid w:val="288349CA"/>
    <w:rsid w:val="28839C13"/>
    <w:rsid w:val="2883B3C1"/>
    <w:rsid w:val="28863073"/>
    <w:rsid w:val="28873B58"/>
    <w:rsid w:val="28886E11"/>
    <w:rsid w:val="288A9CC6"/>
    <w:rsid w:val="288B1BC4"/>
    <w:rsid w:val="288D437E"/>
    <w:rsid w:val="288DDD25"/>
    <w:rsid w:val="288FA47B"/>
    <w:rsid w:val="288FAECB"/>
    <w:rsid w:val="2890ACD7"/>
    <w:rsid w:val="2895E68A"/>
    <w:rsid w:val="289847C5"/>
    <w:rsid w:val="2898721A"/>
    <w:rsid w:val="289BF051"/>
    <w:rsid w:val="289D5765"/>
    <w:rsid w:val="28A06158"/>
    <w:rsid w:val="28A1C5AD"/>
    <w:rsid w:val="28A340FF"/>
    <w:rsid w:val="28A5DB08"/>
    <w:rsid w:val="28A85D73"/>
    <w:rsid w:val="28A909B8"/>
    <w:rsid w:val="28ABF6BD"/>
    <w:rsid w:val="28AC07C9"/>
    <w:rsid w:val="28AEE4B2"/>
    <w:rsid w:val="28AF6115"/>
    <w:rsid w:val="28B0BCDB"/>
    <w:rsid w:val="28B47F22"/>
    <w:rsid w:val="28B4FE88"/>
    <w:rsid w:val="28B55B99"/>
    <w:rsid w:val="28B7C9F9"/>
    <w:rsid w:val="28B94995"/>
    <w:rsid w:val="28B9F7A9"/>
    <w:rsid w:val="28BD7B6E"/>
    <w:rsid w:val="28C2B7F3"/>
    <w:rsid w:val="28C3AE71"/>
    <w:rsid w:val="28C3D912"/>
    <w:rsid w:val="28C60F72"/>
    <w:rsid w:val="28CA65E9"/>
    <w:rsid w:val="28D01536"/>
    <w:rsid w:val="28D04E60"/>
    <w:rsid w:val="28D5E4B9"/>
    <w:rsid w:val="28D80EF5"/>
    <w:rsid w:val="28D8C275"/>
    <w:rsid w:val="28E25E6F"/>
    <w:rsid w:val="28E2885D"/>
    <w:rsid w:val="28E337E7"/>
    <w:rsid w:val="28E4A91C"/>
    <w:rsid w:val="28E6B523"/>
    <w:rsid w:val="28E723BF"/>
    <w:rsid w:val="28EABF85"/>
    <w:rsid w:val="28ED3991"/>
    <w:rsid w:val="28EE50D5"/>
    <w:rsid w:val="28F02609"/>
    <w:rsid w:val="28F06F65"/>
    <w:rsid w:val="28F2A396"/>
    <w:rsid w:val="28F44F21"/>
    <w:rsid w:val="28F47F75"/>
    <w:rsid w:val="28F63105"/>
    <w:rsid w:val="28F68BEF"/>
    <w:rsid w:val="28F76130"/>
    <w:rsid w:val="28F7CBA0"/>
    <w:rsid w:val="28FA70DD"/>
    <w:rsid w:val="28FBAB1A"/>
    <w:rsid w:val="28FBEBAD"/>
    <w:rsid w:val="28FD94FC"/>
    <w:rsid w:val="28FDB8B4"/>
    <w:rsid w:val="2900D51C"/>
    <w:rsid w:val="2901DB51"/>
    <w:rsid w:val="2902FA81"/>
    <w:rsid w:val="2905AF19"/>
    <w:rsid w:val="2907C2DC"/>
    <w:rsid w:val="2909A82C"/>
    <w:rsid w:val="2909BEB1"/>
    <w:rsid w:val="290C7448"/>
    <w:rsid w:val="290CED64"/>
    <w:rsid w:val="290E7C6E"/>
    <w:rsid w:val="2910C44C"/>
    <w:rsid w:val="2912862C"/>
    <w:rsid w:val="29134538"/>
    <w:rsid w:val="29139B2A"/>
    <w:rsid w:val="2915E3BF"/>
    <w:rsid w:val="29161A61"/>
    <w:rsid w:val="29195EFA"/>
    <w:rsid w:val="291C638B"/>
    <w:rsid w:val="291E83D9"/>
    <w:rsid w:val="291F46EB"/>
    <w:rsid w:val="29210FE1"/>
    <w:rsid w:val="29221C01"/>
    <w:rsid w:val="29239032"/>
    <w:rsid w:val="2927D578"/>
    <w:rsid w:val="2929EF72"/>
    <w:rsid w:val="292B744E"/>
    <w:rsid w:val="292CA786"/>
    <w:rsid w:val="292DDE3D"/>
    <w:rsid w:val="292E8FA7"/>
    <w:rsid w:val="292F3BAB"/>
    <w:rsid w:val="293063D7"/>
    <w:rsid w:val="2930F350"/>
    <w:rsid w:val="29324425"/>
    <w:rsid w:val="2936F752"/>
    <w:rsid w:val="293804E7"/>
    <w:rsid w:val="2939529C"/>
    <w:rsid w:val="293B110A"/>
    <w:rsid w:val="293D9964"/>
    <w:rsid w:val="293EBF3F"/>
    <w:rsid w:val="29421CE0"/>
    <w:rsid w:val="2944BAF2"/>
    <w:rsid w:val="29452801"/>
    <w:rsid w:val="294597C4"/>
    <w:rsid w:val="29487A0D"/>
    <w:rsid w:val="2948DF89"/>
    <w:rsid w:val="2948F4D8"/>
    <w:rsid w:val="294C92F8"/>
    <w:rsid w:val="2951D9E3"/>
    <w:rsid w:val="2951E410"/>
    <w:rsid w:val="2953BCBD"/>
    <w:rsid w:val="295644A6"/>
    <w:rsid w:val="296071D5"/>
    <w:rsid w:val="2961049E"/>
    <w:rsid w:val="2962A54B"/>
    <w:rsid w:val="2963600B"/>
    <w:rsid w:val="29642C0C"/>
    <w:rsid w:val="29659CA6"/>
    <w:rsid w:val="29688825"/>
    <w:rsid w:val="29720C15"/>
    <w:rsid w:val="29761624"/>
    <w:rsid w:val="29768CBB"/>
    <w:rsid w:val="2976B0D7"/>
    <w:rsid w:val="2976C79E"/>
    <w:rsid w:val="2977B1BB"/>
    <w:rsid w:val="297A5111"/>
    <w:rsid w:val="297D1159"/>
    <w:rsid w:val="297F7109"/>
    <w:rsid w:val="298040A0"/>
    <w:rsid w:val="2982542C"/>
    <w:rsid w:val="298DA774"/>
    <w:rsid w:val="298DFF96"/>
    <w:rsid w:val="298E39F2"/>
    <w:rsid w:val="2996D3DC"/>
    <w:rsid w:val="29973D48"/>
    <w:rsid w:val="29977FB8"/>
    <w:rsid w:val="2999348C"/>
    <w:rsid w:val="299D3E33"/>
    <w:rsid w:val="29A07C71"/>
    <w:rsid w:val="29A10CCC"/>
    <w:rsid w:val="29A1EEA4"/>
    <w:rsid w:val="29A24966"/>
    <w:rsid w:val="29AA24CA"/>
    <w:rsid w:val="29AA49B1"/>
    <w:rsid w:val="29ABDAB1"/>
    <w:rsid w:val="29AC3610"/>
    <w:rsid w:val="29AD1AD7"/>
    <w:rsid w:val="29AD4964"/>
    <w:rsid w:val="29AE5553"/>
    <w:rsid w:val="29AFF7A6"/>
    <w:rsid w:val="29B06609"/>
    <w:rsid w:val="29B179D4"/>
    <w:rsid w:val="29B3619E"/>
    <w:rsid w:val="29BADB7A"/>
    <w:rsid w:val="29BC7E8E"/>
    <w:rsid w:val="29C181F4"/>
    <w:rsid w:val="29C8FFD4"/>
    <w:rsid w:val="29CA2403"/>
    <w:rsid w:val="29CAA02B"/>
    <w:rsid w:val="29CB3912"/>
    <w:rsid w:val="29D2B3DA"/>
    <w:rsid w:val="29D500E1"/>
    <w:rsid w:val="29D66523"/>
    <w:rsid w:val="29D6CBA4"/>
    <w:rsid w:val="29D726E6"/>
    <w:rsid w:val="29DA0132"/>
    <w:rsid w:val="29DC3F10"/>
    <w:rsid w:val="29DD7C47"/>
    <w:rsid w:val="29DF0899"/>
    <w:rsid w:val="29E110EF"/>
    <w:rsid w:val="29E2E845"/>
    <w:rsid w:val="29E46F5E"/>
    <w:rsid w:val="29E6F06F"/>
    <w:rsid w:val="29E7503B"/>
    <w:rsid w:val="29E7C121"/>
    <w:rsid w:val="29E800D8"/>
    <w:rsid w:val="29EC3807"/>
    <w:rsid w:val="29ECED29"/>
    <w:rsid w:val="29F3FBA6"/>
    <w:rsid w:val="29F6409A"/>
    <w:rsid w:val="29FF18B0"/>
    <w:rsid w:val="2A0167DE"/>
    <w:rsid w:val="2A02A248"/>
    <w:rsid w:val="2A071101"/>
    <w:rsid w:val="2A08C686"/>
    <w:rsid w:val="2A09A403"/>
    <w:rsid w:val="2A0B5C83"/>
    <w:rsid w:val="2A0BCF87"/>
    <w:rsid w:val="2A0C6BFA"/>
    <w:rsid w:val="2A0DE1D7"/>
    <w:rsid w:val="2A119D81"/>
    <w:rsid w:val="2A14EC0C"/>
    <w:rsid w:val="2A1534A6"/>
    <w:rsid w:val="2A157000"/>
    <w:rsid w:val="2A159448"/>
    <w:rsid w:val="2A1A1FC9"/>
    <w:rsid w:val="2A1A7E49"/>
    <w:rsid w:val="2A1AE02E"/>
    <w:rsid w:val="2A22391C"/>
    <w:rsid w:val="2A242F5E"/>
    <w:rsid w:val="2A290C65"/>
    <w:rsid w:val="2A31F288"/>
    <w:rsid w:val="2A397977"/>
    <w:rsid w:val="2A398329"/>
    <w:rsid w:val="2A3B4A3B"/>
    <w:rsid w:val="2A3C851B"/>
    <w:rsid w:val="2A3DFAB7"/>
    <w:rsid w:val="2A4110CD"/>
    <w:rsid w:val="2A4C1456"/>
    <w:rsid w:val="2A4C4201"/>
    <w:rsid w:val="2A4E083A"/>
    <w:rsid w:val="2A50D3EF"/>
    <w:rsid w:val="2A51DF10"/>
    <w:rsid w:val="2A546FDE"/>
    <w:rsid w:val="2A55E972"/>
    <w:rsid w:val="2A55F303"/>
    <w:rsid w:val="2A562B3D"/>
    <w:rsid w:val="2A572323"/>
    <w:rsid w:val="2A592D38"/>
    <w:rsid w:val="2A5B04F6"/>
    <w:rsid w:val="2A5E79B1"/>
    <w:rsid w:val="2A5E94B1"/>
    <w:rsid w:val="2A5FC42E"/>
    <w:rsid w:val="2A60F64F"/>
    <w:rsid w:val="2A650815"/>
    <w:rsid w:val="2A65153E"/>
    <w:rsid w:val="2A65C9B8"/>
    <w:rsid w:val="2A6A8D57"/>
    <w:rsid w:val="2A722056"/>
    <w:rsid w:val="2A7343EA"/>
    <w:rsid w:val="2A73F9B1"/>
    <w:rsid w:val="2A74DB3A"/>
    <w:rsid w:val="2A79FF66"/>
    <w:rsid w:val="2A7ACE6A"/>
    <w:rsid w:val="2A7B33A7"/>
    <w:rsid w:val="2A8196A4"/>
    <w:rsid w:val="2A827397"/>
    <w:rsid w:val="2A84FC6B"/>
    <w:rsid w:val="2A8610F9"/>
    <w:rsid w:val="2A8AD8D6"/>
    <w:rsid w:val="2A8CF244"/>
    <w:rsid w:val="2A8FB72D"/>
    <w:rsid w:val="2A92ADC5"/>
    <w:rsid w:val="2A97140C"/>
    <w:rsid w:val="2A97E913"/>
    <w:rsid w:val="2A989EB0"/>
    <w:rsid w:val="2A9D1365"/>
    <w:rsid w:val="2A9D3941"/>
    <w:rsid w:val="2A9DEC41"/>
    <w:rsid w:val="2AA466C8"/>
    <w:rsid w:val="2AA4B13F"/>
    <w:rsid w:val="2AA4D63A"/>
    <w:rsid w:val="2AA6726A"/>
    <w:rsid w:val="2AA7D4C1"/>
    <w:rsid w:val="2AAD01A6"/>
    <w:rsid w:val="2AAE890D"/>
    <w:rsid w:val="2AB34B9D"/>
    <w:rsid w:val="2AB5483C"/>
    <w:rsid w:val="2AB5596A"/>
    <w:rsid w:val="2AB7B39D"/>
    <w:rsid w:val="2ABBE7C0"/>
    <w:rsid w:val="2ABC40DF"/>
    <w:rsid w:val="2ABCCB28"/>
    <w:rsid w:val="2ABDA8F6"/>
    <w:rsid w:val="2AC29345"/>
    <w:rsid w:val="2AC69E03"/>
    <w:rsid w:val="2ACA5704"/>
    <w:rsid w:val="2ACBD07C"/>
    <w:rsid w:val="2ACDAAFF"/>
    <w:rsid w:val="2AD0706B"/>
    <w:rsid w:val="2AD535D2"/>
    <w:rsid w:val="2AD71FD7"/>
    <w:rsid w:val="2ADA7698"/>
    <w:rsid w:val="2ADEF036"/>
    <w:rsid w:val="2AE027D3"/>
    <w:rsid w:val="2AE14769"/>
    <w:rsid w:val="2AE2BEE6"/>
    <w:rsid w:val="2AE69163"/>
    <w:rsid w:val="2AE814D1"/>
    <w:rsid w:val="2AE82C54"/>
    <w:rsid w:val="2AEBC34C"/>
    <w:rsid w:val="2AEFCE95"/>
    <w:rsid w:val="2AF0726B"/>
    <w:rsid w:val="2AF30142"/>
    <w:rsid w:val="2AF5567A"/>
    <w:rsid w:val="2AF62EF3"/>
    <w:rsid w:val="2AFA14DC"/>
    <w:rsid w:val="2B00CEA1"/>
    <w:rsid w:val="2B015D7E"/>
    <w:rsid w:val="2B01BB3F"/>
    <w:rsid w:val="2B037AD8"/>
    <w:rsid w:val="2B03C024"/>
    <w:rsid w:val="2B07E749"/>
    <w:rsid w:val="2B09AD46"/>
    <w:rsid w:val="2B09CE42"/>
    <w:rsid w:val="2B0A455D"/>
    <w:rsid w:val="2B0AB707"/>
    <w:rsid w:val="2B0B8E3F"/>
    <w:rsid w:val="2B0FF59B"/>
    <w:rsid w:val="2B10AB6C"/>
    <w:rsid w:val="2B12F679"/>
    <w:rsid w:val="2B13B69C"/>
    <w:rsid w:val="2B13FF66"/>
    <w:rsid w:val="2B1522DE"/>
    <w:rsid w:val="2B17C4B8"/>
    <w:rsid w:val="2B17D565"/>
    <w:rsid w:val="2B19DAAF"/>
    <w:rsid w:val="2B1B524B"/>
    <w:rsid w:val="2B1DA655"/>
    <w:rsid w:val="2B1DF666"/>
    <w:rsid w:val="2B217265"/>
    <w:rsid w:val="2B226745"/>
    <w:rsid w:val="2B247CAF"/>
    <w:rsid w:val="2B25B7C5"/>
    <w:rsid w:val="2B2731B2"/>
    <w:rsid w:val="2B2B0DF2"/>
    <w:rsid w:val="2B2B457F"/>
    <w:rsid w:val="2B2B9400"/>
    <w:rsid w:val="2B319B77"/>
    <w:rsid w:val="2B3396C0"/>
    <w:rsid w:val="2B34D73A"/>
    <w:rsid w:val="2B35DC32"/>
    <w:rsid w:val="2B3A59E9"/>
    <w:rsid w:val="2B3ACD1E"/>
    <w:rsid w:val="2B4028BB"/>
    <w:rsid w:val="2B433F26"/>
    <w:rsid w:val="2B4529EC"/>
    <w:rsid w:val="2B4A57C5"/>
    <w:rsid w:val="2B4EFE4D"/>
    <w:rsid w:val="2B52EF0F"/>
    <w:rsid w:val="2B538DE7"/>
    <w:rsid w:val="2B56A038"/>
    <w:rsid w:val="2B572957"/>
    <w:rsid w:val="2B5842ED"/>
    <w:rsid w:val="2B5A775A"/>
    <w:rsid w:val="2B5D60E1"/>
    <w:rsid w:val="2B5DA7A2"/>
    <w:rsid w:val="2B6769B1"/>
    <w:rsid w:val="2B72DC47"/>
    <w:rsid w:val="2B73F092"/>
    <w:rsid w:val="2B76D83C"/>
    <w:rsid w:val="2B78A030"/>
    <w:rsid w:val="2B7BE7D1"/>
    <w:rsid w:val="2B7D8D44"/>
    <w:rsid w:val="2B816037"/>
    <w:rsid w:val="2B82B5E6"/>
    <w:rsid w:val="2B8351CC"/>
    <w:rsid w:val="2B897BE6"/>
    <w:rsid w:val="2B8EDA40"/>
    <w:rsid w:val="2B92F8E0"/>
    <w:rsid w:val="2B94E510"/>
    <w:rsid w:val="2B959FE3"/>
    <w:rsid w:val="2B963A0C"/>
    <w:rsid w:val="2B986967"/>
    <w:rsid w:val="2B9D2360"/>
    <w:rsid w:val="2B9EBCF0"/>
    <w:rsid w:val="2BA07010"/>
    <w:rsid w:val="2BA3894A"/>
    <w:rsid w:val="2BA7C469"/>
    <w:rsid w:val="2BA7D0EE"/>
    <w:rsid w:val="2BAE10DA"/>
    <w:rsid w:val="2BAF5C62"/>
    <w:rsid w:val="2BB2CA2C"/>
    <w:rsid w:val="2BB40DBD"/>
    <w:rsid w:val="2BB5B0F2"/>
    <w:rsid w:val="2BB5B124"/>
    <w:rsid w:val="2BB6474C"/>
    <w:rsid w:val="2BB73B98"/>
    <w:rsid w:val="2BBCA5A0"/>
    <w:rsid w:val="2BBE3EB4"/>
    <w:rsid w:val="2BBF603F"/>
    <w:rsid w:val="2BC32CA5"/>
    <w:rsid w:val="2BC4DBE5"/>
    <w:rsid w:val="2BC89DDD"/>
    <w:rsid w:val="2BCA0AC4"/>
    <w:rsid w:val="2BCD1C44"/>
    <w:rsid w:val="2BCD474B"/>
    <w:rsid w:val="2BD38126"/>
    <w:rsid w:val="2BD44B82"/>
    <w:rsid w:val="2BD62115"/>
    <w:rsid w:val="2BD766DE"/>
    <w:rsid w:val="2BD86B6C"/>
    <w:rsid w:val="2BDB26DC"/>
    <w:rsid w:val="2BE0DA02"/>
    <w:rsid w:val="2BEAA065"/>
    <w:rsid w:val="2BED0D6A"/>
    <w:rsid w:val="2BEE4BFA"/>
    <w:rsid w:val="2BF17C5F"/>
    <w:rsid w:val="2BF20643"/>
    <w:rsid w:val="2BF58569"/>
    <w:rsid w:val="2BF5A3C8"/>
    <w:rsid w:val="2BF5D2F7"/>
    <w:rsid w:val="2BF9512B"/>
    <w:rsid w:val="2BFBFBAB"/>
    <w:rsid w:val="2BFBFBB3"/>
    <w:rsid w:val="2BFD87DB"/>
    <w:rsid w:val="2BFDE522"/>
    <w:rsid w:val="2BFF4BA1"/>
    <w:rsid w:val="2C06327A"/>
    <w:rsid w:val="2C08375C"/>
    <w:rsid w:val="2C0B27DD"/>
    <w:rsid w:val="2C0B563C"/>
    <w:rsid w:val="2C0B8A27"/>
    <w:rsid w:val="2C10FB46"/>
    <w:rsid w:val="2C12A1B8"/>
    <w:rsid w:val="2C14534F"/>
    <w:rsid w:val="2C17617A"/>
    <w:rsid w:val="2C183B78"/>
    <w:rsid w:val="2C18C633"/>
    <w:rsid w:val="2C2169A8"/>
    <w:rsid w:val="2C22F2AC"/>
    <w:rsid w:val="2C2503A2"/>
    <w:rsid w:val="2C259B7C"/>
    <w:rsid w:val="2C26131E"/>
    <w:rsid w:val="2C2743FC"/>
    <w:rsid w:val="2C280121"/>
    <w:rsid w:val="2C2BFE8B"/>
    <w:rsid w:val="2C303269"/>
    <w:rsid w:val="2C36A651"/>
    <w:rsid w:val="2C3725DC"/>
    <w:rsid w:val="2C38433D"/>
    <w:rsid w:val="2C3BB7AE"/>
    <w:rsid w:val="2C3C8739"/>
    <w:rsid w:val="2C3C985D"/>
    <w:rsid w:val="2C3ECE1C"/>
    <w:rsid w:val="2C3EEAED"/>
    <w:rsid w:val="2C4013BB"/>
    <w:rsid w:val="2C418678"/>
    <w:rsid w:val="2C43310A"/>
    <w:rsid w:val="2C43DF66"/>
    <w:rsid w:val="2C4590EC"/>
    <w:rsid w:val="2C45B924"/>
    <w:rsid w:val="2C45ED19"/>
    <w:rsid w:val="2C47BC4F"/>
    <w:rsid w:val="2C48FA6C"/>
    <w:rsid w:val="2C49F2F7"/>
    <w:rsid w:val="2C4B3E56"/>
    <w:rsid w:val="2C4C517B"/>
    <w:rsid w:val="2C4E2CC9"/>
    <w:rsid w:val="2C4E7735"/>
    <w:rsid w:val="2C507665"/>
    <w:rsid w:val="2C552C24"/>
    <w:rsid w:val="2C55F4E8"/>
    <w:rsid w:val="2C6040DE"/>
    <w:rsid w:val="2C6490A6"/>
    <w:rsid w:val="2C649225"/>
    <w:rsid w:val="2C683B7D"/>
    <w:rsid w:val="2C69E496"/>
    <w:rsid w:val="2C72B220"/>
    <w:rsid w:val="2C745A48"/>
    <w:rsid w:val="2C7A6E23"/>
    <w:rsid w:val="2C7ACF74"/>
    <w:rsid w:val="2C7CCD06"/>
    <w:rsid w:val="2C80336F"/>
    <w:rsid w:val="2C82B032"/>
    <w:rsid w:val="2C8789B9"/>
    <w:rsid w:val="2C87E0CF"/>
    <w:rsid w:val="2C8978D3"/>
    <w:rsid w:val="2C8EC2AB"/>
    <w:rsid w:val="2C952398"/>
    <w:rsid w:val="2C954D7F"/>
    <w:rsid w:val="2C961592"/>
    <w:rsid w:val="2C9778F6"/>
    <w:rsid w:val="2C9A551D"/>
    <w:rsid w:val="2C9A94E9"/>
    <w:rsid w:val="2C9DF58D"/>
    <w:rsid w:val="2C9EA7FF"/>
    <w:rsid w:val="2CA32EE0"/>
    <w:rsid w:val="2CA56BD1"/>
    <w:rsid w:val="2CA669CF"/>
    <w:rsid w:val="2CAAE552"/>
    <w:rsid w:val="2CB0B977"/>
    <w:rsid w:val="2CB23B37"/>
    <w:rsid w:val="2CB4F832"/>
    <w:rsid w:val="2CB951AC"/>
    <w:rsid w:val="2CB9D878"/>
    <w:rsid w:val="2CBB8E60"/>
    <w:rsid w:val="2CBC45AA"/>
    <w:rsid w:val="2CBF8067"/>
    <w:rsid w:val="2CC15799"/>
    <w:rsid w:val="2CC3304C"/>
    <w:rsid w:val="2CC4A243"/>
    <w:rsid w:val="2CC7C922"/>
    <w:rsid w:val="2CC8E077"/>
    <w:rsid w:val="2CCA2759"/>
    <w:rsid w:val="2CCF83D0"/>
    <w:rsid w:val="2CD010CD"/>
    <w:rsid w:val="2CD046B2"/>
    <w:rsid w:val="2CD23980"/>
    <w:rsid w:val="2CD558D2"/>
    <w:rsid w:val="2CD6B771"/>
    <w:rsid w:val="2CD79689"/>
    <w:rsid w:val="2CDD1B8B"/>
    <w:rsid w:val="2CE2E132"/>
    <w:rsid w:val="2CE2FB9A"/>
    <w:rsid w:val="2CE50570"/>
    <w:rsid w:val="2CE59F43"/>
    <w:rsid w:val="2CE6F5A8"/>
    <w:rsid w:val="2CE8A5DF"/>
    <w:rsid w:val="2CE928B6"/>
    <w:rsid w:val="2CED1007"/>
    <w:rsid w:val="2CEDFA1A"/>
    <w:rsid w:val="2CEF7DE7"/>
    <w:rsid w:val="2CF3411C"/>
    <w:rsid w:val="2CF4F54B"/>
    <w:rsid w:val="2CF5FD92"/>
    <w:rsid w:val="2CFAEE8F"/>
    <w:rsid w:val="2CFE56E7"/>
    <w:rsid w:val="2CFEC40C"/>
    <w:rsid w:val="2D0019A8"/>
    <w:rsid w:val="2D00CF4B"/>
    <w:rsid w:val="2D00D0D8"/>
    <w:rsid w:val="2D026048"/>
    <w:rsid w:val="2D03F56A"/>
    <w:rsid w:val="2D043025"/>
    <w:rsid w:val="2D05AA8D"/>
    <w:rsid w:val="2D06FF39"/>
    <w:rsid w:val="2D0A500E"/>
    <w:rsid w:val="2D0D3EB7"/>
    <w:rsid w:val="2D0DCC23"/>
    <w:rsid w:val="2D0E1B68"/>
    <w:rsid w:val="2D1055D1"/>
    <w:rsid w:val="2D107485"/>
    <w:rsid w:val="2D10C9AC"/>
    <w:rsid w:val="2D152027"/>
    <w:rsid w:val="2D164EB1"/>
    <w:rsid w:val="2D170733"/>
    <w:rsid w:val="2D1CCD9A"/>
    <w:rsid w:val="2D1CDFE2"/>
    <w:rsid w:val="2D1CF36B"/>
    <w:rsid w:val="2D1FDD26"/>
    <w:rsid w:val="2D23BF00"/>
    <w:rsid w:val="2D25459F"/>
    <w:rsid w:val="2D258545"/>
    <w:rsid w:val="2D27CB9A"/>
    <w:rsid w:val="2D289E27"/>
    <w:rsid w:val="2D2AC9ED"/>
    <w:rsid w:val="2D2B5071"/>
    <w:rsid w:val="2D2CB876"/>
    <w:rsid w:val="2D31C005"/>
    <w:rsid w:val="2D33F9E3"/>
    <w:rsid w:val="2D341522"/>
    <w:rsid w:val="2D360DE7"/>
    <w:rsid w:val="2D381E26"/>
    <w:rsid w:val="2D385C35"/>
    <w:rsid w:val="2D38F78F"/>
    <w:rsid w:val="2D3CB7D5"/>
    <w:rsid w:val="2D3DE4F4"/>
    <w:rsid w:val="2D401115"/>
    <w:rsid w:val="2D41A5FF"/>
    <w:rsid w:val="2D44EDCB"/>
    <w:rsid w:val="2D4685BA"/>
    <w:rsid w:val="2D4783E7"/>
    <w:rsid w:val="2D4B4247"/>
    <w:rsid w:val="2D4ED268"/>
    <w:rsid w:val="2D5092EE"/>
    <w:rsid w:val="2D51A863"/>
    <w:rsid w:val="2D5342E5"/>
    <w:rsid w:val="2D54493B"/>
    <w:rsid w:val="2D590DC5"/>
    <w:rsid w:val="2D59644B"/>
    <w:rsid w:val="2D5A2F6D"/>
    <w:rsid w:val="2D5AA0D8"/>
    <w:rsid w:val="2D5B447A"/>
    <w:rsid w:val="2D5BD849"/>
    <w:rsid w:val="2D5C7B02"/>
    <w:rsid w:val="2D5C8B6B"/>
    <w:rsid w:val="2D5D6B79"/>
    <w:rsid w:val="2D5D95F4"/>
    <w:rsid w:val="2D5DC915"/>
    <w:rsid w:val="2D60FDF8"/>
    <w:rsid w:val="2D613C3D"/>
    <w:rsid w:val="2D61E5AB"/>
    <w:rsid w:val="2D626A5F"/>
    <w:rsid w:val="2D64E8D8"/>
    <w:rsid w:val="2D66525D"/>
    <w:rsid w:val="2D6AF0AE"/>
    <w:rsid w:val="2D6AF7C1"/>
    <w:rsid w:val="2D6B9399"/>
    <w:rsid w:val="2D6CB56F"/>
    <w:rsid w:val="2D6E1F9E"/>
    <w:rsid w:val="2D748CA8"/>
    <w:rsid w:val="2D74A0A2"/>
    <w:rsid w:val="2D78A733"/>
    <w:rsid w:val="2D7D1050"/>
    <w:rsid w:val="2D809089"/>
    <w:rsid w:val="2D8773D6"/>
    <w:rsid w:val="2D8B4D8E"/>
    <w:rsid w:val="2D8F968E"/>
    <w:rsid w:val="2D9058CA"/>
    <w:rsid w:val="2D90D63E"/>
    <w:rsid w:val="2D92F3BA"/>
    <w:rsid w:val="2D938956"/>
    <w:rsid w:val="2D96AE22"/>
    <w:rsid w:val="2D98B4BE"/>
    <w:rsid w:val="2D99B44C"/>
    <w:rsid w:val="2D9AA177"/>
    <w:rsid w:val="2D9B8A19"/>
    <w:rsid w:val="2D9C4791"/>
    <w:rsid w:val="2D9D33FD"/>
    <w:rsid w:val="2D9E2612"/>
    <w:rsid w:val="2D9EB5B8"/>
    <w:rsid w:val="2DA0F686"/>
    <w:rsid w:val="2DA1CBE6"/>
    <w:rsid w:val="2DA1F2D5"/>
    <w:rsid w:val="2DA3B2AB"/>
    <w:rsid w:val="2DAD220E"/>
    <w:rsid w:val="2DAD6CD8"/>
    <w:rsid w:val="2DAD87B0"/>
    <w:rsid w:val="2DADADBD"/>
    <w:rsid w:val="2DB0A6A6"/>
    <w:rsid w:val="2DB0BE4E"/>
    <w:rsid w:val="2DB520CE"/>
    <w:rsid w:val="2DB6EB57"/>
    <w:rsid w:val="2DB829F6"/>
    <w:rsid w:val="2DBD6114"/>
    <w:rsid w:val="2DBE4ED9"/>
    <w:rsid w:val="2DC13B4B"/>
    <w:rsid w:val="2DC19333"/>
    <w:rsid w:val="2DC545C9"/>
    <w:rsid w:val="2DC55FD8"/>
    <w:rsid w:val="2DC77B8C"/>
    <w:rsid w:val="2DD0297B"/>
    <w:rsid w:val="2DD19BE3"/>
    <w:rsid w:val="2DD1DB7F"/>
    <w:rsid w:val="2DD38461"/>
    <w:rsid w:val="2DD3B43B"/>
    <w:rsid w:val="2DD6FD9C"/>
    <w:rsid w:val="2DD80D39"/>
    <w:rsid w:val="2DDAC20E"/>
    <w:rsid w:val="2DDC1DC5"/>
    <w:rsid w:val="2DDCCB58"/>
    <w:rsid w:val="2DDEBE4C"/>
    <w:rsid w:val="2DDFB4A2"/>
    <w:rsid w:val="2DE36B2A"/>
    <w:rsid w:val="2DE46141"/>
    <w:rsid w:val="2DE4F8C6"/>
    <w:rsid w:val="2DE73A45"/>
    <w:rsid w:val="2DEF346A"/>
    <w:rsid w:val="2DF19710"/>
    <w:rsid w:val="2DF2A10D"/>
    <w:rsid w:val="2DF32F7A"/>
    <w:rsid w:val="2DF39B55"/>
    <w:rsid w:val="2DF683C8"/>
    <w:rsid w:val="2DF8A061"/>
    <w:rsid w:val="2DFCA7D6"/>
    <w:rsid w:val="2DFDAE74"/>
    <w:rsid w:val="2DFF51C3"/>
    <w:rsid w:val="2E00F77F"/>
    <w:rsid w:val="2E0485DC"/>
    <w:rsid w:val="2E07AF60"/>
    <w:rsid w:val="2E085C03"/>
    <w:rsid w:val="2E0A30EF"/>
    <w:rsid w:val="2E0D3E7B"/>
    <w:rsid w:val="2E0F107C"/>
    <w:rsid w:val="2E0F30F8"/>
    <w:rsid w:val="2E0FAF1E"/>
    <w:rsid w:val="2E120ABF"/>
    <w:rsid w:val="2E12580B"/>
    <w:rsid w:val="2E13DEAC"/>
    <w:rsid w:val="2E14E0A7"/>
    <w:rsid w:val="2E1536E5"/>
    <w:rsid w:val="2E175D8D"/>
    <w:rsid w:val="2E186FE7"/>
    <w:rsid w:val="2E19B1BB"/>
    <w:rsid w:val="2E1BEFBB"/>
    <w:rsid w:val="2E1BFAB2"/>
    <w:rsid w:val="2E1C6A3B"/>
    <w:rsid w:val="2E21BBD3"/>
    <w:rsid w:val="2E22ECB9"/>
    <w:rsid w:val="2E23D005"/>
    <w:rsid w:val="2E26E40C"/>
    <w:rsid w:val="2E287055"/>
    <w:rsid w:val="2E2B0D02"/>
    <w:rsid w:val="2E2C2AA6"/>
    <w:rsid w:val="2E2CE5E0"/>
    <w:rsid w:val="2E2D9C5A"/>
    <w:rsid w:val="2E2F3585"/>
    <w:rsid w:val="2E305722"/>
    <w:rsid w:val="2E30D7F2"/>
    <w:rsid w:val="2E3469ED"/>
    <w:rsid w:val="2E34C13D"/>
    <w:rsid w:val="2E366583"/>
    <w:rsid w:val="2E39820E"/>
    <w:rsid w:val="2E3C8339"/>
    <w:rsid w:val="2E3CA11D"/>
    <w:rsid w:val="2E43A1ED"/>
    <w:rsid w:val="2E46A547"/>
    <w:rsid w:val="2E485221"/>
    <w:rsid w:val="2E49A10E"/>
    <w:rsid w:val="2E4D20D3"/>
    <w:rsid w:val="2E52910B"/>
    <w:rsid w:val="2E56571C"/>
    <w:rsid w:val="2E573497"/>
    <w:rsid w:val="2E5A6EF8"/>
    <w:rsid w:val="2E5A7F65"/>
    <w:rsid w:val="2E5C0828"/>
    <w:rsid w:val="2E61BDE8"/>
    <w:rsid w:val="2E634EC3"/>
    <w:rsid w:val="2E63A1F6"/>
    <w:rsid w:val="2E64C081"/>
    <w:rsid w:val="2E6774FF"/>
    <w:rsid w:val="2E678860"/>
    <w:rsid w:val="2E67C946"/>
    <w:rsid w:val="2E697F4F"/>
    <w:rsid w:val="2E6B5760"/>
    <w:rsid w:val="2E6F5DFB"/>
    <w:rsid w:val="2E701B61"/>
    <w:rsid w:val="2E70B01F"/>
    <w:rsid w:val="2E75EF53"/>
    <w:rsid w:val="2E77DB9C"/>
    <w:rsid w:val="2E7A9374"/>
    <w:rsid w:val="2E7C86C7"/>
    <w:rsid w:val="2E7D3A1A"/>
    <w:rsid w:val="2E7F7766"/>
    <w:rsid w:val="2E82C606"/>
    <w:rsid w:val="2E84FBF0"/>
    <w:rsid w:val="2E85376C"/>
    <w:rsid w:val="2E8E5978"/>
    <w:rsid w:val="2E8E604E"/>
    <w:rsid w:val="2E8FA035"/>
    <w:rsid w:val="2E931A9D"/>
    <w:rsid w:val="2E95596D"/>
    <w:rsid w:val="2E95AEA4"/>
    <w:rsid w:val="2E9ED06A"/>
    <w:rsid w:val="2EA4F2DA"/>
    <w:rsid w:val="2EAB6EF7"/>
    <w:rsid w:val="2EAF93A6"/>
    <w:rsid w:val="2EB0C905"/>
    <w:rsid w:val="2EB32131"/>
    <w:rsid w:val="2EB4D5AD"/>
    <w:rsid w:val="2EB53C04"/>
    <w:rsid w:val="2EB64CD9"/>
    <w:rsid w:val="2EB8126D"/>
    <w:rsid w:val="2EB9CA5C"/>
    <w:rsid w:val="2EBB2FB1"/>
    <w:rsid w:val="2EBB7080"/>
    <w:rsid w:val="2EBBF71A"/>
    <w:rsid w:val="2EBDC775"/>
    <w:rsid w:val="2EC159A9"/>
    <w:rsid w:val="2EC29E07"/>
    <w:rsid w:val="2EC2B56F"/>
    <w:rsid w:val="2EC7CA4E"/>
    <w:rsid w:val="2ECA0E0D"/>
    <w:rsid w:val="2ECA5D03"/>
    <w:rsid w:val="2ECCBC0A"/>
    <w:rsid w:val="2ECD86A3"/>
    <w:rsid w:val="2ED1ABF9"/>
    <w:rsid w:val="2ED5E65C"/>
    <w:rsid w:val="2EDCF246"/>
    <w:rsid w:val="2EDE5158"/>
    <w:rsid w:val="2EDE84DD"/>
    <w:rsid w:val="2EDFA4B2"/>
    <w:rsid w:val="2EE34D17"/>
    <w:rsid w:val="2EE6D38A"/>
    <w:rsid w:val="2EE89903"/>
    <w:rsid w:val="2EE8F7AD"/>
    <w:rsid w:val="2EF04762"/>
    <w:rsid w:val="2EF0DA30"/>
    <w:rsid w:val="2EF5374B"/>
    <w:rsid w:val="2EF9C2EE"/>
    <w:rsid w:val="2EFF53D2"/>
    <w:rsid w:val="2F005199"/>
    <w:rsid w:val="2F036407"/>
    <w:rsid w:val="2F07F5CF"/>
    <w:rsid w:val="2F098F60"/>
    <w:rsid w:val="2F09A929"/>
    <w:rsid w:val="2F0C6EE0"/>
    <w:rsid w:val="2F0D8662"/>
    <w:rsid w:val="2F123F0F"/>
    <w:rsid w:val="2F14B508"/>
    <w:rsid w:val="2F1550DE"/>
    <w:rsid w:val="2F155A90"/>
    <w:rsid w:val="2F193814"/>
    <w:rsid w:val="2F1C5BF7"/>
    <w:rsid w:val="2F1D6385"/>
    <w:rsid w:val="2F1FBBF6"/>
    <w:rsid w:val="2F21CE61"/>
    <w:rsid w:val="2F233C31"/>
    <w:rsid w:val="2F23A51D"/>
    <w:rsid w:val="2F23EDAF"/>
    <w:rsid w:val="2F242C62"/>
    <w:rsid w:val="2F265F6C"/>
    <w:rsid w:val="2F27F8A3"/>
    <w:rsid w:val="2F283E44"/>
    <w:rsid w:val="2F2A0251"/>
    <w:rsid w:val="2F2A9C6E"/>
    <w:rsid w:val="2F2CA96D"/>
    <w:rsid w:val="2F306FAC"/>
    <w:rsid w:val="2F332484"/>
    <w:rsid w:val="2F340060"/>
    <w:rsid w:val="2F353FF2"/>
    <w:rsid w:val="2F3696AE"/>
    <w:rsid w:val="2F37368B"/>
    <w:rsid w:val="2F3801E6"/>
    <w:rsid w:val="2F3932C4"/>
    <w:rsid w:val="2F39CBAC"/>
    <w:rsid w:val="2F3A7409"/>
    <w:rsid w:val="2F3A7644"/>
    <w:rsid w:val="2F3B271B"/>
    <w:rsid w:val="2F3C48AD"/>
    <w:rsid w:val="2F3F3512"/>
    <w:rsid w:val="2F3FD5A8"/>
    <w:rsid w:val="2F429971"/>
    <w:rsid w:val="2F432F44"/>
    <w:rsid w:val="2F434936"/>
    <w:rsid w:val="2F445D30"/>
    <w:rsid w:val="2F453522"/>
    <w:rsid w:val="2F4679AC"/>
    <w:rsid w:val="2F46F26F"/>
    <w:rsid w:val="2F4727A6"/>
    <w:rsid w:val="2F49AE39"/>
    <w:rsid w:val="2F4C3290"/>
    <w:rsid w:val="2F4C90CA"/>
    <w:rsid w:val="2F4D7BFB"/>
    <w:rsid w:val="2F4F76CE"/>
    <w:rsid w:val="2F512546"/>
    <w:rsid w:val="2F535658"/>
    <w:rsid w:val="2F560674"/>
    <w:rsid w:val="2F5A888D"/>
    <w:rsid w:val="2F5B0D17"/>
    <w:rsid w:val="2F5C6771"/>
    <w:rsid w:val="2F5EF319"/>
    <w:rsid w:val="2F606CEC"/>
    <w:rsid w:val="2F6429D6"/>
    <w:rsid w:val="2F657A49"/>
    <w:rsid w:val="2F66C66D"/>
    <w:rsid w:val="2F677313"/>
    <w:rsid w:val="2F67A8C9"/>
    <w:rsid w:val="2F6A0E0E"/>
    <w:rsid w:val="2F6E8544"/>
    <w:rsid w:val="2F6F8EB8"/>
    <w:rsid w:val="2F7689ED"/>
    <w:rsid w:val="2F79147E"/>
    <w:rsid w:val="2F7DB2F1"/>
    <w:rsid w:val="2F83BF87"/>
    <w:rsid w:val="2F842355"/>
    <w:rsid w:val="2F853196"/>
    <w:rsid w:val="2F863C39"/>
    <w:rsid w:val="2F8765F9"/>
    <w:rsid w:val="2F88F1C4"/>
    <w:rsid w:val="2F891A5E"/>
    <w:rsid w:val="2F8AAFFD"/>
    <w:rsid w:val="2F8BC878"/>
    <w:rsid w:val="2F8C7823"/>
    <w:rsid w:val="2F8DB71E"/>
    <w:rsid w:val="2F8FDC9D"/>
    <w:rsid w:val="2F933A37"/>
    <w:rsid w:val="2F933B04"/>
    <w:rsid w:val="2F9633F1"/>
    <w:rsid w:val="2F9A2180"/>
    <w:rsid w:val="2F9B830F"/>
    <w:rsid w:val="2FA1DD62"/>
    <w:rsid w:val="2FA242E9"/>
    <w:rsid w:val="2FA38C8C"/>
    <w:rsid w:val="2FA7B48D"/>
    <w:rsid w:val="2FAAA353"/>
    <w:rsid w:val="2FB6DDFF"/>
    <w:rsid w:val="2FB77F4F"/>
    <w:rsid w:val="2FB7B29B"/>
    <w:rsid w:val="2FB9FFBE"/>
    <w:rsid w:val="2FBB0AF2"/>
    <w:rsid w:val="2FC0ED73"/>
    <w:rsid w:val="2FC2205A"/>
    <w:rsid w:val="2FC4981F"/>
    <w:rsid w:val="2FC6D193"/>
    <w:rsid w:val="2FCE3CF5"/>
    <w:rsid w:val="2FCFA8E4"/>
    <w:rsid w:val="2FD43BDB"/>
    <w:rsid w:val="2FD4ABC5"/>
    <w:rsid w:val="2FD9F562"/>
    <w:rsid w:val="2FDCA365"/>
    <w:rsid w:val="2FDD1A1F"/>
    <w:rsid w:val="2FDD7FC5"/>
    <w:rsid w:val="2FE0EABD"/>
    <w:rsid w:val="2FE428DE"/>
    <w:rsid w:val="2FE618BC"/>
    <w:rsid w:val="2FE7B501"/>
    <w:rsid w:val="2FE83E01"/>
    <w:rsid w:val="2FE9F2D0"/>
    <w:rsid w:val="2FEBB401"/>
    <w:rsid w:val="2FEC94BA"/>
    <w:rsid w:val="2FEDC475"/>
    <w:rsid w:val="2FF323AF"/>
    <w:rsid w:val="2FF63227"/>
    <w:rsid w:val="2FFC4970"/>
    <w:rsid w:val="2FFE0061"/>
    <w:rsid w:val="2FFE4C29"/>
    <w:rsid w:val="2FFEE9AE"/>
    <w:rsid w:val="3000EF53"/>
    <w:rsid w:val="30014970"/>
    <w:rsid w:val="30057941"/>
    <w:rsid w:val="30062F49"/>
    <w:rsid w:val="3008396A"/>
    <w:rsid w:val="300B0BB2"/>
    <w:rsid w:val="300B92F7"/>
    <w:rsid w:val="300CD2E6"/>
    <w:rsid w:val="300D8CB2"/>
    <w:rsid w:val="300E0665"/>
    <w:rsid w:val="300FC0D1"/>
    <w:rsid w:val="3012010F"/>
    <w:rsid w:val="3012229D"/>
    <w:rsid w:val="30156D5D"/>
    <w:rsid w:val="3018E2F5"/>
    <w:rsid w:val="301B7F61"/>
    <w:rsid w:val="301CD72F"/>
    <w:rsid w:val="301ED79F"/>
    <w:rsid w:val="301F01AA"/>
    <w:rsid w:val="301F3829"/>
    <w:rsid w:val="301F9F34"/>
    <w:rsid w:val="3021BBCE"/>
    <w:rsid w:val="30223294"/>
    <w:rsid w:val="302252C8"/>
    <w:rsid w:val="3027501B"/>
    <w:rsid w:val="3029A349"/>
    <w:rsid w:val="3029A6BB"/>
    <w:rsid w:val="302A5241"/>
    <w:rsid w:val="302D32D4"/>
    <w:rsid w:val="303005A0"/>
    <w:rsid w:val="3035B709"/>
    <w:rsid w:val="303654FF"/>
    <w:rsid w:val="303B3AE2"/>
    <w:rsid w:val="303CE2E6"/>
    <w:rsid w:val="303D2DB5"/>
    <w:rsid w:val="3042C6F9"/>
    <w:rsid w:val="3042CB2B"/>
    <w:rsid w:val="3045D831"/>
    <w:rsid w:val="3046F6D2"/>
    <w:rsid w:val="3048A905"/>
    <w:rsid w:val="304962CA"/>
    <w:rsid w:val="304A2F98"/>
    <w:rsid w:val="304AC147"/>
    <w:rsid w:val="304E6571"/>
    <w:rsid w:val="30525D4D"/>
    <w:rsid w:val="30540AAA"/>
    <w:rsid w:val="305458FB"/>
    <w:rsid w:val="30571D97"/>
    <w:rsid w:val="30604693"/>
    <w:rsid w:val="306077B3"/>
    <w:rsid w:val="30628328"/>
    <w:rsid w:val="30642C58"/>
    <w:rsid w:val="3064600F"/>
    <w:rsid w:val="30646B9E"/>
    <w:rsid w:val="3066EEB5"/>
    <w:rsid w:val="3067D162"/>
    <w:rsid w:val="306B0F0C"/>
    <w:rsid w:val="306C419F"/>
    <w:rsid w:val="306E0E88"/>
    <w:rsid w:val="306E27D0"/>
    <w:rsid w:val="306F8B7A"/>
    <w:rsid w:val="3071CC69"/>
    <w:rsid w:val="307395E4"/>
    <w:rsid w:val="307458D1"/>
    <w:rsid w:val="3078EFB7"/>
    <w:rsid w:val="3079F293"/>
    <w:rsid w:val="3083010E"/>
    <w:rsid w:val="3083CF35"/>
    <w:rsid w:val="30856F68"/>
    <w:rsid w:val="3086011C"/>
    <w:rsid w:val="3089F55A"/>
    <w:rsid w:val="308C3EA6"/>
    <w:rsid w:val="308C7A7C"/>
    <w:rsid w:val="308CFCA5"/>
    <w:rsid w:val="308D718D"/>
    <w:rsid w:val="30901F83"/>
    <w:rsid w:val="309145B2"/>
    <w:rsid w:val="30923CC5"/>
    <w:rsid w:val="30930186"/>
    <w:rsid w:val="3094F918"/>
    <w:rsid w:val="3098CC50"/>
    <w:rsid w:val="309C52DF"/>
    <w:rsid w:val="309D994F"/>
    <w:rsid w:val="309DD116"/>
    <w:rsid w:val="30A0FEF1"/>
    <w:rsid w:val="30A43B93"/>
    <w:rsid w:val="30A4ADE1"/>
    <w:rsid w:val="30AE8360"/>
    <w:rsid w:val="30B2607F"/>
    <w:rsid w:val="30B2C6A5"/>
    <w:rsid w:val="30B30EFD"/>
    <w:rsid w:val="30B4701A"/>
    <w:rsid w:val="30B48239"/>
    <w:rsid w:val="30B49AB7"/>
    <w:rsid w:val="30B6B5C4"/>
    <w:rsid w:val="30B819D1"/>
    <w:rsid w:val="30B82691"/>
    <w:rsid w:val="30BC6511"/>
    <w:rsid w:val="30BD479C"/>
    <w:rsid w:val="30BE16E6"/>
    <w:rsid w:val="30BF0D79"/>
    <w:rsid w:val="30BF24CB"/>
    <w:rsid w:val="30C65841"/>
    <w:rsid w:val="30C6D086"/>
    <w:rsid w:val="30C73F87"/>
    <w:rsid w:val="30C8C720"/>
    <w:rsid w:val="30C8EADB"/>
    <w:rsid w:val="30C94250"/>
    <w:rsid w:val="30C9D748"/>
    <w:rsid w:val="30D2E341"/>
    <w:rsid w:val="30D48952"/>
    <w:rsid w:val="30D67751"/>
    <w:rsid w:val="30D88CE8"/>
    <w:rsid w:val="30DCB62E"/>
    <w:rsid w:val="30E20967"/>
    <w:rsid w:val="30E22A67"/>
    <w:rsid w:val="30E3D342"/>
    <w:rsid w:val="30E3FF98"/>
    <w:rsid w:val="30E6D197"/>
    <w:rsid w:val="30E74DAE"/>
    <w:rsid w:val="30E760FD"/>
    <w:rsid w:val="30E91AE9"/>
    <w:rsid w:val="30EA35C4"/>
    <w:rsid w:val="30EC00B3"/>
    <w:rsid w:val="30EC2128"/>
    <w:rsid w:val="30EC71F6"/>
    <w:rsid w:val="30ED82E6"/>
    <w:rsid w:val="30EE2797"/>
    <w:rsid w:val="30EE7C7E"/>
    <w:rsid w:val="30EEDE12"/>
    <w:rsid w:val="30EF3604"/>
    <w:rsid w:val="30EFFF4D"/>
    <w:rsid w:val="30F49779"/>
    <w:rsid w:val="30F4E33A"/>
    <w:rsid w:val="30F65FED"/>
    <w:rsid w:val="30F8BC18"/>
    <w:rsid w:val="30F94323"/>
    <w:rsid w:val="30FA2826"/>
    <w:rsid w:val="30FEF6E8"/>
    <w:rsid w:val="31038428"/>
    <w:rsid w:val="3105FCC1"/>
    <w:rsid w:val="31060EF1"/>
    <w:rsid w:val="31077FD8"/>
    <w:rsid w:val="31091E95"/>
    <w:rsid w:val="310A7F38"/>
    <w:rsid w:val="310E3D4D"/>
    <w:rsid w:val="310E7D98"/>
    <w:rsid w:val="31100277"/>
    <w:rsid w:val="311045BE"/>
    <w:rsid w:val="31135DAE"/>
    <w:rsid w:val="31138C7C"/>
    <w:rsid w:val="3115FD20"/>
    <w:rsid w:val="31173086"/>
    <w:rsid w:val="31179EF2"/>
    <w:rsid w:val="3117F374"/>
    <w:rsid w:val="3118918C"/>
    <w:rsid w:val="31199171"/>
    <w:rsid w:val="311F0DF9"/>
    <w:rsid w:val="3121F469"/>
    <w:rsid w:val="31248F1B"/>
    <w:rsid w:val="31284624"/>
    <w:rsid w:val="3128F5E9"/>
    <w:rsid w:val="312A0BDA"/>
    <w:rsid w:val="312A8B1C"/>
    <w:rsid w:val="312F6D2E"/>
    <w:rsid w:val="31327640"/>
    <w:rsid w:val="3132C065"/>
    <w:rsid w:val="31369FA9"/>
    <w:rsid w:val="3138666B"/>
    <w:rsid w:val="313AEA2C"/>
    <w:rsid w:val="313F1ADB"/>
    <w:rsid w:val="3141A8EA"/>
    <w:rsid w:val="31427339"/>
    <w:rsid w:val="31450046"/>
    <w:rsid w:val="3145467E"/>
    <w:rsid w:val="31471FC9"/>
    <w:rsid w:val="3147C0ED"/>
    <w:rsid w:val="314BCFAF"/>
    <w:rsid w:val="314CD279"/>
    <w:rsid w:val="314D92FF"/>
    <w:rsid w:val="315296FC"/>
    <w:rsid w:val="3153AD4D"/>
    <w:rsid w:val="31553DDB"/>
    <w:rsid w:val="315B1E32"/>
    <w:rsid w:val="315D67C1"/>
    <w:rsid w:val="3163B266"/>
    <w:rsid w:val="3164EFFE"/>
    <w:rsid w:val="3167B79B"/>
    <w:rsid w:val="31680EAF"/>
    <w:rsid w:val="31691DB6"/>
    <w:rsid w:val="31698877"/>
    <w:rsid w:val="316A1A59"/>
    <w:rsid w:val="316BEC77"/>
    <w:rsid w:val="31703C8C"/>
    <w:rsid w:val="3171725E"/>
    <w:rsid w:val="3171F316"/>
    <w:rsid w:val="3174C153"/>
    <w:rsid w:val="3178E3DD"/>
    <w:rsid w:val="317E6A8C"/>
    <w:rsid w:val="318095AE"/>
    <w:rsid w:val="3187181E"/>
    <w:rsid w:val="318E6D66"/>
    <w:rsid w:val="318FBA3D"/>
    <w:rsid w:val="319127D7"/>
    <w:rsid w:val="319561A0"/>
    <w:rsid w:val="3196CDC1"/>
    <w:rsid w:val="3197EAA3"/>
    <w:rsid w:val="319C9B96"/>
    <w:rsid w:val="319D6140"/>
    <w:rsid w:val="319E08F8"/>
    <w:rsid w:val="319ECA5E"/>
    <w:rsid w:val="319FCA6F"/>
    <w:rsid w:val="31A1E270"/>
    <w:rsid w:val="31A5533A"/>
    <w:rsid w:val="31A7BEF2"/>
    <w:rsid w:val="31AA56FD"/>
    <w:rsid w:val="31AD2677"/>
    <w:rsid w:val="31AE1E7E"/>
    <w:rsid w:val="31AE3322"/>
    <w:rsid w:val="31B1194A"/>
    <w:rsid w:val="31B1B249"/>
    <w:rsid w:val="31B4830E"/>
    <w:rsid w:val="31B6E02B"/>
    <w:rsid w:val="31BA0490"/>
    <w:rsid w:val="31BA7BCE"/>
    <w:rsid w:val="31BCF28D"/>
    <w:rsid w:val="31BF1237"/>
    <w:rsid w:val="31C01380"/>
    <w:rsid w:val="31C41463"/>
    <w:rsid w:val="31C70A87"/>
    <w:rsid w:val="31C75027"/>
    <w:rsid w:val="31C7B416"/>
    <w:rsid w:val="31C8985E"/>
    <w:rsid w:val="31C8F47D"/>
    <w:rsid w:val="31CC8F78"/>
    <w:rsid w:val="31CCFAA9"/>
    <w:rsid w:val="31CF0087"/>
    <w:rsid w:val="31D1E8B3"/>
    <w:rsid w:val="31D38D2F"/>
    <w:rsid w:val="31D3D41C"/>
    <w:rsid w:val="31D3E135"/>
    <w:rsid w:val="31D5C081"/>
    <w:rsid w:val="31D8FEEE"/>
    <w:rsid w:val="31D95B17"/>
    <w:rsid w:val="31DD1FF6"/>
    <w:rsid w:val="31E4F45C"/>
    <w:rsid w:val="31E91256"/>
    <w:rsid w:val="31EA6D99"/>
    <w:rsid w:val="31EC27B8"/>
    <w:rsid w:val="31ED979C"/>
    <w:rsid w:val="31EE5D80"/>
    <w:rsid w:val="31EF4549"/>
    <w:rsid w:val="31F0AC1F"/>
    <w:rsid w:val="31F17537"/>
    <w:rsid w:val="31F32EF9"/>
    <w:rsid w:val="31F34F40"/>
    <w:rsid w:val="31F45381"/>
    <w:rsid w:val="31FB29AC"/>
    <w:rsid w:val="31FC8475"/>
    <w:rsid w:val="31FCC0A0"/>
    <w:rsid w:val="31FE2182"/>
    <w:rsid w:val="31FEE5C1"/>
    <w:rsid w:val="31FF16F6"/>
    <w:rsid w:val="31FF5103"/>
    <w:rsid w:val="32006DE5"/>
    <w:rsid w:val="32026749"/>
    <w:rsid w:val="320357B8"/>
    <w:rsid w:val="320366BD"/>
    <w:rsid w:val="32099646"/>
    <w:rsid w:val="320BBF72"/>
    <w:rsid w:val="320C00E1"/>
    <w:rsid w:val="320D3F97"/>
    <w:rsid w:val="32102CBF"/>
    <w:rsid w:val="3212ACBE"/>
    <w:rsid w:val="321578A6"/>
    <w:rsid w:val="3217C908"/>
    <w:rsid w:val="3219AADA"/>
    <w:rsid w:val="3219D7E8"/>
    <w:rsid w:val="321B3149"/>
    <w:rsid w:val="321F4299"/>
    <w:rsid w:val="3220DA8E"/>
    <w:rsid w:val="3221F5F0"/>
    <w:rsid w:val="3223FE73"/>
    <w:rsid w:val="3225A0BD"/>
    <w:rsid w:val="3228D563"/>
    <w:rsid w:val="322D712D"/>
    <w:rsid w:val="3234E273"/>
    <w:rsid w:val="32385F8D"/>
    <w:rsid w:val="323AF2D8"/>
    <w:rsid w:val="323B08C2"/>
    <w:rsid w:val="323BAD5C"/>
    <w:rsid w:val="323BFF39"/>
    <w:rsid w:val="323F4CF2"/>
    <w:rsid w:val="32428D26"/>
    <w:rsid w:val="3242A216"/>
    <w:rsid w:val="3242DFE5"/>
    <w:rsid w:val="324524BF"/>
    <w:rsid w:val="32469ADC"/>
    <w:rsid w:val="32491E9D"/>
    <w:rsid w:val="324A5850"/>
    <w:rsid w:val="324A7EDF"/>
    <w:rsid w:val="324AD309"/>
    <w:rsid w:val="324DE71E"/>
    <w:rsid w:val="3250CFB1"/>
    <w:rsid w:val="3252C5EF"/>
    <w:rsid w:val="3253A105"/>
    <w:rsid w:val="32573BEB"/>
    <w:rsid w:val="325870EA"/>
    <w:rsid w:val="32590E0B"/>
    <w:rsid w:val="3259C710"/>
    <w:rsid w:val="325BD5B0"/>
    <w:rsid w:val="325C21BA"/>
    <w:rsid w:val="32612D6C"/>
    <w:rsid w:val="326136A7"/>
    <w:rsid w:val="326499EB"/>
    <w:rsid w:val="3267D081"/>
    <w:rsid w:val="326C0DA6"/>
    <w:rsid w:val="3270F630"/>
    <w:rsid w:val="32732313"/>
    <w:rsid w:val="3273B664"/>
    <w:rsid w:val="3274FC7D"/>
    <w:rsid w:val="32758A2D"/>
    <w:rsid w:val="327A7B24"/>
    <w:rsid w:val="327C8B1F"/>
    <w:rsid w:val="327C8E55"/>
    <w:rsid w:val="327D1AB1"/>
    <w:rsid w:val="327DEEF0"/>
    <w:rsid w:val="327E4A23"/>
    <w:rsid w:val="327F9A45"/>
    <w:rsid w:val="327FF07F"/>
    <w:rsid w:val="32841B38"/>
    <w:rsid w:val="32853AE5"/>
    <w:rsid w:val="32887C6E"/>
    <w:rsid w:val="3291EF35"/>
    <w:rsid w:val="3294E2B9"/>
    <w:rsid w:val="329CEB8D"/>
    <w:rsid w:val="329EC477"/>
    <w:rsid w:val="329F7187"/>
    <w:rsid w:val="32A2C4F2"/>
    <w:rsid w:val="32A48489"/>
    <w:rsid w:val="32A6402B"/>
    <w:rsid w:val="32A71AE4"/>
    <w:rsid w:val="32A74A79"/>
    <w:rsid w:val="32A7B9FA"/>
    <w:rsid w:val="32AB0663"/>
    <w:rsid w:val="32AFEEFF"/>
    <w:rsid w:val="32B1E3E2"/>
    <w:rsid w:val="32B1F91E"/>
    <w:rsid w:val="32B2182B"/>
    <w:rsid w:val="32B2C7E8"/>
    <w:rsid w:val="32B2D76B"/>
    <w:rsid w:val="32BC4477"/>
    <w:rsid w:val="32C06EFE"/>
    <w:rsid w:val="32C09A26"/>
    <w:rsid w:val="32C42DC6"/>
    <w:rsid w:val="32C4C0E1"/>
    <w:rsid w:val="32C5F105"/>
    <w:rsid w:val="32C6EF60"/>
    <w:rsid w:val="32C91894"/>
    <w:rsid w:val="32C97F4D"/>
    <w:rsid w:val="32CC6288"/>
    <w:rsid w:val="32CD5548"/>
    <w:rsid w:val="32CE8A41"/>
    <w:rsid w:val="32CF5083"/>
    <w:rsid w:val="32D1C386"/>
    <w:rsid w:val="32D27E3A"/>
    <w:rsid w:val="32D77017"/>
    <w:rsid w:val="32D92A92"/>
    <w:rsid w:val="32DE99F0"/>
    <w:rsid w:val="32E22F1E"/>
    <w:rsid w:val="32E3CCE3"/>
    <w:rsid w:val="32E4CF47"/>
    <w:rsid w:val="32E756A1"/>
    <w:rsid w:val="32E78A24"/>
    <w:rsid w:val="32EA0B23"/>
    <w:rsid w:val="32EB8848"/>
    <w:rsid w:val="32EE8A41"/>
    <w:rsid w:val="32F0D565"/>
    <w:rsid w:val="32F182E1"/>
    <w:rsid w:val="32F4B015"/>
    <w:rsid w:val="32F650CD"/>
    <w:rsid w:val="32F7114E"/>
    <w:rsid w:val="330446AF"/>
    <w:rsid w:val="33045BB8"/>
    <w:rsid w:val="33045F8A"/>
    <w:rsid w:val="3304D6DA"/>
    <w:rsid w:val="3309ED57"/>
    <w:rsid w:val="330F58D0"/>
    <w:rsid w:val="33123FE4"/>
    <w:rsid w:val="33124659"/>
    <w:rsid w:val="3312E5F2"/>
    <w:rsid w:val="33130F4B"/>
    <w:rsid w:val="33140775"/>
    <w:rsid w:val="3315D984"/>
    <w:rsid w:val="331A7B5E"/>
    <w:rsid w:val="331AFA6B"/>
    <w:rsid w:val="331B6D58"/>
    <w:rsid w:val="331BE197"/>
    <w:rsid w:val="331C03E4"/>
    <w:rsid w:val="331C0A19"/>
    <w:rsid w:val="3321781A"/>
    <w:rsid w:val="3324C075"/>
    <w:rsid w:val="33278AC5"/>
    <w:rsid w:val="3328B034"/>
    <w:rsid w:val="332B9C0D"/>
    <w:rsid w:val="332FB59A"/>
    <w:rsid w:val="333077F8"/>
    <w:rsid w:val="33360399"/>
    <w:rsid w:val="33370646"/>
    <w:rsid w:val="3339F6A3"/>
    <w:rsid w:val="333B0440"/>
    <w:rsid w:val="333C45E8"/>
    <w:rsid w:val="333EAB95"/>
    <w:rsid w:val="333F7595"/>
    <w:rsid w:val="333FB1DE"/>
    <w:rsid w:val="33420111"/>
    <w:rsid w:val="334298A4"/>
    <w:rsid w:val="3343D798"/>
    <w:rsid w:val="3345A160"/>
    <w:rsid w:val="33461F7A"/>
    <w:rsid w:val="33470E0C"/>
    <w:rsid w:val="334D891B"/>
    <w:rsid w:val="334E021B"/>
    <w:rsid w:val="334FC3E9"/>
    <w:rsid w:val="33514AA7"/>
    <w:rsid w:val="3351B752"/>
    <w:rsid w:val="33539023"/>
    <w:rsid w:val="3356CB39"/>
    <w:rsid w:val="33579629"/>
    <w:rsid w:val="335CEC5E"/>
    <w:rsid w:val="3366451F"/>
    <w:rsid w:val="33666DC4"/>
    <w:rsid w:val="336D557D"/>
    <w:rsid w:val="336FDF6A"/>
    <w:rsid w:val="337B612D"/>
    <w:rsid w:val="337FA1CF"/>
    <w:rsid w:val="337FC888"/>
    <w:rsid w:val="3384B439"/>
    <w:rsid w:val="33881011"/>
    <w:rsid w:val="3388A23D"/>
    <w:rsid w:val="338CF03F"/>
    <w:rsid w:val="33937C6C"/>
    <w:rsid w:val="3398A95D"/>
    <w:rsid w:val="3399DD97"/>
    <w:rsid w:val="339B23C8"/>
    <w:rsid w:val="33A03909"/>
    <w:rsid w:val="33A3C0FB"/>
    <w:rsid w:val="33A7E177"/>
    <w:rsid w:val="33A89EDD"/>
    <w:rsid w:val="33B17FA5"/>
    <w:rsid w:val="33B21270"/>
    <w:rsid w:val="33B36C68"/>
    <w:rsid w:val="33B9C1C4"/>
    <w:rsid w:val="33B9FB49"/>
    <w:rsid w:val="33BCEBBF"/>
    <w:rsid w:val="33BE22B9"/>
    <w:rsid w:val="33BE4142"/>
    <w:rsid w:val="33C2C263"/>
    <w:rsid w:val="33C334B1"/>
    <w:rsid w:val="33C6BA70"/>
    <w:rsid w:val="33C864FA"/>
    <w:rsid w:val="33CA99EE"/>
    <w:rsid w:val="33CB0FFD"/>
    <w:rsid w:val="33CC1221"/>
    <w:rsid w:val="33CD4D2C"/>
    <w:rsid w:val="33CEA440"/>
    <w:rsid w:val="33CF19CC"/>
    <w:rsid w:val="33CF7E25"/>
    <w:rsid w:val="33D527FE"/>
    <w:rsid w:val="33DEE453"/>
    <w:rsid w:val="33E05E59"/>
    <w:rsid w:val="33E4C4AC"/>
    <w:rsid w:val="33E5953B"/>
    <w:rsid w:val="33E7D27B"/>
    <w:rsid w:val="33E87568"/>
    <w:rsid w:val="33EA3C1E"/>
    <w:rsid w:val="33EB16ED"/>
    <w:rsid w:val="33ED3CE8"/>
    <w:rsid w:val="33ED6B08"/>
    <w:rsid w:val="33EE1790"/>
    <w:rsid w:val="33FBE335"/>
    <w:rsid w:val="33FCFF40"/>
    <w:rsid w:val="33FDC2CC"/>
    <w:rsid w:val="3405D2A4"/>
    <w:rsid w:val="34060530"/>
    <w:rsid w:val="3407D7D8"/>
    <w:rsid w:val="340B0517"/>
    <w:rsid w:val="340B7D82"/>
    <w:rsid w:val="340ECA08"/>
    <w:rsid w:val="341029F9"/>
    <w:rsid w:val="34125BDD"/>
    <w:rsid w:val="3413A6CD"/>
    <w:rsid w:val="341447F3"/>
    <w:rsid w:val="341821E3"/>
    <w:rsid w:val="34186051"/>
    <w:rsid w:val="3419774B"/>
    <w:rsid w:val="341B2AA6"/>
    <w:rsid w:val="341D41FD"/>
    <w:rsid w:val="341DB2E1"/>
    <w:rsid w:val="341E2600"/>
    <w:rsid w:val="341F66AD"/>
    <w:rsid w:val="3420F3D0"/>
    <w:rsid w:val="34230A79"/>
    <w:rsid w:val="3424D872"/>
    <w:rsid w:val="3425E3B6"/>
    <w:rsid w:val="3428F004"/>
    <w:rsid w:val="3429BA7A"/>
    <w:rsid w:val="3432071C"/>
    <w:rsid w:val="34373515"/>
    <w:rsid w:val="3441690E"/>
    <w:rsid w:val="344213B6"/>
    <w:rsid w:val="34425A40"/>
    <w:rsid w:val="34428DD6"/>
    <w:rsid w:val="34436497"/>
    <w:rsid w:val="344568D8"/>
    <w:rsid w:val="3446818C"/>
    <w:rsid w:val="344818C8"/>
    <w:rsid w:val="344C3CA2"/>
    <w:rsid w:val="344E8A17"/>
    <w:rsid w:val="344ED03B"/>
    <w:rsid w:val="34551311"/>
    <w:rsid w:val="345893D8"/>
    <w:rsid w:val="34596D69"/>
    <w:rsid w:val="345A84B7"/>
    <w:rsid w:val="345C4B5F"/>
    <w:rsid w:val="345CABB9"/>
    <w:rsid w:val="345D0736"/>
    <w:rsid w:val="345DABDB"/>
    <w:rsid w:val="3461BD39"/>
    <w:rsid w:val="34628C12"/>
    <w:rsid w:val="346574F8"/>
    <w:rsid w:val="34694AC1"/>
    <w:rsid w:val="346A3313"/>
    <w:rsid w:val="346CE8A4"/>
    <w:rsid w:val="346E1FBB"/>
    <w:rsid w:val="346E2B12"/>
    <w:rsid w:val="346E6DF7"/>
    <w:rsid w:val="3470DE19"/>
    <w:rsid w:val="34765A51"/>
    <w:rsid w:val="3476F92F"/>
    <w:rsid w:val="3479F597"/>
    <w:rsid w:val="347B1D4D"/>
    <w:rsid w:val="347B253C"/>
    <w:rsid w:val="34808B4E"/>
    <w:rsid w:val="3481395F"/>
    <w:rsid w:val="34835638"/>
    <w:rsid w:val="3488425C"/>
    <w:rsid w:val="348CF547"/>
    <w:rsid w:val="348E6914"/>
    <w:rsid w:val="348F9B6A"/>
    <w:rsid w:val="34927E7E"/>
    <w:rsid w:val="3497650F"/>
    <w:rsid w:val="349C7B52"/>
    <w:rsid w:val="349D3D1F"/>
    <w:rsid w:val="349E4CB1"/>
    <w:rsid w:val="34A254D3"/>
    <w:rsid w:val="34A28951"/>
    <w:rsid w:val="34A3B3CC"/>
    <w:rsid w:val="34A57341"/>
    <w:rsid w:val="34A63079"/>
    <w:rsid w:val="34AA1817"/>
    <w:rsid w:val="34ABE26E"/>
    <w:rsid w:val="34AF70E2"/>
    <w:rsid w:val="34B346DF"/>
    <w:rsid w:val="34B5CFD9"/>
    <w:rsid w:val="34B895BC"/>
    <w:rsid w:val="34B8BB06"/>
    <w:rsid w:val="34BD9BEC"/>
    <w:rsid w:val="34C073E7"/>
    <w:rsid w:val="34C239B3"/>
    <w:rsid w:val="34C283F1"/>
    <w:rsid w:val="34C4B3E7"/>
    <w:rsid w:val="34C6A625"/>
    <w:rsid w:val="34C8330A"/>
    <w:rsid w:val="34CB40E0"/>
    <w:rsid w:val="34D578A3"/>
    <w:rsid w:val="34D5AE55"/>
    <w:rsid w:val="34D78B20"/>
    <w:rsid w:val="34D78F54"/>
    <w:rsid w:val="34D79CC2"/>
    <w:rsid w:val="34E16C16"/>
    <w:rsid w:val="34E1F0B9"/>
    <w:rsid w:val="34E460BD"/>
    <w:rsid w:val="34E624A1"/>
    <w:rsid w:val="34EBA59C"/>
    <w:rsid w:val="34EF3F82"/>
    <w:rsid w:val="34F5C16F"/>
    <w:rsid w:val="34F87A71"/>
    <w:rsid w:val="34FC33C3"/>
    <w:rsid w:val="34FF458F"/>
    <w:rsid w:val="35047A8D"/>
    <w:rsid w:val="350CA412"/>
    <w:rsid w:val="350F1C6B"/>
    <w:rsid w:val="3512B3AF"/>
    <w:rsid w:val="3515DBAC"/>
    <w:rsid w:val="3516DF2C"/>
    <w:rsid w:val="3517625F"/>
    <w:rsid w:val="351A651A"/>
    <w:rsid w:val="351B27A9"/>
    <w:rsid w:val="35226CCC"/>
    <w:rsid w:val="3522ABAF"/>
    <w:rsid w:val="3523B9AC"/>
    <w:rsid w:val="3525346D"/>
    <w:rsid w:val="35270507"/>
    <w:rsid w:val="35278F15"/>
    <w:rsid w:val="35279080"/>
    <w:rsid w:val="352D9F98"/>
    <w:rsid w:val="352F90B4"/>
    <w:rsid w:val="353006D3"/>
    <w:rsid w:val="353184DE"/>
    <w:rsid w:val="3532CAF1"/>
    <w:rsid w:val="3533596F"/>
    <w:rsid w:val="3534C570"/>
    <w:rsid w:val="353559FE"/>
    <w:rsid w:val="3535AF39"/>
    <w:rsid w:val="3538AB69"/>
    <w:rsid w:val="35394C5C"/>
    <w:rsid w:val="353A805B"/>
    <w:rsid w:val="353D6EE5"/>
    <w:rsid w:val="35433EDE"/>
    <w:rsid w:val="35434220"/>
    <w:rsid w:val="3543EA50"/>
    <w:rsid w:val="354530E2"/>
    <w:rsid w:val="3548A4CD"/>
    <w:rsid w:val="354B35AD"/>
    <w:rsid w:val="354CC8BC"/>
    <w:rsid w:val="354D1BBB"/>
    <w:rsid w:val="35553E65"/>
    <w:rsid w:val="355630FD"/>
    <w:rsid w:val="3556DD56"/>
    <w:rsid w:val="355844CD"/>
    <w:rsid w:val="35588D0A"/>
    <w:rsid w:val="355A03AC"/>
    <w:rsid w:val="355AADC9"/>
    <w:rsid w:val="355C3602"/>
    <w:rsid w:val="355C6D4B"/>
    <w:rsid w:val="355DFE13"/>
    <w:rsid w:val="3566DA93"/>
    <w:rsid w:val="3567645C"/>
    <w:rsid w:val="356783D1"/>
    <w:rsid w:val="35685924"/>
    <w:rsid w:val="3569D1CF"/>
    <w:rsid w:val="356AC005"/>
    <w:rsid w:val="35719308"/>
    <w:rsid w:val="3574CDA5"/>
    <w:rsid w:val="3578E6B1"/>
    <w:rsid w:val="357A4FE7"/>
    <w:rsid w:val="357AB51B"/>
    <w:rsid w:val="357B6FE7"/>
    <w:rsid w:val="357C39F4"/>
    <w:rsid w:val="357D0D89"/>
    <w:rsid w:val="357EA875"/>
    <w:rsid w:val="3587080E"/>
    <w:rsid w:val="35878B99"/>
    <w:rsid w:val="358A3E8D"/>
    <w:rsid w:val="358A94A7"/>
    <w:rsid w:val="35912A98"/>
    <w:rsid w:val="3591BE3C"/>
    <w:rsid w:val="359281BA"/>
    <w:rsid w:val="3596F24D"/>
    <w:rsid w:val="359946A5"/>
    <w:rsid w:val="359A4DFD"/>
    <w:rsid w:val="359D0430"/>
    <w:rsid w:val="35A0EC86"/>
    <w:rsid w:val="35A5E2DD"/>
    <w:rsid w:val="35A7446D"/>
    <w:rsid w:val="35A94852"/>
    <w:rsid w:val="35AB1EA9"/>
    <w:rsid w:val="35AC8671"/>
    <w:rsid w:val="35AE49F7"/>
    <w:rsid w:val="35AF2AAB"/>
    <w:rsid w:val="35AF80AF"/>
    <w:rsid w:val="35B27804"/>
    <w:rsid w:val="35B2FB2B"/>
    <w:rsid w:val="35B38FD3"/>
    <w:rsid w:val="35B7D194"/>
    <w:rsid w:val="35BB59D3"/>
    <w:rsid w:val="35BDFC73"/>
    <w:rsid w:val="35BE0640"/>
    <w:rsid w:val="35C142B3"/>
    <w:rsid w:val="35C1BE01"/>
    <w:rsid w:val="35C3A5EC"/>
    <w:rsid w:val="35CA705E"/>
    <w:rsid w:val="35CB999A"/>
    <w:rsid w:val="35CFE417"/>
    <w:rsid w:val="35D1248C"/>
    <w:rsid w:val="35D22445"/>
    <w:rsid w:val="35D3AAAD"/>
    <w:rsid w:val="35D404FC"/>
    <w:rsid w:val="35D435EB"/>
    <w:rsid w:val="35D4B3A9"/>
    <w:rsid w:val="35D8F11A"/>
    <w:rsid w:val="35D94AAA"/>
    <w:rsid w:val="35D9BB0E"/>
    <w:rsid w:val="35DC3CD3"/>
    <w:rsid w:val="35E0CA02"/>
    <w:rsid w:val="35E49356"/>
    <w:rsid w:val="35E6D123"/>
    <w:rsid w:val="35E92E47"/>
    <w:rsid w:val="35ECDAA9"/>
    <w:rsid w:val="35ED926D"/>
    <w:rsid w:val="35EED520"/>
    <w:rsid w:val="35EF908D"/>
    <w:rsid w:val="35F0742C"/>
    <w:rsid w:val="35F12191"/>
    <w:rsid w:val="35F1277A"/>
    <w:rsid w:val="35F8190B"/>
    <w:rsid w:val="35F8AF8B"/>
    <w:rsid w:val="35FB4CCE"/>
    <w:rsid w:val="35FC7FFF"/>
    <w:rsid w:val="35FE8BF7"/>
    <w:rsid w:val="35FE91F6"/>
    <w:rsid w:val="360600AE"/>
    <w:rsid w:val="3606388C"/>
    <w:rsid w:val="36084811"/>
    <w:rsid w:val="360AAC2D"/>
    <w:rsid w:val="360AACD2"/>
    <w:rsid w:val="360BCA15"/>
    <w:rsid w:val="36115132"/>
    <w:rsid w:val="3611EE23"/>
    <w:rsid w:val="3617B578"/>
    <w:rsid w:val="3618E04F"/>
    <w:rsid w:val="361CE429"/>
    <w:rsid w:val="361E6EAF"/>
    <w:rsid w:val="361FA5E7"/>
    <w:rsid w:val="362175CB"/>
    <w:rsid w:val="3628A3FC"/>
    <w:rsid w:val="36311500"/>
    <w:rsid w:val="36316FF8"/>
    <w:rsid w:val="3633D861"/>
    <w:rsid w:val="3633FB07"/>
    <w:rsid w:val="3635AF76"/>
    <w:rsid w:val="36372E77"/>
    <w:rsid w:val="3639CF7B"/>
    <w:rsid w:val="363AB72B"/>
    <w:rsid w:val="363CB53D"/>
    <w:rsid w:val="363EAE56"/>
    <w:rsid w:val="363EB774"/>
    <w:rsid w:val="363FF584"/>
    <w:rsid w:val="36401475"/>
    <w:rsid w:val="364A1A71"/>
    <w:rsid w:val="3651B0DD"/>
    <w:rsid w:val="3652C7FE"/>
    <w:rsid w:val="3653FE40"/>
    <w:rsid w:val="3657587F"/>
    <w:rsid w:val="365A5001"/>
    <w:rsid w:val="365ACEE8"/>
    <w:rsid w:val="365B9536"/>
    <w:rsid w:val="365CAE56"/>
    <w:rsid w:val="365E7BD5"/>
    <w:rsid w:val="366067B1"/>
    <w:rsid w:val="36624056"/>
    <w:rsid w:val="3662EBEC"/>
    <w:rsid w:val="3666C52E"/>
    <w:rsid w:val="3666D336"/>
    <w:rsid w:val="366B1185"/>
    <w:rsid w:val="366D52BD"/>
    <w:rsid w:val="366F24AF"/>
    <w:rsid w:val="3671067F"/>
    <w:rsid w:val="3671B4EA"/>
    <w:rsid w:val="36725D30"/>
    <w:rsid w:val="367322CC"/>
    <w:rsid w:val="3673DA8D"/>
    <w:rsid w:val="367531EA"/>
    <w:rsid w:val="367682C2"/>
    <w:rsid w:val="36782B10"/>
    <w:rsid w:val="367BB78D"/>
    <w:rsid w:val="367C911A"/>
    <w:rsid w:val="367CD8DF"/>
    <w:rsid w:val="3682B9B0"/>
    <w:rsid w:val="36844297"/>
    <w:rsid w:val="368484C7"/>
    <w:rsid w:val="3684F25E"/>
    <w:rsid w:val="36857A49"/>
    <w:rsid w:val="3685EFCD"/>
    <w:rsid w:val="368A4B29"/>
    <w:rsid w:val="368D069D"/>
    <w:rsid w:val="368DC4DF"/>
    <w:rsid w:val="36990A7F"/>
    <w:rsid w:val="36A45479"/>
    <w:rsid w:val="36A49E05"/>
    <w:rsid w:val="36A78D9C"/>
    <w:rsid w:val="36AB9CD3"/>
    <w:rsid w:val="36ADE0CB"/>
    <w:rsid w:val="36AF66D7"/>
    <w:rsid w:val="36B04F22"/>
    <w:rsid w:val="36B1D9AE"/>
    <w:rsid w:val="36B30EF6"/>
    <w:rsid w:val="36B37FC9"/>
    <w:rsid w:val="36B4B8B3"/>
    <w:rsid w:val="36B5BEF9"/>
    <w:rsid w:val="36B62292"/>
    <w:rsid w:val="36B78AD7"/>
    <w:rsid w:val="36B9F086"/>
    <w:rsid w:val="36BA8A42"/>
    <w:rsid w:val="36BB97A9"/>
    <w:rsid w:val="36BD3A9E"/>
    <w:rsid w:val="36BE24AE"/>
    <w:rsid w:val="36BF9CFA"/>
    <w:rsid w:val="36C0BB84"/>
    <w:rsid w:val="36C2B67D"/>
    <w:rsid w:val="36C52E6F"/>
    <w:rsid w:val="36C8361E"/>
    <w:rsid w:val="36C981FF"/>
    <w:rsid w:val="36CE8017"/>
    <w:rsid w:val="36CED9AC"/>
    <w:rsid w:val="36D04008"/>
    <w:rsid w:val="36D38C36"/>
    <w:rsid w:val="36D3C78A"/>
    <w:rsid w:val="36D479CB"/>
    <w:rsid w:val="36D7C491"/>
    <w:rsid w:val="36DCCF22"/>
    <w:rsid w:val="36E32232"/>
    <w:rsid w:val="36E4C8C9"/>
    <w:rsid w:val="36E8BC3F"/>
    <w:rsid w:val="36EAEA91"/>
    <w:rsid w:val="36EC5A24"/>
    <w:rsid w:val="36EDC1FB"/>
    <w:rsid w:val="36EF0487"/>
    <w:rsid w:val="36EF1A36"/>
    <w:rsid w:val="36F014E6"/>
    <w:rsid w:val="36F0BBB8"/>
    <w:rsid w:val="36F2170C"/>
    <w:rsid w:val="36F29D60"/>
    <w:rsid w:val="36F3D9D5"/>
    <w:rsid w:val="36F4A15F"/>
    <w:rsid w:val="36FC5361"/>
    <w:rsid w:val="3701DEAC"/>
    <w:rsid w:val="37021048"/>
    <w:rsid w:val="3703255B"/>
    <w:rsid w:val="37032D10"/>
    <w:rsid w:val="37035D74"/>
    <w:rsid w:val="37037ADC"/>
    <w:rsid w:val="37047A72"/>
    <w:rsid w:val="3704B4D3"/>
    <w:rsid w:val="370A2CD3"/>
    <w:rsid w:val="370C3B1C"/>
    <w:rsid w:val="370CA125"/>
    <w:rsid w:val="370CC18C"/>
    <w:rsid w:val="370E5957"/>
    <w:rsid w:val="37101D89"/>
    <w:rsid w:val="37102204"/>
    <w:rsid w:val="37125A75"/>
    <w:rsid w:val="371401C9"/>
    <w:rsid w:val="37176903"/>
    <w:rsid w:val="3719D904"/>
    <w:rsid w:val="371A6DF4"/>
    <w:rsid w:val="371B089D"/>
    <w:rsid w:val="371BD1C2"/>
    <w:rsid w:val="37216A57"/>
    <w:rsid w:val="3721F93F"/>
    <w:rsid w:val="3726D825"/>
    <w:rsid w:val="37286B83"/>
    <w:rsid w:val="372B618A"/>
    <w:rsid w:val="372B75FC"/>
    <w:rsid w:val="372BE56F"/>
    <w:rsid w:val="372D17FE"/>
    <w:rsid w:val="372FC876"/>
    <w:rsid w:val="37359A39"/>
    <w:rsid w:val="373600FC"/>
    <w:rsid w:val="373661F1"/>
    <w:rsid w:val="37366D7C"/>
    <w:rsid w:val="3736A522"/>
    <w:rsid w:val="3737E5C2"/>
    <w:rsid w:val="373B5398"/>
    <w:rsid w:val="374152F0"/>
    <w:rsid w:val="37419A20"/>
    <w:rsid w:val="3741B05A"/>
    <w:rsid w:val="37443BC6"/>
    <w:rsid w:val="3745A612"/>
    <w:rsid w:val="3747A419"/>
    <w:rsid w:val="374C30B6"/>
    <w:rsid w:val="374C5BB8"/>
    <w:rsid w:val="374DA921"/>
    <w:rsid w:val="3751B91C"/>
    <w:rsid w:val="3754A31B"/>
    <w:rsid w:val="3754A33D"/>
    <w:rsid w:val="3756E3CC"/>
    <w:rsid w:val="37578BC1"/>
    <w:rsid w:val="3757931E"/>
    <w:rsid w:val="37597C26"/>
    <w:rsid w:val="375A43F1"/>
    <w:rsid w:val="375B91E7"/>
    <w:rsid w:val="375BAC53"/>
    <w:rsid w:val="375C0F9A"/>
    <w:rsid w:val="375F9542"/>
    <w:rsid w:val="3760B41C"/>
    <w:rsid w:val="37622BBB"/>
    <w:rsid w:val="3762C227"/>
    <w:rsid w:val="37635AEE"/>
    <w:rsid w:val="3766B0F6"/>
    <w:rsid w:val="3766B281"/>
    <w:rsid w:val="3768C570"/>
    <w:rsid w:val="376A92C3"/>
    <w:rsid w:val="376CAC23"/>
    <w:rsid w:val="376E7C21"/>
    <w:rsid w:val="376E9BCC"/>
    <w:rsid w:val="376F735D"/>
    <w:rsid w:val="37725404"/>
    <w:rsid w:val="377300DB"/>
    <w:rsid w:val="377338DD"/>
    <w:rsid w:val="37751586"/>
    <w:rsid w:val="377639C0"/>
    <w:rsid w:val="37774BBE"/>
    <w:rsid w:val="3777E34C"/>
    <w:rsid w:val="3779A556"/>
    <w:rsid w:val="377C054B"/>
    <w:rsid w:val="377ED7D9"/>
    <w:rsid w:val="378408EB"/>
    <w:rsid w:val="378447C1"/>
    <w:rsid w:val="37855698"/>
    <w:rsid w:val="3786188B"/>
    <w:rsid w:val="37877D18"/>
    <w:rsid w:val="378A29E6"/>
    <w:rsid w:val="378F2F03"/>
    <w:rsid w:val="378FD813"/>
    <w:rsid w:val="37915026"/>
    <w:rsid w:val="37948BC6"/>
    <w:rsid w:val="379538B7"/>
    <w:rsid w:val="3799BECE"/>
    <w:rsid w:val="379B0504"/>
    <w:rsid w:val="379C32AA"/>
    <w:rsid w:val="379C9106"/>
    <w:rsid w:val="37A0A7FC"/>
    <w:rsid w:val="37A710B0"/>
    <w:rsid w:val="37AA1761"/>
    <w:rsid w:val="37AAC088"/>
    <w:rsid w:val="37AB00E8"/>
    <w:rsid w:val="37B0AB0D"/>
    <w:rsid w:val="37B1605A"/>
    <w:rsid w:val="37B20295"/>
    <w:rsid w:val="37B56119"/>
    <w:rsid w:val="37B56EEA"/>
    <w:rsid w:val="37B794BD"/>
    <w:rsid w:val="37BA1678"/>
    <w:rsid w:val="37BAC35F"/>
    <w:rsid w:val="37BB6F30"/>
    <w:rsid w:val="37BD9A6C"/>
    <w:rsid w:val="37C1139B"/>
    <w:rsid w:val="37C17345"/>
    <w:rsid w:val="37C43869"/>
    <w:rsid w:val="37C4CCCF"/>
    <w:rsid w:val="37D2D095"/>
    <w:rsid w:val="37D721D5"/>
    <w:rsid w:val="37D937B8"/>
    <w:rsid w:val="37D9479B"/>
    <w:rsid w:val="37DC5686"/>
    <w:rsid w:val="37DE8D91"/>
    <w:rsid w:val="37DF1D15"/>
    <w:rsid w:val="37E02C9B"/>
    <w:rsid w:val="37E238E2"/>
    <w:rsid w:val="37E28843"/>
    <w:rsid w:val="37E4A47F"/>
    <w:rsid w:val="37E59FE0"/>
    <w:rsid w:val="37E62013"/>
    <w:rsid w:val="37EC03EB"/>
    <w:rsid w:val="37ED0685"/>
    <w:rsid w:val="37EFE8A2"/>
    <w:rsid w:val="37F16A46"/>
    <w:rsid w:val="37F25255"/>
    <w:rsid w:val="37F3A4C5"/>
    <w:rsid w:val="37F4698A"/>
    <w:rsid w:val="37F46A01"/>
    <w:rsid w:val="37F682A4"/>
    <w:rsid w:val="37F81A3F"/>
    <w:rsid w:val="37FB1590"/>
    <w:rsid w:val="37FB79BA"/>
    <w:rsid w:val="37FEA8A1"/>
    <w:rsid w:val="38002888"/>
    <w:rsid w:val="38044DA9"/>
    <w:rsid w:val="38050685"/>
    <w:rsid w:val="3807C928"/>
    <w:rsid w:val="38090578"/>
    <w:rsid w:val="38098429"/>
    <w:rsid w:val="3809C5E2"/>
    <w:rsid w:val="380A5494"/>
    <w:rsid w:val="380C32E7"/>
    <w:rsid w:val="380CB56C"/>
    <w:rsid w:val="3812D5BD"/>
    <w:rsid w:val="38132A39"/>
    <w:rsid w:val="38134373"/>
    <w:rsid w:val="38167684"/>
    <w:rsid w:val="38211FBB"/>
    <w:rsid w:val="382123B7"/>
    <w:rsid w:val="38227FA3"/>
    <w:rsid w:val="3822B971"/>
    <w:rsid w:val="3824D06E"/>
    <w:rsid w:val="3828D226"/>
    <w:rsid w:val="382A3D59"/>
    <w:rsid w:val="382B445A"/>
    <w:rsid w:val="382B6EE3"/>
    <w:rsid w:val="382BB328"/>
    <w:rsid w:val="382EE1B2"/>
    <w:rsid w:val="383335CE"/>
    <w:rsid w:val="3834653D"/>
    <w:rsid w:val="383785E0"/>
    <w:rsid w:val="3838B588"/>
    <w:rsid w:val="383B0E64"/>
    <w:rsid w:val="383D8165"/>
    <w:rsid w:val="384C13B9"/>
    <w:rsid w:val="384EE917"/>
    <w:rsid w:val="384F751D"/>
    <w:rsid w:val="385EF042"/>
    <w:rsid w:val="385F21E3"/>
    <w:rsid w:val="3861E274"/>
    <w:rsid w:val="3861E4AC"/>
    <w:rsid w:val="3864E6D4"/>
    <w:rsid w:val="3869E204"/>
    <w:rsid w:val="3872DCB9"/>
    <w:rsid w:val="38730288"/>
    <w:rsid w:val="38740460"/>
    <w:rsid w:val="387B2FA2"/>
    <w:rsid w:val="387B8704"/>
    <w:rsid w:val="387C1BBC"/>
    <w:rsid w:val="387C7AA0"/>
    <w:rsid w:val="38800DC5"/>
    <w:rsid w:val="3881A682"/>
    <w:rsid w:val="3882E1E8"/>
    <w:rsid w:val="3883F01C"/>
    <w:rsid w:val="3886EBDE"/>
    <w:rsid w:val="3888A94E"/>
    <w:rsid w:val="388A3B8A"/>
    <w:rsid w:val="388C02D1"/>
    <w:rsid w:val="389001A8"/>
    <w:rsid w:val="3892911F"/>
    <w:rsid w:val="3892B988"/>
    <w:rsid w:val="389602D9"/>
    <w:rsid w:val="38976F42"/>
    <w:rsid w:val="38980401"/>
    <w:rsid w:val="3898EDFF"/>
    <w:rsid w:val="38997E59"/>
    <w:rsid w:val="389BB094"/>
    <w:rsid w:val="389C0901"/>
    <w:rsid w:val="38A27C7A"/>
    <w:rsid w:val="38A71888"/>
    <w:rsid w:val="38A76E62"/>
    <w:rsid w:val="38AC578D"/>
    <w:rsid w:val="38B0C6F5"/>
    <w:rsid w:val="38B53A44"/>
    <w:rsid w:val="38B7D902"/>
    <w:rsid w:val="38B84D7B"/>
    <w:rsid w:val="38BB92F4"/>
    <w:rsid w:val="38BDE3BB"/>
    <w:rsid w:val="38C34BFE"/>
    <w:rsid w:val="38C88EB4"/>
    <w:rsid w:val="38C8A0DE"/>
    <w:rsid w:val="38C8B188"/>
    <w:rsid w:val="38C8ED59"/>
    <w:rsid w:val="38C8F64A"/>
    <w:rsid w:val="38CE75C9"/>
    <w:rsid w:val="38CF58E4"/>
    <w:rsid w:val="38D43BBB"/>
    <w:rsid w:val="38D4437E"/>
    <w:rsid w:val="38D466AB"/>
    <w:rsid w:val="38D8AAD2"/>
    <w:rsid w:val="38D9ABCD"/>
    <w:rsid w:val="38DC03F7"/>
    <w:rsid w:val="38E03F64"/>
    <w:rsid w:val="38E0FA60"/>
    <w:rsid w:val="38E2D7B2"/>
    <w:rsid w:val="38E3538A"/>
    <w:rsid w:val="38E37CB4"/>
    <w:rsid w:val="38E70566"/>
    <w:rsid w:val="38E9AD41"/>
    <w:rsid w:val="38EE09D5"/>
    <w:rsid w:val="38EE6A8F"/>
    <w:rsid w:val="38EEC2EB"/>
    <w:rsid w:val="38EEDD49"/>
    <w:rsid w:val="38EF80FB"/>
    <w:rsid w:val="38F23B64"/>
    <w:rsid w:val="38F59783"/>
    <w:rsid w:val="38F5EABB"/>
    <w:rsid w:val="38F5F7B2"/>
    <w:rsid w:val="38FC1D97"/>
    <w:rsid w:val="38FF3A8F"/>
    <w:rsid w:val="3901A78C"/>
    <w:rsid w:val="3901EFBF"/>
    <w:rsid w:val="39029D8E"/>
    <w:rsid w:val="39054168"/>
    <w:rsid w:val="3905891B"/>
    <w:rsid w:val="390739E1"/>
    <w:rsid w:val="390DC664"/>
    <w:rsid w:val="390E95CB"/>
    <w:rsid w:val="390F2244"/>
    <w:rsid w:val="39100567"/>
    <w:rsid w:val="39112CF1"/>
    <w:rsid w:val="39127283"/>
    <w:rsid w:val="3912BC88"/>
    <w:rsid w:val="3913E9D7"/>
    <w:rsid w:val="39153CF3"/>
    <w:rsid w:val="3919DEB0"/>
    <w:rsid w:val="391BF545"/>
    <w:rsid w:val="391D0633"/>
    <w:rsid w:val="391ED6E6"/>
    <w:rsid w:val="3923849D"/>
    <w:rsid w:val="39239CE9"/>
    <w:rsid w:val="3927139A"/>
    <w:rsid w:val="39272E6E"/>
    <w:rsid w:val="39278FA5"/>
    <w:rsid w:val="392DB61C"/>
    <w:rsid w:val="392F8BC2"/>
    <w:rsid w:val="39305000"/>
    <w:rsid w:val="39307F00"/>
    <w:rsid w:val="39314A71"/>
    <w:rsid w:val="3931998E"/>
    <w:rsid w:val="3931E2DD"/>
    <w:rsid w:val="3932554D"/>
    <w:rsid w:val="3932C569"/>
    <w:rsid w:val="39335023"/>
    <w:rsid w:val="3933E54A"/>
    <w:rsid w:val="393530E8"/>
    <w:rsid w:val="3935B91D"/>
    <w:rsid w:val="39388576"/>
    <w:rsid w:val="39392F65"/>
    <w:rsid w:val="393ADA95"/>
    <w:rsid w:val="393D8105"/>
    <w:rsid w:val="393DE58F"/>
    <w:rsid w:val="394350EE"/>
    <w:rsid w:val="3943952A"/>
    <w:rsid w:val="3943E85F"/>
    <w:rsid w:val="39455146"/>
    <w:rsid w:val="39464945"/>
    <w:rsid w:val="39489C52"/>
    <w:rsid w:val="394958C3"/>
    <w:rsid w:val="394AB248"/>
    <w:rsid w:val="394C9418"/>
    <w:rsid w:val="394E181A"/>
    <w:rsid w:val="3955350E"/>
    <w:rsid w:val="395BA7DA"/>
    <w:rsid w:val="395BACAA"/>
    <w:rsid w:val="395E2E9A"/>
    <w:rsid w:val="395E4790"/>
    <w:rsid w:val="395E5CDC"/>
    <w:rsid w:val="395E8B24"/>
    <w:rsid w:val="395F6A81"/>
    <w:rsid w:val="3960108E"/>
    <w:rsid w:val="3961F258"/>
    <w:rsid w:val="3963CFCF"/>
    <w:rsid w:val="39656799"/>
    <w:rsid w:val="3966A8B6"/>
    <w:rsid w:val="3969527E"/>
    <w:rsid w:val="396A4F0B"/>
    <w:rsid w:val="396A5BBF"/>
    <w:rsid w:val="396D58E3"/>
    <w:rsid w:val="396E8842"/>
    <w:rsid w:val="396F3E3C"/>
    <w:rsid w:val="39702126"/>
    <w:rsid w:val="39726A1A"/>
    <w:rsid w:val="39772DF8"/>
    <w:rsid w:val="3977BC5F"/>
    <w:rsid w:val="39783F71"/>
    <w:rsid w:val="3978D4CE"/>
    <w:rsid w:val="397B831A"/>
    <w:rsid w:val="397F5682"/>
    <w:rsid w:val="3980D573"/>
    <w:rsid w:val="39833DE6"/>
    <w:rsid w:val="39838A9D"/>
    <w:rsid w:val="398836AC"/>
    <w:rsid w:val="39898377"/>
    <w:rsid w:val="398F51CF"/>
    <w:rsid w:val="398F619D"/>
    <w:rsid w:val="399271AE"/>
    <w:rsid w:val="3993DCB2"/>
    <w:rsid w:val="39962274"/>
    <w:rsid w:val="399A27E1"/>
    <w:rsid w:val="399A622B"/>
    <w:rsid w:val="399B1BAF"/>
    <w:rsid w:val="399BE44E"/>
    <w:rsid w:val="39A08E15"/>
    <w:rsid w:val="39A17C48"/>
    <w:rsid w:val="39A824D7"/>
    <w:rsid w:val="39B61950"/>
    <w:rsid w:val="39B66488"/>
    <w:rsid w:val="39BA22B0"/>
    <w:rsid w:val="39BA854F"/>
    <w:rsid w:val="39BB3928"/>
    <w:rsid w:val="39BCA26E"/>
    <w:rsid w:val="39BF7CEA"/>
    <w:rsid w:val="39C0AC8F"/>
    <w:rsid w:val="39C10579"/>
    <w:rsid w:val="39C2063B"/>
    <w:rsid w:val="39C77527"/>
    <w:rsid w:val="39C7C0E4"/>
    <w:rsid w:val="39C807D2"/>
    <w:rsid w:val="39D4B814"/>
    <w:rsid w:val="39D6BBC6"/>
    <w:rsid w:val="39D91F7B"/>
    <w:rsid w:val="39DE69ED"/>
    <w:rsid w:val="39DEF384"/>
    <w:rsid w:val="39DFAE09"/>
    <w:rsid w:val="39E16562"/>
    <w:rsid w:val="39E3E92D"/>
    <w:rsid w:val="39E4F883"/>
    <w:rsid w:val="39E5043C"/>
    <w:rsid w:val="39E5EF46"/>
    <w:rsid w:val="39E85B71"/>
    <w:rsid w:val="39E96FEC"/>
    <w:rsid w:val="39E9F58B"/>
    <w:rsid w:val="39ED5669"/>
    <w:rsid w:val="39F05E81"/>
    <w:rsid w:val="39F254FE"/>
    <w:rsid w:val="39F8E93B"/>
    <w:rsid w:val="39F9B009"/>
    <w:rsid w:val="39FACD4D"/>
    <w:rsid w:val="39FF34CC"/>
    <w:rsid w:val="39FF72BD"/>
    <w:rsid w:val="3A04E77E"/>
    <w:rsid w:val="3A07A9AD"/>
    <w:rsid w:val="3A09AA87"/>
    <w:rsid w:val="3A0CF2F1"/>
    <w:rsid w:val="3A0D83E9"/>
    <w:rsid w:val="3A0DED2B"/>
    <w:rsid w:val="3A0E016E"/>
    <w:rsid w:val="3A189E98"/>
    <w:rsid w:val="3A1A23BA"/>
    <w:rsid w:val="3A1ACC82"/>
    <w:rsid w:val="3A1F3918"/>
    <w:rsid w:val="3A234EBB"/>
    <w:rsid w:val="3A23C886"/>
    <w:rsid w:val="3A2548E5"/>
    <w:rsid w:val="3A26A3A7"/>
    <w:rsid w:val="3A2B247B"/>
    <w:rsid w:val="3A2C1AF4"/>
    <w:rsid w:val="3A2ED6A9"/>
    <w:rsid w:val="3A2F1EC9"/>
    <w:rsid w:val="3A2F7830"/>
    <w:rsid w:val="3A31046A"/>
    <w:rsid w:val="3A3302D7"/>
    <w:rsid w:val="3A3A2C5B"/>
    <w:rsid w:val="3A3B2D11"/>
    <w:rsid w:val="3A3B6D23"/>
    <w:rsid w:val="3A3C703A"/>
    <w:rsid w:val="3A3DC9E7"/>
    <w:rsid w:val="3A3FB468"/>
    <w:rsid w:val="3A4058F8"/>
    <w:rsid w:val="3A408889"/>
    <w:rsid w:val="3A46DC77"/>
    <w:rsid w:val="3A483169"/>
    <w:rsid w:val="3A4952E5"/>
    <w:rsid w:val="3A4CA05D"/>
    <w:rsid w:val="3A541971"/>
    <w:rsid w:val="3A58B4D4"/>
    <w:rsid w:val="3A5B4263"/>
    <w:rsid w:val="3A5C1198"/>
    <w:rsid w:val="3A5E6B0A"/>
    <w:rsid w:val="3A5F082A"/>
    <w:rsid w:val="3A6263C0"/>
    <w:rsid w:val="3A628804"/>
    <w:rsid w:val="3A6AD6ED"/>
    <w:rsid w:val="3A6B15C4"/>
    <w:rsid w:val="3A6BD12F"/>
    <w:rsid w:val="3A6DB8C6"/>
    <w:rsid w:val="3A764CCC"/>
    <w:rsid w:val="3A76630D"/>
    <w:rsid w:val="3A76C65A"/>
    <w:rsid w:val="3A773D6B"/>
    <w:rsid w:val="3A774F52"/>
    <w:rsid w:val="3A78E597"/>
    <w:rsid w:val="3A791687"/>
    <w:rsid w:val="3A7ADDE9"/>
    <w:rsid w:val="3A7C0432"/>
    <w:rsid w:val="3A7E7DC9"/>
    <w:rsid w:val="3A7F0105"/>
    <w:rsid w:val="3A7F67CE"/>
    <w:rsid w:val="3A8039BB"/>
    <w:rsid w:val="3A82255D"/>
    <w:rsid w:val="3A865443"/>
    <w:rsid w:val="3A86D28D"/>
    <w:rsid w:val="3A8718E1"/>
    <w:rsid w:val="3A89A7B8"/>
    <w:rsid w:val="3A8E492E"/>
    <w:rsid w:val="3A93AC52"/>
    <w:rsid w:val="3A93E55C"/>
    <w:rsid w:val="3A9680FA"/>
    <w:rsid w:val="3A9F6F0A"/>
    <w:rsid w:val="3AA11AE0"/>
    <w:rsid w:val="3AA18EB9"/>
    <w:rsid w:val="3AA3D04F"/>
    <w:rsid w:val="3AA5331A"/>
    <w:rsid w:val="3AB327A5"/>
    <w:rsid w:val="3AB56816"/>
    <w:rsid w:val="3AB58E13"/>
    <w:rsid w:val="3AB9718E"/>
    <w:rsid w:val="3AC319FC"/>
    <w:rsid w:val="3AC340CA"/>
    <w:rsid w:val="3AC4AB8D"/>
    <w:rsid w:val="3AC7908D"/>
    <w:rsid w:val="3AC88CC7"/>
    <w:rsid w:val="3AC896E8"/>
    <w:rsid w:val="3ACA508A"/>
    <w:rsid w:val="3ACB4FE3"/>
    <w:rsid w:val="3ACD0434"/>
    <w:rsid w:val="3AD059F6"/>
    <w:rsid w:val="3AD0A4D0"/>
    <w:rsid w:val="3AD0AAC2"/>
    <w:rsid w:val="3AD494F2"/>
    <w:rsid w:val="3ADAD4A6"/>
    <w:rsid w:val="3ADCCC05"/>
    <w:rsid w:val="3AE0E495"/>
    <w:rsid w:val="3AE3F5C4"/>
    <w:rsid w:val="3AE40ACE"/>
    <w:rsid w:val="3AE6BE16"/>
    <w:rsid w:val="3AE97148"/>
    <w:rsid w:val="3AED29BB"/>
    <w:rsid w:val="3AF055AD"/>
    <w:rsid w:val="3AF1876D"/>
    <w:rsid w:val="3AF4D159"/>
    <w:rsid w:val="3AF5A0C5"/>
    <w:rsid w:val="3AF5D65C"/>
    <w:rsid w:val="3AF68D94"/>
    <w:rsid w:val="3AF6EE38"/>
    <w:rsid w:val="3AF7C549"/>
    <w:rsid w:val="3AF81BF7"/>
    <w:rsid w:val="3AF933B0"/>
    <w:rsid w:val="3AFB4141"/>
    <w:rsid w:val="3AFC3AE7"/>
    <w:rsid w:val="3AFE7D25"/>
    <w:rsid w:val="3AFEA5E8"/>
    <w:rsid w:val="3AFF394B"/>
    <w:rsid w:val="3B030D53"/>
    <w:rsid w:val="3B06B0F4"/>
    <w:rsid w:val="3B09661F"/>
    <w:rsid w:val="3B0D9B3D"/>
    <w:rsid w:val="3B0F2D75"/>
    <w:rsid w:val="3B102EBF"/>
    <w:rsid w:val="3B12C485"/>
    <w:rsid w:val="3B15DBD4"/>
    <w:rsid w:val="3B1BF839"/>
    <w:rsid w:val="3B217638"/>
    <w:rsid w:val="3B217875"/>
    <w:rsid w:val="3B2291ED"/>
    <w:rsid w:val="3B258059"/>
    <w:rsid w:val="3B25B1A5"/>
    <w:rsid w:val="3B260D51"/>
    <w:rsid w:val="3B268BAC"/>
    <w:rsid w:val="3B27C988"/>
    <w:rsid w:val="3B2E259E"/>
    <w:rsid w:val="3B3394C4"/>
    <w:rsid w:val="3B34DF33"/>
    <w:rsid w:val="3B359462"/>
    <w:rsid w:val="3B362F16"/>
    <w:rsid w:val="3B39E52A"/>
    <w:rsid w:val="3B3A380D"/>
    <w:rsid w:val="3B3C1A38"/>
    <w:rsid w:val="3B405613"/>
    <w:rsid w:val="3B41A740"/>
    <w:rsid w:val="3B487E92"/>
    <w:rsid w:val="3B496E54"/>
    <w:rsid w:val="3B4C84A6"/>
    <w:rsid w:val="3B505EA9"/>
    <w:rsid w:val="3B515869"/>
    <w:rsid w:val="3B53FA68"/>
    <w:rsid w:val="3B56F547"/>
    <w:rsid w:val="3B5D01AC"/>
    <w:rsid w:val="3B5F1113"/>
    <w:rsid w:val="3B608A5C"/>
    <w:rsid w:val="3B63886E"/>
    <w:rsid w:val="3B63AB10"/>
    <w:rsid w:val="3B662D98"/>
    <w:rsid w:val="3B6653B1"/>
    <w:rsid w:val="3B66BEDD"/>
    <w:rsid w:val="3B671A24"/>
    <w:rsid w:val="3B7A6C44"/>
    <w:rsid w:val="3B81860F"/>
    <w:rsid w:val="3B81DA46"/>
    <w:rsid w:val="3B836F54"/>
    <w:rsid w:val="3B88A7D6"/>
    <w:rsid w:val="3B88C3DB"/>
    <w:rsid w:val="3B8A5BD7"/>
    <w:rsid w:val="3B8BD8D9"/>
    <w:rsid w:val="3B8D2DD7"/>
    <w:rsid w:val="3B8D4BD3"/>
    <w:rsid w:val="3B8DBD29"/>
    <w:rsid w:val="3B8F8CE4"/>
    <w:rsid w:val="3B915A97"/>
    <w:rsid w:val="3B91F047"/>
    <w:rsid w:val="3B91FFA7"/>
    <w:rsid w:val="3B9294CE"/>
    <w:rsid w:val="3B93BD0E"/>
    <w:rsid w:val="3B9535C5"/>
    <w:rsid w:val="3B9571FD"/>
    <w:rsid w:val="3B993775"/>
    <w:rsid w:val="3B9A2BF4"/>
    <w:rsid w:val="3B9BD1EF"/>
    <w:rsid w:val="3BA3BC7A"/>
    <w:rsid w:val="3BA3F50F"/>
    <w:rsid w:val="3BA4D465"/>
    <w:rsid w:val="3BA5EDEF"/>
    <w:rsid w:val="3BA7DDAE"/>
    <w:rsid w:val="3BA947A4"/>
    <w:rsid w:val="3BAA11F3"/>
    <w:rsid w:val="3BAC3856"/>
    <w:rsid w:val="3BAC596D"/>
    <w:rsid w:val="3BB1C87E"/>
    <w:rsid w:val="3BB74E80"/>
    <w:rsid w:val="3BB867D5"/>
    <w:rsid w:val="3BBAAB59"/>
    <w:rsid w:val="3BBD6AB3"/>
    <w:rsid w:val="3BBDA914"/>
    <w:rsid w:val="3BBE5B0F"/>
    <w:rsid w:val="3BC16262"/>
    <w:rsid w:val="3BC2837A"/>
    <w:rsid w:val="3BC3CA60"/>
    <w:rsid w:val="3BC729C4"/>
    <w:rsid w:val="3BC8586C"/>
    <w:rsid w:val="3BCA510C"/>
    <w:rsid w:val="3BD08E23"/>
    <w:rsid w:val="3BD2082B"/>
    <w:rsid w:val="3BD63976"/>
    <w:rsid w:val="3BDBB5C3"/>
    <w:rsid w:val="3BE54677"/>
    <w:rsid w:val="3BE78B0A"/>
    <w:rsid w:val="3BECF579"/>
    <w:rsid w:val="3BEF5362"/>
    <w:rsid w:val="3BF43441"/>
    <w:rsid w:val="3BF6C89B"/>
    <w:rsid w:val="3BF74BC2"/>
    <w:rsid w:val="3BFA84FA"/>
    <w:rsid w:val="3BFD885C"/>
    <w:rsid w:val="3C02EB48"/>
    <w:rsid w:val="3C048BC2"/>
    <w:rsid w:val="3C0D18F0"/>
    <w:rsid w:val="3C0FCBD4"/>
    <w:rsid w:val="3C110008"/>
    <w:rsid w:val="3C12C2CF"/>
    <w:rsid w:val="3C14A58B"/>
    <w:rsid w:val="3C15B815"/>
    <w:rsid w:val="3C16230F"/>
    <w:rsid w:val="3C1C1E04"/>
    <w:rsid w:val="3C1CC9F7"/>
    <w:rsid w:val="3C1DD43B"/>
    <w:rsid w:val="3C1E3068"/>
    <w:rsid w:val="3C2090CF"/>
    <w:rsid w:val="3C2130F2"/>
    <w:rsid w:val="3C24DE06"/>
    <w:rsid w:val="3C294F1A"/>
    <w:rsid w:val="3C2CC53F"/>
    <w:rsid w:val="3C2E6854"/>
    <w:rsid w:val="3C2FDA99"/>
    <w:rsid w:val="3C3317A0"/>
    <w:rsid w:val="3C37DC73"/>
    <w:rsid w:val="3C39058B"/>
    <w:rsid w:val="3C3EF697"/>
    <w:rsid w:val="3C4075E6"/>
    <w:rsid w:val="3C408A4D"/>
    <w:rsid w:val="3C436529"/>
    <w:rsid w:val="3C454A6F"/>
    <w:rsid w:val="3C4581A4"/>
    <w:rsid w:val="3C475533"/>
    <w:rsid w:val="3C47D0CD"/>
    <w:rsid w:val="3C482484"/>
    <w:rsid w:val="3C4987B8"/>
    <w:rsid w:val="3C4C509C"/>
    <w:rsid w:val="3C4E5C3C"/>
    <w:rsid w:val="3C5132FD"/>
    <w:rsid w:val="3C51CC05"/>
    <w:rsid w:val="3C52EFBF"/>
    <w:rsid w:val="3C58CEFF"/>
    <w:rsid w:val="3C5BBC9A"/>
    <w:rsid w:val="3C5EE392"/>
    <w:rsid w:val="3C617E79"/>
    <w:rsid w:val="3C61EE5C"/>
    <w:rsid w:val="3C62ADA7"/>
    <w:rsid w:val="3C65682A"/>
    <w:rsid w:val="3C692868"/>
    <w:rsid w:val="3C713F2E"/>
    <w:rsid w:val="3C782668"/>
    <w:rsid w:val="3C78A0C3"/>
    <w:rsid w:val="3C78E894"/>
    <w:rsid w:val="3C7A27FB"/>
    <w:rsid w:val="3C7CE0B3"/>
    <w:rsid w:val="3C8094DD"/>
    <w:rsid w:val="3C81D1A8"/>
    <w:rsid w:val="3C8662CE"/>
    <w:rsid w:val="3C86AC80"/>
    <w:rsid w:val="3C86C933"/>
    <w:rsid w:val="3C8887FE"/>
    <w:rsid w:val="3C8934BF"/>
    <w:rsid w:val="3C8BF07A"/>
    <w:rsid w:val="3C945C8C"/>
    <w:rsid w:val="3C9518F2"/>
    <w:rsid w:val="3C96621A"/>
    <w:rsid w:val="3CA10DC1"/>
    <w:rsid w:val="3CA164DA"/>
    <w:rsid w:val="3CA87DDD"/>
    <w:rsid w:val="3CA8AA29"/>
    <w:rsid w:val="3CAAF0F5"/>
    <w:rsid w:val="3CABADF9"/>
    <w:rsid w:val="3CAD56D8"/>
    <w:rsid w:val="3CAD9573"/>
    <w:rsid w:val="3CB1D9F5"/>
    <w:rsid w:val="3CB3674B"/>
    <w:rsid w:val="3CB4D3F5"/>
    <w:rsid w:val="3CB4F7E5"/>
    <w:rsid w:val="3CBC0B0D"/>
    <w:rsid w:val="3CBDFE24"/>
    <w:rsid w:val="3CC0899A"/>
    <w:rsid w:val="3CC33E12"/>
    <w:rsid w:val="3CC36FB8"/>
    <w:rsid w:val="3CC42316"/>
    <w:rsid w:val="3CC6C5BC"/>
    <w:rsid w:val="3CC8B7F6"/>
    <w:rsid w:val="3CC9E297"/>
    <w:rsid w:val="3CD067C8"/>
    <w:rsid w:val="3CD4732C"/>
    <w:rsid w:val="3CD4C33B"/>
    <w:rsid w:val="3CD5D113"/>
    <w:rsid w:val="3CD66EBD"/>
    <w:rsid w:val="3CD733A5"/>
    <w:rsid w:val="3CD77BCD"/>
    <w:rsid w:val="3CDB8F21"/>
    <w:rsid w:val="3CDD0DD2"/>
    <w:rsid w:val="3CDF178D"/>
    <w:rsid w:val="3CDFE71E"/>
    <w:rsid w:val="3CE00C24"/>
    <w:rsid w:val="3CE02F85"/>
    <w:rsid w:val="3CE2EF2A"/>
    <w:rsid w:val="3CE41176"/>
    <w:rsid w:val="3CE8072D"/>
    <w:rsid w:val="3CE85330"/>
    <w:rsid w:val="3CE9C59E"/>
    <w:rsid w:val="3CEAE7EA"/>
    <w:rsid w:val="3CEC609E"/>
    <w:rsid w:val="3CECA8AA"/>
    <w:rsid w:val="3CF00E3A"/>
    <w:rsid w:val="3CF35555"/>
    <w:rsid w:val="3CF4A0F0"/>
    <w:rsid w:val="3CF81955"/>
    <w:rsid w:val="3CF9524A"/>
    <w:rsid w:val="3CFC0BCB"/>
    <w:rsid w:val="3CFF476C"/>
    <w:rsid w:val="3D025103"/>
    <w:rsid w:val="3D0402BA"/>
    <w:rsid w:val="3D0527AF"/>
    <w:rsid w:val="3D053962"/>
    <w:rsid w:val="3D06E132"/>
    <w:rsid w:val="3D09E092"/>
    <w:rsid w:val="3D18BB3C"/>
    <w:rsid w:val="3D1BED90"/>
    <w:rsid w:val="3D1E6670"/>
    <w:rsid w:val="3D25D180"/>
    <w:rsid w:val="3D349B8B"/>
    <w:rsid w:val="3D34D85A"/>
    <w:rsid w:val="3D372648"/>
    <w:rsid w:val="3D3B1ED8"/>
    <w:rsid w:val="3D417816"/>
    <w:rsid w:val="3D43A7A0"/>
    <w:rsid w:val="3D45E9EB"/>
    <w:rsid w:val="3D463C6D"/>
    <w:rsid w:val="3D4ADAD9"/>
    <w:rsid w:val="3D4D2D76"/>
    <w:rsid w:val="3D522F61"/>
    <w:rsid w:val="3D545322"/>
    <w:rsid w:val="3D55314F"/>
    <w:rsid w:val="3D57749F"/>
    <w:rsid w:val="3D5930AE"/>
    <w:rsid w:val="3D5B4227"/>
    <w:rsid w:val="3D5DF754"/>
    <w:rsid w:val="3D610DA2"/>
    <w:rsid w:val="3D6154B6"/>
    <w:rsid w:val="3D62F243"/>
    <w:rsid w:val="3D66F510"/>
    <w:rsid w:val="3D6BCD72"/>
    <w:rsid w:val="3D6EE877"/>
    <w:rsid w:val="3D6F5EB1"/>
    <w:rsid w:val="3D6F7021"/>
    <w:rsid w:val="3D7017CF"/>
    <w:rsid w:val="3D730162"/>
    <w:rsid w:val="3D74ED8B"/>
    <w:rsid w:val="3D79A7C2"/>
    <w:rsid w:val="3D7B8C1A"/>
    <w:rsid w:val="3D7EB98E"/>
    <w:rsid w:val="3D814710"/>
    <w:rsid w:val="3D828D11"/>
    <w:rsid w:val="3D85885D"/>
    <w:rsid w:val="3D866A95"/>
    <w:rsid w:val="3D8679EE"/>
    <w:rsid w:val="3D883FE0"/>
    <w:rsid w:val="3D88E005"/>
    <w:rsid w:val="3D898FE5"/>
    <w:rsid w:val="3D89CCAB"/>
    <w:rsid w:val="3D8A9E35"/>
    <w:rsid w:val="3D8AF940"/>
    <w:rsid w:val="3D8B07D3"/>
    <w:rsid w:val="3D8DD198"/>
    <w:rsid w:val="3D8FC2D2"/>
    <w:rsid w:val="3D91A6EC"/>
    <w:rsid w:val="3D91C187"/>
    <w:rsid w:val="3D920A4F"/>
    <w:rsid w:val="3D94CF3F"/>
    <w:rsid w:val="3D96E494"/>
    <w:rsid w:val="3D97780D"/>
    <w:rsid w:val="3D98F38B"/>
    <w:rsid w:val="3D9DD8C9"/>
    <w:rsid w:val="3DA45614"/>
    <w:rsid w:val="3DA612E9"/>
    <w:rsid w:val="3DA663B5"/>
    <w:rsid w:val="3DA6DCFD"/>
    <w:rsid w:val="3DA713D9"/>
    <w:rsid w:val="3DADA984"/>
    <w:rsid w:val="3DAE5A94"/>
    <w:rsid w:val="3DB07E8E"/>
    <w:rsid w:val="3DB1591F"/>
    <w:rsid w:val="3DB2A114"/>
    <w:rsid w:val="3DBB36D5"/>
    <w:rsid w:val="3DBC5CB1"/>
    <w:rsid w:val="3DBCD2BE"/>
    <w:rsid w:val="3DBCE68B"/>
    <w:rsid w:val="3DBE913E"/>
    <w:rsid w:val="3DC24A0E"/>
    <w:rsid w:val="3DC45548"/>
    <w:rsid w:val="3DC778BB"/>
    <w:rsid w:val="3DCF2860"/>
    <w:rsid w:val="3DD38A1F"/>
    <w:rsid w:val="3DDA5DEE"/>
    <w:rsid w:val="3DDAC1DE"/>
    <w:rsid w:val="3DDAD066"/>
    <w:rsid w:val="3DDB9260"/>
    <w:rsid w:val="3DDD54C2"/>
    <w:rsid w:val="3DDE74EA"/>
    <w:rsid w:val="3DE2BEF7"/>
    <w:rsid w:val="3DE664E1"/>
    <w:rsid w:val="3DE7AF6E"/>
    <w:rsid w:val="3DEB00C6"/>
    <w:rsid w:val="3DEBDA28"/>
    <w:rsid w:val="3DEC36AB"/>
    <w:rsid w:val="3DEC93B1"/>
    <w:rsid w:val="3DF18027"/>
    <w:rsid w:val="3DF5C316"/>
    <w:rsid w:val="3DFDA14C"/>
    <w:rsid w:val="3DFE853D"/>
    <w:rsid w:val="3E0366DB"/>
    <w:rsid w:val="3E03F2B8"/>
    <w:rsid w:val="3E066313"/>
    <w:rsid w:val="3E07A6AB"/>
    <w:rsid w:val="3E087A04"/>
    <w:rsid w:val="3E096624"/>
    <w:rsid w:val="3E0A7174"/>
    <w:rsid w:val="3E0D4E16"/>
    <w:rsid w:val="3E115354"/>
    <w:rsid w:val="3E1442D9"/>
    <w:rsid w:val="3E1861CD"/>
    <w:rsid w:val="3E1A28D9"/>
    <w:rsid w:val="3E21B4B4"/>
    <w:rsid w:val="3E224205"/>
    <w:rsid w:val="3E22C0E2"/>
    <w:rsid w:val="3E2342A0"/>
    <w:rsid w:val="3E23B306"/>
    <w:rsid w:val="3E25BE9E"/>
    <w:rsid w:val="3E26A51B"/>
    <w:rsid w:val="3E28F55D"/>
    <w:rsid w:val="3E2A4FF9"/>
    <w:rsid w:val="3E36073C"/>
    <w:rsid w:val="3E3848B7"/>
    <w:rsid w:val="3E38FD7E"/>
    <w:rsid w:val="3E3AD3F2"/>
    <w:rsid w:val="3E3C7890"/>
    <w:rsid w:val="3E3F1DF1"/>
    <w:rsid w:val="3E407FBF"/>
    <w:rsid w:val="3E4692DC"/>
    <w:rsid w:val="3E47176F"/>
    <w:rsid w:val="3E471AE3"/>
    <w:rsid w:val="3E4918BA"/>
    <w:rsid w:val="3E4CE272"/>
    <w:rsid w:val="3E4FEE85"/>
    <w:rsid w:val="3E561471"/>
    <w:rsid w:val="3E565E35"/>
    <w:rsid w:val="3E61AA42"/>
    <w:rsid w:val="3E61F1F0"/>
    <w:rsid w:val="3E6216D6"/>
    <w:rsid w:val="3E629F35"/>
    <w:rsid w:val="3E69D5EB"/>
    <w:rsid w:val="3E6B71B8"/>
    <w:rsid w:val="3E6E9D88"/>
    <w:rsid w:val="3E7D6B0E"/>
    <w:rsid w:val="3E7DD6E0"/>
    <w:rsid w:val="3E84C8A6"/>
    <w:rsid w:val="3E8674CB"/>
    <w:rsid w:val="3E8927A0"/>
    <w:rsid w:val="3E897A72"/>
    <w:rsid w:val="3E8C3A0F"/>
    <w:rsid w:val="3E8D8E24"/>
    <w:rsid w:val="3E90339E"/>
    <w:rsid w:val="3E957A57"/>
    <w:rsid w:val="3E962177"/>
    <w:rsid w:val="3E967C7E"/>
    <w:rsid w:val="3E97CAC1"/>
    <w:rsid w:val="3E9FD1D7"/>
    <w:rsid w:val="3EA1787B"/>
    <w:rsid w:val="3EA334A1"/>
    <w:rsid w:val="3EA4F801"/>
    <w:rsid w:val="3EA600F5"/>
    <w:rsid w:val="3EAD3341"/>
    <w:rsid w:val="3EADCA56"/>
    <w:rsid w:val="3EB66399"/>
    <w:rsid w:val="3EB6EB9F"/>
    <w:rsid w:val="3EB9077C"/>
    <w:rsid w:val="3EB945FE"/>
    <w:rsid w:val="3EBB330E"/>
    <w:rsid w:val="3EBB6D93"/>
    <w:rsid w:val="3EBCE001"/>
    <w:rsid w:val="3EBD493B"/>
    <w:rsid w:val="3EBD6393"/>
    <w:rsid w:val="3EBDAFE3"/>
    <w:rsid w:val="3EBE13E9"/>
    <w:rsid w:val="3EBE23B0"/>
    <w:rsid w:val="3ECCB7DF"/>
    <w:rsid w:val="3ECEEC64"/>
    <w:rsid w:val="3ED13A4C"/>
    <w:rsid w:val="3ED1A7D6"/>
    <w:rsid w:val="3ED4EA3A"/>
    <w:rsid w:val="3ED67B54"/>
    <w:rsid w:val="3ED686D3"/>
    <w:rsid w:val="3ED734F8"/>
    <w:rsid w:val="3ED78DEA"/>
    <w:rsid w:val="3ED91BCC"/>
    <w:rsid w:val="3EDAE71D"/>
    <w:rsid w:val="3EE50895"/>
    <w:rsid w:val="3EE6020A"/>
    <w:rsid w:val="3EEBE7B8"/>
    <w:rsid w:val="3EEF0F45"/>
    <w:rsid w:val="3EF21781"/>
    <w:rsid w:val="3EF4A48E"/>
    <w:rsid w:val="3EF7655B"/>
    <w:rsid w:val="3EF90C18"/>
    <w:rsid w:val="3EF95001"/>
    <w:rsid w:val="3EFC99BD"/>
    <w:rsid w:val="3EFCB1DA"/>
    <w:rsid w:val="3EFEA160"/>
    <w:rsid w:val="3F0044EA"/>
    <w:rsid w:val="3F011E30"/>
    <w:rsid w:val="3F04223C"/>
    <w:rsid w:val="3F0525E0"/>
    <w:rsid w:val="3F0983B0"/>
    <w:rsid w:val="3F0B7497"/>
    <w:rsid w:val="3F0CE18E"/>
    <w:rsid w:val="3F0E08D6"/>
    <w:rsid w:val="3F1070F0"/>
    <w:rsid w:val="3F11F5F8"/>
    <w:rsid w:val="3F125984"/>
    <w:rsid w:val="3F12C3E1"/>
    <w:rsid w:val="3F18F623"/>
    <w:rsid w:val="3F1CA835"/>
    <w:rsid w:val="3F1DCEA6"/>
    <w:rsid w:val="3F1F86D8"/>
    <w:rsid w:val="3F1FEAF0"/>
    <w:rsid w:val="3F21A817"/>
    <w:rsid w:val="3F234465"/>
    <w:rsid w:val="3F242842"/>
    <w:rsid w:val="3F26D3FC"/>
    <w:rsid w:val="3F27DA9D"/>
    <w:rsid w:val="3F298689"/>
    <w:rsid w:val="3F29AF39"/>
    <w:rsid w:val="3F2A997F"/>
    <w:rsid w:val="3F2CB486"/>
    <w:rsid w:val="3F2E7C60"/>
    <w:rsid w:val="3F318D95"/>
    <w:rsid w:val="3F32396F"/>
    <w:rsid w:val="3F33F9B0"/>
    <w:rsid w:val="3F340083"/>
    <w:rsid w:val="3F34CED9"/>
    <w:rsid w:val="3F382D2A"/>
    <w:rsid w:val="3F39FDBB"/>
    <w:rsid w:val="3F3A2E24"/>
    <w:rsid w:val="3F3B2AF5"/>
    <w:rsid w:val="3F3C3EDB"/>
    <w:rsid w:val="3F3C694F"/>
    <w:rsid w:val="3F407CC4"/>
    <w:rsid w:val="3F45C7CF"/>
    <w:rsid w:val="3F47DE6A"/>
    <w:rsid w:val="3F48E6BA"/>
    <w:rsid w:val="3F48F600"/>
    <w:rsid w:val="3F497292"/>
    <w:rsid w:val="3F4BE25D"/>
    <w:rsid w:val="3F4DE45C"/>
    <w:rsid w:val="3F51D79D"/>
    <w:rsid w:val="3F545A60"/>
    <w:rsid w:val="3F573130"/>
    <w:rsid w:val="3F5877BD"/>
    <w:rsid w:val="3F5DCEDF"/>
    <w:rsid w:val="3F609055"/>
    <w:rsid w:val="3F63809D"/>
    <w:rsid w:val="3F65B212"/>
    <w:rsid w:val="3F698B90"/>
    <w:rsid w:val="3F6A9C8D"/>
    <w:rsid w:val="3F6BD19D"/>
    <w:rsid w:val="3F6D5A60"/>
    <w:rsid w:val="3F6D83B5"/>
    <w:rsid w:val="3F6DBA6B"/>
    <w:rsid w:val="3F6F1A1D"/>
    <w:rsid w:val="3F74E007"/>
    <w:rsid w:val="3F7562E5"/>
    <w:rsid w:val="3F7587A4"/>
    <w:rsid w:val="3F77B8C9"/>
    <w:rsid w:val="3F78B0FB"/>
    <w:rsid w:val="3F7A2F13"/>
    <w:rsid w:val="3F7A81FA"/>
    <w:rsid w:val="3F82707B"/>
    <w:rsid w:val="3F842182"/>
    <w:rsid w:val="3F854CA1"/>
    <w:rsid w:val="3F88809E"/>
    <w:rsid w:val="3F88B1C6"/>
    <w:rsid w:val="3F8CBB70"/>
    <w:rsid w:val="3F8CECB1"/>
    <w:rsid w:val="3F8DBA6D"/>
    <w:rsid w:val="3F94F0BD"/>
    <w:rsid w:val="3F952E03"/>
    <w:rsid w:val="3F959098"/>
    <w:rsid w:val="3F968D2A"/>
    <w:rsid w:val="3F9779BC"/>
    <w:rsid w:val="3F97C723"/>
    <w:rsid w:val="3F986EB4"/>
    <w:rsid w:val="3F990632"/>
    <w:rsid w:val="3F9996D8"/>
    <w:rsid w:val="3F9B0D53"/>
    <w:rsid w:val="3F9B2EBB"/>
    <w:rsid w:val="3F9D36F0"/>
    <w:rsid w:val="3F9EC7FF"/>
    <w:rsid w:val="3F9FD912"/>
    <w:rsid w:val="3FA0367E"/>
    <w:rsid w:val="3FA6347F"/>
    <w:rsid w:val="3FA70698"/>
    <w:rsid w:val="3FA9530D"/>
    <w:rsid w:val="3FACE418"/>
    <w:rsid w:val="3FAE4D73"/>
    <w:rsid w:val="3FB07839"/>
    <w:rsid w:val="3FB1DA35"/>
    <w:rsid w:val="3FB64BB7"/>
    <w:rsid w:val="3FB8F9BF"/>
    <w:rsid w:val="3FB9B258"/>
    <w:rsid w:val="3FB9C170"/>
    <w:rsid w:val="3FBB0E7F"/>
    <w:rsid w:val="3FBE634D"/>
    <w:rsid w:val="3FBEF681"/>
    <w:rsid w:val="3FBFBDA7"/>
    <w:rsid w:val="3FC39E13"/>
    <w:rsid w:val="3FC53973"/>
    <w:rsid w:val="3FC7182B"/>
    <w:rsid w:val="3FC8182E"/>
    <w:rsid w:val="3FC9C190"/>
    <w:rsid w:val="3FCD42EE"/>
    <w:rsid w:val="3FCD89ED"/>
    <w:rsid w:val="3FCDAE7D"/>
    <w:rsid w:val="3FCE3E8B"/>
    <w:rsid w:val="3FCF8B8D"/>
    <w:rsid w:val="3FCFFB2C"/>
    <w:rsid w:val="3FD1E562"/>
    <w:rsid w:val="3FD1EA19"/>
    <w:rsid w:val="3FD666A7"/>
    <w:rsid w:val="3FDAD09E"/>
    <w:rsid w:val="3FDCBE86"/>
    <w:rsid w:val="3FE9DD6A"/>
    <w:rsid w:val="3FEA7565"/>
    <w:rsid w:val="3FED9DBB"/>
    <w:rsid w:val="3FF0553D"/>
    <w:rsid w:val="3FF32B69"/>
    <w:rsid w:val="3FF33D92"/>
    <w:rsid w:val="3FFA2AD8"/>
    <w:rsid w:val="3FFB7B0C"/>
    <w:rsid w:val="3FFC229D"/>
    <w:rsid w:val="3FFC94D7"/>
    <w:rsid w:val="3FFCC481"/>
    <w:rsid w:val="3FFE7953"/>
    <w:rsid w:val="3FFE8AC2"/>
    <w:rsid w:val="3FFF92A2"/>
    <w:rsid w:val="4000D656"/>
    <w:rsid w:val="4002E562"/>
    <w:rsid w:val="4003A7A8"/>
    <w:rsid w:val="400907C4"/>
    <w:rsid w:val="400CAC07"/>
    <w:rsid w:val="400F19E5"/>
    <w:rsid w:val="40121150"/>
    <w:rsid w:val="401827F5"/>
    <w:rsid w:val="401AA639"/>
    <w:rsid w:val="40204B77"/>
    <w:rsid w:val="40214310"/>
    <w:rsid w:val="402321A8"/>
    <w:rsid w:val="40243DFF"/>
    <w:rsid w:val="4024EEA0"/>
    <w:rsid w:val="40294562"/>
    <w:rsid w:val="402C6B66"/>
    <w:rsid w:val="402DB518"/>
    <w:rsid w:val="4031D1FF"/>
    <w:rsid w:val="4032B3FC"/>
    <w:rsid w:val="4036DE7A"/>
    <w:rsid w:val="4038D612"/>
    <w:rsid w:val="4038F4AC"/>
    <w:rsid w:val="403A7A43"/>
    <w:rsid w:val="403AEC4B"/>
    <w:rsid w:val="403CE598"/>
    <w:rsid w:val="403D32B0"/>
    <w:rsid w:val="403D63CC"/>
    <w:rsid w:val="403DD65C"/>
    <w:rsid w:val="403F715C"/>
    <w:rsid w:val="404027A7"/>
    <w:rsid w:val="4040B4EC"/>
    <w:rsid w:val="40423D8F"/>
    <w:rsid w:val="404274DF"/>
    <w:rsid w:val="4042F49D"/>
    <w:rsid w:val="4044613E"/>
    <w:rsid w:val="404993FA"/>
    <w:rsid w:val="4049CE32"/>
    <w:rsid w:val="404B7DC8"/>
    <w:rsid w:val="404DC966"/>
    <w:rsid w:val="405948A2"/>
    <w:rsid w:val="40599A02"/>
    <w:rsid w:val="405B0E91"/>
    <w:rsid w:val="405D2BA4"/>
    <w:rsid w:val="4061C268"/>
    <w:rsid w:val="4064340B"/>
    <w:rsid w:val="406599E9"/>
    <w:rsid w:val="4069C4DA"/>
    <w:rsid w:val="406B0675"/>
    <w:rsid w:val="40749A0E"/>
    <w:rsid w:val="407CCC16"/>
    <w:rsid w:val="4082C7B9"/>
    <w:rsid w:val="4083FB59"/>
    <w:rsid w:val="408423D7"/>
    <w:rsid w:val="408578E1"/>
    <w:rsid w:val="40869C83"/>
    <w:rsid w:val="4086A679"/>
    <w:rsid w:val="4086A994"/>
    <w:rsid w:val="408BF8E6"/>
    <w:rsid w:val="408FD9A7"/>
    <w:rsid w:val="4095C9CE"/>
    <w:rsid w:val="4099C96B"/>
    <w:rsid w:val="409AA2F4"/>
    <w:rsid w:val="409AD2C0"/>
    <w:rsid w:val="409BC179"/>
    <w:rsid w:val="409C8384"/>
    <w:rsid w:val="409DCB52"/>
    <w:rsid w:val="409F08A8"/>
    <w:rsid w:val="409FB7D4"/>
    <w:rsid w:val="40AA2E3D"/>
    <w:rsid w:val="40ADDD43"/>
    <w:rsid w:val="40AFFAEB"/>
    <w:rsid w:val="40B7CBE7"/>
    <w:rsid w:val="40B937E2"/>
    <w:rsid w:val="40BA16EF"/>
    <w:rsid w:val="40BBAAE5"/>
    <w:rsid w:val="40BDE8AA"/>
    <w:rsid w:val="40BEE92B"/>
    <w:rsid w:val="40BF6DF3"/>
    <w:rsid w:val="40C07B54"/>
    <w:rsid w:val="40C5D0D5"/>
    <w:rsid w:val="40C63C42"/>
    <w:rsid w:val="40CB2266"/>
    <w:rsid w:val="40D03AF4"/>
    <w:rsid w:val="40D50921"/>
    <w:rsid w:val="40D8728D"/>
    <w:rsid w:val="40DA3BE9"/>
    <w:rsid w:val="40DAB65A"/>
    <w:rsid w:val="40DB09E8"/>
    <w:rsid w:val="40E1EA66"/>
    <w:rsid w:val="40E2E0D8"/>
    <w:rsid w:val="40E30FAD"/>
    <w:rsid w:val="40E59315"/>
    <w:rsid w:val="40E65112"/>
    <w:rsid w:val="40E65255"/>
    <w:rsid w:val="40E6B972"/>
    <w:rsid w:val="40E7D2FA"/>
    <w:rsid w:val="40E9417D"/>
    <w:rsid w:val="40EB9A63"/>
    <w:rsid w:val="40ECBA1B"/>
    <w:rsid w:val="40EE1560"/>
    <w:rsid w:val="40F0FF80"/>
    <w:rsid w:val="40F1ECC9"/>
    <w:rsid w:val="40F44A2A"/>
    <w:rsid w:val="40F53E12"/>
    <w:rsid w:val="40F857F3"/>
    <w:rsid w:val="40FC088A"/>
    <w:rsid w:val="40FC1B2F"/>
    <w:rsid w:val="40FF1D93"/>
    <w:rsid w:val="410217CC"/>
    <w:rsid w:val="4102A8EB"/>
    <w:rsid w:val="4105D953"/>
    <w:rsid w:val="4107C434"/>
    <w:rsid w:val="4109D68E"/>
    <w:rsid w:val="410CF933"/>
    <w:rsid w:val="410DA118"/>
    <w:rsid w:val="41111DCF"/>
    <w:rsid w:val="4116D6F4"/>
    <w:rsid w:val="4118BB0B"/>
    <w:rsid w:val="4119611C"/>
    <w:rsid w:val="411A14C4"/>
    <w:rsid w:val="411B380E"/>
    <w:rsid w:val="4122DB59"/>
    <w:rsid w:val="41237604"/>
    <w:rsid w:val="4125D94A"/>
    <w:rsid w:val="41265D0D"/>
    <w:rsid w:val="41277286"/>
    <w:rsid w:val="412C2F3B"/>
    <w:rsid w:val="41336F8F"/>
    <w:rsid w:val="413B8519"/>
    <w:rsid w:val="413C96B0"/>
    <w:rsid w:val="413E5281"/>
    <w:rsid w:val="414010AF"/>
    <w:rsid w:val="4142ACE5"/>
    <w:rsid w:val="41441AA5"/>
    <w:rsid w:val="4146E8D2"/>
    <w:rsid w:val="4149C43F"/>
    <w:rsid w:val="4149DDA9"/>
    <w:rsid w:val="4149EF08"/>
    <w:rsid w:val="414CF9B8"/>
    <w:rsid w:val="414DAEE4"/>
    <w:rsid w:val="414EAD0F"/>
    <w:rsid w:val="414ECF37"/>
    <w:rsid w:val="414F800C"/>
    <w:rsid w:val="41500B67"/>
    <w:rsid w:val="4152F40E"/>
    <w:rsid w:val="4153AB5E"/>
    <w:rsid w:val="41573E3B"/>
    <w:rsid w:val="415940E4"/>
    <w:rsid w:val="415B928D"/>
    <w:rsid w:val="415F8D64"/>
    <w:rsid w:val="416150FE"/>
    <w:rsid w:val="4165CC01"/>
    <w:rsid w:val="4167991F"/>
    <w:rsid w:val="416B67AF"/>
    <w:rsid w:val="4171730E"/>
    <w:rsid w:val="4172A60B"/>
    <w:rsid w:val="41744F58"/>
    <w:rsid w:val="4174F557"/>
    <w:rsid w:val="417549F1"/>
    <w:rsid w:val="4179415A"/>
    <w:rsid w:val="417ADA44"/>
    <w:rsid w:val="417EFD7D"/>
    <w:rsid w:val="417F029A"/>
    <w:rsid w:val="418027FF"/>
    <w:rsid w:val="41809EF4"/>
    <w:rsid w:val="4181FDC0"/>
    <w:rsid w:val="41839FBB"/>
    <w:rsid w:val="4184226C"/>
    <w:rsid w:val="4184334B"/>
    <w:rsid w:val="4187D344"/>
    <w:rsid w:val="418E2083"/>
    <w:rsid w:val="41950D97"/>
    <w:rsid w:val="41963B77"/>
    <w:rsid w:val="41965DA1"/>
    <w:rsid w:val="419EA089"/>
    <w:rsid w:val="41A0CB45"/>
    <w:rsid w:val="41A0FD44"/>
    <w:rsid w:val="41A16460"/>
    <w:rsid w:val="41A8C7ED"/>
    <w:rsid w:val="41A8E649"/>
    <w:rsid w:val="41AE4505"/>
    <w:rsid w:val="41AEAE90"/>
    <w:rsid w:val="41AF748D"/>
    <w:rsid w:val="41B08688"/>
    <w:rsid w:val="41B18305"/>
    <w:rsid w:val="41B6357D"/>
    <w:rsid w:val="41BA784B"/>
    <w:rsid w:val="41BCACE7"/>
    <w:rsid w:val="41BF1ABB"/>
    <w:rsid w:val="41C00560"/>
    <w:rsid w:val="41C331D1"/>
    <w:rsid w:val="41C53139"/>
    <w:rsid w:val="41C5BCED"/>
    <w:rsid w:val="41CA6A1D"/>
    <w:rsid w:val="41CC5E1A"/>
    <w:rsid w:val="41CCD893"/>
    <w:rsid w:val="41D0914E"/>
    <w:rsid w:val="41D15A8B"/>
    <w:rsid w:val="41D4F8CE"/>
    <w:rsid w:val="41DCE95C"/>
    <w:rsid w:val="41DF5381"/>
    <w:rsid w:val="41E219A5"/>
    <w:rsid w:val="41E2BC29"/>
    <w:rsid w:val="41E8289D"/>
    <w:rsid w:val="41E86173"/>
    <w:rsid w:val="41EB4731"/>
    <w:rsid w:val="41EE85C3"/>
    <w:rsid w:val="41F00ED9"/>
    <w:rsid w:val="41F09BDF"/>
    <w:rsid w:val="41F2D7A9"/>
    <w:rsid w:val="41F32733"/>
    <w:rsid w:val="41F4A178"/>
    <w:rsid w:val="41F59A46"/>
    <w:rsid w:val="41F5C7B6"/>
    <w:rsid w:val="41F8C437"/>
    <w:rsid w:val="41F937A6"/>
    <w:rsid w:val="41FAC86C"/>
    <w:rsid w:val="41FB3FF2"/>
    <w:rsid w:val="41FEF5A7"/>
    <w:rsid w:val="420482FC"/>
    <w:rsid w:val="42065BBF"/>
    <w:rsid w:val="420B56B8"/>
    <w:rsid w:val="420BCE3C"/>
    <w:rsid w:val="420BF0D8"/>
    <w:rsid w:val="420D8EB6"/>
    <w:rsid w:val="420DA165"/>
    <w:rsid w:val="420F5D5F"/>
    <w:rsid w:val="42131E6E"/>
    <w:rsid w:val="4214B94E"/>
    <w:rsid w:val="421AE499"/>
    <w:rsid w:val="421B6807"/>
    <w:rsid w:val="421BA1A4"/>
    <w:rsid w:val="421C8ABD"/>
    <w:rsid w:val="421D7072"/>
    <w:rsid w:val="422042C3"/>
    <w:rsid w:val="4224FB02"/>
    <w:rsid w:val="42280317"/>
    <w:rsid w:val="422B1FD7"/>
    <w:rsid w:val="422C72CB"/>
    <w:rsid w:val="422D74F2"/>
    <w:rsid w:val="422FA9CE"/>
    <w:rsid w:val="4231E136"/>
    <w:rsid w:val="4232D74F"/>
    <w:rsid w:val="4233214B"/>
    <w:rsid w:val="42372104"/>
    <w:rsid w:val="42379FBF"/>
    <w:rsid w:val="42393169"/>
    <w:rsid w:val="423C9502"/>
    <w:rsid w:val="423D7C12"/>
    <w:rsid w:val="423EE68E"/>
    <w:rsid w:val="423FDC60"/>
    <w:rsid w:val="4240BB9E"/>
    <w:rsid w:val="4244495A"/>
    <w:rsid w:val="424537A7"/>
    <w:rsid w:val="4245689C"/>
    <w:rsid w:val="424AAEC4"/>
    <w:rsid w:val="424F5327"/>
    <w:rsid w:val="424FBAF8"/>
    <w:rsid w:val="42500B12"/>
    <w:rsid w:val="4252CB81"/>
    <w:rsid w:val="4255FA80"/>
    <w:rsid w:val="4257720B"/>
    <w:rsid w:val="425A4203"/>
    <w:rsid w:val="425D4881"/>
    <w:rsid w:val="425E9250"/>
    <w:rsid w:val="4261276A"/>
    <w:rsid w:val="4264B362"/>
    <w:rsid w:val="4264C44A"/>
    <w:rsid w:val="42658AE1"/>
    <w:rsid w:val="42688544"/>
    <w:rsid w:val="426975E9"/>
    <w:rsid w:val="42712F56"/>
    <w:rsid w:val="4273722E"/>
    <w:rsid w:val="42786116"/>
    <w:rsid w:val="4279AE1D"/>
    <w:rsid w:val="427F0C65"/>
    <w:rsid w:val="42863907"/>
    <w:rsid w:val="428777F8"/>
    <w:rsid w:val="4289035E"/>
    <w:rsid w:val="428B0B86"/>
    <w:rsid w:val="428C7482"/>
    <w:rsid w:val="42902603"/>
    <w:rsid w:val="42903A4A"/>
    <w:rsid w:val="42908AE8"/>
    <w:rsid w:val="429265F2"/>
    <w:rsid w:val="4293132A"/>
    <w:rsid w:val="42994760"/>
    <w:rsid w:val="429ADF1B"/>
    <w:rsid w:val="429D429C"/>
    <w:rsid w:val="42A1B259"/>
    <w:rsid w:val="42A38C9F"/>
    <w:rsid w:val="42A50CB7"/>
    <w:rsid w:val="42A89705"/>
    <w:rsid w:val="42AB3FC7"/>
    <w:rsid w:val="42ADA1A7"/>
    <w:rsid w:val="42B3DE73"/>
    <w:rsid w:val="42B768A3"/>
    <w:rsid w:val="42BCA27D"/>
    <w:rsid w:val="42BE4F27"/>
    <w:rsid w:val="42C156A7"/>
    <w:rsid w:val="42C4F300"/>
    <w:rsid w:val="42C5B6EB"/>
    <w:rsid w:val="42C5BCA0"/>
    <w:rsid w:val="42CB1A19"/>
    <w:rsid w:val="42CB473F"/>
    <w:rsid w:val="42CF3F3F"/>
    <w:rsid w:val="42CFEF11"/>
    <w:rsid w:val="42D23295"/>
    <w:rsid w:val="42D2E6A1"/>
    <w:rsid w:val="42D63A57"/>
    <w:rsid w:val="42D7E648"/>
    <w:rsid w:val="42D8A178"/>
    <w:rsid w:val="42DC1BCB"/>
    <w:rsid w:val="42DEA218"/>
    <w:rsid w:val="42DF1ECA"/>
    <w:rsid w:val="42E05E82"/>
    <w:rsid w:val="42E132AB"/>
    <w:rsid w:val="42E23DB1"/>
    <w:rsid w:val="42E3A2EF"/>
    <w:rsid w:val="42E571C9"/>
    <w:rsid w:val="42E69005"/>
    <w:rsid w:val="42E99EAF"/>
    <w:rsid w:val="42EC8A24"/>
    <w:rsid w:val="42ED68D9"/>
    <w:rsid w:val="42EE1299"/>
    <w:rsid w:val="42EF3BED"/>
    <w:rsid w:val="42EF9529"/>
    <w:rsid w:val="42F3478E"/>
    <w:rsid w:val="42F407B0"/>
    <w:rsid w:val="42F65793"/>
    <w:rsid w:val="42FD2F2E"/>
    <w:rsid w:val="42FD36CE"/>
    <w:rsid w:val="43024D1F"/>
    <w:rsid w:val="4305C2AF"/>
    <w:rsid w:val="430610DD"/>
    <w:rsid w:val="430BCD48"/>
    <w:rsid w:val="4312A4A9"/>
    <w:rsid w:val="431458E9"/>
    <w:rsid w:val="43150E67"/>
    <w:rsid w:val="43170C06"/>
    <w:rsid w:val="4317F3DE"/>
    <w:rsid w:val="431DAB88"/>
    <w:rsid w:val="431E07D8"/>
    <w:rsid w:val="431E5E48"/>
    <w:rsid w:val="431F71CA"/>
    <w:rsid w:val="4321F5F5"/>
    <w:rsid w:val="4324214A"/>
    <w:rsid w:val="432533B6"/>
    <w:rsid w:val="43265FE9"/>
    <w:rsid w:val="432673CF"/>
    <w:rsid w:val="4326CFB1"/>
    <w:rsid w:val="43276275"/>
    <w:rsid w:val="432F87D0"/>
    <w:rsid w:val="4332E72F"/>
    <w:rsid w:val="43345309"/>
    <w:rsid w:val="43395517"/>
    <w:rsid w:val="433EC8F6"/>
    <w:rsid w:val="433F5EDB"/>
    <w:rsid w:val="433F85E1"/>
    <w:rsid w:val="4340D2A5"/>
    <w:rsid w:val="4343E697"/>
    <w:rsid w:val="43445638"/>
    <w:rsid w:val="4344F139"/>
    <w:rsid w:val="4346BD89"/>
    <w:rsid w:val="434993A5"/>
    <w:rsid w:val="434CB5DE"/>
    <w:rsid w:val="434FD9CD"/>
    <w:rsid w:val="43500949"/>
    <w:rsid w:val="4351B0ED"/>
    <w:rsid w:val="4352A6F6"/>
    <w:rsid w:val="43539632"/>
    <w:rsid w:val="43597515"/>
    <w:rsid w:val="4359F20D"/>
    <w:rsid w:val="435AD107"/>
    <w:rsid w:val="435D76C0"/>
    <w:rsid w:val="4360D770"/>
    <w:rsid w:val="43673896"/>
    <w:rsid w:val="436C6E12"/>
    <w:rsid w:val="436D9CBD"/>
    <w:rsid w:val="436DF682"/>
    <w:rsid w:val="436E8BCF"/>
    <w:rsid w:val="437242D1"/>
    <w:rsid w:val="43738419"/>
    <w:rsid w:val="4373A080"/>
    <w:rsid w:val="43761547"/>
    <w:rsid w:val="437B2A20"/>
    <w:rsid w:val="437B4AC0"/>
    <w:rsid w:val="437D3D30"/>
    <w:rsid w:val="437F0A6C"/>
    <w:rsid w:val="437F5CD2"/>
    <w:rsid w:val="437F8453"/>
    <w:rsid w:val="4380910C"/>
    <w:rsid w:val="43839FFE"/>
    <w:rsid w:val="4385480B"/>
    <w:rsid w:val="4387106D"/>
    <w:rsid w:val="4387225E"/>
    <w:rsid w:val="4389C479"/>
    <w:rsid w:val="4390C252"/>
    <w:rsid w:val="43930AE5"/>
    <w:rsid w:val="43939645"/>
    <w:rsid w:val="4398E525"/>
    <w:rsid w:val="439A7B4E"/>
    <w:rsid w:val="439DD1F1"/>
    <w:rsid w:val="439FBAB7"/>
    <w:rsid w:val="439FD4AD"/>
    <w:rsid w:val="43A28453"/>
    <w:rsid w:val="43A6F574"/>
    <w:rsid w:val="43ACA60B"/>
    <w:rsid w:val="43B1BACC"/>
    <w:rsid w:val="43B4E542"/>
    <w:rsid w:val="43B82CDC"/>
    <w:rsid w:val="43BD3EBF"/>
    <w:rsid w:val="43BD7AC8"/>
    <w:rsid w:val="43C38282"/>
    <w:rsid w:val="43C8132D"/>
    <w:rsid w:val="43CA0CFB"/>
    <w:rsid w:val="43CA2E86"/>
    <w:rsid w:val="43CF38F1"/>
    <w:rsid w:val="43D04F9F"/>
    <w:rsid w:val="43D21566"/>
    <w:rsid w:val="43D2B77D"/>
    <w:rsid w:val="43D510EA"/>
    <w:rsid w:val="43D5D529"/>
    <w:rsid w:val="43D65104"/>
    <w:rsid w:val="43D6D6D6"/>
    <w:rsid w:val="43DB702F"/>
    <w:rsid w:val="43DBC58C"/>
    <w:rsid w:val="43DBDAFF"/>
    <w:rsid w:val="43DCB1C2"/>
    <w:rsid w:val="43E07084"/>
    <w:rsid w:val="43E0CBA7"/>
    <w:rsid w:val="43E183C2"/>
    <w:rsid w:val="43E54831"/>
    <w:rsid w:val="43E56548"/>
    <w:rsid w:val="43E594EF"/>
    <w:rsid w:val="43E6A5FD"/>
    <w:rsid w:val="43EE7E47"/>
    <w:rsid w:val="43F18835"/>
    <w:rsid w:val="43FA0791"/>
    <w:rsid w:val="43FCB043"/>
    <w:rsid w:val="43FFE41D"/>
    <w:rsid w:val="44032A71"/>
    <w:rsid w:val="4405E6F8"/>
    <w:rsid w:val="44078866"/>
    <w:rsid w:val="440B754B"/>
    <w:rsid w:val="440C4828"/>
    <w:rsid w:val="440C5FC9"/>
    <w:rsid w:val="440D0CF2"/>
    <w:rsid w:val="440D52BA"/>
    <w:rsid w:val="4411524D"/>
    <w:rsid w:val="4413A71B"/>
    <w:rsid w:val="4414800C"/>
    <w:rsid w:val="44150048"/>
    <w:rsid w:val="441D6A3A"/>
    <w:rsid w:val="441DD614"/>
    <w:rsid w:val="442098BD"/>
    <w:rsid w:val="4421C7FB"/>
    <w:rsid w:val="44225C3F"/>
    <w:rsid w:val="44251630"/>
    <w:rsid w:val="4425701F"/>
    <w:rsid w:val="4426B8F6"/>
    <w:rsid w:val="44270C2B"/>
    <w:rsid w:val="44286F7D"/>
    <w:rsid w:val="442C16FE"/>
    <w:rsid w:val="442DBE79"/>
    <w:rsid w:val="442F7DE0"/>
    <w:rsid w:val="4432F646"/>
    <w:rsid w:val="44353DEC"/>
    <w:rsid w:val="44370758"/>
    <w:rsid w:val="443A9C7C"/>
    <w:rsid w:val="44402265"/>
    <w:rsid w:val="44407B36"/>
    <w:rsid w:val="44479429"/>
    <w:rsid w:val="4448306A"/>
    <w:rsid w:val="44483957"/>
    <w:rsid w:val="4449A3FE"/>
    <w:rsid w:val="44516FDD"/>
    <w:rsid w:val="44519749"/>
    <w:rsid w:val="44547D7C"/>
    <w:rsid w:val="4456FB68"/>
    <w:rsid w:val="4458F085"/>
    <w:rsid w:val="445C8EA8"/>
    <w:rsid w:val="44627CF8"/>
    <w:rsid w:val="44645566"/>
    <w:rsid w:val="44652574"/>
    <w:rsid w:val="446AD247"/>
    <w:rsid w:val="4471FFA4"/>
    <w:rsid w:val="44745A3C"/>
    <w:rsid w:val="447559C4"/>
    <w:rsid w:val="44784BD5"/>
    <w:rsid w:val="447A8334"/>
    <w:rsid w:val="447AE17A"/>
    <w:rsid w:val="447C19EB"/>
    <w:rsid w:val="447E83A0"/>
    <w:rsid w:val="447EE135"/>
    <w:rsid w:val="44854223"/>
    <w:rsid w:val="4486DF9D"/>
    <w:rsid w:val="4487CF77"/>
    <w:rsid w:val="4489039E"/>
    <w:rsid w:val="448B8350"/>
    <w:rsid w:val="448B8AE7"/>
    <w:rsid w:val="448ECAC2"/>
    <w:rsid w:val="4490B26A"/>
    <w:rsid w:val="44917C29"/>
    <w:rsid w:val="4491FD46"/>
    <w:rsid w:val="44976189"/>
    <w:rsid w:val="44984F86"/>
    <w:rsid w:val="4498E1CC"/>
    <w:rsid w:val="44991F1E"/>
    <w:rsid w:val="44992020"/>
    <w:rsid w:val="44A23321"/>
    <w:rsid w:val="44A37215"/>
    <w:rsid w:val="44A4364E"/>
    <w:rsid w:val="44AAFF44"/>
    <w:rsid w:val="44AE5D91"/>
    <w:rsid w:val="44B37A5C"/>
    <w:rsid w:val="44B46C73"/>
    <w:rsid w:val="44B4B37C"/>
    <w:rsid w:val="44B920AF"/>
    <w:rsid w:val="44B971CE"/>
    <w:rsid w:val="44BCB41D"/>
    <w:rsid w:val="44BDA608"/>
    <w:rsid w:val="44BF55FE"/>
    <w:rsid w:val="44C0EB79"/>
    <w:rsid w:val="44C50524"/>
    <w:rsid w:val="44C6C8B7"/>
    <w:rsid w:val="44C780E9"/>
    <w:rsid w:val="44C7BEA2"/>
    <w:rsid w:val="44C88760"/>
    <w:rsid w:val="44C9985E"/>
    <w:rsid w:val="44CBA300"/>
    <w:rsid w:val="44CD55F6"/>
    <w:rsid w:val="44CFBC7B"/>
    <w:rsid w:val="44CFD9B5"/>
    <w:rsid w:val="44D1DFBC"/>
    <w:rsid w:val="44D37A27"/>
    <w:rsid w:val="44D4CC77"/>
    <w:rsid w:val="44D5520F"/>
    <w:rsid w:val="44D79502"/>
    <w:rsid w:val="44DE79AE"/>
    <w:rsid w:val="44DFA752"/>
    <w:rsid w:val="44E5CB8C"/>
    <w:rsid w:val="44E76C93"/>
    <w:rsid w:val="44E8DE37"/>
    <w:rsid w:val="44EC1D26"/>
    <w:rsid w:val="44ED65A7"/>
    <w:rsid w:val="44F30205"/>
    <w:rsid w:val="44FABBB0"/>
    <w:rsid w:val="44FDF6C9"/>
    <w:rsid w:val="44FE3217"/>
    <w:rsid w:val="450002B1"/>
    <w:rsid w:val="4500D547"/>
    <w:rsid w:val="4502D28B"/>
    <w:rsid w:val="4502FCA2"/>
    <w:rsid w:val="4503E904"/>
    <w:rsid w:val="450604D0"/>
    <w:rsid w:val="45061D22"/>
    <w:rsid w:val="4506CEE9"/>
    <w:rsid w:val="450A3119"/>
    <w:rsid w:val="450BE5C4"/>
    <w:rsid w:val="450BF0B4"/>
    <w:rsid w:val="450CCA03"/>
    <w:rsid w:val="450EFE48"/>
    <w:rsid w:val="45107C1B"/>
    <w:rsid w:val="451092CF"/>
    <w:rsid w:val="4511A825"/>
    <w:rsid w:val="4515874F"/>
    <w:rsid w:val="45222831"/>
    <w:rsid w:val="45239BED"/>
    <w:rsid w:val="45279DBA"/>
    <w:rsid w:val="452BD13A"/>
    <w:rsid w:val="452D2FD6"/>
    <w:rsid w:val="452DE48A"/>
    <w:rsid w:val="452FA580"/>
    <w:rsid w:val="45305DF1"/>
    <w:rsid w:val="453618F3"/>
    <w:rsid w:val="45366200"/>
    <w:rsid w:val="45387E18"/>
    <w:rsid w:val="45393CA1"/>
    <w:rsid w:val="4539878C"/>
    <w:rsid w:val="453C1C86"/>
    <w:rsid w:val="453C9D17"/>
    <w:rsid w:val="453D94E8"/>
    <w:rsid w:val="453EB9CB"/>
    <w:rsid w:val="4540E5A6"/>
    <w:rsid w:val="454406F7"/>
    <w:rsid w:val="454497BE"/>
    <w:rsid w:val="45476C21"/>
    <w:rsid w:val="45483EE9"/>
    <w:rsid w:val="454871AD"/>
    <w:rsid w:val="454C65BE"/>
    <w:rsid w:val="45515C50"/>
    <w:rsid w:val="4557F577"/>
    <w:rsid w:val="455CAF54"/>
    <w:rsid w:val="455D5A90"/>
    <w:rsid w:val="456544C0"/>
    <w:rsid w:val="4565AA34"/>
    <w:rsid w:val="4569FE8A"/>
    <w:rsid w:val="4573130B"/>
    <w:rsid w:val="4573CFFC"/>
    <w:rsid w:val="4578C9CD"/>
    <w:rsid w:val="457979C7"/>
    <w:rsid w:val="457AD6CF"/>
    <w:rsid w:val="457B8BBC"/>
    <w:rsid w:val="458237F7"/>
    <w:rsid w:val="4584FAE0"/>
    <w:rsid w:val="4587550B"/>
    <w:rsid w:val="458B4198"/>
    <w:rsid w:val="458D6599"/>
    <w:rsid w:val="458E08DF"/>
    <w:rsid w:val="458E0EA0"/>
    <w:rsid w:val="459164A0"/>
    <w:rsid w:val="45926D8A"/>
    <w:rsid w:val="4594C47A"/>
    <w:rsid w:val="45965D37"/>
    <w:rsid w:val="4596C3EC"/>
    <w:rsid w:val="4596D8B8"/>
    <w:rsid w:val="459841E6"/>
    <w:rsid w:val="459A2A73"/>
    <w:rsid w:val="459A7B7C"/>
    <w:rsid w:val="459CAA15"/>
    <w:rsid w:val="45A1A96D"/>
    <w:rsid w:val="45A1B3E7"/>
    <w:rsid w:val="45A36491"/>
    <w:rsid w:val="45A3955E"/>
    <w:rsid w:val="45A41EDB"/>
    <w:rsid w:val="45ABDECA"/>
    <w:rsid w:val="45B0B92A"/>
    <w:rsid w:val="45B2E3F8"/>
    <w:rsid w:val="45B47263"/>
    <w:rsid w:val="45B57178"/>
    <w:rsid w:val="45B6AF0D"/>
    <w:rsid w:val="45B72AB5"/>
    <w:rsid w:val="45BA3678"/>
    <w:rsid w:val="45BF1E3B"/>
    <w:rsid w:val="45C47521"/>
    <w:rsid w:val="45C794DE"/>
    <w:rsid w:val="45C907CE"/>
    <w:rsid w:val="45CBEAB4"/>
    <w:rsid w:val="45CD3B10"/>
    <w:rsid w:val="45CDBE2C"/>
    <w:rsid w:val="45CE73C1"/>
    <w:rsid w:val="45CE8342"/>
    <w:rsid w:val="45D6EBF7"/>
    <w:rsid w:val="45D83347"/>
    <w:rsid w:val="45D8FC21"/>
    <w:rsid w:val="45DBD15B"/>
    <w:rsid w:val="45E0B58B"/>
    <w:rsid w:val="45E3DF76"/>
    <w:rsid w:val="45E552C5"/>
    <w:rsid w:val="45E67D04"/>
    <w:rsid w:val="45E91401"/>
    <w:rsid w:val="45EB7480"/>
    <w:rsid w:val="45EBD29A"/>
    <w:rsid w:val="45F49B55"/>
    <w:rsid w:val="45FA570F"/>
    <w:rsid w:val="45FAB25C"/>
    <w:rsid w:val="46006C62"/>
    <w:rsid w:val="4602A524"/>
    <w:rsid w:val="4604123C"/>
    <w:rsid w:val="4605DB37"/>
    <w:rsid w:val="4606F0C1"/>
    <w:rsid w:val="46071108"/>
    <w:rsid w:val="46082A13"/>
    <w:rsid w:val="460A5689"/>
    <w:rsid w:val="460A694D"/>
    <w:rsid w:val="4618CC5A"/>
    <w:rsid w:val="461981C8"/>
    <w:rsid w:val="461C652C"/>
    <w:rsid w:val="461D2263"/>
    <w:rsid w:val="461DC063"/>
    <w:rsid w:val="461F5A1D"/>
    <w:rsid w:val="4620E993"/>
    <w:rsid w:val="4622A3CA"/>
    <w:rsid w:val="462B18E6"/>
    <w:rsid w:val="462BADEA"/>
    <w:rsid w:val="462C5F74"/>
    <w:rsid w:val="462D23A6"/>
    <w:rsid w:val="462F4247"/>
    <w:rsid w:val="463316B5"/>
    <w:rsid w:val="463460F9"/>
    <w:rsid w:val="4634E18A"/>
    <w:rsid w:val="4635691D"/>
    <w:rsid w:val="46359CA7"/>
    <w:rsid w:val="4638F6A4"/>
    <w:rsid w:val="463A7F2D"/>
    <w:rsid w:val="463AE6CF"/>
    <w:rsid w:val="463B6822"/>
    <w:rsid w:val="463BF49A"/>
    <w:rsid w:val="463EA82D"/>
    <w:rsid w:val="46418811"/>
    <w:rsid w:val="4641F090"/>
    <w:rsid w:val="4643F7E8"/>
    <w:rsid w:val="4645578E"/>
    <w:rsid w:val="464F2C07"/>
    <w:rsid w:val="4650E1E4"/>
    <w:rsid w:val="4653ED2B"/>
    <w:rsid w:val="4654EA8E"/>
    <w:rsid w:val="465564B2"/>
    <w:rsid w:val="4655D18A"/>
    <w:rsid w:val="4656348F"/>
    <w:rsid w:val="465A04F4"/>
    <w:rsid w:val="465C46A4"/>
    <w:rsid w:val="465F6D79"/>
    <w:rsid w:val="4663331B"/>
    <w:rsid w:val="4664D4B1"/>
    <w:rsid w:val="466A427B"/>
    <w:rsid w:val="466BD4EF"/>
    <w:rsid w:val="466EE262"/>
    <w:rsid w:val="46759B0C"/>
    <w:rsid w:val="467629BA"/>
    <w:rsid w:val="46779431"/>
    <w:rsid w:val="467BEE73"/>
    <w:rsid w:val="467CEF74"/>
    <w:rsid w:val="4681BEDB"/>
    <w:rsid w:val="46839E99"/>
    <w:rsid w:val="468473EA"/>
    <w:rsid w:val="468586F5"/>
    <w:rsid w:val="468637E4"/>
    <w:rsid w:val="4686C50B"/>
    <w:rsid w:val="468739C1"/>
    <w:rsid w:val="4689663A"/>
    <w:rsid w:val="468E94A1"/>
    <w:rsid w:val="46920E21"/>
    <w:rsid w:val="469461A6"/>
    <w:rsid w:val="4694E143"/>
    <w:rsid w:val="46966E95"/>
    <w:rsid w:val="46A58BA0"/>
    <w:rsid w:val="46A90DF8"/>
    <w:rsid w:val="46AAF099"/>
    <w:rsid w:val="46AE4F1B"/>
    <w:rsid w:val="46B3BAAD"/>
    <w:rsid w:val="46B5A204"/>
    <w:rsid w:val="46B6E5F2"/>
    <w:rsid w:val="46B8812C"/>
    <w:rsid w:val="46B8F223"/>
    <w:rsid w:val="46B9A51B"/>
    <w:rsid w:val="46BC1787"/>
    <w:rsid w:val="46BCB2F7"/>
    <w:rsid w:val="46BD7AA1"/>
    <w:rsid w:val="46BEEDA9"/>
    <w:rsid w:val="46C06462"/>
    <w:rsid w:val="46C4370C"/>
    <w:rsid w:val="46C4B453"/>
    <w:rsid w:val="46C5336B"/>
    <w:rsid w:val="46C54D82"/>
    <w:rsid w:val="46C5833E"/>
    <w:rsid w:val="46C986E0"/>
    <w:rsid w:val="46CC4F69"/>
    <w:rsid w:val="46CE9EF9"/>
    <w:rsid w:val="46D0AFC4"/>
    <w:rsid w:val="46D3C668"/>
    <w:rsid w:val="46D4896F"/>
    <w:rsid w:val="46D6E3A3"/>
    <w:rsid w:val="46D86691"/>
    <w:rsid w:val="46D97702"/>
    <w:rsid w:val="46DC023C"/>
    <w:rsid w:val="46DE086D"/>
    <w:rsid w:val="46DF7982"/>
    <w:rsid w:val="46E0B301"/>
    <w:rsid w:val="46E5D0C6"/>
    <w:rsid w:val="46E6C51C"/>
    <w:rsid w:val="46E6ED56"/>
    <w:rsid w:val="46E9E09F"/>
    <w:rsid w:val="46EDD900"/>
    <w:rsid w:val="46EE2B12"/>
    <w:rsid w:val="46EF4538"/>
    <w:rsid w:val="46F2BC0A"/>
    <w:rsid w:val="46F6CC7A"/>
    <w:rsid w:val="46F829B7"/>
    <w:rsid w:val="46F82D38"/>
    <w:rsid w:val="46F90A4F"/>
    <w:rsid w:val="46FEA5B1"/>
    <w:rsid w:val="46FF3414"/>
    <w:rsid w:val="4701EDFB"/>
    <w:rsid w:val="4705606D"/>
    <w:rsid w:val="4706A97D"/>
    <w:rsid w:val="470708E6"/>
    <w:rsid w:val="4709E79B"/>
    <w:rsid w:val="470A1EA7"/>
    <w:rsid w:val="470C6583"/>
    <w:rsid w:val="470FF859"/>
    <w:rsid w:val="4710A52F"/>
    <w:rsid w:val="471634B7"/>
    <w:rsid w:val="4719124D"/>
    <w:rsid w:val="4719B1CC"/>
    <w:rsid w:val="471A9CE8"/>
    <w:rsid w:val="471B21BD"/>
    <w:rsid w:val="471E3B76"/>
    <w:rsid w:val="471F8882"/>
    <w:rsid w:val="4721E5C5"/>
    <w:rsid w:val="47259EA3"/>
    <w:rsid w:val="473023B0"/>
    <w:rsid w:val="4731CE38"/>
    <w:rsid w:val="47321678"/>
    <w:rsid w:val="4732C604"/>
    <w:rsid w:val="4733E2AE"/>
    <w:rsid w:val="47340C1C"/>
    <w:rsid w:val="4739BF92"/>
    <w:rsid w:val="473CA006"/>
    <w:rsid w:val="474227E3"/>
    <w:rsid w:val="47432A0B"/>
    <w:rsid w:val="47463EDD"/>
    <w:rsid w:val="4746CEB0"/>
    <w:rsid w:val="47477A00"/>
    <w:rsid w:val="474D4F5E"/>
    <w:rsid w:val="474D8D2A"/>
    <w:rsid w:val="474F03C5"/>
    <w:rsid w:val="474F39BA"/>
    <w:rsid w:val="47509221"/>
    <w:rsid w:val="4756B05B"/>
    <w:rsid w:val="475AEED5"/>
    <w:rsid w:val="475D0F02"/>
    <w:rsid w:val="476062A1"/>
    <w:rsid w:val="4760DEE4"/>
    <w:rsid w:val="4764E6F5"/>
    <w:rsid w:val="4765E4AA"/>
    <w:rsid w:val="4772A31A"/>
    <w:rsid w:val="4778428C"/>
    <w:rsid w:val="477C8443"/>
    <w:rsid w:val="477D17C1"/>
    <w:rsid w:val="477DCA37"/>
    <w:rsid w:val="478516F7"/>
    <w:rsid w:val="4786CDFA"/>
    <w:rsid w:val="4786D7E4"/>
    <w:rsid w:val="4786E42A"/>
    <w:rsid w:val="4788F994"/>
    <w:rsid w:val="478A0E3C"/>
    <w:rsid w:val="478A35A1"/>
    <w:rsid w:val="478B0CEF"/>
    <w:rsid w:val="478BD332"/>
    <w:rsid w:val="478EB514"/>
    <w:rsid w:val="478F63F3"/>
    <w:rsid w:val="4791D495"/>
    <w:rsid w:val="47947B08"/>
    <w:rsid w:val="479484B0"/>
    <w:rsid w:val="47953F24"/>
    <w:rsid w:val="479705AD"/>
    <w:rsid w:val="4798FE69"/>
    <w:rsid w:val="4799236B"/>
    <w:rsid w:val="4799D36F"/>
    <w:rsid w:val="479BAAF5"/>
    <w:rsid w:val="479D2C16"/>
    <w:rsid w:val="479F3BE4"/>
    <w:rsid w:val="47A17568"/>
    <w:rsid w:val="47A1781B"/>
    <w:rsid w:val="47A772C9"/>
    <w:rsid w:val="47A78408"/>
    <w:rsid w:val="47A937DC"/>
    <w:rsid w:val="47A9419E"/>
    <w:rsid w:val="47ACA78C"/>
    <w:rsid w:val="47AF7C47"/>
    <w:rsid w:val="47B42474"/>
    <w:rsid w:val="47B51223"/>
    <w:rsid w:val="47B513C9"/>
    <w:rsid w:val="47B6C14D"/>
    <w:rsid w:val="47B7AC5F"/>
    <w:rsid w:val="47BBD33D"/>
    <w:rsid w:val="47BD06FE"/>
    <w:rsid w:val="47BF12DD"/>
    <w:rsid w:val="47BFD403"/>
    <w:rsid w:val="47C34256"/>
    <w:rsid w:val="47C3B48A"/>
    <w:rsid w:val="47C3B542"/>
    <w:rsid w:val="47CE1D5B"/>
    <w:rsid w:val="47CE2601"/>
    <w:rsid w:val="47D382F1"/>
    <w:rsid w:val="47D5F453"/>
    <w:rsid w:val="47D8FA13"/>
    <w:rsid w:val="47DA08A8"/>
    <w:rsid w:val="47DAB26E"/>
    <w:rsid w:val="47DBB1EE"/>
    <w:rsid w:val="47DD5028"/>
    <w:rsid w:val="47DEDB28"/>
    <w:rsid w:val="47E3F1CC"/>
    <w:rsid w:val="47E5C204"/>
    <w:rsid w:val="47E6FB95"/>
    <w:rsid w:val="47F0647B"/>
    <w:rsid w:val="47F33063"/>
    <w:rsid w:val="47F921B6"/>
    <w:rsid w:val="47F96E74"/>
    <w:rsid w:val="47FC3CE6"/>
    <w:rsid w:val="4803211A"/>
    <w:rsid w:val="48033472"/>
    <w:rsid w:val="48034EAB"/>
    <w:rsid w:val="48057C34"/>
    <w:rsid w:val="4805A7EF"/>
    <w:rsid w:val="4805CB1D"/>
    <w:rsid w:val="4806866C"/>
    <w:rsid w:val="480718C5"/>
    <w:rsid w:val="4808CEB9"/>
    <w:rsid w:val="4809164E"/>
    <w:rsid w:val="480981DA"/>
    <w:rsid w:val="480B3DC9"/>
    <w:rsid w:val="480E0EF8"/>
    <w:rsid w:val="480E185D"/>
    <w:rsid w:val="480F7B51"/>
    <w:rsid w:val="4813E2FD"/>
    <w:rsid w:val="48192896"/>
    <w:rsid w:val="481A32C9"/>
    <w:rsid w:val="481E9C1E"/>
    <w:rsid w:val="481EC140"/>
    <w:rsid w:val="481FD2A5"/>
    <w:rsid w:val="482527A9"/>
    <w:rsid w:val="482D7856"/>
    <w:rsid w:val="482D787F"/>
    <w:rsid w:val="482F0F5E"/>
    <w:rsid w:val="482F1E1A"/>
    <w:rsid w:val="4830AB8C"/>
    <w:rsid w:val="48340D6C"/>
    <w:rsid w:val="48356E08"/>
    <w:rsid w:val="48393CB5"/>
    <w:rsid w:val="483C0901"/>
    <w:rsid w:val="483E8B26"/>
    <w:rsid w:val="483ED78D"/>
    <w:rsid w:val="484158A8"/>
    <w:rsid w:val="4841FAD7"/>
    <w:rsid w:val="484209E1"/>
    <w:rsid w:val="484363DF"/>
    <w:rsid w:val="48438AFF"/>
    <w:rsid w:val="48455280"/>
    <w:rsid w:val="484602F1"/>
    <w:rsid w:val="48470933"/>
    <w:rsid w:val="484AD509"/>
    <w:rsid w:val="484BDF52"/>
    <w:rsid w:val="4851DE5E"/>
    <w:rsid w:val="48529D89"/>
    <w:rsid w:val="4854A8B3"/>
    <w:rsid w:val="4855D270"/>
    <w:rsid w:val="4856D96C"/>
    <w:rsid w:val="4856E78B"/>
    <w:rsid w:val="4858D4AB"/>
    <w:rsid w:val="48592CE0"/>
    <w:rsid w:val="485EC03D"/>
    <w:rsid w:val="48612D30"/>
    <w:rsid w:val="48628F0F"/>
    <w:rsid w:val="48654176"/>
    <w:rsid w:val="486659C8"/>
    <w:rsid w:val="4867F4F7"/>
    <w:rsid w:val="48691CE1"/>
    <w:rsid w:val="486A6521"/>
    <w:rsid w:val="486B8151"/>
    <w:rsid w:val="486BD0FA"/>
    <w:rsid w:val="486BE12A"/>
    <w:rsid w:val="486E3271"/>
    <w:rsid w:val="4871C4A2"/>
    <w:rsid w:val="48721C6D"/>
    <w:rsid w:val="48725A2B"/>
    <w:rsid w:val="4873F971"/>
    <w:rsid w:val="48747732"/>
    <w:rsid w:val="4875920F"/>
    <w:rsid w:val="4875E76F"/>
    <w:rsid w:val="487B00CA"/>
    <w:rsid w:val="487C5A57"/>
    <w:rsid w:val="487ECE9B"/>
    <w:rsid w:val="4880954A"/>
    <w:rsid w:val="488421B7"/>
    <w:rsid w:val="48869AEC"/>
    <w:rsid w:val="488CA46A"/>
    <w:rsid w:val="488E75B8"/>
    <w:rsid w:val="48907059"/>
    <w:rsid w:val="489324B1"/>
    <w:rsid w:val="489337B3"/>
    <w:rsid w:val="48993B7C"/>
    <w:rsid w:val="48A371E5"/>
    <w:rsid w:val="48A6BD95"/>
    <w:rsid w:val="48A6DC76"/>
    <w:rsid w:val="48AB8579"/>
    <w:rsid w:val="48ACF96A"/>
    <w:rsid w:val="48ADAE7C"/>
    <w:rsid w:val="48B08068"/>
    <w:rsid w:val="48B265E1"/>
    <w:rsid w:val="48B59930"/>
    <w:rsid w:val="48B721CA"/>
    <w:rsid w:val="48B8F774"/>
    <w:rsid w:val="48B960A3"/>
    <w:rsid w:val="48BE809A"/>
    <w:rsid w:val="48BE83F8"/>
    <w:rsid w:val="48BFAE38"/>
    <w:rsid w:val="48BFDDB0"/>
    <w:rsid w:val="48C431BC"/>
    <w:rsid w:val="48CB8F08"/>
    <w:rsid w:val="48CDA927"/>
    <w:rsid w:val="48D4F846"/>
    <w:rsid w:val="48D6574E"/>
    <w:rsid w:val="48D711FA"/>
    <w:rsid w:val="48D8BCC4"/>
    <w:rsid w:val="48DA70D3"/>
    <w:rsid w:val="48DAF21D"/>
    <w:rsid w:val="48DF11FE"/>
    <w:rsid w:val="48E02921"/>
    <w:rsid w:val="48E38D74"/>
    <w:rsid w:val="48ED7533"/>
    <w:rsid w:val="48ED77AC"/>
    <w:rsid w:val="48EFE7A1"/>
    <w:rsid w:val="48EFF46B"/>
    <w:rsid w:val="48F0A426"/>
    <w:rsid w:val="48F108AE"/>
    <w:rsid w:val="48F11744"/>
    <w:rsid w:val="48F5B848"/>
    <w:rsid w:val="48F67FAA"/>
    <w:rsid w:val="48F77B75"/>
    <w:rsid w:val="48F9F5D2"/>
    <w:rsid w:val="48FA4AFB"/>
    <w:rsid w:val="48FA95F1"/>
    <w:rsid w:val="48FD7A7A"/>
    <w:rsid w:val="4903256C"/>
    <w:rsid w:val="49035DE5"/>
    <w:rsid w:val="490429D1"/>
    <w:rsid w:val="4904ED07"/>
    <w:rsid w:val="490CA4BD"/>
    <w:rsid w:val="49104F34"/>
    <w:rsid w:val="4911E1B8"/>
    <w:rsid w:val="4912B5D8"/>
    <w:rsid w:val="4915280F"/>
    <w:rsid w:val="491695D2"/>
    <w:rsid w:val="4916A259"/>
    <w:rsid w:val="491856D4"/>
    <w:rsid w:val="491A022C"/>
    <w:rsid w:val="491A03C2"/>
    <w:rsid w:val="491AF7A8"/>
    <w:rsid w:val="491BFB00"/>
    <w:rsid w:val="491DDC4C"/>
    <w:rsid w:val="491E9DE9"/>
    <w:rsid w:val="491F9482"/>
    <w:rsid w:val="4921F8D8"/>
    <w:rsid w:val="49236402"/>
    <w:rsid w:val="4925F2B5"/>
    <w:rsid w:val="49262A64"/>
    <w:rsid w:val="492662D2"/>
    <w:rsid w:val="4926A5B1"/>
    <w:rsid w:val="492A5097"/>
    <w:rsid w:val="492A59CD"/>
    <w:rsid w:val="492B053B"/>
    <w:rsid w:val="492B70D4"/>
    <w:rsid w:val="492BD2CA"/>
    <w:rsid w:val="49329DE6"/>
    <w:rsid w:val="4932F0CB"/>
    <w:rsid w:val="4933C036"/>
    <w:rsid w:val="49365328"/>
    <w:rsid w:val="4936B5F0"/>
    <w:rsid w:val="4937B02D"/>
    <w:rsid w:val="4938D63D"/>
    <w:rsid w:val="493B398A"/>
    <w:rsid w:val="493B71A5"/>
    <w:rsid w:val="493EBBE6"/>
    <w:rsid w:val="493EF522"/>
    <w:rsid w:val="494073F0"/>
    <w:rsid w:val="4948AABA"/>
    <w:rsid w:val="494ABAB5"/>
    <w:rsid w:val="494CF8DF"/>
    <w:rsid w:val="494DB7CF"/>
    <w:rsid w:val="49506E41"/>
    <w:rsid w:val="4951F7D0"/>
    <w:rsid w:val="495772EE"/>
    <w:rsid w:val="495991F4"/>
    <w:rsid w:val="495AF893"/>
    <w:rsid w:val="495B03B9"/>
    <w:rsid w:val="495E0898"/>
    <w:rsid w:val="495EAAB4"/>
    <w:rsid w:val="495FD05A"/>
    <w:rsid w:val="49601352"/>
    <w:rsid w:val="4963A216"/>
    <w:rsid w:val="4964474E"/>
    <w:rsid w:val="496466FE"/>
    <w:rsid w:val="4965CCA9"/>
    <w:rsid w:val="496698D6"/>
    <w:rsid w:val="49673A96"/>
    <w:rsid w:val="49698884"/>
    <w:rsid w:val="496A9AE0"/>
    <w:rsid w:val="49703DDB"/>
    <w:rsid w:val="49712500"/>
    <w:rsid w:val="49724476"/>
    <w:rsid w:val="4977FADD"/>
    <w:rsid w:val="4978E432"/>
    <w:rsid w:val="4979BE7B"/>
    <w:rsid w:val="497B6DA3"/>
    <w:rsid w:val="49802BEC"/>
    <w:rsid w:val="4980F4E9"/>
    <w:rsid w:val="4980F625"/>
    <w:rsid w:val="4981BC91"/>
    <w:rsid w:val="49895AB5"/>
    <w:rsid w:val="498CA5AC"/>
    <w:rsid w:val="498CAF97"/>
    <w:rsid w:val="4994A74D"/>
    <w:rsid w:val="4996DE0B"/>
    <w:rsid w:val="49970CD5"/>
    <w:rsid w:val="49987AAB"/>
    <w:rsid w:val="4998FEF7"/>
    <w:rsid w:val="499B8EB7"/>
    <w:rsid w:val="499BA22D"/>
    <w:rsid w:val="499C73B9"/>
    <w:rsid w:val="49A060A3"/>
    <w:rsid w:val="49A10E05"/>
    <w:rsid w:val="49A129E4"/>
    <w:rsid w:val="49A2EE7A"/>
    <w:rsid w:val="49A4751F"/>
    <w:rsid w:val="49AD8660"/>
    <w:rsid w:val="49B04CC8"/>
    <w:rsid w:val="49B14C8A"/>
    <w:rsid w:val="49B25D00"/>
    <w:rsid w:val="49B3365C"/>
    <w:rsid w:val="49B45766"/>
    <w:rsid w:val="49B69D90"/>
    <w:rsid w:val="49B6A2B5"/>
    <w:rsid w:val="49B77C04"/>
    <w:rsid w:val="49B7CDE7"/>
    <w:rsid w:val="49B88D27"/>
    <w:rsid w:val="49B9E3B9"/>
    <w:rsid w:val="49BBE0DF"/>
    <w:rsid w:val="49BE4737"/>
    <w:rsid w:val="49C0F852"/>
    <w:rsid w:val="49C21FF4"/>
    <w:rsid w:val="49C870E9"/>
    <w:rsid w:val="49C91F0B"/>
    <w:rsid w:val="49C97987"/>
    <w:rsid w:val="49D60932"/>
    <w:rsid w:val="49D659DC"/>
    <w:rsid w:val="49D719EA"/>
    <w:rsid w:val="49DBA8AC"/>
    <w:rsid w:val="49DC61C6"/>
    <w:rsid w:val="49DF5F0E"/>
    <w:rsid w:val="49DFD348"/>
    <w:rsid w:val="49E0AAFA"/>
    <w:rsid w:val="49E0EF70"/>
    <w:rsid w:val="49E4396D"/>
    <w:rsid w:val="49E4935F"/>
    <w:rsid w:val="49E52749"/>
    <w:rsid w:val="49E5FCB2"/>
    <w:rsid w:val="49E7FD60"/>
    <w:rsid w:val="49E8C2EB"/>
    <w:rsid w:val="49EB0599"/>
    <w:rsid w:val="49EFEA02"/>
    <w:rsid w:val="49F1B9C7"/>
    <w:rsid w:val="49F2F5F2"/>
    <w:rsid w:val="49F35072"/>
    <w:rsid w:val="49F3E214"/>
    <w:rsid w:val="49F5C906"/>
    <w:rsid w:val="49F69260"/>
    <w:rsid w:val="49F74AA5"/>
    <w:rsid w:val="49F8DA78"/>
    <w:rsid w:val="49FC8098"/>
    <w:rsid w:val="49FEE9D7"/>
    <w:rsid w:val="49FF6EA7"/>
    <w:rsid w:val="4A0259D9"/>
    <w:rsid w:val="4A036B86"/>
    <w:rsid w:val="4A07157A"/>
    <w:rsid w:val="4A081111"/>
    <w:rsid w:val="4A0A1C81"/>
    <w:rsid w:val="4A0E1953"/>
    <w:rsid w:val="4A0E2D0C"/>
    <w:rsid w:val="4A0FC647"/>
    <w:rsid w:val="4A108C62"/>
    <w:rsid w:val="4A124104"/>
    <w:rsid w:val="4A137755"/>
    <w:rsid w:val="4A1379F4"/>
    <w:rsid w:val="4A15FD06"/>
    <w:rsid w:val="4A174092"/>
    <w:rsid w:val="4A176EC1"/>
    <w:rsid w:val="4A1C39A7"/>
    <w:rsid w:val="4A1CB64C"/>
    <w:rsid w:val="4A21278D"/>
    <w:rsid w:val="4A215CB3"/>
    <w:rsid w:val="4A22FF10"/>
    <w:rsid w:val="4A2438AC"/>
    <w:rsid w:val="4A26F995"/>
    <w:rsid w:val="4A2AF4F2"/>
    <w:rsid w:val="4A2BCA01"/>
    <w:rsid w:val="4A2D893F"/>
    <w:rsid w:val="4A2FC0B2"/>
    <w:rsid w:val="4A2FD71C"/>
    <w:rsid w:val="4A34A8B9"/>
    <w:rsid w:val="4A384A74"/>
    <w:rsid w:val="4A3D1753"/>
    <w:rsid w:val="4A3D3EF8"/>
    <w:rsid w:val="4A3E43D2"/>
    <w:rsid w:val="4A41EC19"/>
    <w:rsid w:val="4A47F287"/>
    <w:rsid w:val="4A4E2DE6"/>
    <w:rsid w:val="4A5A61C6"/>
    <w:rsid w:val="4A5B5BC7"/>
    <w:rsid w:val="4A5B6131"/>
    <w:rsid w:val="4A5CFFB1"/>
    <w:rsid w:val="4A5DE268"/>
    <w:rsid w:val="4A60C561"/>
    <w:rsid w:val="4A642347"/>
    <w:rsid w:val="4A66E081"/>
    <w:rsid w:val="4A6785EA"/>
    <w:rsid w:val="4A6964F4"/>
    <w:rsid w:val="4A6975DD"/>
    <w:rsid w:val="4A6BAB54"/>
    <w:rsid w:val="4A6D7535"/>
    <w:rsid w:val="4A6EB020"/>
    <w:rsid w:val="4A6EC5C3"/>
    <w:rsid w:val="4A6FAF23"/>
    <w:rsid w:val="4A7051E4"/>
    <w:rsid w:val="4A73611A"/>
    <w:rsid w:val="4A744648"/>
    <w:rsid w:val="4A761BD3"/>
    <w:rsid w:val="4A76835F"/>
    <w:rsid w:val="4A78312F"/>
    <w:rsid w:val="4A7B1CEC"/>
    <w:rsid w:val="4A7B2901"/>
    <w:rsid w:val="4A7B5531"/>
    <w:rsid w:val="4A7B6E2C"/>
    <w:rsid w:val="4A7C7110"/>
    <w:rsid w:val="4A7CD0BE"/>
    <w:rsid w:val="4A7F0108"/>
    <w:rsid w:val="4A8096E5"/>
    <w:rsid w:val="4A868979"/>
    <w:rsid w:val="4A880C02"/>
    <w:rsid w:val="4A8D2F2A"/>
    <w:rsid w:val="4A8E74F9"/>
    <w:rsid w:val="4A90A084"/>
    <w:rsid w:val="4A93E4F7"/>
    <w:rsid w:val="4A97AF12"/>
    <w:rsid w:val="4AA15B73"/>
    <w:rsid w:val="4AA4E14F"/>
    <w:rsid w:val="4AA76D66"/>
    <w:rsid w:val="4AAD1FBB"/>
    <w:rsid w:val="4AB07E75"/>
    <w:rsid w:val="4ABAD055"/>
    <w:rsid w:val="4ABDB1DD"/>
    <w:rsid w:val="4AC05D79"/>
    <w:rsid w:val="4AC0DA64"/>
    <w:rsid w:val="4AC4A9AB"/>
    <w:rsid w:val="4ACAB8DC"/>
    <w:rsid w:val="4ACB24CA"/>
    <w:rsid w:val="4AD06A56"/>
    <w:rsid w:val="4AD12C26"/>
    <w:rsid w:val="4AD5F94A"/>
    <w:rsid w:val="4AD74C19"/>
    <w:rsid w:val="4ADC064A"/>
    <w:rsid w:val="4ADC5B82"/>
    <w:rsid w:val="4ADF164D"/>
    <w:rsid w:val="4ADF2E08"/>
    <w:rsid w:val="4ADF8EB6"/>
    <w:rsid w:val="4AE23B81"/>
    <w:rsid w:val="4AE4DC08"/>
    <w:rsid w:val="4AE5DF61"/>
    <w:rsid w:val="4AE608DF"/>
    <w:rsid w:val="4AE9461C"/>
    <w:rsid w:val="4AF19AC1"/>
    <w:rsid w:val="4AF3454B"/>
    <w:rsid w:val="4AF64C55"/>
    <w:rsid w:val="4AF6D655"/>
    <w:rsid w:val="4AF78190"/>
    <w:rsid w:val="4AF95ABE"/>
    <w:rsid w:val="4AFE7D88"/>
    <w:rsid w:val="4AFE7FA2"/>
    <w:rsid w:val="4AFEB36F"/>
    <w:rsid w:val="4B00E8BB"/>
    <w:rsid w:val="4B03A25F"/>
    <w:rsid w:val="4B0BE03F"/>
    <w:rsid w:val="4B104070"/>
    <w:rsid w:val="4B135747"/>
    <w:rsid w:val="4B142C69"/>
    <w:rsid w:val="4B1C5FEE"/>
    <w:rsid w:val="4B1D9535"/>
    <w:rsid w:val="4B208968"/>
    <w:rsid w:val="4B21088F"/>
    <w:rsid w:val="4B22DAB0"/>
    <w:rsid w:val="4B251C8E"/>
    <w:rsid w:val="4B268D53"/>
    <w:rsid w:val="4B275FB1"/>
    <w:rsid w:val="4B2789FA"/>
    <w:rsid w:val="4B2891BF"/>
    <w:rsid w:val="4B2D52FB"/>
    <w:rsid w:val="4B2DEB6D"/>
    <w:rsid w:val="4B348967"/>
    <w:rsid w:val="4B352125"/>
    <w:rsid w:val="4B383BD1"/>
    <w:rsid w:val="4B388E32"/>
    <w:rsid w:val="4B3C4D3F"/>
    <w:rsid w:val="4B3E333E"/>
    <w:rsid w:val="4B42355B"/>
    <w:rsid w:val="4B430D5D"/>
    <w:rsid w:val="4B44B892"/>
    <w:rsid w:val="4B454151"/>
    <w:rsid w:val="4B46F9EE"/>
    <w:rsid w:val="4B48E4B2"/>
    <w:rsid w:val="4B4A6B66"/>
    <w:rsid w:val="4B4BEF10"/>
    <w:rsid w:val="4B4E08D2"/>
    <w:rsid w:val="4B4FCD62"/>
    <w:rsid w:val="4B54146F"/>
    <w:rsid w:val="4B58AA49"/>
    <w:rsid w:val="4B58F783"/>
    <w:rsid w:val="4B59DF26"/>
    <w:rsid w:val="4B5A1698"/>
    <w:rsid w:val="4B5A8D12"/>
    <w:rsid w:val="4B5B087E"/>
    <w:rsid w:val="4B5F8D8B"/>
    <w:rsid w:val="4B612780"/>
    <w:rsid w:val="4B654E8C"/>
    <w:rsid w:val="4B66EDC2"/>
    <w:rsid w:val="4B693316"/>
    <w:rsid w:val="4B69B95D"/>
    <w:rsid w:val="4B6A8F51"/>
    <w:rsid w:val="4B71996D"/>
    <w:rsid w:val="4B71CE8D"/>
    <w:rsid w:val="4B71FA4E"/>
    <w:rsid w:val="4B726D82"/>
    <w:rsid w:val="4B7B872C"/>
    <w:rsid w:val="4B7E26C5"/>
    <w:rsid w:val="4B7E5C7C"/>
    <w:rsid w:val="4B7FF5E1"/>
    <w:rsid w:val="4B82A72F"/>
    <w:rsid w:val="4B85325C"/>
    <w:rsid w:val="4B861375"/>
    <w:rsid w:val="4B8AA2DD"/>
    <w:rsid w:val="4B9286A2"/>
    <w:rsid w:val="4B930BB9"/>
    <w:rsid w:val="4B9676DF"/>
    <w:rsid w:val="4B9B8C3A"/>
    <w:rsid w:val="4B9CF2C8"/>
    <w:rsid w:val="4B9D7EAC"/>
    <w:rsid w:val="4B9EB9B1"/>
    <w:rsid w:val="4BA05ABC"/>
    <w:rsid w:val="4BA1F8E9"/>
    <w:rsid w:val="4BA41814"/>
    <w:rsid w:val="4BA661F2"/>
    <w:rsid w:val="4BA81C42"/>
    <w:rsid w:val="4BA90586"/>
    <w:rsid w:val="4BADCAB6"/>
    <w:rsid w:val="4BB1371B"/>
    <w:rsid w:val="4BB2D12B"/>
    <w:rsid w:val="4BB78419"/>
    <w:rsid w:val="4BB8404E"/>
    <w:rsid w:val="4BB990B9"/>
    <w:rsid w:val="4BB9C149"/>
    <w:rsid w:val="4BBAB950"/>
    <w:rsid w:val="4BBB89FD"/>
    <w:rsid w:val="4BBC69E5"/>
    <w:rsid w:val="4BC006EF"/>
    <w:rsid w:val="4BC5BC1F"/>
    <w:rsid w:val="4BC69E7D"/>
    <w:rsid w:val="4BC724B2"/>
    <w:rsid w:val="4BC873F1"/>
    <w:rsid w:val="4BC9DDE5"/>
    <w:rsid w:val="4BCA7DCD"/>
    <w:rsid w:val="4BCA9C2D"/>
    <w:rsid w:val="4BCAFCF5"/>
    <w:rsid w:val="4BCED7EF"/>
    <w:rsid w:val="4BD08F57"/>
    <w:rsid w:val="4BD31DE3"/>
    <w:rsid w:val="4BD40577"/>
    <w:rsid w:val="4BD492F2"/>
    <w:rsid w:val="4BD8E96A"/>
    <w:rsid w:val="4BD8F2E1"/>
    <w:rsid w:val="4BDA9CFB"/>
    <w:rsid w:val="4BDACCDC"/>
    <w:rsid w:val="4BDC80BA"/>
    <w:rsid w:val="4BDD6002"/>
    <w:rsid w:val="4BE419FF"/>
    <w:rsid w:val="4BE42DF9"/>
    <w:rsid w:val="4BE46E38"/>
    <w:rsid w:val="4BE65432"/>
    <w:rsid w:val="4BE96261"/>
    <w:rsid w:val="4BEADABA"/>
    <w:rsid w:val="4BF1AE5C"/>
    <w:rsid w:val="4BF3740E"/>
    <w:rsid w:val="4BF99CA7"/>
    <w:rsid w:val="4BFAFD3D"/>
    <w:rsid w:val="4C008DEC"/>
    <w:rsid w:val="4C0404C1"/>
    <w:rsid w:val="4C081CBF"/>
    <w:rsid w:val="4C0909BC"/>
    <w:rsid w:val="4C0D79D6"/>
    <w:rsid w:val="4C0F7A38"/>
    <w:rsid w:val="4C10E9F1"/>
    <w:rsid w:val="4C13D597"/>
    <w:rsid w:val="4C157DAE"/>
    <w:rsid w:val="4C166397"/>
    <w:rsid w:val="4C19A9D7"/>
    <w:rsid w:val="4C19F60F"/>
    <w:rsid w:val="4C1B1847"/>
    <w:rsid w:val="4C1D2135"/>
    <w:rsid w:val="4C2219B6"/>
    <w:rsid w:val="4C222F08"/>
    <w:rsid w:val="4C236E98"/>
    <w:rsid w:val="4C2443F0"/>
    <w:rsid w:val="4C24F042"/>
    <w:rsid w:val="4C263D48"/>
    <w:rsid w:val="4C271382"/>
    <w:rsid w:val="4C2974DC"/>
    <w:rsid w:val="4C2DB0C3"/>
    <w:rsid w:val="4C2E4A5F"/>
    <w:rsid w:val="4C2E6061"/>
    <w:rsid w:val="4C2F2AF1"/>
    <w:rsid w:val="4C3070B3"/>
    <w:rsid w:val="4C346979"/>
    <w:rsid w:val="4C3D56D3"/>
    <w:rsid w:val="4C3EE70A"/>
    <w:rsid w:val="4C3F0009"/>
    <w:rsid w:val="4C4034AA"/>
    <w:rsid w:val="4C42C9AE"/>
    <w:rsid w:val="4C437F26"/>
    <w:rsid w:val="4C4D3961"/>
    <w:rsid w:val="4C4EC68E"/>
    <w:rsid w:val="4C53D233"/>
    <w:rsid w:val="4C5729A3"/>
    <w:rsid w:val="4C5A1998"/>
    <w:rsid w:val="4C5CBFDB"/>
    <w:rsid w:val="4C620CCB"/>
    <w:rsid w:val="4C64DF37"/>
    <w:rsid w:val="4C6B4A1B"/>
    <w:rsid w:val="4C6C0E91"/>
    <w:rsid w:val="4C6DB88F"/>
    <w:rsid w:val="4C73C5D7"/>
    <w:rsid w:val="4C77EDC9"/>
    <w:rsid w:val="4C7E01BE"/>
    <w:rsid w:val="4C81201F"/>
    <w:rsid w:val="4C82B0FB"/>
    <w:rsid w:val="4C853308"/>
    <w:rsid w:val="4C85AB9C"/>
    <w:rsid w:val="4C8802AB"/>
    <w:rsid w:val="4C88B115"/>
    <w:rsid w:val="4C8D2046"/>
    <w:rsid w:val="4C8E7F19"/>
    <w:rsid w:val="4C9244DC"/>
    <w:rsid w:val="4C94329F"/>
    <w:rsid w:val="4C995D3E"/>
    <w:rsid w:val="4C9CD16E"/>
    <w:rsid w:val="4CA026F5"/>
    <w:rsid w:val="4CA2856D"/>
    <w:rsid w:val="4CA38B83"/>
    <w:rsid w:val="4CA4757C"/>
    <w:rsid w:val="4CA614E8"/>
    <w:rsid w:val="4CA660BD"/>
    <w:rsid w:val="4CA9374A"/>
    <w:rsid w:val="4CAC35FF"/>
    <w:rsid w:val="4CAC3D1D"/>
    <w:rsid w:val="4CAD1AE9"/>
    <w:rsid w:val="4CB0CE33"/>
    <w:rsid w:val="4CB75E18"/>
    <w:rsid w:val="4CB77743"/>
    <w:rsid w:val="4CB91553"/>
    <w:rsid w:val="4CBC8A7B"/>
    <w:rsid w:val="4CBD3DD5"/>
    <w:rsid w:val="4CBD8C17"/>
    <w:rsid w:val="4CBE3BB2"/>
    <w:rsid w:val="4CBE88F2"/>
    <w:rsid w:val="4CC0E710"/>
    <w:rsid w:val="4CC6CEC6"/>
    <w:rsid w:val="4CC76E0D"/>
    <w:rsid w:val="4CC82F33"/>
    <w:rsid w:val="4CCB5E0B"/>
    <w:rsid w:val="4CCE9B29"/>
    <w:rsid w:val="4CD246C9"/>
    <w:rsid w:val="4CD4EEE2"/>
    <w:rsid w:val="4CD4F1FC"/>
    <w:rsid w:val="4CD7D8B7"/>
    <w:rsid w:val="4CDA1642"/>
    <w:rsid w:val="4CDA791C"/>
    <w:rsid w:val="4CDCF0ED"/>
    <w:rsid w:val="4CDF2C17"/>
    <w:rsid w:val="4CE61C3B"/>
    <w:rsid w:val="4CE8B3D0"/>
    <w:rsid w:val="4CE9544E"/>
    <w:rsid w:val="4CE98F03"/>
    <w:rsid w:val="4CEAD132"/>
    <w:rsid w:val="4CECDA90"/>
    <w:rsid w:val="4CED681D"/>
    <w:rsid w:val="4CEE027E"/>
    <w:rsid w:val="4CEF3D89"/>
    <w:rsid w:val="4CF01B09"/>
    <w:rsid w:val="4CF6FD6F"/>
    <w:rsid w:val="4CFE03AC"/>
    <w:rsid w:val="4CFE6537"/>
    <w:rsid w:val="4D00C85B"/>
    <w:rsid w:val="4D018CB3"/>
    <w:rsid w:val="4D0844EF"/>
    <w:rsid w:val="4D08A1B4"/>
    <w:rsid w:val="4D0DE83E"/>
    <w:rsid w:val="4D0F6514"/>
    <w:rsid w:val="4D0F7045"/>
    <w:rsid w:val="4D128385"/>
    <w:rsid w:val="4D1504EC"/>
    <w:rsid w:val="4D1F6DEF"/>
    <w:rsid w:val="4D21470A"/>
    <w:rsid w:val="4D227F3C"/>
    <w:rsid w:val="4D25B153"/>
    <w:rsid w:val="4D284414"/>
    <w:rsid w:val="4D2B74A6"/>
    <w:rsid w:val="4D2D1904"/>
    <w:rsid w:val="4D2E2F55"/>
    <w:rsid w:val="4D2E429A"/>
    <w:rsid w:val="4D2FE02A"/>
    <w:rsid w:val="4D32391F"/>
    <w:rsid w:val="4D331A91"/>
    <w:rsid w:val="4D35E198"/>
    <w:rsid w:val="4D370E28"/>
    <w:rsid w:val="4D3A82EC"/>
    <w:rsid w:val="4D3AC0C8"/>
    <w:rsid w:val="4D400071"/>
    <w:rsid w:val="4D403A1C"/>
    <w:rsid w:val="4D4082A5"/>
    <w:rsid w:val="4D427360"/>
    <w:rsid w:val="4D428B2A"/>
    <w:rsid w:val="4D48A7D0"/>
    <w:rsid w:val="4D4A23E2"/>
    <w:rsid w:val="4D4BE67F"/>
    <w:rsid w:val="4D537554"/>
    <w:rsid w:val="4D54EB75"/>
    <w:rsid w:val="4D55F552"/>
    <w:rsid w:val="4D6400F9"/>
    <w:rsid w:val="4D65CF00"/>
    <w:rsid w:val="4D65D9C7"/>
    <w:rsid w:val="4D6E5A7D"/>
    <w:rsid w:val="4D6FD09F"/>
    <w:rsid w:val="4D70B412"/>
    <w:rsid w:val="4D710F86"/>
    <w:rsid w:val="4D72769C"/>
    <w:rsid w:val="4D7610C6"/>
    <w:rsid w:val="4D7718CD"/>
    <w:rsid w:val="4D7A3047"/>
    <w:rsid w:val="4D7D8616"/>
    <w:rsid w:val="4D7F4284"/>
    <w:rsid w:val="4D83EC96"/>
    <w:rsid w:val="4D8662D3"/>
    <w:rsid w:val="4D8683BF"/>
    <w:rsid w:val="4D8785A7"/>
    <w:rsid w:val="4D88E4B7"/>
    <w:rsid w:val="4D88EDBB"/>
    <w:rsid w:val="4D8CC4B5"/>
    <w:rsid w:val="4D8D28CF"/>
    <w:rsid w:val="4D8F2F25"/>
    <w:rsid w:val="4D9024E8"/>
    <w:rsid w:val="4D924241"/>
    <w:rsid w:val="4D9B1302"/>
    <w:rsid w:val="4DA14B9B"/>
    <w:rsid w:val="4DA23FF7"/>
    <w:rsid w:val="4DA3530E"/>
    <w:rsid w:val="4DA3C03C"/>
    <w:rsid w:val="4DA4116F"/>
    <w:rsid w:val="4DA4123E"/>
    <w:rsid w:val="4DA50D51"/>
    <w:rsid w:val="4DA6F38F"/>
    <w:rsid w:val="4DA9BDAB"/>
    <w:rsid w:val="4DAB2939"/>
    <w:rsid w:val="4DAF1ACB"/>
    <w:rsid w:val="4DB0DCBA"/>
    <w:rsid w:val="4DB29F62"/>
    <w:rsid w:val="4DB5B011"/>
    <w:rsid w:val="4DB5FADD"/>
    <w:rsid w:val="4DB6C50A"/>
    <w:rsid w:val="4DB77C18"/>
    <w:rsid w:val="4DB89614"/>
    <w:rsid w:val="4DBC2446"/>
    <w:rsid w:val="4DC012F8"/>
    <w:rsid w:val="4DC1D357"/>
    <w:rsid w:val="4DC36B63"/>
    <w:rsid w:val="4DC6332D"/>
    <w:rsid w:val="4DC7E50A"/>
    <w:rsid w:val="4DCF94A4"/>
    <w:rsid w:val="4DD038E8"/>
    <w:rsid w:val="4DD3A0F4"/>
    <w:rsid w:val="4DD49E39"/>
    <w:rsid w:val="4DD83C13"/>
    <w:rsid w:val="4DD926E8"/>
    <w:rsid w:val="4DDA6030"/>
    <w:rsid w:val="4DDD97AD"/>
    <w:rsid w:val="4DDFEF18"/>
    <w:rsid w:val="4DE05A68"/>
    <w:rsid w:val="4DE60DFE"/>
    <w:rsid w:val="4DEBA33E"/>
    <w:rsid w:val="4DEE2458"/>
    <w:rsid w:val="4DEF3A6F"/>
    <w:rsid w:val="4DF5DDB4"/>
    <w:rsid w:val="4DFC706E"/>
    <w:rsid w:val="4E03007F"/>
    <w:rsid w:val="4E088B17"/>
    <w:rsid w:val="4E0A5C7D"/>
    <w:rsid w:val="4E0BB9AE"/>
    <w:rsid w:val="4E0E99C2"/>
    <w:rsid w:val="4E0F11C4"/>
    <w:rsid w:val="4E0FB280"/>
    <w:rsid w:val="4E12C362"/>
    <w:rsid w:val="4E13A7A7"/>
    <w:rsid w:val="4E1464EA"/>
    <w:rsid w:val="4E1B0C90"/>
    <w:rsid w:val="4E1E3432"/>
    <w:rsid w:val="4E203C77"/>
    <w:rsid w:val="4E21B5E5"/>
    <w:rsid w:val="4E254D54"/>
    <w:rsid w:val="4E26AC25"/>
    <w:rsid w:val="4E290940"/>
    <w:rsid w:val="4E2A2A5C"/>
    <w:rsid w:val="4E2C7347"/>
    <w:rsid w:val="4E2CDB64"/>
    <w:rsid w:val="4E2D4D2A"/>
    <w:rsid w:val="4E2D72E9"/>
    <w:rsid w:val="4E2E842C"/>
    <w:rsid w:val="4E2F3676"/>
    <w:rsid w:val="4E32BBC1"/>
    <w:rsid w:val="4E36078A"/>
    <w:rsid w:val="4E36B7CB"/>
    <w:rsid w:val="4E39C046"/>
    <w:rsid w:val="4E3A26BA"/>
    <w:rsid w:val="4E3B0904"/>
    <w:rsid w:val="4E3B38E1"/>
    <w:rsid w:val="4E3B5D00"/>
    <w:rsid w:val="4E3D184B"/>
    <w:rsid w:val="4E427830"/>
    <w:rsid w:val="4E42C396"/>
    <w:rsid w:val="4E4840C8"/>
    <w:rsid w:val="4E4A4D61"/>
    <w:rsid w:val="4E4B6F6B"/>
    <w:rsid w:val="4E4D1132"/>
    <w:rsid w:val="4E4E02FD"/>
    <w:rsid w:val="4E4E88A2"/>
    <w:rsid w:val="4E522B0C"/>
    <w:rsid w:val="4E524425"/>
    <w:rsid w:val="4E5389B9"/>
    <w:rsid w:val="4E56FDCA"/>
    <w:rsid w:val="4E59854A"/>
    <w:rsid w:val="4E59F78C"/>
    <w:rsid w:val="4E5AA0BB"/>
    <w:rsid w:val="4E5E6DE7"/>
    <w:rsid w:val="4E5FFD50"/>
    <w:rsid w:val="4E60ABB0"/>
    <w:rsid w:val="4E725EF6"/>
    <w:rsid w:val="4E735FB1"/>
    <w:rsid w:val="4E7547DB"/>
    <w:rsid w:val="4E77FE93"/>
    <w:rsid w:val="4E79EAF4"/>
    <w:rsid w:val="4E7C39EA"/>
    <w:rsid w:val="4E815813"/>
    <w:rsid w:val="4E8ADD4E"/>
    <w:rsid w:val="4E8C106E"/>
    <w:rsid w:val="4E8CEFB7"/>
    <w:rsid w:val="4E8D4D85"/>
    <w:rsid w:val="4E8E9DD6"/>
    <w:rsid w:val="4E907640"/>
    <w:rsid w:val="4E91DD47"/>
    <w:rsid w:val="4E922ECE"/>
    <w:rsid w:val="4E927015"/>
    <w:rsid w:val="4E94785C"/>
    <w:rsid w:val="4E948EF0"/>
    <w:rsid w:val="4E98C500"/>
    <w:rsid w:val="4E9B64EF"/>
    <w:rsid w:val="4E9BE8BD"/>
    <w:rsid w:val="4E9E90BA"/>
    <w:rsid w:val="4EA2E988"/>
    <w:rsid w:val="4EA48D62"/>
    <w:rsid w:val="4EAAB1C9"/>
    <w:rsid w:val="4EAE1561"/>
    <w:rsid w:val="4EAED6EB"/>
    <w:rsid w:val="4EB70E96"/>
    <w:rsid w:val="4EB93CEE"/>
    <w:rsid w:val="4EBA04ED"/>
    <w:rsid w:val="4EBC283E"/>
    <w:rsid w:val="4EC11095"/>
    <w:rsid w:val="4EC2D603"/>
    <w:rsid w:val="4EC3A498"/>
    <w:rsid w:val="4EC490BF"/>
    <w:rsid w:val="4EC5AE6A"/>
    <w:rsid w:val="4EC764F9"/>
    <w:rsid w:val="4ED0BD02"/>
    <w:rsid w:val="4ED3808C"/>
    <w:rsid w:val="4ED3FC53"/>
    <w:rsid w:val="4ED49F9F"/>
    <w:rsid w:val="4ED56EF1"/>
    <w:rsid w:val="4ED63295"/>
    <w:rsid w:val="4ED6A4DC"/>
    <w:rsid w:val="4ED7D26B"/>
    <w:rsid w:val="4EDA6D43"/>
    <w:rsid w:val="4EDADE40"/>
    <w:rsid w:val="4EDC861B"/>
    <w:rsid w:val="4EDD30A4"/>
    <w:rsid w:val="4EDF53D3"/>
    <w:rsid w:val="4EE25B9B"/>
    <w:rsid w:val="4EE891E5"/>
    <w:rsid w:val="4EEB5821"/>
    <w:rsid w:val="4EEC34EE"/>
    <w:rsid w:val="4EED63B3"/>
    <w:rsid w:val="4EF18063"/>
    <w:rsid w:val="4EF5CC81"/>
    <w:rsid w:val="4EF7D239"/>
    <w:rsid w:val="4EF87F92"/>
    <w:rsid w:val="4EFB3368"/>
    <w:rsid w:val="4EFC79CD"/>
    <w:rsid w:val="4F0283E3"/>
    <w:rsid w:val="4F031CE4"/>
    <w:rsid w:val="4F034B17"/>
    <w:rsid w:val="4F053FB2"/>
    <w:rsid w:val="4F05F701"/>
    <w:rsid w:val="4F061294"/>
    <w:rsid w:val="4F081EAA"/>
    <w:rsid w:val="4F084438"/>
    <w:rsid w:val="4F0BF939"/>
    <w:rsid w:val="4F163EDB"/>
    <w:rsid w:val="4F1666DC"/>
    <w:rsid w:val="4F1762F5"/>
    <w:rsid w:val="4F1EFC33"/>
    <w:rsid w:val="4F28F606"/>
    <w:rsid w:val="4F2A2AB8"/>
    <w:rsid w:val="4F2B7A34"/>
    <w:rsid w:val="4F2D8B4E"/>
    <w:rsid w:val="4F30D7E1"/>
    <w:rsid w:val="4F356A49"/>
    <w:rsid w:val="4F3578AD"/>
    <w:rsid w:val="4F36E81A"/>
    <w:rsid w:val="4F3744DD"/>
    <w:rsid w:val="4F3CBD59"/>
    <w:rsid w:val="4F3CE28F"/>
    <w:rsid w:val="4F3D5F70"/>
    <w:rsid w:val="4F3EDC20"/>
    <w:rsid w:val="4F3FF757"/>
    <w:rsid w:val="4F44491A"/>
    <w:rsid w:val="4F46146A"/>
    <w:rsid w:val="4F48333B"/>
    <w:rsid w:val="4F48FBED"/>
    <w:rsid w:val="4F4E0D37"/>
    <w:rsid w:val="4F4F62A4"/>
    <w:rsid w:val="4F519438"/>
    <w:rsid w:val="4F52614A"/>
    <w:rsid w:val="4F55E765"/>
    <w:rsid w:val="4F57A578"/>
    <w:rsid w:val="4F57D755"/>
    <w:rsid w:val="4F58786F"/>
    <w:rsid w:val="4F597667"/>
    <w:rsid w:val="4F59C7F7"/>
    <w:rsid w:val="4F5A92CB"/>
    <w:rsid w:val="4F5ABC2E"/>
    <w:rsid w:val="4F5BF799"/>
    <w:rsid w:val="4F5F0427"/>
    <w:rsid w:val="4F64F4D0"/>
    <w:rsid w:val="4F658877"/>
    <w:rsid w:val="4F665EC5"/>
    <w:rsid w:val="4F678E66"/>
    <w:rsid w:val="4F68D707"/>
    <w:rsid w:val="4F6CED23"/>
    <w:rsid w:val="4F6F19A8"/>
    <w:rsid w:val="4F735C61"/>
    <w:rsid w:val="4F74D1DC"/>
    <w:rsid w:val="4F762D47"/>
    <w:rsid w:val="4F7922F2"/>
    <w:rsid w:val="4F7B5563"/>
    <w:rsid w:val="4F7CA8CF"/>
    <w:rsid w:val="4F7E6954"/>
    <w:rsid w:val="4F7ED640"/>
    <w:rsid w:val="4F804987"/>
    <w:rsid w:val="4F8174BC"/>
    <w:rsid w:val="4F8174E0"/>
    <w:rsid w:val="4F851B03"/>
    <w:rsid w:val="4F8B2F92"/>
    <w:rsid w:val="4F8BD7FD"/>
    <w:rsid w:val="4F921753"/>
    <w:rsid w:val="4F980582"/>
    <w:rsid w:val="4F9C5206"/>
    <w:rsid w:val="4F9E0888"/>
    <w:rsid w:val="4F9ED283"/>
    <w:rsid w:val="4FA02E44"/>
    <w:rsid w:val="4FA13BD5"/>
    <w:rsid w:val="4FA458B6"/>
    <w:rsid w:val="4FA5A6C9"/>
    <w:rsid w:val="4FA65872"/>
    <w:rsid w:val="4FA76B76"/>
    <w:rsid w:val="4FA9801E"/>
    <w:rsid w:val="4FB141B2"/>
    <w:rsid w:val="4FB2236E"/>
    <w:rsid w:val="4FB7FEB4"/>
    <w:rsid w:val="4FBAE25C"/>
    <w:rsid w:val="4FBB4B45"/>
    <w:rsid w:val="4FBD06FA"/>
    <w:rsid w:val="4FBE207E"/>
    <w:rsid w:val="4FC308BB"/>
    <w:rsid w:val="4FC596D8"/>
    <w:rsid w:val="4FC694DB"/>
    <w:rsid w:val="4FC7FEB7"/>
    <w:rsid w:val="4FC80B88"/>
    <w:rsid w:val="4FC8FA60"/>
    <w:rsid w:val="4FCC541E"/>
    <w:rsid w:val="4FCFF51B"/>
    <w:rsid w:val="4FD210AA"/>
    <w:rsid w:val="4FD2AFA2"/>
    <w:rsid w:val="4FD4F781"/>
    <w:rsid w:val="4FD60D8A"/>
    <w:rsid w:val="4FD6AAA5"/>
    <w:rsid w:val="4FD80F90"/>
    <w:rsid w:val="4FD92909"/>
    <w:rsid w:val="4FDAC33F"/>
    <w:rsid w:val="4FDB839A"/>
    <w:rsid w:val="4FDC5603"/>
    <w:rsid w:val="4FDEC92D"/>
    <w:rsid w:val="4FE32309"/>
    <w:rsid w:val="4FE3EA60"/>
    <w:rsid w:val="4FE6A8DF"/>
    <w:rsid w:val="4FE8607A"/>
    <w:rsid w:val="4FE991E3"/>
    <w:rsid w:val="4FEA103C"/>
    <w:rsid w:val="4FEA7861"/>
    <w:rsid w:val="4FEBE611"/>
    <w:rsid w:val="4FF25A02"/>
    <w:rsid w:val="4FF27220"/>
    <w:rsid w:val="4FF3F84A"/>
    <w:rsid w:val="4FF54885"/>
    <w:rsid w:val="4FF639B9"/>
    <w:rsid w:val="4FF8A9F6"/>
    <w:rsid w:val="4FF9BA28"/>
    <w:rsid w:val="4FFACE4F"/>
    <w:rsid w:val="4FFC755C"/>
    <w:rsid w:val="4FFC9C9F"/>
    <w:rsid w:val="4FFD237D"/>
    <w:rsid w:val="4FFF2FA4"/>
    <w:rsid w:val="50024F69"/>
    <w:rsid w:val="50031B5F"/>
    <w:rsid w:val="50037CC1"/>
    <w:rsid w:val="5004C370"/>
    <w:rsid w:val="50062876"/>
    <w:rsid w:val="5008BBE5"/>
    <w:rsid w:val="500914F9"/>
    <w:rsid w:val="500EED31"/>
    <w:rsid w:val="50129816"/>
    <w:rsid w:val="50141B2F"/>
    <w:rsid w:val="50157DD8"/>
    <w:rsid w:val="50159717"/>
    <w:rsid w:val="5016AB07"/>
    <w:rsid w:val="501786B9"/>
    <w:rsid w:val="5017D2F0"/>
    <w:rsid w:val="501810F0"/>
    <w:rsid w:val="50195068"/>
    <w:rsid w:val="501E795A"/>
    <w:rsid w:val="5020B1A3"/>
    <w:rsid w:val="5020F245"/>
    <w:rsid w:val="50210F7B"/>
    <w:rsid w:val="50243868"/>
    <w:rsid w:val="502A2ED3"/>
    <w:rsid w:val="502CD1C3"/>
    <w:rsid w:val="502DCCB6"/>
    <w:rsid w:val="50341990"/>
    <w:rsid w:val="50350013"/>
    <w:rsid w:val="50365830"/>
    <w:rsid w:val="50397D31"/>
    <w:rsid w:val="503C12B9"/>
    <w:rsid w:val="503D89B6"/>
    <w:rsid w:val="50423985"/>
    <w:rsid w:val="5046ADD9"/>
    <w:rsid w:val="50481589"/>
    <w:rsid w:val="50482CFA"/>
    <w:rsid w:val="504AC0BB"/>
    <w:rsid w:val="50542EAD"/>
    <w:rsid w:val="50566855"/>
    <w:rsid w:val="50575C87"/>
    <w:rsid w:val="505761A8"/>
    <w:rsid w:val="5058A2AA"/>
    <w:rsid w:val="50639167"/>
    <w:rsid w:val="5063D827"/>
    <w:rsid w:val="5067BCB5"/>
    <w:rsid w:val="506D42CE"/>
    <w:rsid w:val="506DC619"/>
    <w:rsid w:val="506EC76D"/>
    <w:rsid w:val="50701D00"/>
    <w:rsid w:val="507153E8"/>
    <w:rsid w:val="50717752"/>
    <w:rsid w:val="50766467"/>
    <w:rsid w:val="5076D86A"/>
    <w:rsid w:val="507748A4"/>
    <w:rsid w:val="507768BC"/>
    <w:rsid w:val="507B56CB"/>
    <w:rsid w:val="507D9E4A"/>
    <w:rsid w:val="507FC8A0"/>
    <w:rsid w:val="50821444"/>
    <w:rsid w:val="50821702"/>
    <w:rsid w:val="5083F019"/>
    <w:rsid w:val="50886953"/>
    <w:rsid w:val="50899ECE"/>
    <w:rsid w:val="508A43B6"/>
    <w:rsid w:val="508ABF68"/>
    <w:rsid w:val="508B78A4"/>
    <w:rsid w:val="508E86D3"/>
    <w:rsid w:val="508FAE8A"/>
    <w:rsid w:val="50918391"/>
    <w:rsid w:val="509241E3"/>
    <w:rsid w:val="50937989"/>
    <w:rsid w:val="50937D5D"/>
    <w:rsid w:val="5095587D"/>
    <w:rsid w:val="5099DFEE"/>
    <w:rsid w:val="509AC0D6"/>
    <w:rsid w:val="509B27FA"/>
    <w:rsid w:val="509D7782"/>
    <w:rsid w:val="509F9B26"/>
    <w:rsid w:val="509FA2D3"/>
    <w:rsid w:val="50A275F1"/>
    <w:rsid w:val="50A804CC"/>
    <w:rsid w:val="50AB5821"/>
    <w:rsid w:val="50BB0237"/>
    <w:rsid w:val="50BB58FC"/>
    <w:rsid w:val="50BD5D6A"/>
    <w:rsid w:val="50C31B99"/>
    <w:rsid w:val="50C5B2A6"/>
    <w:rsid w:val="50C7228C"/>
    <w:rsid w:val="50C7F376"/>
    <w:rsid w:val="50C9F20F"/>
    <w:rsid w:val="50CA6BDD"/>
    <w:rsid w:val="50CB7550"/>
    <w:rsid w:val="50D02057"/>
    <w:rsid w:val="50D2ABD3"/>
    <w:rsid w:val="50D2FC4E"/>
    <w:rsid w:val="50D3D1F9"/>
    <w:rsid w:val="50D45200"/>
    <w:rsid w:val="50D4580F"/>
    <w:rsid w:val="50D7057A"/>
    <w:rsid w:val="50D7AE68"/>
    <w:rsid w:val="50D95FF8"/>
    <w:rsid w:val="50DD3FF2"/>
    <w:rsid w:val="50DF85A8"/>
    <w:rsid w:val="50E92874"/>
    <w:rsid w:val="50E97CE3"/>
    <w:rsid w:val="50EBF752"/>
    <w:rsid w:val="50EFCA1E"/>
    <w:rsid w:val="50F30119"/>
    <w:rsid w:val="50F621FD"/>
    <w:rsid w:val="50F850C1"/>
    <w:rsid w:val="50F8672E"/>
    <w:rsid w:val="510845B8"/>
    <w:rsid w:val="510E40E8"/>
    <w:rsid w:val="510EFC26"/>
    <w:rsid w:val="5111FEA1"/>
    <w:rsid w:val="5113747D"/>
    <w:rsid w:val="5113A0B8"/>
    <w:rsid w:val="5116DF7C"/>
    <w:rsid w:val="511848DC"/>
    <w:rsid w:val="5119E22A"/>
    <w:rsid w:val="511ADC36"/>
    <w:rsid w:val="511AEE3E"/>
    <w:rsid w:val="511F3493"/>
    <w:rsid w:val="511F8B56"/>
    <w:rsid w:val="511FB965"/>
    <w:rsid w:val="5120B1C1"/>
    <w:rsid w:val="5122434C"/>
    <w:rsid w:val="51244CA0"/>
    <w:rsid w:val="512641CC"/>
    <w:rsid w:val="512D9F02"/>
    <w:rsid w:val="51300484"/>
    <w:rsid w:val="513EE0A7"/>
    <w:rsid w:val="513FAB22"/>
    <w:rsid w:val="51470866"/>
    <w:rsid w:val="514A3301"/>
    <w:rsid w:val="514ACFF8"/>
    <w:rsid w:val="514FFC9D"/>
    <w:rsid w:val="5150CFF2"/>
    <w:rsid w:val="5154C840"/>
    <w:rsid w:val="51561497"/>
    <w:rsid w:val="515B46AA"/>
    <w:rsid w:val="515B9514"/>
    <w:rsid w:val="515CB137"/>
    <w:rsid w:val="516067D7"/>
    <w:rsid w:val="51630D27"/>
    <w:rsid w:val="5166A562"/>
    <w:rsid w:val="516D353D"/>
    <w:rsid w:val="516D6CB5"/>
    <w:rsid w:val="516D8D60"/>
    <w:rsid w:val="516E9DA9"/>
    <w:rsid w:val="516ED01B"/>
    <w:rsid w:val="516F2F27"/>
    <w:rsid w:val="51700C6D"/>
    <w:rsid w:val="51765AAE"/>
    <w:rsid w:val="51770F1A"/>
    <w:rsid w:val="5178FFDD"/>
    <w:rsid w:val="517AFA50"/>
    <w:rsid w:val="517C057A"/>
    <w:rsid w:val="517C9437"/>
    <w:rsid w:val="517CF6E5"/>
    <w:rsid w:val="517F1435"/>
    <w:rsid w:val="518102C9"/>
    <w:rsid w:val="5185FE08"/>
    <w:rsid w:val="518642C1"/>
    <w:rsid w:val="51897E05"/>
    <w:rsid w:val="518BF463"/>
    <w:rsid w:val="518C54E9"/>
    <w:rsid w:val="518EF9CB"/>
    <w:rsid w:val="5190B82E"/>
    <w:rsid w:val="51931088"/>
    <w:rsid w:val="519374B2"/>
    <w:rsid w:val="519439E2"/>
    <w:rsid w:val="51978ECD"/>
    <w:rsid w:val="5198A9DD"/>
    <w:rsid w:val="519B29DB"/>
    <w:rsid w:val="519CA8F9"/>
    <w:rsid w:val="519D8630"/>
    <w:rsid w:val="519D8F8C"/>
    <w:rsid w:val="519E5B14"/>
    <w:rsid w:val="519E943F"/>
    <w:rsid w:val="51A08DA3"/>
    <w:rsid w:val="51A0B5D3"/>
    <w:rsid w:val="51A11A53"/>
    <w:rsid w:val="51A384D4"/>
    <w:rsid w:val="51A5D2C6"/>
    <w:rsid w:val="51A62F5B"/>
    <w:rsid w:val="51A7A373"/>
    <w:rsid w:val="51A85B20"/>
    <w:rsid w:val="51AEF3C3"/>
    <w:rsid w:val="51B24FA6"/>
    <w:rsid w:val="51B55B25"/>
    <w:rsid w:val="51BB9271"/>
    <w:rsid w:val="51C5037C"/>
    <w:rsid w:val="51C572B1"/>
    <w:rsid w:val="51C5C96E"/>
    <w:rsid w:val="51CEFB53"/>
    <w:rsid w:val="51D0E4FA"/>
    <w:rsid w:val="51D3FE06"/>
    <w:rsid w:val="51D67AD6"/>
    <w:rsid w:val="51D710E5"/>
    <w:rsid w:val="51D72F21"/>
    <w:rsid w:val="51D7949A"/>
    <w:rsid w:val="51D9E331"/>
    <w:rsid w:val="51DA5A1D"/>
    <w:rsid w:val="51DF49FD"/>
    <w:rsid w:val="51E0F41E"/>
    <w:rsid w:val="51E3DA90"/>
    <w:rsid w:val="51EA94A7"/>
    <w:rsid w:val="51EDDA0C"/>
    <w:rsid w:val="51EEA4EE"/>
    <w:rsid w:val="51F0FA3D"/>
    <w:rsid w:val="51F175A8"/>
    <w:rsid w:val="51F3E0E6"/>
    <w:rsid w:val="51F5F828"/>
    <w:rsid w:val="51F6F744"/>
    <w:rsid w:val="51FFBC88"/>
    <w:rsid w:val="51FFCFA7"/>
    <w:rsid w:val="5200056E"/>
    <w:rsid w:val="52011E65"/>
    <w:rsid w:val="520277F8"/>
    <w:rsid w:val="520351EA"/>
    <w:rsid w:val="5203CBA3"/>
    <w:rsid w:val="52045BD3"/>
    <w:rsid w:val="5208ACDD"/>
    <w:rsid w:val="520A57F5"/>
    <w:rsid w:val="520A582D"/>
    <w:rsid w:val="520AC06E"/>
    <w:rsid w:val="520AE0B0"/>
    <w:rsid w:val="52125752"/>
    <w:rsid w:val="52174A15"/>
    <w:rsid w:val="52177742"/>
    <w:rsid w:val="521BC8AB"/>
    <w:rsid w:val="521E6302"/>
    <w:rsid w:val="521EB301"/>
    <w:rsid w:val="521FB839"/>
    <w:rsid w:val="52208FAE"/>
    <w:rsid w:val="52230773"/>
    <w:rsid w:val="5224DFDA"/>
    <w:rsid w:val="52298E51"/>
    <w:rsid w:val="522DBA31"/>
    <w:rsid w:val="5230C57B"/>
    <w:rsid w:val="5231D9F9"/>
    <w:rsid w:val="523646B0"/>
    <w:rsid w:val="52372E18"/>
    <w:rsid w:val="523DEC9B"/>
    <w:rsid w:val="5240FE82"/>
    <w:rsid w:val="5241AF55"/>
    <w:rsid w:val="5242AF04"/>
    <w:rsid w:val="5242EB56"/>
    <w:rsid w:val="52437A4E"/>
    <w:rsid w:val="524557AD"/>
    <w:rsid w:val="524CC5C6"/>
    <w:rsid w:val="524F8FCB"/>
    <w:rsid w:val="5250767B"/>
    <w:rsid w:val="5250F8D5"/>
    <w:rsid w:val="52536043"/>
    <w:rsid w:val="525E3F79"/>
    <w:rsid w:val="52627136"/>
    <w:rsid w:val="526BAACB"/>
    <w:rsid w:val="526CF368"/>
    <w:rsid w:val="526D94F3"/>
    <w:rsid w:val="526DB951"/>
    <w:rsid w:val="526F319F"/>
    <w:rsid w:val="526FE046"/>
    <w:rsid w:val="52700E00"/>
    <w:rsid w:val="5271C347"/>
    <w:rsid w:val="527522EF"/>
    <w:rsid w:val="52781B29"/>
    <w:rsid w:val="527A2FF2"/>
    <w:rsid w:val="52800CED"/>
    <w:rsid w:val="5280A431"/>
    <w:rsid w:val="5281871D"/>
    <w:rsid w:val="52856442"/>
    <w:rsid w:val="528BBDDA"/>
    <w:rsid w:val="528C93F1"/>
    <w:rsid w:val="528D499B"/>
    <w:rsid w:val="528F1EAA"/>
    <w:rsid w:val="52908165"/>
    <w:rsid w:val="529143FB"/>
    <w:rsid w:val="52914906"/>
    <w:rsid w:val="52918A25"/>
    <w:rsid w:val="5292FF7D"/>
    <w:rsid w:val="5296A0A7"/>
    <w:rsid w:val="529846B8"/>
    <w:rsid w:val="529894F3"/>
    <w:rsid w:val="5299AB32"/>
    <w:rsid w:val="529CE968"/>
    <w:rsid w:val="52A135BE"/>
    <w:rsid w:val="52A16E9F"/>
    <w:rsid w:val="52A68945"/>
    <w:rsid w:val="52A8D47C"/>
    <w:rsid w:val="52A8DC7E"/>
    <w:rsid w:val="52A97F81"/>
    <w:rsid w:val="52A99D5E"/>
    <w:rsid w:val="52ABAFCA"/>
    <w:rsid w:val="52ADC657"/>
    <w:rsid w:val="52B07E83"/>
    <w:rsid w:val="52B48ECD"/>
    <w:rsid w:val="52B96314"/>
    <w:rsid w:val="52B9BE75"/>
    <w:rsid w:val="52BB20E1"/>
    <w:rsid w:val="52BBD25F"/>
    <w:rsid w:val="52BEF289"/>
    <w:rsid w:val="52BEFE78"/>
    <w:rsid w:val="52BFA6B2"/>
    <w:rsid w:val="52C22E69"/>
    <w:rsid w:val="52C506DA"/>
    <w:rsid w:val="52C5D890"/>
    <w:rsid w:val="52C6D397"/>
    <w:rsid w:val="52C77FED"/>
    <w:rsid w:val="52C8503B"/>
    <w:rsid w:val="52C97198"/>
    <w:rsid w:val="52C9E2C2"/>
    <w:rsid w:val="52CC13A2"/>
    <w:rsid w:val="52D1FD35"/>
    <w:rsid w:val="52D2A762"/>
    <w:rsid w:val="52D57146"/>
    <w:rsid w:val="52D67347"/>
    <w:rsid w:val="52D74E45"/>
    <w:rsid w:val="52D7A634"/>
    <w:rsid w:val="52D8110F"/>
    <w:rsid w:val="52DA5D72"/>
    <w:rsid w:val="52DB932A"/>
    <w:rsid w:val="52DF3AF1"/>
    <w:rsid w:val="52E88081"/>
    <w:rsid w:val="52E9762C"/>
    <w:rsid w:val="52E9C97B"/>
    <w:rsid w:val="52EA221B"/>
    <w:rsid w:val="52EC0261"/>
    <w:rsid w:val="52F443F4"/>
    <w:rsid w:val="52F6E1A2"/>
    <w:rsid w:val="52F70209"/>
    <w:rsid w:val="52F84C72"/>
    <w:rsid w:val="52F94562"/>
    <w:rsid w:val="52FB55D1"/>
    <w:rsid w:val="52FC433D"/>
    <w:rsid w:val="52FDE191"/>
    <w:rsid w:val="53050A99"/>
    <w:rsid w:val="5305612B"/>
    <w:rsid w:val="5305B3E0"/>
    <w:rsid w:val="530A15B2"/>
    <w:rsid w:val="530B1509"/>
    <w:rsid w:val="530BE327"/>
    <w:rsid w:val="530E5399"/>
    <w:rsid w:val="53115E12"/>
    <w:rsid w:val="5311D03E"/>
    <w:rsid w:val="53124C89"/>
    <w:rsid w:val="53129E68"/>
    <w:rsid w:val="5315D4F1"/>
    <w:rsid w:val="531744ED"/>
    <w:rsid w:val="5318B5EB"/>
    <w:rsid w:val="531A6CED"/>
    <w:rsid w:val="531AEB97"/>
    <w:rsid w:val="531BB4D8"/>
    <w:rsid w:val="531DAFA9"/>
    <w:rsid w:val="531E76CF"/>
    <w:rsid w:val="531F4A8D"/>
    <w:rsid w:val="5320D94A"/>
    <w:rsid w:val="53218A12"/>
    <w:rsid w:val="532381CF"/>
    <w:rsid w:val="5327BC00"/>
    <w:rsid w:val="532D5751"/>
    <w:rsid w:val="532D6235"/>
    <w:rsid w:val="53300517"/>
    <w:rsid w:val="533066E4"/>
    <w:rsid w:val="53313EFD"/>
    <w:rsid w:val="53324906"/>
    <w:rsid w:val="53336BF3"/>
    <w:rsid w:val="53356CA8"/>
    <w:rsid w:val="5339A965"/>
    <w:rsid w:val="533B8A93"/>
    <w:rsid w:val="533C3087"/>
    <w:rsid w:val="533E1EA1"/>
    <w:rsid w:val="533ECAE1"/>
    <w:rsid w:val="53424DD1"/>
    <w:rsid w:val="53457BA1"/>
    <w:rsid w:val="5345EB36"/>
    <w:rsid w:val="5347C926"/>
    <w:rsid w:val="5348B6E7"/>
    <w:rsid w:val="534992F6"/>
    <w:rsid w:val="534C70F0"/>
    <w:rsid w:val="534F1996"/>
    <w:rsid w:val="534FBC5F"/>
    <w:rsid w:val="53522651"/>
    <w:rsid w:val="5353C2FA"/>
    <w:rsid w:val="53555958"/>
    <w:rsid w:val="53605ADB"/>
    <w:rsid w:val="5360DB02"/>
    <w:rsid w:val="5361534A"/>
    <w:rsid w:val="53626926"/>
    <w:rsid w:val="53648A69"/>
    <w:rsid w:val="5365D2C2"/>
    <w:rsid w:val="536A5CB8"/>
    <w:rsid w:val="536A6F03"/>
    <w:rsid w:val="536CB3F8"/>
    <w:rsid w:val="5371B4F8"/>
    <w:rsid w:val="5373D0BD"/>
    <w:rsid w:val="5373D27A"/>
    <w:rsid w:val="5374531C"/>
    <w:rsid w:val="5377A31C"/>
    <w:rsid w:val="537813CA"/>
    <w:rsid w:val="537AD484"/>
    <w:rsid w:val="537C5CC6"/>
    <w:rsid w:val="537C799B"/>
    <w:rsid w:val="5380901E"/>
    <w:rsid w:val="5380B85D"/>
    <w:rsid w:val="53811D18"/>
    <w:rsid w:val="5383E44F"/>
    <w:rsid w:val="5383F5FC"/>
    <w:rsid w:val="53843B04"/>
    <w:rsid w:val="53867FE2"/>
    <w:rsid w:val="538775FA"/>
    <w:rsid w:val="5387A635"/>
    <w:rsid w:val="53888563"/>
    <w:rsid w:val="5388C54E"/>
    <w:rsid w:val="5389A14E"/>
    <w:rsid w:val="5389AB07"/>
    <w:rsid w:val="538C7947"/>
    <w:rsid w:val="538D5DE7"/>
    <w:rsid w:val="538E580C"/>
    <w:rsid w:val="538F76AB"/>
    <w:rsid w:val="539609A4"/>
    <w:rsid w:val="53972ED5"/>
    <w:rsid w:val="53989902"/>
    <w:rsid w:val="5399DC95"/>
    <w:rsid w:val="539DE01A"/>
    <w:rsid w:val="539E500E"/>
    <w:rsid w:val="539EA5A5"/>
    <w:rsid w:val="53A27BEA"/>
    <w:rsid w:val="53A2A92E"/>
    <w:rsid w:val="53A3331D"/>
    <w:rsid w:val="53A48236"/>
    <w:rsid w:val="53AC141B"/>
    <w:rsid w:val="53AF438C"/>
    <w:rsid w:val="53B11483"/>
    <w:rsid w:val="53B4D789"/>
    <w:rsid w:val="53B4EF34"/>
    <w:rsid w:val="53B9607B"/>
    <w:rsid w:val="53C00CCF"/>
    <w:rsid w:val="53C347FB"/>
    <w:rsid w:val="53C3798B"/>
    <w:rsid w:val="53C402DA"/>
    <w:rsid w:val="53C471F1"/>
    <w:rsid w:val="53C4E89B"/>
    <w:rsid w:val="53C69997"/>
    <w:rsid w:val="53C72F5D"/>
    <w:rsid w:val="53C9B404"/>
    <w:rsid w:val="53CC6CE5"/>
    <w:rsid w:val="53CD0206"/>
    <w:rsid w:val="53CD18AE"/>
    <w:rsid w:val="53CEEEB3"/>
    <w:rsid w:val="53D03E40"/>
    <w:rsid w:val="53D10334"/>
    <w:rsid w:val="53D2E95F"/>
    <w:rsid w:val="53D70281"/>
    <w:rsid w:val="53D80F56"/>
    <w:rsid w:val="53D88B15"/>
    <w:rsid w:val="53DC3D82"/>
    <w:rsid w:val="53DC8AD3"/>
    <w:rsid w:val="53E2E1EA"/>
    <w:rsid w:val="53E7A524"/>
    <w:rsid w:val="53E8B16A"/>
    <w:rsid w:val="53E90DA7"/>
    <w:rsid w:val="53E95D51"/>
    <w:rsid w:val="53EA7F31"/>
    <w:rsid w:val="53EADFCE"/>
    <w:rsid w:val="53EAE48E"/>
    <w:rsid w:val="53EB330A"/>
    <w:rsid w:val="53ECBDD5"/>
    <w:rsid w:val="53F10C60"/>
    <w:rsid w:val="53F1CF72"/>
    <w:rsid w:val="53F1EFCA"/>
    <w:rsid w:val="53F5D79D"/>
    <w:rsid w:val="53F7CF73"/>
    <w:rsid w:val="53F8AA47"/>
    <w:rsid w:val="53FF071A"/>
    <w:rsid w:val="5408098C"/>
    <w:rsid w:val="5409E5A0"/>
    <w:rsid w:val="540B8DF9"/>
    <w:rsid w:val="540E60F6"/>
    <w:rsid w:val="54128A25"/>
    <w:rsid w:val="5412FA1A"/>
    <w:rsid w:val="54143453"/>
    <w:rsid w:val="5414AF28"/>
    <w:rsid w:val="541911E8"/>
    <w:rsid w:val="541D4CF5"/>
    <w:rsid w:val="541D578C"/>
    <w:rsid w:val="541FF27E"/>
    <w:rsid w:val="54228D31"/>
    <w:rsid w:val="54233F60"/>
    <w:rsid w:val="5430EEF0"/>
    <w:rsid w:val="54324104"/>
    <w:rsid w:val="54331985"/>
    <w:rsid w:val="543510B1"/>
    <w:rsid w:val="5436B478"/>
    <w:rsid w:val="543927F2"/>
    <w:rsid w:val="543D867E"/>
    <w:rsid w:val="5440DF06"/>
    <w:rsid w:val="54414DF3"/>
    <w:rsid w:val="54430184"/>
    <w:rsid w:val="5444260C"/>
    <w:rsid w:val="5446121C"/>
    <w:rsid w:val="544695D2"/>
    <w:rsid w:val="544997FA"/>
    <w:rsid w:val="5449A243"/>
    <w:rsid w:val="544A6C78"/>
    <w:rsid w:val="544C7442"/>
    <w:rsid w:val="5453123E"/>
    <w:rsid w:val="545400DD"/>
    <w:rsid w:val="54565307"/>
    <w:rsid w:val="545C388F"/>
    <w:rsid w:val="545D663C"/>
    <w:rsid w:val="5461C298"/>
    <w:rsid w:val="5461C369"/>
    <w:rsid w:val="54683416"/>
    <w:rsid w:val="546B2F4D"/>
    <w:rsid w:val="546B6196"/>
    <w:rsid w:val="546CA419"/>
    <w:rsid w:val="5473B559"/>
    <w:rsid w:val="547468F4"/>
    <w:rsid w:val="54761F3F"/>
    <w:rsid w:val="547A0052"/>
    <w:rsid w:val="547C553F"/>
    <w:rsid w:val="5481D0D5"/>
    <w:rsid w:val="54823259"/>
    <w:rsid w:val="5482C33A"/>
    <w:rsid w:val="5483395B"/>
    <w:rsid w:val="5484EF52"/>
    <w:rsid w:val="5486B21C"/>
    <w:rsid w:val="548A7CB2"/>
    <w:rsid w:val="548C279C"/>
    <w:rsid w:val="548DD48F"/>
    <w:rsid w:val="5490B38F"/>
    <w:rsid w:val="5490ED58"/>
    <w:rsid w:val="54923759"/>
    <w:rsid w:val="54935278"/>
    <w:rsid w:val="54935417"/>
    <w:rsid w:val="5495805D"/>
    <w:rsid w:val="5495A209"/>
    <w:rsid w:val="549BFAE9"/>
    <w:rsid w:val="54A25B82"/>
    <w:rsid w:val="54A2FEA2"/>
    <w:rsid w:val="54A55ED6"/>
    <w:rsid w:val="54A6928D"/>
    <w:rsid w:val="54A73C6C"/>
    <w:rsid w:val="54A8CEF7"/>
    <w:rsid w:val="54A9BFF0"/>
    <w:rsid w:val="54AE5F7F"/>
    <w:rsid w:val="54B09AFF"/>
    <w:rsid w:val="54B2B50C"/>
    <w:rsid w:val="54B894CB"/>
    <w:rsid w:val="54B93967"/>
    <w:rsid w:val="54BE4848"/>
    <w:rsid w:val="54C62C4D"/>
    <w:rsid w:val="54C6D10A"/>
    <w:rsid w:val="54C8F5A4"/>
    <w:rsid w:val="54CAA9F9"/>
    <w:rsid w:val="54CC93FC"/>
    <w:rsid w:val="54D372E0"/>
    <w:rsid w:val="54DE89DB"/>
    <w:rsid w:val="54DEF390"/>
    <w:rsid w:val="54DFF701"/>
    <w:rsid w:val="54E01977"/>
    <w:rsid w:val="54E24473"/>
    <w:rsid w:val="54E2F7C9"/>
    <w:rsid w:val="54E3C479"/>
    <w:rsid w:val="54E67502"/>
    <w:rsid w:val="54E7CCC3"/>
    <w:rsid w:val="54E7D4AA"/>
    <w:rsid w:val="54EB428B"/>
    <w:rsid w:val="54EB4F8C"/>
    <w:rsid w:val="54EC09A6"/>
    <w:rsid w:val="54F1506C"/>
    <w:rsid w:val="54F9C642"/>
    <w:rsid w:val="54FB5A4F"/>
    <w:rsid w:val="54FCEB5C"/>
    <w:rsid w:val="54FCF1F4"/>
    <w:rsid w:val="5508A63E"/>
    <w:rsid w:val="5509CD62"/>
    <w:rsid w:val="5511A0AB"/>
    <w:rsid w:val="55128095"/>
    <w:rsid w:val="55130CD0"/>
    <w:rsid w:val="5514638A"/>
    <w:rsid w:val="5516ED76"/>
    <w:rsid w:val="551B9A0D"/>
    <w:rsid w:val="551C25BC"/>
    <w:rsid w:val="551CA3DB"/>
    <w:rsid w:val="551DB8FB"/>
    <w:rsid w:val="551DBAB1"/>
    <w:rsid w:val="551DEF32"/>
    <w:rsid w:val="551F523C"/>
    <w:rsid w:val="55211FDA"/>
    <w:rsid w:val="5523B904"/>
    <w:rsid w:val="552457DD"/>
    <w:rsid w:val="5525B7A0"/>
    <w:rsid w:val="55277592"/>
    <w:rsid w:val="5528CC3D"/>
    <w:rsid w:val="55292637"/>
    <w:rsid w:val="552A9489"/>
    <w:rsid w:val="553109AE"/>
    <w:rsid w:val="553564B7"/>
    <w:rsid w:val="553668AD"/>
    <w:rsid w:val="5536E8D8"/>
    <w:rsid w:val="5538D1A1"/>
    <w:rsid w:val="553A8AC6"/>
    <w:rsid w:val="553D56DF"/>
    <w:rsid w:val="553DD3B7"/>
    <w:rsid w:val="5544A7C0"/>
    <w:rsid w:val="55484AB4"/>
    <w:rsid w:val="5549A3D0"/>
    <w:rsid w:val="554C9581"/>
    <w:rsid w:val="554CFC43"/>
    <w:rsid w:val="554F5DF7"/>
    <w:rsid w:val="55510DAF"/>
    <w:rsid w:val="5553B5EF"/>
    <w:rsid w:val="5555BF7D"/>
    <w:rsid w:val="5556AE4F"/>
    <w:rsid w:val="55592A7C"/>
    <w:rsid w:val="555D5226"/>
    <w:rsid w:val="555E15D2"/>
    <w:rsid w:val="555F4B16"/>
    <w:rsid w:val="5561F8E9"/>
    <w:rsid w:val="5563EB5E"/>
    <w:rsid w:val="5569E1D2"/>
    <w:rsid w:val="556DBBFD"/>
    <w:rsid w:val="556DF472"/>
    <w:rsid w:val="556EE370"/>
    <w:rsid w:val="55726145"/>
    <w:rsid w:val="5574FC01"/>
    <w:rsid w:val="5575C5CA"/>
    <w:rsid w:val="55763092"/>
    <w:rsid w:val="5577F864"/>
    <w:rsid w:val="55803922"/>
    <w:rsid w:val="5582E81E"/>
    <w:rsid w:val="5584CB5C"/>
    <w:rsid w:val="558B4C3B"/>
    <w:rsid w:val="558E5316"/>
    <w:rsid w:val="558FD8F8"/>
    <w:rsid w:val="559141DA"/>
    <w:rsid w:val="55916C90"/>
    <w:rsid w:val="55938D08"/>
    <w:rsid w:val="5594288D"/>
    <w:rsid w:val="5594C313"/>
    <w:rsid w:val="5595FF7E"/>
    <w:rsid w:val="55A03F17"/>
    <w:rsid w:val="55AB2DB3"/>
    <w:rsid w:val="55AC89C4"/>
    <w:rsid w:val="55AF87F7"/>
    <w:rsid w:val="55B7A9B1"/>
    <w:rsid w:val="55BA1C83"/>
    <w:rsid w:val="55BBB301"/>
    <w:rsid w:val="55BBD94E"/>
    <w:rsid w:val="55BC5E96"/>
    <w:rsid w:val="55BCFBFD"/>
    <w:rsid w:val="55BD19A0"/>
    <w:rsid w:val="55BD41FC"/>
    <w:rsid w:val="55BE8199"/>
    <w:rsid w:val="55BF8858"/>
    <w:rsid w:val="55C06EE8"/>
    <w:rsid w:val="55C53D3B"/>
    <w:rsid w:val="55C83853"/>
    <w:rsid w:val="55C9A157"/>
    <w:rsid w:val="55CA8F66"/>
    <w:rsid w:val="55D067C2"/>
    <w:rsid w:val="55D0A562"/>
    <w:rsid w:val="55D2CF14"/>
    <w:rsid w:val="55D362F5"/>
    <w:rsid w:val="55D725A3"/>
    <w:rsid w:val="55D7F627"/>
    <w:rsid w:val="55D86BDD"/>
    <w:rsid w:val="55DA4898"/>
    <w:rsid w:val="55DB2FC1"/>
    <w:rsid w:val="55DBF3D7"/>
    <w:rsid w:val="55DCB85F"/>
    <w:rsid w:val="55DF40E1"/>
    <w:rsid w:val="55DFFF7B"/>
    <w:rsid w:val="55E37409"/>
    <w:rsid w:val="55E37472"/>
    <w:rsid w:val="55E59638"/>
    <w:rsid w:val="55E7068F"/>
    <w:rsid w:val="55E70A1F"/>
    <w:rsid w:val="55E82768"/>
    <w:rsid w:val="55E83ACA"/>
    <w:rsid w:val="55EBA3A2"/>
    <w:rsid w:val="55EC854C"/>
    <w:rsid w:val="55EEEB3C"/>
    <w:rsid w:val="55EFA27A"/>
    <w:rsid w:val="55F07B14"/>
    <w:rsid w:val="55F16743"/>
    <w:rsid w:val="55F34E51"/>
    <w:rsid w:val="55F37D3F"/>
    <w:rsid w:val="55F436CF"/>
    <w:rsid w:val="55F4A1BB"/>
    <w:rsid w:val="55F57099"/>
    <w:rsid w:val="55F6CBD1"/>
    <w:rsid w:val="55F82006"/>
    <w:rsid w:val="55F97418"/>
    <w:rsid w:val="55FD5DF8"/>
    <w:rsid w:val="55FDA065"/>
    <w:rsid w:val="55FDCBFE"/>
    <w:rsid w:val="55FFF75C"/>
    <w:rsid w:val="5600ACDA"/>
    <w:rsid w:val="56031413"/>
    <w:rsid w:val="56063C36"/>
    <w:rsid w:val="560801E0"/>
    <w:rsid w:val="56089B14"/>
    <w:rsid w:val="5608A655"/>
    <w:rsid w:val="5609F1C9"/>
    <w:rsid w:val="560CBFC1"/>
    <w:rsid w:val="560CD4E7"/>
    <w:rsid w:val="560FF450"/>
    <w:rsid w:val="56115A2A"/>
    <w:rsid w:val="5617F08D"/>
    <w:rsid w:val="5618D529"/>
    <w:rsid w:val="5619ECDB"/>
    <w:rsid w:val="561A3CBD"/>
    <w:rsid w:val="561B20D8"/>
    <w:rsid w:val="561BF595"/>
    <w:rsid w:val="561F78B2"/>
    <w:rsid w:val="562251E3"/>
    <w:rsid w:val="56265C53"/>
    <w:rsid w:val="562739C9"/>
    <w:rsid w:val="5628FB24"/>
    <w:rsid w:val="562BCC30"/>
    <w:rsid w:val="562D8AB2"/>
    <w:rsid w:val="562DC0C2"/>
    <w:rsid w:val="562DE665"/>
    <w:rsid w:val="562E3C1B"/>
    <w:rsid w:val="562EF399"/>
    <w:rsid w:val="5630B054"/>
    <w:rsid w:val="5632AC9A"/>
    <w:rsid w:val="56342882"/>
    <w:rsid w:val="56358E1A"/>
    <w:rsid w:val="56364F18"/>
    <w:rsid w:val="5639605A"/>
    <w:rsid w:val="563AF3B4"/>
    <w:rsid w:val="563F11A3"/>
    <w:rsid w:val="5640792A"/>
    <w:rsid w:val="564142B5"/>
    <w:rsid w:val="56456CD9"/>
    <w:rsid w:val="5649F608"/>
    <w:rsid w:val="564AB9BF"/>
    <w:rsid w:val="564FF5EB"/>
    <w:rsid w:val="56502BC8"/>
    <w:rsid w:val="565971DA"/>
    <w:rsid w:val="5659B591"/>
    <w:rsid w:val="565BE214"/>
    <w:rsid w:val="565D4CBF"/>
    <w:rsid w:val="565E4B78"/>
    <w:rsid w:val="566258E5"/>
    <w:rsid w:val="5662BDF2"/>
    <w:rsid w:val="56638E5D"/>
    <w:rsid w:val="56648FFF"/>
    <w:rsid w:val="5665E9DA"/>
    <w:rsid w:val="56686212"/>
    <w:rsid w:val="566A7C3C"/>
    <w:rsid w:val="566AB16F"/>
    <w:rsid w:val="566B985E"/>
    <w:rsid w:val="566C78C4"/>
    <w:rsid w:val="566E41E1"/>
    <w:rsid w:val="5670179D"/>
    <w:rsid w:val="56709E93"/>
    <w:rsid w:val="567185FB"/>
    <w:rsid w:val="56720BEC"/>
    <w:rsid w:val="567248AD"/>
    <w:rsid w:val="56771A66"/>
    <w:rsid w:val="567863BA"/>
    <w:rsid w:val="567D0E0B"/>
    <w:rsid w:val="567D4643"/>
    <w:rsid w:val="567F2FAC"/>
    <w:rsid w:val="56820EC0"/>
    <w:rsid w:val="568903C9"/>
    <w:rsid w:val="56893FE6"/>
    <w:rsid w:val="568943A7"/>
    <w:rsid w:val="568A37B3"/>
    <w:rsid w:val="568D522C"/>
    <w:rsid w:val="568F38A0"/>
    <w:rsid w:val="568F8E6B"/>
    <w:rsid w:val="5690B316"/>
    <w:rsid w:val="56917797"/>
    <w:rsid w:val="5692B362"/>
    <w:rsid w:val="5697F9BC"/>
    <w:rsid w:val="56983F02"/>
    <w:rsid w:val="569AD52F"/>
    <w:rsid w:val="569BEB9F"/>
    <w:rsid w:val="569D8032"/>
    <w:rsid w:val="56A1DAA7"/>
    <w:rsid w:val="56A3DCB9"/>
    <w:rsid w:val="56A50B4B"/>
    <w:rsid w:val="56A588CB"/>
    <w:rsid w:val="56A6560A"/>
    <w:rsid w:val="56A75B62"/>
    <w:rsid w:val="56AD561A"/>
    <w:rsid w:val="56AD785E"/>
    <w:rsid w:val="56AD877F"/>
    <w:rsid w:val="56B583BE"/>
    <w:rsid w:val="56B708EC"/>
    <w:rsid w:val="56B9AF8E"/>
    <w:rsid w:val="56BA079F"/>
    <w:rsid w:val="56BE2E02"/>
    <w:rsid w:val="56BFE474"/>
    <w:rsid w:val="56C2AF7E"/>
    <w:rsid w:val="56C39DDC"/>
    <w:rsid w:val="56C41709"/>
    <w:rsid w:val="56C5E13E"/>
    <w:rsid w:val="56C6EEE8"/>
    <w:rsid w:val="56CA5D88"/>
    <w:rsid w:val="56D66956"/>
    <w:rsid w:val="56D85847"/>
    <w:rsid w:val="56DCF4A4"/>
    <w:rsid w:val="56DEF9EE"/>
    <w:rsid w:val="56E01C6D"/>
    <w:rsid w:val="56E203B2"/>
    <w:rsid w:val="56E2EB58"/>
    <w:rsid w:val="56E512F6"/>
    <w:rsid w:val="56EEFDD0"/>
    <w:rsid w:val="56F3A255"/>
    <w:rsid w:val="56F68388"/>
    <w:rsid w:val="56FA3403"/>
    <w:rsid w:val="56FA9E60"/>
    <w:rsid w:val="56FBDD05"/>
    <w:rsid w:val="56FC0031"/>
    <w:rsid w:val="5700FE35"/>
    <w:rsid w:val="5704BAD4"/>
    <w:rsid w:val="57066C15"/>
    <w:rsid w:val="570787D8"/>
    <w:rsid w:val="5708957D"/>
    <w:rsid w:val="57091FA6"/>
    <w:rsid w:val="570CD3EB"/>
    <w:rsid w:val="570E104B"/>
    <w:rsid w:val="570EB9F5"/>
    <w:rsid w:val="570F0443"/>
    <w:rsid w:val="5710F23C"/>
    <w:rsid w:val="5713656A"/>
    <w:rsid w:val="571D0C76"/>
    <w:rsid w:val="571D1572"/>
    <w:rsid w:val="571D999A"/>
    <w:rsid w:val="57207E15"/>
    <w:rsid w:val="57223512"/>
    <w:rsid w:val="572456C5"/>
    <w:rsid w:val="57256368"/>
    <w:rsid w:val="57256D2E"/>
    <w:rsid w:val="5728D5B3"/>
    <w:rsid w:val="5729A755"/>
    <w:rsid w:val="5729F62B"/>
    <w:rsid w:val="572C9A38"/>
    <w:rsid w:val="572D680D"/>
    <w:rsid w:val="5732E6D6"/>
    <w:rsid w:val="5733CC0B"/>
    <w:rsid w:val="573F2FC8"/>
    <w:rsid w:val="57407302"/>
    <w:rsid w:val="5744D484"/>
    <w:rsid w:val="574A4E84"/>
    <w:rsid w:val="574D42F7"/>
    <w:rsid w:val="574E6AE9"/>
    <w:rsid w:val="574FE9A9"/>
    <w:rsid w:val="5752D921"/>
    <w:rsid w:val="5756CF2F"/>
    <w:rsid w:val="57585A76"/>
    <w:rsid w:val="57586346"/>
    <w:rsid w:val="575BAD98"/>
    <w:rsid w:val="575BC947"/>
    <w:rsid w:val="575CC8E4"/>
    <w:rsid w:val="575D755A"/>
    <w:rsid w:val="575EBB43"/>
    <w:rsid w:val="576144FD"/>
    <w:rsid w:val="57622A99"/>
    <w:rsid w:val="576D1688"/>
    <w:rsid w:val="576E79BA"/>
    <w:rsid w:val="576ED4E4"/>
    <w:rsid w:val="57774814"/>
    <w:rsid w:val="577C9AF9"/>
    <w:rsid w:val="577CCA5E"/>
    <w:rsid w:val="577FB5C7"/>
    <w:rsid w:val="578C427C"/>
    <w:rsid w:val="578C9550"/>
    <w:rsid w:val="57909399"/>
    <w:rsid w:val="579509E2"/>
    <w:rsid w:val="579A9B43"/>
    <w:rsid w:val="579ABDF5"/>
    <w:rsid w:val="579ADDDA"/>
    <w:rsid w:val="579D731E"/>
    <w:rsid w:val="57A1F408"/>
    <w:rsid w:val="57A208A0"/>
    <w:rsid w:val="57A2C531"/>
    <w:rsid w:val="57A47F4F"/>
    <w:rsid w:val="57A4F376"/>
    <w:rsid w:val="57A7F2D0"/>
    <w:rsid w:val="57A7FC93"/>
    <w:rsid w:val="57A9B53B"/>
    <w:rsid w:val="57AA71B0"/>
    <w:rsid w:val="57AD6FA2"/>
    <w:rsid w:val="57AE0D3E"/>
    <w:rsid w:val="57B243F1"/>
    <w:rsid w:val="57B2AACB"/>
    <w:rsid w:val="57B371B5"/>
    <w:rsid w:val="57B56525"/>
    <w:rsid w:val="57B74721"/>
    <w:rsid w:val="57BD943C"/>
    <w:rsid w:val="57C18A6F"/>
    <w:rsid w:val="57C237DF"/>
    <w:rsid w:val="57C58AE9"/>
    <w:rsid w:val="57CA190D"/>
    <w:rsid w:val="57CA2DEC"/>
    <w:rsid w:val="57D002C5"/>
    <w:rsid w:val="57D31EA2"/>
    <w:rsid w:val="57D352B0"/>
    <w:rsid w:val="57D5C20A"/>
    <w:rsid w:val="57DA6E34"/>
    <w:rsid w:val="57E5C404"/>
    <w:rsid w:val="57E7BB28"/>
    <w:rsid w:val="57ED3789"/>
    <w:rsid w:val="57F11EE4"/>
    <w:rsid w:val="57F4E05F"/>
    <w:rsid w:val="57FF173E"/>
    <w:rsid w:val="580141A9"/>
    <w:rsid w:val="5803C747"/>
    <w:rsid w:val="5803CC27"/>
    <w:rsid w:val="58083E95"/>
    <w:rsid w:val="580A8211"/>
    <w:rsid w:val="580D5976"/>
    <w:rsid w:val="580E3FC3"/>
    <w:rsid w:val="580EF3E1"/>
    <w:rsid w:val="580F5527"/>
    <w:rsid w:val="5810647D"/>
    <w:rsid w:val="58116E06"/>
    <w:rsid w:val="5814477E"/>
    <w:rsid w:val="58146DE0"/>
    <w:rsid w:val="58159821"/>
    <w:rsid w:val="581CA71C"/>
    <w:rsid w:val="581D78F4"/>
    <w:rsid w:val="582011B7"/>
    <w:rsid w:val="58218469"/>
    <w:rsid w:val="58220F21"/>
    <w:rsid w:val="582735CD"/>
    <w:rsid w:val="582A9352"/>
    <w:rsid w:val="582A9452"/>
    <w:rsid w:val="582D4755"/>
    <w:rsid w:val="582F963F"/>
    <w:rsid w:val="5833CCC0"/>
    <w:rsid w:val="583576F9"/>
    <w:rsid w:val="5837C5EE"/>
    <w:rsid w:val="583A899C"/>
    <w:rsid w:val="583D2A10"/>
    <w:rsid w:val="5840237E"/>
    <w:rsid w:val="58491B2B"/>
    <w:rsid w:val="584ACF39"/>
    <w:rsid w:val="5853F4DD"/>
    <w:rsid w:val="5855633B"/>
    <w:rsid w:val="58565ED4"/>
    <w:rsid w:val="58582ECD"/>
    <w:rsid w:val="58589E23"/>
    <w:rsid w:val="585AEE42"/>
    <w:rsid w:val="585EDA25"/>
    <w:rsid w:val="586049AB"/>
    <w:rsid w:val="5861341F"/>
    <w:rsid w:val="586400F1"/>
    <w:rsid w:val="58669797"/>
    <w:rsid w:val="5867EA23"/>
    <w:rsid w:val="586A7395"/>
    <w:rsid w:val="587090BC"/>
    <w:rsid w:val="5874F976"/>
    <w:rsid w:val="587676F3"/>
    <w:rsid w:val="587B8659"/>
    <w:rsid w:val="587C8963"/>
    <w:rsid w:val="587E5853"/>
    <w:rsid w:val="587EA1E5"/>
    <w:rsid w:val="5881144D"/>
    <w:rsid w:val="58846F1D"/>
    <w:rsid w:val="58848644"/>
    <w:rsid w:val="58857769"/>
    <w:rsid w:val="58871C40"/>
    <w:rsid w:val="58879270"/>
    <w:rsid w:val="5887AFD3"/>
    <w:rsid w:val="5888BBAC"/>
    <w:rsid w:val="5888E25B"/>
    <w:rsid w:val="588AB35E"/>
    <w:rsid w:val="588CA3C5"/>
    <w:rsid w:val="588D5E18"/>
    <w:rsid w:val="589041FA"/>
    <w:rsid w:val="5891D853"/>
    <w:rsid w:val="5891F776"/>
    <w:rsid w:val="589C0485"/>
    <w:rsid w:val="589E99E4"/>
    <w:rsid w:val="58A4DF98"/>
    <w:rsid w:val="58A6273A"/>
    <w:rsid w:val="58A65659"/>
    <w:rsid w:val="58A6C1EE"/>
    <w:rsid w:val="58AA7BF3"/>
    <w:rsid w:val="58AE35D9"/>
    <w:rsid w:val="58AEF7C2"/>
    <w:rsid w:val="58B2DC6C"/>
    <w:rsid w:val="58B4A49E"/>
    <w:rsid w:val="58B76CD0"/>
    <w:rsid w:val="58B965FA"/>
    <w:rsid w:val="58BE63EB"/>
    <w:rsid w:val="58BEC758"/>
    <w:rsid w:val="58BF2BA1"/>
    <w:rsid w:val="58C24291"/>
    <w:rsid w:val="58C6C95E"/>
    <w:rsid w:val="58C75C4A"/>
    <w:rsid w:val="58C7DEEB"/>
    <w:rsid w:val="58C93C02"/>
    <w:rsid w:val="58CA0B60"/>
    <w:rsid w:val="58CA6BB4"/>
    <w:rsid w:val="58CFF2D5"/>
    <w:rsid w:val="58D071A4"/>
    <w:rsid w:val="58D27B2B"/>
    <w:rsid w:val="58DC11E2"/>
    <w:rsid w:val="58DC7F44"/>
    <w:rsid w:val="58DC8548"/>
    <w:rsid w:val="58DD90B8"/>
    <w:rsid w:val="58DD9870"/>
    <w:rsid w:val="58DE5FC1"/>
    <w:rsid w:val="58E137F5"/>
    <w:rsid w:val="58E18B12"/>
    <w:rsid w:val="58E1B92F"/>
    <w:rsid w:val="58E209DE"/>
    <w:rsid w:val="58E42210"/>
    <w:rsid w:val="58E53EC6"/>
    <w:rsid w:val="58E6C1CD"/>
    <w:rsid w:val="58E84288"/>
    <w:rsid w:val="58E85AE0"/>
    <w:rsid w:val="58EEAE5B"/>
    <w:rsid w:val="58F0986A"/>
    <w:rsid w:val="58F176EF"/>
    <w:rsid w:val="58F46199"/>
    <w:rsid w:val="58F4A544"/>
    <w:rsid w:val="58F4DA06"/>
    <w:rsid w:val="58F61FC8"/>
    <w:rsid w:val="58F6606B"/>
    <w:rsid w:val="58F779A6"/>
    <w:rsid w:val="58FE7E72"/>
    <w:rsid w:val="59045215"/>
    <w:rsid w:val="5904F122"/>
    <w:rsid w:val="590795CF"/>
    <w:rsid w:val="590FB30A"/>
    <w:rsid w:val="591063F4"/>
    <w:rsid w:val="5913FB32"/>
    <w:rsid w:val="59158C39"/>
    <w:rsid w:val="5917FD67"/>
    <w:rsid w:val="591D787D"/>
    <w:rsid w:val="591E2BD4"/>
    <w:rsid w:val="591FD117"/>
    <w:rsid w:val="59212D03"/>
    <w:rsid w:val="5921876A"/>
    <w:rsid w:val="59238B07"/>
    <w:rsid w:val="5923E773"/>
    <w:rsid w:val="5927652B"/>
    <w:rsid w:val="59297AB0"/>
    <w:rsid w:val="592AD540"/>
    <w:rsid w:val="5931F05B"/>
    <w:rsid w:val="59330228"/>
    <w:rsid w:val="593694BC"/>
    <w:rsid w:val="5936A1BC"/>
    <w:rsid w:val="59383324"/>
    <w:rsid w:val="593B7630"/>
    <w:rsid w:val="593CF923"/>
    <w:rsid w:val="593F53D9"/>
    <w:rsid w:val="59454B84"/>
    <w:rsid w:val="5945B392"/>
    <w:rsid w:val="5948C57A"/>
    <w:rsid w:val="594963CE"/>
    <w:rsid w:val="594A0B36"/>
    <w:rsid w:val="594C2CBE"/>
    <w:rsid w:val="59507927"/>
    <w:rsid w:val="5956DC1F"/>
    <w:rsid w:val="5957C2EF"/>
    <w:rsid w:val="5957D345"/>
    <w:rsid w:val="595A0145"/>
    <w:rsid w:val="595B1EA3"/>
    <w:rsid w:val="595C9639"/>
    <w:rsid w:val="595C9B16"/>
    <w:rsid w:val="595CFF97"/>
    <w:rsid w:val="595EDADF"/>
    <w:rsid w:val="59665914"/>
    <w:rsid w:val="5966DD7B"/>
    <w:rsid w:val="5967B671"/>
    <w:rsid w:val="596BD880"/>
    <w:rsid w:val="596C3009"/>
    <w:rsid w:val="59752F0B"/>
    <w:rsid w:val="59778A68"/>
    <w:rsid w:val="597B1E2A"/>
    <w:rsid w:val="59814BB4"/>
    <w:rsid w:val="59817BD5"/>
    <w:rsid w:val="59827CD7"/>
    <w:rsid w:val="5983AB11"/>
    <w:rsid w:val="5984CABB"/>
    <w:rsid w:val="59860EAA"/>
    <w:rsid w:val="59876F2C"/>
    <w:rsid w:val="59893F6F"/>
    <w:rsid w:val="598CA460"/>
    <w:rsid w:val="598D8273"/>
    <w:rsid w:val="59918D77"/>
    <w:rsid w:val="5991E2A1"/>
    <w:rsid w:val="59959B00"/>
    <w:rsid w:val="5999C6C3"/>
    <w:rsid w:val="59A555BC"/>
    <w:rsid w:val="59A5CFDE"/>
    <w:rsid w:val="59A687B2"/>
    <w:rsid w:val="59AEDD61"/>
    <w:rsid w:val="59AFEEE4"/>
    <w:rsid w:val="59B2C160"/>
    <w:rsid w:val="59B54CD2"/>
    <w:rsid w:val="59B8DA3E"/>
    <w:rsid w:val="59B909A2"/>
    <w:rsid w:val="59B9CDA5"/>
    <w:rsid w:val="59BB1877"/>
    <w:rsid w:val="59BB6D43"/>
    <w:rsid w:val="59BDEBC2"/>
    <w:rsid w:val="59BE0F0F"/>
    <w:rsid w:val="59BEC723"/>
    <w:rsid w:val="59C1DA58"/>
    <w:rsid w:val="59C22667"/>
    <w:rsid w:val="59C557D1"/>
    <w:rsid w:val="59C7DF74"/>
    <w:rsid w:val="59CB42E1"/>
    <w:rsid w:val="59D5B93D"/>
    <w:rsid w:val="59D77EE1"/>
    <w:rsid w:val="59DA456E"/>
    <w:rsid w:val="59DBA954"/>
    <w:rsid w:val="59DEB6E0"/>
    <w:rsid w:val="59DFEDFF"/>
    <w:rsid w:val="59E271EB"/>
    <w:rsid w:val="59E28370"/>
    <w:rsid w:val="59E561E6"/>
    <w:rsid w:val="59EC0C1E"/>
    <w:rsid w:val="59F19518"/>
    <w:rsid w:val="59F51775"/>
    <w:rsid w:val="59F6026F"/>
    <w:rsid w:val="59F7BF51"/>
    <w:rsid w:val="59F8A279"/>
    <w:rsid w:val="59F8D739"/>
    <w:rsid w:val="59F8E62B"/>
    <w:rsid w:val="59FA2DB7"/>
    <w:rsid w:val="59FB75EF"/>
    <w:rsid w:val="59FD3EB7"/>
    <w:rsid w:val="59FF791A"/>
    <w:rsid w:val="5A0346D8"/>
    <w:rsid w:val="5A0495E4"/>
    <w:rsid w:val="5A04FB5C"/>
    <w:rsid w:val="5A057045"/>
    <w:rsid w:val="5A06407E"/>
    <w:rsid w:val="5A073A35"/>
    <w:rsid w:val="5A09357A"/>
    <w:rsid w:val="5A0AD1ED"/>
    <w:rsid w:val="5A0B7087"/>
    <w:rsid w:val="5A103CC8"/>
    <w:rsid w:val="5A160CDA"/>
    <w:rsid w:val="5A180E8A"/>
    <w:rsid w:val="5A192273"/>
    <w:rsid w:val="5A1A0F7D"/>
    <w:rsid w:val="5A1C02AD"/>
    <w:rsid w:val="5A1C2999"/>
    <w:rsid w:val="5A1D6A10"/>
    <w:rsid w:val="5A1FF8F3"/>
    <w:rsid w:val="5A23E23C"/>
    <w:rsid w:val="5A24EF05"/>
    <w:rsid w:val="5A26616C"/>
    <w:rsid w:val="5A28B247"/>
    <w:rsid w:val="5A29891F"/>
    <w:rsid w:val="5A2A992F"/>
    <w:rsid w:val="5A2CAB23"/>
    <w:rsid w:val="5A2D635B"/>
    <w:rsid w:val="5A2DFE2D"/>
    <w:rsid w:val="5A2E79F2"/>
    <w:rsid w:val="5A3212D6"/>
    <w:rsid w:val="5A32634E"/>
    <w:rsid w:val="5A33B3A7"/>
    <w:rsid w:val="5A340FE0"/>
    <w:rsid w:val="5A359450"/>
    <w:rsid w:val="5A3991FB"/>
    <w:rsid w:val="5A3A7540"/>
    <w:rsid w:val="5A3CD52C"/>
    <w:rsid w:val="5A3E4BA3"/>
    <w:rsid w:val="5A443F94"/>
    <w:rsid w:val="5A47DC77"/>
    <w:rsid w:val="5A4A0226"/>
    <w:rsid w:val="5A501620"/>
    <w:rsid w:val="5A50AA0E"/>
    <w:rsid w:val="5A52A922"/>
    <w:rsid w:val="5A59A028"/>
    <w:rsid w:val="5A5A59CE"/>
    <w:rsid w:val="5A5F364F"/>
    <w:rsid w:val="5A5FAD92"/>
    <w:rsid w:val="5A61F861"/>
    <w:rsid w:val="5A638A78"/>
    <w:rsid w:val="5A678985"/>
    <w:rsid w:val="5A6DFDAD"/>
    <w:rsid w:val="5A6E099C"/>
    <w:rsid w:val="5A6E50F0"/>
    <w:rsid w:val="5A6E5CBA"/>
    <w:rsid w:val="5A715B0E"/>
    <w:rsid w:val="5A7BDF90"/>
    <w:rsid w:val="5A7E5876"/>
    <w:rsid w:val="5A7E84F6"/>
    <w:rsid w:val="5A823443"/>
    <w:rsid w:val="5A8669FD"/>
    <w:rsid w:val="5A87D166"/>
    <w:rsid w:val="5A8835B7"/>
    <w:rsid w:val="5A8D87E4"/>
    <w:rsid w:val="5A8E08B5"/>
    <w:rsid w:val="5A8E7D9E"/>
    <w:rsid w:val="5A976ABE"/>
    <w:rsid w:val="5A993C52"/>
    <w:rsid w:val="5A9AB2CF"/>
    <w:rsid w:val="5A9D9663"/>
    <w:rsid w:val="5A9F0646"/>
    <w:rsid w:val="5AA0F684"/>
    <w:rsid w:val="5AA147E5"/>
    <w:rsid w:val="5AA469A9"/>
    <w:rsid w:val="5AA51097"/>
    <w:rsid w:val="5AA67F53"/>
    <w:rsid w:val="5AAD2225"/>
    <w:rsid w:val="5AAFCD85"/>
    <w:rsid w:val="5AB2D52E"/>
    <w:rsid w:val="5AB40B61"/>
    <w:rsid w:val="5AB51BF9"/>
    <w:rsid w:val="5AB89302"/>
    <w:rsid w:val="5AB9C48C"/>
    <w:rsid w:val="5ABA687A"/>
    <w:rsid w:val="5ABCB39B"/>
    <w:rsid w:val="5ABCDCA0"/>
    <w:rsid w:val="5ABF91BA"/>
    <w:rsid w:val="5AC013B2"/>
    <w:rsid w:val="5AC1A9D9"/>
    <w:rsid w:val="5AC4B478"/>
    <w:rsid w:val="5AC6416C"/>
    <w:rsid w:val="5AC853D9"/>
    <w:rsid w:val="5AD0144F"/>
    <w:rsid w:val="5AD5A5DC"/>
    <w:rsid w:val="5ADAAD25"/>
    <w:rsid w:val="5ADEEFD7"/>
    <w:rsid w:val="5ADFD1CE"/>
    <w:rsid w:val="5ADFF58A"/>
    <w:rsid w:val="5AE16FCD"/>
    <w:rsid w:val="5AE5B102"/>
    <w:rsid w:val="5AEFD036"/>
    <w:rsid w:val="5AF1A2B3"/>
    <w:rsid w:val="5AF33A15"/>
    <w:rsid w:val="5AF3501C"/>
    <w:rsid w:val="5AF4AC37"/>
    <w:rsid w:val="5AF68D2B"/>
    <w:rsid w:val="5AF6E536"/>
    <w:rsid w:val="5AFBE0E5"/>
    <w:rsid w:val="5AFE01F4"/>
    <w:rsid w:val="5B04F1C5"/>
    <w:rsid w:val="5B077B09"/>
    <w:rsid w:val="5B0AEBCE"/>
    <w:rsid w:val="5B0B56E3"/>
    <w:rsid w:val="5B179BCB"/>
    <w:rsid w:val="5B18E574"/>
    <w:rsid w:val="5B19824B"/>
    <w:rsid w:val="5B19BC7E"/>
    <w:rsid w:val="5B1F521F"/>
    <w:rsid w:val="5B218673"/>
    <w:rsid w:val="5B22E6DE"/>
    <w:rsid w:val="5B2396EB"/>
    <w:rsid w:val="5B2890BE"/>
    <w:rsid w:val="5B2C805A"/>
    <w:rsid w:val="5B361BC4"/>
    <w:rsid w:val="5B3758DB"/>
    <w:rsid w:val="5B386ED0"/>
    <w:rsid w:val="5B3B28DB"/>
    <w:rsid w:val="5B410BE5"/>
    <w:rsid w:val="5B420C16"/>
    <w:rsid w:val="5B4255A6"/>
    <w:rsid w:val="5B43CD59"/>
    <w:rsid w:val="5B4504F6"/>
    <w:rsid w:val="5B469E33"/>
    <w:rsid w:val="5B4851A0"/>
    <w:rsid w:val="5B488F59"/>
    <w:rsid w:val="5B495A91"/>
    <w:rsid w:val="5B49D7EC"/>
    <w:rsid w:val="5B4BCBA0"/>
    <w:rsid w:val="5B4CAF7F"/>
    <w:rsid w:val="5B4CDCBB"/>
    <w:rsid w:val="5B4F2F80"/>
    <w:rsid w:val="5B506B89"/>
    <w:rsid w:val="5B526177"/>
    <w:rsid w:val="5B536571"/>
    <w:rsid w:val="5B54D0A6"/>
    <w:rsid w:val="5B561337"/>
    <w:rsid w:val="5B5A6835"/>
    <w:rsid w:val="5B5A8F60"/>
    <w:rsid w:val="5B5BFA0B"/>
    <w:rsid w:val="5B5C2B62"/>
    <w:rsid w:val="5B60DAAA"/>
    <w:rsid w:val="5B61E4CD"/>
    <w:rsid w:val="5B63297F"/>
    <w:rsid w:val="5B63E830"/>
    <w:rsid w:val="5B64A32A"/>
    <w:rsid w:val="5B66566F"/>
    <w:rsid w:val="5B6743A4"/>
    <w:rsid w:val="5B67755F"/>
    <w:rsid w:val="5B6A8849"/>
    <w:rsid w:val="5B6E27E5"/>
    <w:rsid w:val="5B6F7DDC"/>
    <w:rsid w:val="5B6FB055"/>
    <w:rsid w:val="5B718344"/>
    <w:rsid w:val="5B724640"/>
    <w:rsid w:val="5B7319A0"/>
    <w:rsid w:val="5B76AD22"/>
    <w:rsid w:val="5B7C4C2D"/>
    <w:rsid w:val="5B7C8F72"/>
    <w:rsid w:val="5B7D9928"/>
    <w:rsid w:val="5B7F1DE2"/>
    <w:rsid w:val="5B83E91C"/>
    <w:rsid w:val="5B840B91"/>
    <w:rsid w:val="5B8477DA"/>
    <w:rsid w:val="5B85AD4F"/>
    <w:rsid w:val="5B897D68"/>
    <w:rsid w:val="5B89E938"/>
    <w:rsid w:val="5B8A6533"/>
    <w:rsid w:val="5B8AA7C5"/>
    <w:rsid w:val="5B8D059F"/>
    <w:rsid w:val="5B8D25B1"/>
    <w:rsid w:val="5B8D266F"/>
    <w:rsid w:val="5B8ED0CF"/>
    <w:rsid w:val="5B9186EA"/>
    <w:rsid w:val="5B94132E"/>
    <w:rsid w:val="5B996080"/>
    <w:rsid w:val="5B9B192B"/>
    <w:rsid w:val="5BA102AE"/>
    <w:rsid w:val="5BA22EDB"/>
    <w:rsid w:val="5BA2F043"/>
    <w:rsid w:val="5BA3DA8C"/>
    <w:rsid w:val="5BA522F8"/>
    <w:rsid w:val="5BA55702"/>
    <w:rsid w:val="5BA7400A"/>
    <w:rsid w:val="5BAA6DD6"/>
    <w:rsid w:val="5BAFCF20"/>
    <w:rsid w:val="5BB18E01"/>
    <w:rsid w:val="5BB1F8DE"/>
    <w:rsid w:val="5BB5810D"/>
    <w:rsid w:val="5BB7ECD1"/>
    <w:rsid w:val="5BB87B89"/>
    <w:rsid w:val="5BB9C52C"/>
    <w:rsid w:val="5BBC7757"/>
    <w:rsid w:val="5BBFEF93"/>
    <w:rsid w:val="5BC1E660"/>
    <w:rsid w:val="5BC3970C"/>
    <w:rsid w:val="5BC47EC9"/>
    <w:rsid w:val="5BC4C099"/>
    <w:rsid w:val="5BC66FEC"/>
    <w:rsid w:val="5BCED9B5"/>
    <w:rsid w:val="5BCFFBF1"/>
    <w:rsid w:val="5BD2AB45"/>
    <w:rsid w:val="5BD725B8"/>
    <w:rsid w:val="5BD758C9"/>
    <w:rsid w:val="5BD83763"/>
    <w:rsid w:val="5BDED05F"/>
    <w:rsid w:val="5BDFF74A"/>
    <w:rsid w:val="5BE26A90"/>
    <w:rsid w:val="5BE5E750"/>
    <w:rsid w:val="5BE84F28"/>
    <w:rsid w:val="5BE893D6"/>
    <w:rsid w:val="5BED9617"/>
    <w:rsid w:val="5BEDA0BB"/>
    <w:rsid w:val="5BF56900"/>
    <w:rsid w:val="5BF7E800"/>
    <w:rsid w:val="5BF86590"/>
    <w:rsid w:val="5BFB998D"/>
    <w:rsid w:val="5C054BE0"/>
    <w:rsid w:val="5C081DDC"/>
    <w:rsid w:val="5C0A2A8D"/>
    <w:rsid w:val="5C0EE982"/>
    <w:rsid w:val="5C0FD40C"/>
    <w:rsid w:val="5C166972"/>
    <w:rsid w:val="5C167523"/>
    <w:rsid w:val="5C1739A9"/>
    <w:rsid w:val="5C1ACB19"/>
    <w:rsid w:val="5C1DD5D8"/>
    <w:rsid w:val="5C1F5C9A"/>
    <w:rsid w:val="5C238C0F"/>
    <w:rsid w:val="5C2511A3"/>
    <w:rsid w:val="5C2808FF"/>
    <w:rsid w:val="5C283358"/>
    <w:rsid w:val="5C28C579"/>
    <w:rsid w:val="5C29A563"/>
    <w:rsid w:val="5C2B2A17"/>
    <w:rsid w:val="5C2BB7E0"/>
    <w:rsid w:val="5C30A873"/>
    <w:rsid w:val="5C3EB2A0"/>
    <w:rsid w:val="5C405700"/>
    <w:rsid w:val="5C4137B5"/>
    <w:rsid w:val="5C43EB06"/>
    <w:rsid w:val="5C462DD5"/>
    <w:rsid w:val="5C47CECF"/>
    <w:rsid w:val="5C48906C"/>
    <w:rsid w:val="5C4A1217"/>
    <w:rsid w:val="5C4AE915"/>
    <w:rsid w:val="5C4E8FAF"/>
    <w:rsid w:val="5C52E59C"/>
    <w:rsid w:val="5C53F429"/>
    <w:rsid w:val="5C56F270"/>
    <w:rsid w:val="5C570C5B"/>
    <w:rsid w:val="5C5B64FA"/>
    <w:rsid w:val="5C5F1BF0"/>
    <w:rsid w:val="5C5FDB21"/>
    <w:rsid w:val="5C625847"/>
    <w:rsid w:val="5C674124"/>
    <w:rsid w:val="5C67F695"/>
    <w:rsid w:val="5C6941F2"/>
    <w:rsid w:val="5C6BEB61"/>
    <w:rsid w:val="5C6D77AF"/>
    <w:rsid w:val="5C725886"/>
    <w:rsid w:val="5C788DED"/>
    <w:rsid w:val="5C7A73BF"/>
    <w:rsid w:val="5C7AEA39"/>
    <w:rsid w:val="5C7C0806"/>
    <w:rsid w:val="5C7C0BE4"/>
    <w:rsid w:val="5C7C6314"/>
    <w:rsid w:val="5C7E2844"/>
    <w:rsid w:val="5C80B51D"/>
    <w:rsid w:val="5C81DDA1"/>
    <w:rsid w:val="5C821108"/>
    <w:rsid w:val="5C868BA6"/>
    <w:rsid w:val="5C871325"/>
    <w:rsid w:val="5C873DF8"/>
    <w:rsid w:val="5C88F206"/>
    <w:rsid w:val="5C8A06A4"/>
    <w:rsid w:val="5C8A2B2B"/>
    <w:rsid w:val="5C8CB79E"/>
    <w:rsid w:val="5C8DCEAE"/>
    <w:rsid w:val="5C91282F"/>
    <w:rsid w:val="5C917933"/>
    <w:rsid w:val="5C91E0ED"/>
    <w:rsid w:val="5C9B5B3A"/>
    <w:rsid w:val="5C9C1792"/>
    <w:rsid w:val="5C9C6BFB"/>
    <w:rsid w:val="5C9E8023"/>
    <w:rsid w:val="5CA0C4A5"/>
    <w:rsid w:val="5CA51F4D"/>
    <w:rsid w:val="5CA94E77"/>
    <w:rsid w:val="5CA9EB87"/>
    <w:rsid w:val="5CAA786E"/>
    <w:rsid w:val="5CAAC6BD"/>
    <w:rsid w:val="5CB072D3"/>
    <w:rsid w:val="5CB54E28"/>
    <w:rsid w:val="5CB584A9"/>
    <w:rsid w:val="5CB7F295"/>
    <w:rsid w:val="5CBBB2DC"/>
    <w:rsid w:val="5CBE200E"/>
    <w:rsid w:val="5CC3A475"/>
    <w:rsid w:val="5CC68FF6"/>
    <w:rsid w:val="5CCE325E"/>
    <w:rsid w:val="5CD0BC16"/>
    <w:rsid w:val="5CD133F4"/>
    <w:rsid w:val="5CD2C85C"/>
    <w:rsid w:val="5CD68486"/>
    <w:rsid w:val="5CD6D141"/>
    <w:rsid w:val="5CD72D88"/>
    <w:rsid w:val="5CDAA7F5"/>
    <w:rsid w:val="5CDEC4B5"/>
    <w:rsid w:val="5CDF47B8"/>
    <w:rsid w:val="5CDFC42D"/>
    <w:rsid w:val="5CDFDAA8"/>
    <w:rsid w:val="5CE032F9"/>
    <w:rsid w:val="5CE0FF13"/>
    <w:rsid w:val="5CE791BB"/>
    <w:rsid w:val="5CEA44D3"/>
    <w:rsid w:val="5CEABAF1"/>
    <w:rsid w:val="5CF9BF25"/>
    <w:rsid w:val="5CF9BF29"/>
    <w:rsid w:val="5CFD4647"/>
    <w:rsid w:val="5CFE50EA"/>
    <w:rsid w:val="5CFFFED8"/>
    <w:rsid w:val="5D00C38E"/>
    <w:rsid w:val="5D0170C3"/>
    <w:rsid w:val="5D030476"/>
    <w:rsid w:val="5D08279F"/>
    <w:rsid w:val="5D08BFAA"/>
    <w:rsid w:val="5D08C112"/>
    <w:rsid w:val="5D090AA2"/>
    <w:rsid w:val="5D09D135"/>
    <w:rsid w:val="5D0E3CF2"/>
    <w:rsid w:val="5D0EC025"/>
    <w:rsid w:val="5D0F6C4F"/>
    <w:rsid w:val="5D1296FB"/>
    <w:rsid w:val="5D145E92"/>
    <w:rsid w:val="5D161BD2"/>
    <w:rsid w:val="5D184BD2"/>
    <w:rsid w:val="5D193160"/>
    <w:rsid w:val="5D199155"/>
    <w:rsid w:val="5D1DA628"/>
    <w:rsid w:val="5D1F1E9E"/>
    <w:rsid w:val="5D2018FA"/>
    <w:rsid w:val="5D22134A"/>
    <w:rsid w:val="5D2319A3"/>
    <w:rsid w:val="5D23DA27"/>
    <w:rsid w:val="5D245FBB"/>
    <w:rsid w:val="5D29C74C"/>
    <w:rsid w:val="5D2A5314"/>
    <w:rsid w:val="5D2B3DCA"/>
    <w:rsid w:val="5D2C317B"/>
    <w:rsid w:val="5D2C3902"/>
    <w:rsid w:val="5D2F4725"/>
    <w:rsid w:val="5D3090AB"/>
    <w:rsid w:val="5D310D6B"/>
    <w:rsid w:val="5D3206C2"/>
    <w:rsid w:val="5D32C3E3"/>
    <w:rsid w:val="5D356C04"/>
    <w:rsid w:val="5D356DD8"/>
    <w:rsid w:val="5D3B410F"/>
    <w:rsid w:val="5D402F91"/>
    <w:rsid w:val="5D4184A3"/>
    <w:rsid w:val="5D4261D8"/>
    <w:rsid w:val="5D42BEA8"/>
    <w:rsid w:val="5D43EEB7"/>
    <w:rsid w:val="5D45FAEA"/>
    <w:rsid w:val="5D48D323"/>
    <w:rsid w:val="5D4A8FDC"/>
    <w:rsid w:val="5D4D818B"/>
    <w:rsid w:val="5D4E98E2"/>
    <w:rsid w:val="5D512128"/>
    <w:rsid w:val="5D519B7C"/>
    <w:rsid w:val="5D527F05"/>
    <w:rsid w:val="5D53809B"/>
    <w:rsid w:val="5D5380E2"/>
    <w:rsid w:val="5D55B02A"/>
    <w:rsid w:val="5D610A68"/>
    <w:rsid w:val="5D61AE2F"/>
    <w:rsid w:val="5D623939"/>
    <w:rsid w:val="5D6393B0"/>
    <w:rsid w:val="5D6494EF"/>
    <w:rsid w:val="5D68B95E"/>
    <w:rsid w:val="5D6C69BB"/>
    <w:rsid w:val="5D6FAEB9"/>
    <w:rsid w:val="5D716C73"/>
    <w:rsid w:val="5D722388"/>
    <w:rsid w:val="5D72AEB9"/>
    <w:rsid w:val="5D72CFD7"/>
    <w:rsid w:val="5D764C91"/>
    <w:rsid w:val="5D78DB51"/>
    <w:rsid w:val="5D78E5DF"/>
    <w:rsid w:val="5D7ACBF6"/>
    <w:rsid w:val="5D7F21DB"/>
    <w:rsid w:val="5D80FA80"/>
    <w:rsid w:val="5D817B6D"/>
    <w:rsid w:val="5D8B1175"/>
    <w:rsid w:val="5D8D3634"/>
    <w:rsid w:val="5D8D73FD"/>
    <w:rsid w:val="5D8FEA5D"/>
    <w:rsid w:val="5D947F27"/>
    <w:rsid w:val="5D95BA98"/>
    <w:rsid w:val="5D9A0DB9"/>
    <w:rsid w:val="5D9A364C"/>
    <w:rsid w:val="5D9DBBDA"/>
    <w:rsid w:val="5D9F75AC"/>
    <w:rsid w:val="5D9F7FF6"/>
    <w:rsid w:val="5D9FD225"/>
    <w:rsid w:val="5DA0B31F"/>
    <w:rsid w:val="5DA26BC2"/>
    <w:rsid w:val="5DA38C02"/>
    <w:rsid w:val="5DA7F291"/>
    <w:rsid w:val="5DAB01AB"/>
    <w:rsid w:val="5DACF9E7"/>
    <w:rsid w:val="5DB06655"/>
    <w:rsid w:val="5DB1EEED"/>
    <w:rsid w:val="5DB386BF"/>
    <w:rsid w:val="5DB49864"/>
    <w:rsid w:val="5DB7EFA2"/>
    <w:rsid w:val="5DB81490"/>
    <w:rsid w:val="5DB894CD"/>
    <w:rsid w:val="5DBA466C"/>
    <w:rsid w:val="5DBB9E05"/>
    <w:rsid w:val="5DBE3F39"/>
    <w:rsid w:val="5DBE3F43"/>
    <w:rsid w:val="5DBF5986"/>
    <w:rsid w:val="5DBFCAB8"/>
    <w:rsid w:val="5DC0D9B5"/>
    <w:rsid w:val="5DC250DF"/>
    <w:rsid w:val="5DC3E75E"/>
    <w:rsid w:val="5DC5008B"/>
    <w:rsid w:val="5DC6F32B"/>
    <w:rsid w:val="5DC71A49"/>
    <w:rsid w:val="5DC9FAD5"/>
    <w:rsid w:val="5DCA063E"/>
    <w:rsid w:val="5DD11D16"/>
    <w:rsid w:val="5DD15F29"/>
    <w:rsid w:val="5DD17391"/>
    <w:rsid w:val="5DD4554B"/>
    <w:rsid w:val="5DD71753"/>
    <w:rsid w:val="5DDA7B16"/>
    <w:rsid w:val="5DE48A04"/>
    <w:rsid w:val="5DE56BD9"/>
    <w:rsid w:val="5DF25E87"/>
    <w:rsid w:val="5DF2F495"/>
    <w:rsid w:val="5DF6E8A9"/>
    <w:rsid w:val="5DF779ED"/>
    <w:rsid w:val="5DFA1C11"/>
    <w:rsid w:val="5DFA9BCC"/>
    <w:rsid w:val="5DFB2143"/>
    <w:rsid w:val="5DFB66E8"/>
    <w:rsid w:val="5DFC4BB6"/>
    <w:rsid w:val="5DFD8128"/>
    <w:rsid w:val="5DFDA970"/>
    <w:rsid w:val="5E01C4C1"/>
    <w:rsid w:val="5E01D2A1"/>
    <w:rsid w:val="5E076854"/>
    <w:rsid w:val="5E0B2CB8"/>
    <w:rsid w:val="5E0E3777"/>
    <w:rsid w:val="5E0EE640"/>
    <w:rsid w:val="5E11381B"/>
    <w:rsid w:val="5E142067"/>
    <w:rsid w:val="5E14355E"/>
    <w:rsid w:val="5E195BE5"/>
    <w:rsid w:val="5E1BB7B0"/>
    <w:rsid w:val="5E1CEB5F"/>
    <w:rsid w:val="5E1FB58C"/>
    <w:rsid w:val="5E1FC3B4"/>
    <w:rsid w:val="5E1FFDEB"/>
    <w:rsid w:val="5E22C8EE"/>
    <w:rsid w:val="5E2624F2"/>
    <w:rsid w:val="5E2A65E6"/>
    <w:rsid w:val="5E3055B1"/>
    <w:rsid w:val="5E32CC6C"/>
    <w:rsid w:val="5E3366D7"/>
    <w:rsid w:val="5E356700"/>
    <w:rsid w:val="5E39B27A"/>
    <w:rsid w:val="5E3D4DAF"/>
    <w:rsid w:val="5E41F681"/>
    <w:rsid w:val="5E42575B"/>
    <w:rsid w:val="5E426F1A"/>
    <w:rsid w:val="5E43F43A"/>
    <w:rsid w:val="5E45F270"/>
    <w:rsid w:val="5E47AF6E"/>
    <w:rsid w:val="5E509ABC"/>
    <w:rsid w:val="5E51252B"/>
    <w:rsid w:val="5E518AA1"/>
    <w:rsid w:val="5E5320E2"/>
    <w:rsid w:val="5E564E9B"/>
    <w:rsid w:val="5E58FB42"/>
    <w:rsid w:val="5E5C1555"/>
    <w:rsid w:val="5E6123D8"/>
    <w:rsid w:val="5E62B20E"/>
    <w:rsid w:val="5E6447BD"/>
    <w:rsid w:val="5E670E47"/>
    <w:rsid w:val="5E678545"/>
    <w:rsid w:val="5E67F425"/>
    <w:rsid w:val="5E690194"/>
    <w:rsid w:val="5E6B81E8"/>
    <w:rsid w:val="5E6C7E91"/>
    <w:rsid w:val="5E6CCDB1"/>
    <w:rsid w:val="5E70FD5F"/>
    <w:rsid w:val="5E718DDF"/>
    <w:rsid w:val="5E729A12"/>
    <w:rsid w:val="5E753D21"/>
    <w:rsid w:val="5E762BF5"/>
    <w:rsid w:val="5E78741D"/>
    <w:rsid w:val="5E7FFF43"/>
    <w:rsid w:val="5E83B979"/>
    <w:rsid w:val="5E83E447"/>
    <w:rsid w:val="5E84977D"/>
    <w:rsid w:val="5E851A1D"/>
    <w:rsid w:val="5E862C15"/>
    <w:rsid w:val="5E8BA402"/>
    <w:rsid w:val="5E8CF940"/>
    <w:rsid w:val="5E8E98EB"/>
    <w:rsid w:val="5E91259C"/>
    <w:rsid w:val="5E92523C"/>
    <w:rsid w:val="5E989C66"/>
    <w:rsid w:val="5E9ABECC"/>
    <w:rsid w:val="5E9B1C5E"/>
    <w:rsid w:val="5E9B405A"/>
    <w:rsid w:val="5E9B9F7A"/>
    <w:rsid w:val="5E9BE0D5"/>
    <w:rsid w:val="5E9ED8F8"/>
    <w:rsid w:val="5EA1A2E7"/>
    <w:rsid w:val="5EA22E94"/>
    <w:rsid w:val="5EA2F114"/>
    <w:rsid w:val="5EA6BA80"/>
    <w:rsid w:val="5EB20ADE"/>
    <w:rsid w:val="5EB261D0"/>
    <w:rsid w:val="5EB2B833"/>
    <w:rsid w:val="5EB321E3"/>
    <w:rsid w:val="5EB3B292"/>
    <w:rsid w:val="5EB4E95E"/>
    <w:rsid w:val="5EB95BC8"/>
    <w:rsid w:val="5EBB5D86"/>
    <w:rsid w:val="5EBC6333"/>
    <w:rsid w:val="5EC12914"/>
    <w:rsid w:val="5EC68F14"/>
    <w:rsid w:val="5EC855BE"/>
    <w:rsid w:val="5EC92626"/>
    <w:rsid w:val="5ECDC616"/>
    <w:rsid w:val="5ECEE37F"/>
    <w:rsid w:val="5ED0A161"/>
    <w:rsid w:val="5ED154F7"/>
    <w:rsid w:val="5ED4D35A"/>
    <w:rsid w:val="5ED5D038"/>
    <w:rsid w:val="5ED61712"/>
    <w:rsid w:val="5ED704C6"/>
    <w:rsid w:val="5ED74A2A"/>
    <w:rsid w:val="5EDC3A94"/>
    <w:rsid w:val="5EDD4315"/>
    <w:rsid w:val="5EE056CB"/>
    <w:rsid w:val="5EEDBD75"/>
    <w:rsid w:val="5EF04AB1"/>
    <w:rsid w:val="5EF11784"/>
    <w:rsid w:val="5EF16A5D"/>
    <w:rsid w:val="5EF3E3A2"/>
    <w:rsid w:val="5EF568E0"/>
    <w:rsid w:val="5EFA3FDB"/>
    <w:rsid w:val="5EFFBAE6"/>
    <w:rsid w:val="5EFFC116"/>
    <w:rsid w:val="5F0129B8"/>
    <w:rsid w:val="5F023B27"/>
    <w:rsid w:val="5F025056"/>
    <w:rsid w:val="5F06DA19"/>
    <w:rsid w:val="5F0809F2"/>
    <w:rsid w:val="5F0A941A"/>
    <w:rsid w:val="5F0C0AC6"/>
    <w:rsid w:val="5F0C37CD"/>
    <w:rsid w:val="5F10A3A4"/>
    <w:rsid w:val="5F12AB8A"/>
    <w:rsid w:val="5F12F601"/>
    <w:rsid w:val="5F1414AD"/>
    <w:rsid w:val="5F18288D"/>
    <w:rsid w:val="5F195202"/>
    <w:rsid w:val="5F19C2AD"/>
    <w:rsid w:val="5F1B5225"/>
    <w:rsid w:val="5F1E274C"/>
    <w:rsid w:val="5F1EBF79"/>
    <w:rsid w:val="5F1FAC6F"/>
    <w:rsid w:val="5F22F569"/>
    <w:rsid w:val="5F277AA0"/>
    <w:rsid w:val="5F2CCAF2"/>
    <w:rsid w:val="5F2F39F3"/>
    <w:rsid w:val="5F30DD96"/>
    <w:rsid w:val="5F33B3B0"/>
    <w:rsid w:val="5F371E2D"/>
    <w:rsid w:val="5F3BA293"/>
    <w:rsid w:val="5F3CB9BA"/>
    <w:rsid w:val="5F3D9654"/>
    <w:rsid w:val="5F453FB3"/>
    <w:rsid w:val="5F4B5373"/>
    <w:rsid w:val="5F4BAEDF"/>
    <w:rsid w:val="5F4DD12D"/>
    <w:rsid w:val="5F4EA5CD"/>
    <w:rsid w:val="5F531151"/>
    <w:rsid w:val="5F531AFF"/>
    <w:rsid w:val="5F550607"/>
    <w:rsid w:val="5F566158"/>
    <w:rsid w:val="5F5BC650"/>
    <w:rsid w:val="5F5CC776"/>
    <w:rsid w:val="5F624684"/>
    <w:rsid w:val="5F63C8DB"/>
    <w:rsid w:val="5F67EFBF"/>
    <w:rsid w:val="5F686EA5"/>
    <w:rsid w:val="5F6C67F2"/>
    <w:rsid w:val="5F6FE1EB"/>
    <w:rsid w:val="5F700039"/>
    <w:rsid w:val="5F72722F"/>
    <w:rsid w:val="5F73CE32"/>
    <w:rsid w:val="5F78A83F"/>
    <w:rsid w:val="5F7C14B0"/>
    <w:rsid w:val="5F7DB601"/>
    <w:rsid w:val="5F7DC867"/>
    <w:rsid w:val="5F7EBDCA"/>
    <w:rsid w:val="5F8202EA"/>
    <w:rsid w:val="5F867331"/>
    <w:rsid w:val="5F878F49"/>
    <w:rsid w:val="5F8A3CD8"/>
    <w:rsid w:val="5F8C5066"/>
    <w:rsid w:val="5F8CD5B4"/>
    <w:rsid w:val="5F8FEA75"/>
    <w:rsid w:val="5F951B91"/>
    <w:rsid w:val="5F968C40"/>
    <w:rsid w:val="5F96A249"/>
    <w:rsid w:val="5F9BE2BB"/>
    <w:rsid w:val="5FA30696"/>
    <w:rsid w:val="5FA62E75"/>
    <w:rsid w:val="5FA8C51B"/>
    <w:rsid w:val="5FAB9FA7"/>
    <w:rsid w:val="5FAC1B7D"/>
    <w:rsid w:val="5FACE145"/>
    <w:rsid w:val="5FADDF37"/>
    <w:rsid w:val="5FAFBA4A"/>
    <w:rsid w:val="5FAFDE2B"/>
    <w:rsid w:val="5FB14402"/>
    <w:rsid w:val="5FB28C16"/>
    <w:rsid w:val="5FB3DDE9"/>
    <w:rsid w:val="5FB44C66"/>
    <w:rsid w:val="5FB4F274"/>
    <w:rsid w:val="5FB5E661"/>
    <w:rsid w:val="5FB6885E"/>
    <w:rsid w:val="5FBF25CF"/>
    <w:rsid w:val="5FC17232"/>
    <w:rsid w:val="5FC7D028"/>
    <w:rsid w:val="5FCED6CE"/>
    <w:rsid w:val="5FCF33ED"/>
    <w:rsid w:val="5FD1CA8C"/>
    <w:rsid w:val="5FD5783A"/>
    <w:rsid w:val="5FD8DC59"/>
    <w:rsid w:val="5FD980F0"/>
    <w:rsid w:val="5FD9A2CA"/>
    <w:rsid w:val="5FE25917"/>
    <w:rsid w:val="5FE6B7A1"/>
    <w:rsid w:val="5FE70857"/>
    <w:rsid w:val="5FE874D3"/>
    <w:rsid w:val="5FE9CF2E"/>
    <w:rsid w:val="5FEF2ABC"/>
    <w:rsid w:val="5FEFD481"/>
    <w:rsid w:val="5FF0B77A"/>
    <w:rsid w:val="5FF369DB"/>
    <w:rsid w:val="5FFBF54B"/>
    <w:rsid w:val="5FFC7B2B"/>
    <w:rsid w:val="5FFD3343"/>
    <w:rsid w:val="60010729"/>
    <w:rsid w:val="60016F39"/>
    <w:rsid w:val="60093953"/>
    <w:rsid w:val="6009FD00"/>
    <w:rsid w:val="600A1CE8"/>
    <w:rsid w:val="600EAC96"/>
    <w:rsid w:val="6011A966"/>
    <w:rsid w:val="60124C72"/>
    <w:rsid w:val="60124D56"/>
    <w:rsid w:val="60155CF1"/>
    <w:rsid w:val="6015F567"/>
    <w:rsid w:val="601B1BCE"/>
    <w:rsid w:val="601BB2BE"/>
    <w:rsid w:val="601BDACB"/>
    <w:rsid w:val="601ED4BF"/>
    <w:rsid w:val="601EDD95"/>
    <w:rsid w:val="6021BC18"/>
    <w:rsid w:val="60249064"/>
    <w:rsid w:val="60271178"/>
    <w:rsid w:val="602B45CE"/>
    <w:rsid w:val="603390D4"/>
    <w:rsid w:val="60343DB2"/>
    <w:rsid w:val="6036EB4E"/>
    <w:rsid w:val="6037CCA2"/>
    <w:rsid w:val="603C58B9"/>
    <w:rsid w:val="603D1263"/>
    <w:rsid w:val="603E0A12"/>
    <w:rsid w:val="603E449A"/>
    <w:rsid w:val="6044FD2D"/>
    <w:rsid w:val="60482E26"/>
    <w:rsid w:val="60489386"/>
    <w:rsid w:val="604C1B0A"/>
    <w:rsid w:val="604C30C6"/>
    <w:rsid w:val="604CB84E"/>
    <w:rsid w:val="604EA026"/>
    <w:rsid w:val="604F9734"/>
    <w:rsid w:val="6056FDFA"/>
    <w:rsid w:val="6057664C"/>
    <w:rsid w:val="60577CE2"/>
    <w:rsid w:val="605CBC33"/>
    <w:rsid w:val="605FAFAE"/>
    <w:rsid w:val="60607DEE"/>
    <w:rsid w:val="60613799"/>
    <w:rsid w:val="6064EAE7"/>
    <w:rsid w:val="6066A826"/>
    <w:rsid w:val="6066EB6C"/>
    <w:rsid w:val="6067718D"/>
    <w:rsid w:val="6068FC45"/>
    <w:rsid w:val="606CF8D2"/>
    <w:rsid w:val="606D5D75"/>
    <w:rsid w:val="606DC77C"/>
    <w:rsid w:val="606DDE02"/>
    <w:rsid w:val="6070A7C7"/>
    <w:rsid w:val="60745772"/>
    <w:rsid w:val="60752EA1"/>
    <w:rsid w:val="60754CC7"/>
    <w:rsid w:val="6075778D"/>
    <w:rsid w:val="6075B9F8"/>
    <w:rsid w:val="60764CC5"/>
    <w:rsid w:val="607827F0"/>
    <w:rsid w:val="607C2046"/>
    <w:rsid w:val="607C8AA9"/>
    <w:rsid w:val="607F1A8A"/>
    <w:rsid w:val="607F61D7"/>
    <w:rsid w:val="607F739B"/>
    <w:rsid w:val="6083CA78"/>
    <w:rsid w:val="60860727"/>
    <w:rsid w:val="60867534"/>
    <w:rsid w:val="60883FDF"/>
    <w:rsid w:val="60890F5B"/>
    <w:rsid w:val="60893F98"/>
    <w:rsid w:val="608BE86A"/>
    <w:rsid w:val="608C6509"/>
    <w:rsid w:val="608E64BD"/>
    <w:rsid w:val="608EA5D3"/>
    <w:rsid w:val="609140E1"/>
    <w:rsid w:val="60920299"/>
    <w:rsid w:val="6097E792"/>
    <w:rsid w:val="6099D3E3"/>
    <w:rsid w:val="609BCDDE"/>
    <w:rsid w:val="609BF29F"/>
    <w:rsid w:val="609DA95C"/>
    <w:rsid w:val="609E3AB7"/>
    <w:rsid w:val="609F4DA4"/>
    <w:rsid w:val="60A38F38"/>
    <w:rsid w:val="60A7AA77"/>
    <w:rsid w:val="60A7FC45"/>
    <w:rsid w:val="60ADB907"/>
    <w:rsid w:val="60AE47F4"/>
    <w:rsid w:val="60B0036D"/>
    <w:rsid w:val="60B18C7B"/>
    <w:rsid w:val="60B84325"/>
    <w:rsid w:val="60B936C0"/>
    <w:rsid w:val="60B9E9A0"/>
    <w:rsid w:val="60BBD835"/>
    <w:rsid w:val="60BCAE00"/>
    <w:rsid w:val="60BE9718"/>
    <w:rsid w:val="60BED102"/>
    <w:rsid w:val="60C0379C"/>
    <w:rsid w:val="60C193A1"/>
    <w:rsid w:val="60C610F4"/>
    <w:rsid w:val="60C6E754"/>
    <w:rsid w:val="60C71CFC"/>
    <w:rsid w:val="60C75188"/>
    <w:rsid w:val="60CBBC5B"/>
    <w:rsid w:val="60CBCBAF"/>
    <w:rsid w:val="60CBEDE7"/>
    <w:rsid w:val="60D2A81C"/>
    <w:rsid w:val="60D72F1A"/>
    <w:rsid w:val="60DD9158"/>
    <w:rsid w:val="60E1BE93"/>
    <w:rsid w:val="60E1F337"/>
    <w:rsid w:val="60E92928"/>
    <w:rsid w:val="60ED422F"/>
    <w:rsid w:val="60EEABF4"/>
    <w:rsid w:val="60F3333C"/>
    <w:rsid w:val="60F5470B"/>
    <w:rsid w:val="60F607FA"/>
    <w:rsid w:val="60F78A0C"/>
    <w:rsid w:val="60F8BCAA"/>
    <w:rsid w:val="60F8C0D4"/>
    <w:rsid w:val="60FBF1F1"/>
    <w:rsid w:val="60FFD6A4"/>
    <w:rsid w:val="6100230A"/>
    <w:rsid w:val="610470B0"/>
    <w:rsid w:val="6105786D"/>
    <w:rsid w:val="610A9DC0"/>
    <w:rsid w:val="610FBD89"/>
    <w:rsid w:val="61106F1E"/>
    <w:rsid w:val="61115F60"/>
    <w:rsid w:val="6114FF11"/>
    <w:rsid w:val="61188730"/>
    <w:rsid w:val="611ABDC0"/>
    <w:rsid w:val="611E25DB"/>
    <w:rsid w:val="611E30B5"/>
    <w:rsid w:val="611F8C74"/>
    <w:rsid w:val="612060BC"/>
    <w:rsid w:val="61206DF9"/>
    <w:rsid w:val="6121AB41"/>
    <w:rsid w:val="61229529"/>
    <w:rsid w:val="6122B1B3"/>
    <w:rsid w:val="6123B2B6"/>
    <w:rsid w:val="6123B2EB"/>
    <w:rsid w:val="61250325"/>
    <w:rsid w:val="61265747"/>
    <w:rsid w:val="6127D82C"/>
    <w:rsid w:val="61283212"/>
    <w:rsid w:val="612870D5"/>
    <w:rsid w:val="612CB497"/>
    <w:rsid w:val="612F015E"/>
    <w:rsid w:val="61304C5D"/>
    <w:rsid w:val="6138C465"/>
    <w:rsid w:val="613C93A4"/>
    <w:rsid w:val="613DC4C5"/>
    <w:rsid w:val="61430FEB"/>
    <w:rsid w:val="6145F94C"/>
    <w:rsid w:val="6146D9FE"/>
    <w:rsid w:val="6147616F"/>
    <w:rsid w:val="6147B7E5"/>
    <w:rsid w:val="6148C756"/>
    <w:rsid w:val="61513ED9"/>
    <w:rsid w:val="61522015"/>
    <w:rsid w:val="615247EF"/>
    <w:rsid w:val="615288AB"/>
    <w:rsid w:val="615688AE"/>
    <w:rsid w:val="6156C1F0"/>
    <w:rsid w:val="61596A8B"/>
    <w:rsid w:val="615AF2C9"/>
    <w:rsid w:val="615D40CC"/>
    <w:rsid w:val="615D428F"/>
    <w:rsid w:val="615DA3BD"/>
    <w:rsid w:val="6164952A"/>
    <w:rsid w:val="6168196A"/>
    <w:rsid w:val="616A58F7"/>
    <w:rsid w:val="616B6DD3"/>
    <w:rsid w:val="616C6AFF"/>
    <w:rsid w:val="616D3A31"/>
    <w:rsid w:val="61707116"/>
    <w:rsid w:val="6170D60C"/>
    <w:rsid w:val="6171E026"/>
    <w:rsid w:val="61760A35"/>
    <w:rsid w:val="61799813"/>
    <w:rsid w:val="617B09D4"/>
    <w:rsid w:val="617E43D1"/>
    <w:rsid w:val="617EED3C"/>
    <w:rsid w:val="61802ED9"/>
    <w:rsid w:val="6182714C"/>
    <w:rsid w:val="6182840F"/>
    <w:rsid w:val="61873B18"/>
    <w:rsid w:val="6187BD2D"/>
    <w:rsid w:val="618A50E7"/>
    <w:rsid w:val="618D88D9"/>
    <w:rsid w:val="618F43B8"/>
    <w:rsid w:val="618F788A"/>
    <w:rsid w:val="6190A2C2"/>
    <w:rsid w:val="61931999"/>
    <w:rsid w:val="61936794"/>
    <w:rsid w:val="61945250"/>
    <w:rsid w:val="61954ED2"/>
    <w:rsid w:val="61982D31"/>
    <w:rsid w:val="6198C81E"/>
    <w:rsid w:val="619BF375"/>
    <w:rsid w:val="619C9618"/>
    <w:rsid w:val="61A020D1"/>
    <w:rsid w:val="61A25CD0"/>
    <w:rsid w:val="61A2D3CA"/>
    <w:rsid w:val="61A5176E"/>
    <w:rsid w:val="61A543EF"/>
    <w:rsid w:val="61A60C2C"/>
    <w:rsid w:val="61AABF82"/>
    <w:rsid w:val="61AB801C"/>
    <w:rsid w:val="61B0CFF5"/>
    <w:rsid w:val="61B236CD"/>
    <w:rsid w:val="61B289BA"/>
    <w:rsid w:val="61B3DCF1"/>
    <w:rsid w:val="61B46FD8"/>
    <w:rsid w:val="61B580F2"/>
    <w:rsid w:val="61B5AB2E"/>
    <w:rsid w:val="61B6E222"/>
    <w:rsid w:val="61BB92B9"/>
    <w:rsid w:val="61BD44AB"/>
    <w:rsid w:val="61BEADD1"/>
    <w:rsid w:val="61BFED5B"/>
    <w:rsid w:val="61C63CE6"/>
    <w:rsid w:val="61C67305"/>
    <w:rsid w:val="61C6BD18"/>
    <w:rsid w:val="61C787DF"/>
    <w:rsid w:val="61C7BB85"/>
    <w:rsid w:val="61C812C0"/>
    <w:rsid w:val="61CBEC85"/>
    <w:rsid w:val="61CC16BC"/>
    <w:rsid w:val="61CC8D13"/>
    <w:rsid w:val="61CE997C"/>
    <w:rsid w:val="61D1BDB0"/>
    <w:rsid w:val="61D28FA1"/>
    <w:rsid w:val="61DE687D"/>
    <w:rsid w:val="61E012FB"/>
    <w:rsid w:val="61E0DCA3"/>
    <w:rsid w:val="61E1A2A3"/>
    <w:rsid w:val="61E22A76"/>
    <w:rsid w:val="61E38347"/>
    <w:rsid w:val="61E853F9"/>
    <w:rsid w:val="61EAFB89"/>
    <w:rsid w:val="61EDF4E5"/>
    <w:rsid w:val="61F5CF77"/>
    <w:rsid w:val="61F6352B"/>
    <w:rsid w:val="61F838BD"/>
    <w:rsid w:val="61F85DBB"/>
    <w:rsid w:val="61F8C319"/>
    <w:rsid w:val="61F90082"/>
    <w:rsid w:val="61F96564"/>
    <w:rsid w:val="61F98E38"/>
    <w:rsid w:val="620441C2"/>
    <w:rsid w:val="62087540"/>
    <w:rsid w:val="62120D1A"/>
    <w:rsid w:val="6214E4E6"/>
    <w:rsid w:val="62179B2A"/>
    <w:rsid w:val="62194BF9"/>
    <w:rsid w:val="6219E95A"/>
    <w:rsid w:val="62205F70"/>
    <w:rsid w:val="62210F1C"/>
    <w:rsid w:val="62211414"/>
    <w:rsid w:val="6221F91E"/>
    <w:rsid w:val="62251BDF"/>
    <w:rsid w:val="62266DD7"/>
    <w:rsid w:val="622A93E3"/>
    <w:rsid w:val="622BBFAC"/>
    <w:rsid w:val="62338522"/>
    <w:rsid w:val="6233ED49"/>
    <w:rsid w:val="6234D497"/>
    <w:rsid w:val="6234D7DE"/>
    <w:rsid w:val="6237A1D1"/>
    <w:rsid w:val="6239A5B1"/>
    <w:rsid w:val="623BDD66"/>
    <w:rsid w:val="623F9904"/>
    <w:rsid w:val="623FDC00"/>
    <w:rsid w:val="62420B3F"/>
    <w:rsid w:val="624293EC"/>
    <w:rsid w:val="6242BAD1"/>
    <w:rsid w:val="62435EC3"/>
    <w:rsid w:val="6243A57D"/>
    <w:rsid w:val="6246B247"/>
    <w:rsid w:val="62489AE9"/>
    <w:rsid w:val="624DE733"/>
    <w:rsid w:val="6251122D"/>
    <w:rsid w:val="6254D7F7"/>
    <w:rsid w:val="62560FD1"/>
    <w:rsid w:val="6256C2A1"/>
    <w:rsid w:val="62576712"/>
    <w:rsid w:val="62596A94"/>
    <w:rsid w:val="6259BBC0"/>
    <w:rsid w:val="625A0B06"/>
    <w:rsid w:val="625BCC36"/>
    <w:rsid w:val="625C93F0"/>
    <w:rsid w:val="625CC2FE"/>
    <w:rsid w:val="625CDE42"/>
    <w:rsid w:val="625E4FF7"/>
    <w:rsid w:val="625F35D6"/>
    <w:rsid w:val="626072BB"/>
    <w:rsid w:val="6260B40A"/>
    <w:rsid w:val="6262C68F"/>
    <w:rsid w:val="626371A5"/>
    <w:rsid w:val="6264DE73"/>
    <w:rsid w:val="626772C5"/>
    <w:rsid w:val="6268FB45"/>
    <w:rsid w:val="6275DAE2"/>
    <w:rsid w:val="6276D09D"/>
    <w:rsid w:val="6276EC53"/>
    <w:rsid w:val="62799BF6"/>
    <w:rsid w:val="627CC5CC"/>
    <w:rsid w:val="627D3E3A"/>
    <w:rsid w:val="627F26C8"/>
    <w:rsid w:val="6281F128"/>
    <w:rsid w:val="6282712C"/>
    <w:rsid w:val="628651B4"/>
    <w:rsid w:val="6289BE7F"/>
    <w:rsid w:val="6289E2A6"/>
    <w:rsid w:val="628B81AA"/>
    <w:rsid w:val="628C4EC0"/>
    <w:rsid w:val="628CBC8D"/>
    <w:rsid w:val="628DF96E"/>
    <w:rsid w:val="628FA3BD"/>
    <w:rsid w:val="628FEA00"/>
    <w:rsid w:val="62900A27"/>
    <w:rsid w:val="6292C49F"/>
    <w:rsid w:val="62936D70"/>
    <w:rsid w:val="62954ED5"/>
    <w:rsid w:val="6299E300"/>
    <w:rsid w:val="629AE7F3"/>
    <w:rsid w:val="629C47A1"/>
    <w:rsid w:val="629C9ED8"/>
    <w:rsid w:val="62A2761B"/>
    <w:rsid w:val="62A792FA"/>
    <w:rsid w:val="62A99E4F"/>
    <w:rsid w:val="62AE7229"/>
    <w:rsid w:val="62AF2EFC"/>
    <w:rsid w:val="62B2C668"/>
    <w:rsid w:val="62B744C8"/>
    <w:rsid w:val="62B85F16"/>
    <w:rsid w:val="62BBA0B4"/>
    <w:rsid w:val="62BBDED6"/>
    <w:rsid w:val="62C2C55B"/>
    <w:rsid w:val="62C30D09"/>
    <w:rsid w:val="62C41498"/>
    <w:rsid w:val="62C4C1EC"/>
    <w:rsid w:val="62C68026"/>
    <w:rsid w:val="62C68141"/>
    <w:rsid w:val="62C7422A"/>
    <w:rsid w:val="62C90018"/>
    <w:rsid w:val="62CB365E"/>
    <w:rsid w:val="62CC40E6"/>
    <w:rsid w:val="62CC69F9"/>
    <w:rsid w:val="62CD974B"/>
    <w:rsid w:val="62CF8374"/>
    <w:rsid w:val="62D5086F"/>
    <w:rsid w:val="62D6257F"/>
    <w:rsid w:val="62D8215E"/>
    <w:rsid w:val="62D8E08D"/>
    <w:rsid w:val="62DA0FAC"/>
    <w:rsid w:val="62DA4266"/>
    <w:rsid w:val="62DD0F23"/>
    <w:rsid w:val="62DEC769"/>
    <w:rsid w:val="62DF17A8"/>
    <w:rsid w:val="62DF7F29"/>
    <w:rsid w:val="62E0773E"/>
    <w:rsid w:val="62E0AF56"/>
    <w:rsid w:val="62E5F112"/>
    <w:rsid w:val="62E77FFF"/>
    <w:rsid w:val="62E84645"/>
    <w:rsid w:val="62E9DE67"/>
    <w:rsid w:val="62EA3E90"/>
    <w:rsid w:val="62EB58F3"/>
    <w:rsid w:val="62F12052"/>
    <w:rsid w:val="62F52C01"/>
    <w:rsid w:val="62F5D81F"/>
    <w:rsid w:val="62F81F97"/>
    <w:rsid w:val="62FBAE2C"/>
    <w:rsid w:val="62FE7619"/>
    <w:rsid w:val="63008618"/>
    <w:rsid w:val="63012B51"/>
    <w:rsid w:val="6301EF4E"/>
    <w:rsid w:val="6307FA3D"/>
    <w:rsid w:val="63080976"/>
    <w:rsid w:val="630924E7"/>
    <w:rsid w:val="6309B4EC"/>
    <w:rsid w:val="630B1EC8"/>
    <w:rsid w:val="63141219"/>
    <w:rsid w:val="63170E9C"/>
    <w:rsid w:val="631731E2"/>
    <w:rsid w:val="63180561"/>
    <w:rsid w:val="631991BD"/>
    <w:rsid w:val="631BDD80"/>
    <w:rsid w:val="631C453E"/>
    <w:rsid w:val="6320E732"/>
    <w:rsid w:val="6324856D"/>
    <w:rsid w:val="632F1D44"/>
    <w:rsid w:val="6330971A"/>
    <w:rsid w:val="6337141B"/>
    <w:rsid w:val="6337779B"/>
    <w:rsid w:val="633821FC"/>
    <w:rsid w:val="633B2C70"/>
    <w:rsid w:val="633E1CA6"/>
    <w:rsid w:val="6341261A"/>
    <w:rsid w:val="63416792"/>
    <w:rsid w:val="63425194"/>
    <w:rsid w:val="6342B9DB"/>
    <w:rsid w:val="6344715A"/>
    <w:rsid w:val="6347C5A7"/>
    <w:rsid w:val="6348CC52"/>
    <w:rsid w:val="634A3AA7"/>
    <w:rsid w:val="634A4049"/>
    <w:rsid w:val="634DFA23"/>
    <w:rsid w:val="63503626"/>
    <w:rsid w:val="63539CC4"/>
    <w:rsid w:val="635722FE"/>
    <w:rsid w:val="63588D89"/>
    <w:rsid w:val="635A52E7"/>
    <w:rsid w:val="635CCA3C"/>
    <w:rsid w:val="63600D48"/>
    <w:rsid w:val="6361CE75"/>
    <w:rsid w:val="636AE648"/>
    <w:rsid w:val="636AFD28"/>
    <w:rsid w:val="6370F7D0"/>
    <w:rsid w:val="6372D710"/>
    <w:rsid w:val="637565EF"/>
    <w:rsid w:val="637A39AD"/>
    <w:rsid w:val="637F7F43"/>
    <w:rsid w:val="637F8D36"/>
    <w:rsid w:val="6381D740"/>
    <w:rsid w:val="638237D5"/>
    <w:rsid w:val="63848A0B"/>
    <w:rsid w:val="63870129"/>
    <w:rsid w:val="638765E1"/>
    <w:rsid w:val="63884B49"/>
    <w:rsid w:val="6388B503"/>
    <w:rsid w:val="638A1E73"/>
    <w:rsid w:val="638E025D"/>
    <w:rsid w:val="638E51BF"/>
    <w:rsid w:val="63922C8D"/>
    <w:rsid w:val="63923216"/>
    <w:rsid w:val="63952D95"/>
    <w:rsid w:val="63963783"/>
    <w:rsid w:val="639C454C"/>
    <w:rsid w:val="639D6F3A"/>
    <w:rsid w:val="639DA39D"/>
    <w:rsid w:val="639F266E"/>
    <w:rsid w:val="63A0A210"/>
    <w:rsid w:val="63A14D44"/>
    <w:rsid w:val="63A15FB7"/>
    <w:rsid w:val="63A51532"/>
    <w:rsid w:val="63A53848"/>
    <w:rsid w:val="63A55B66"/>
    <w:rsid w:val="63A8544D"/>
    <w:rsid w:val="63A95AB6"/>
    <w:rsid w:val="63AA42A3"/>
    <w:rsid w:val="63AC417C"/>
    <w:rsid w:val="63AD074A"/>
    <w:rsid w:val="63B0510C"/>
    <w:rsid w:val="63B083D0"/>
    <w:rsid w:val="63B0F721"/>
    <w:rsid w:val="63B572AC"/>
    <w:rsid w:val="63B811A9"/>
    <w:rsid w:val="63B8ACC6"/>
    <w:rsid w:val="63B8BFC1"/>
    <w:rsid w:val="63B913A0"/>
    <w:rsid w:val="63BBDF41"/>
    <w:rsid w:val="63C0E8DE"/>
    <w:rsid w:val="63CCFC4D"/>
    <w:rsid w:val="63CDE92F"/>
    <w:rsid w:val="63D9131A"/>
    <w:rsid w:val="63DAFC81"/>
    <w:rsid w:val="63DB3378"/>
    <w:rsid w:val="63DB9B6C"/>
    <w:rsid w:val="63DC844C"/>
    <w:rsid w:val="63DE6EF9"/>
    <w:rsid w:val="63E2CB81"/>
    <w:rsid w:val="63E3B1AB"/>
    <w:rsid w:val="63E7CE75"/>
    <w:rsid w:val="63F13147"/>
    <w:rsid w:val="63F1A32F"/>
    <w:rsid w:val="63F9EEAF"/>
    <w:rsid w:val="63FB287B"/>
    <w:rsid w:val="63FB75B8"/>
    <w:rsid w:val="6400F7D9"/>
    <w:rsid w:val="6401FFE4"/>
    <w:rsid w:val="640522F3"/>
    <w:rsid w:val="64071CAB"/>
    <w:rsid w:val="640A4FF5"/>
    <w:rsid w:val="640F5EBA"/>
    <w:rsid w:val="6410FB14"/>
    <w:rsid w:val="6413FD1C"/>
    <w:rsid w:val="64143A72"/>
    <w:rsid w:val="6417DCAA"/>
    <w:rsid w:val="641FDC89"/>
    <w:rsid w:val="6422894F"/>
    <w:rsid w:val="6422B6DE"/>
    <w:rsid w:val="64233AE4"/>
    <w:rsid w:val="642988D2"/>
    <w:rsid w:val="642B709F"/>
    <w:rsid w:val="642F6E4A"/>
    <w:rsid w:val="642F7000"/>
    <w:rsid w:val="6431A68A"/>
    <w:rsid w:val="64337D2F"/>
    <w:rsid w:val="6434A615"/>
    <w:rsid w:val="6439D2FC"/>
    <w:rsid w:val="643A5A37"/>
    <w:rsid w:val="64409412"/>
    <w:rsid w:val="6441ED0F"/>
    <w:rsid w:val="6443BC62"/>
    <w:rsid w:val="644DEB77"/>
    <w:rsid w:val="644E59F3"/>
    <w:rsid w:val="644F1148"/>
    <w:rsid w:val="644FC450"/>
    <w:rsid w:val="64550E12"/>
    <w:rsid w:val="6455DC0C"/>
    <w:rsid w:val="6455FD4B"/>
    <w:rsid w:val="6456FD4B"/>
    <w:rsid w:val="64579493"/>
    <w:rsid w:val="645948BC"/>
    <w:rsid w:val="645B8A92"/>
    <w:rsid w:val="645C6F17"/>
    <w:rsid w:val="6460C1AF"/>
    <w:rsid w:val="6464D76E"/>
    <w:rsid w:val="6465C415"/>
    <w:rsid w:val="646CE166"/>
    <w:rsid w:val="646E34A6"/>
    <w:rsid w:val="646F34E8"/>
    <w:rsid w:val="64757105"/>
    <w:rsid w:val="647827B2"/>
    <w:rsid w:val="64785584"/>
    <w:rsid w:val="647D78D0"/>
    <w:rsid w:val="647D797F"/>
    <w:rsid w:val="647E6F14"/>
    <w:rsid w:val="64893BBE"/>
    <w:rsid w:val="648B41C7"/>
    <w:rsid w:val="648CC642"/>
    <w:rsid w:val="648D1771"/>
    <w:rsid w:val="648F883B"/>
    <w:rsid w:val="649206E8"/>
    <w:rsid w:val="64937563"/>
    <w:rsid w:val="64941320"/>
    <w:rsid w:val="6494E3CB"/>
    <w:rsid w:val="649528C8"/>
    <w:rsid w:val="649831DD"/>
    <w:rsid w:val="649B0904"/>
    <w:rsid w:val="649BC388"/>
    <w:rsid w:val="649F8FB2"/>
    <w:rsid w:val="64A01361"/>
    <w:rsid w:val="64A023D0"/>
    <w:rsid w:val="64A44ADB"/>
    <w:rsid w:val="64A63534"/>
    <w:rsid w:val="64A6E4E5"/>
    <w:rsid w:val="64A8F569"/>
    <w:rsid w:val="64A9C0F5"/>
    <w:rsid w:val="64AEB7E7"/>
    <w:rsid w:val="64AFA045"/>
    <w:rsid w:val="64B9530D"/>
    <w:rsid w:val="64B975BA"/>
    <w:rsid w:val="64BA98EC"/>
    <w:rsid w:val="64BAD98E"/>
    <w:rsid w:val="64C09241"/>
    <w:rsid w:val="64C272EE"/>
    <w:rsid w:val="64C728FD"/>
    <w:rsid w:val="64CDDC67"/>
    <w:rsid w:val="64CEC6FE"/>
    <w:rsid w:val="64CF3108"/>
    <w:rsid w:val="64CF8582"/>
    <w:rsid w:val="64D0AD1D"/>
    <w:rsid w:val="64D113F3"/>
    <w:rsid w:val="64D11E02"/>
    <w:rsid w:val="64D1D24C"/>
    <w:rsid w:val="64D47461"/>
    <w:rsid w:val="64D4F3D5"/>
    <w:rsid w:val="64D5D7C5"/>
    <w:rsid w:val="64D6064B"/>
    <w:rsid w:val="64D88FFF"/>
    <w:rsid w:val="64DA7B17"/>
    <w:rsid w:val="64DAA11D"/>
    <w:rsid w:val="64DC9877"/>
    <w:rsid w:val="64DE0F91"/>
    <w:rsid w:val="64DE44EF"/>
    <w:rsid w:val="64E119E9"/>
    <w:rsid w:val="64E20E39"/>
    <w:rsid w:val="64EC2164"/>
    <w:rsid w:val="64F0745D"/>
    <w:rsid w:val="64F2B0D5"/>
    <w:rsid w:val="64F39086"/>
    <w:rsid w:val="64F75139"/>
    <w:rsid w:val="64F76629"/>
    <w:rsid w:val="64F7D7D5"/>
    <w:rsid w:val="64FA7324"/>
    <w:rsid w:val="64FEE833"/>
    <w:rsid w:val="64FEFACE"/>
    <w:rsid w:val="650197EC"/>
    <w:rsid w:val="65026C89"/>
    <w:rsid w:val="65028E34"/>
    <w:rsid w:val="6502DCC0"/>
    <w:rsid w:val="65034D07"/>
    <w:rsid w:val="65061DF1"/>
    <w:rsid w:val="65071FFD"/>
    <w:rsid w:val="650C7B44"/>
    <w:rsid w:val="650CB70B"/>
    <w:rsid w:val="650D1754"/>
    <w:rsid w:val="650D6D9E"/>
    <w:rsid w:val="650FD231"/>
    <w:rsid w:val="6511A96E"/>
    <w:rsid w:val="6514228C"/>
    <w:rsid w:val="6514A7CF"/>
    <w:rsid w:val="6518166E"/>
    <w:rsid w:val="6518B098"/>
    <w:rsid w:val="65210BAF"/>
    <w:rsid w:val="6522D58D"/>
    <w:rsid w:val="6524D2D6"/>
    <w:rsid w:val="6524FC44"/>
    <w:rsid w:val="6525DC48"/>
    <w:rsid w:val="652B3DB2"/>
    <w:rsid w:val="652CAD4B"/>
    <w:rsid w:val="652D6D86"/>
    <w:rsid w:val="652EF740"/>
    <w:rsid w:val="652F4717"/>
    <w:rsid w:val="65314D74"/>
    <w:rsid w:val="65376122"/>
    <w:rsid w:val="653AC55E"/>
    <w:rsid w:val="653DF235"/>
    <w:rsid w:val="653E0559"/>
    <w:rsid w:val="6546B344"/>
    <w:rsid w:val="65497237"/>
    <w:rsid w:val="6549C9D9"/>
    <w:rsid w:val="654ABE12"/>
    <w:rsid w:val="654C5ED3"/>
    <w:rsid w:val="654DF4CF"/>
    <w:rsid w:val="6552F028"/>
    <w:rsid w:val="65532055"/>
    <w:rsid w:val="6553ADF1"/>
    <w:rsid w:val="65554F37"/>
    <w:rsid w:val="6555CC8A"/>
    <w:rsid w:val="65564642"/>
    <w:rsid w:val="655D8F91"/>
    <w:rsid w:val="655E0F1F"/>
    <w:rsid w:val="655F9060"/>
    <w:rsid w:val="6564441B"/>
    <w:rsid w:val="6564747F"/>
    <w:rsid w:val="6564937D"/>
    <w:rsid w:val="656502AE"/>
    <w:rsid w:val="65653413"/>
    <w:rsid w:val="6566344A"/>
    <w:rsid w:val="6566A0E3"/>
    <w:rsid w:val="656855BB"/>
    <w:rsid w:val="65695ADD"/>
    <w:rsid w:val="6575B542"/>
    <w:rsid w:val="65763CC5"/>
    <w:rsid w:val="65766C14"/>
    <w:rsid w:val="6576804F"/>
    <w:rsid w:val="65798A06"/>
    <w:rsid w:val="657AEF11"/>
    <w:rsid w:val="6583EA28"/>
    <w:rsid w:val="658512DA"/>
    <w:rsid w:val="65897AF0"/>
    <w:rsid w:val="6589F019"/>
    <w:rsid w:val="658D4976"/>
    <w:rsid w:val="658ED0BD"/>
    <w:rsid w:val="658FC409"/>
    <w:rsid w:val="65903735"/>
    <w:rsid w:val="6590D2FF"/>
    <w:rsid w:val="6591CA74"/>
    <w:rsid w:val="65921A3F"/>
    <w:rsid w:val="6594B1C0"/>
    <w:rsid w:val="6596620B"/>
    <w:rsid w:val="6597094D"/>
    <w:rsid w:val="65993F4C"/>
    <w:rsid w:val="659ADFC8"/>
    <w:rsid w:val="659D2C2F"/>
    <w:rsid w:val="659EE52B"/>
    <w:rsid w:val="65A30B6B"/>
    <w:rsid w:val="65A3E591"/>
    <w:rsid w:val="65A4779E"/>
    <w:rsid w:val="65A69A11"/>
    <w:rsid w:val="65A6A216"/>
    <w:rsid w:val="65A72BE6"/>
    <w:rsid w:val="65A8202D"/>
    <w:rsid w:val="65A8DB02"/>
    <w:rsid w:val="65A9286C"/>
    <w:rsid w:val="65AAB25D"/>
    <w:rsid w:val="65ADC095"/>
    <w:rsid w:val="65AEEF54"/>
    <w:rsid w:val="65AF5CE7"/>
    <w:rsid w:val="65B368B2"/>
    <w:rsid w:val="65B95C3D"/>
    <w:rsid w:val="65BB999A"/>
    <w:rsid w:val="65BBB121"/>
    <w:rsid w:val="65BC22A1"/>
    <w:rsid w:val="65BC8A38"/>
    <w:rsid w:val="65C47795"/>
    <w:rsid w:val="65C78BAB"/>
    <w:rsid w:val="65C7BE61"/>
    <w:rsid w:val="65C7C482"/>
    <w:rsid w:val="65CD9812"/>
    <w:rsid w:val="65CE149B"/>
    <w:rsid w:val="65CE40CF"/>
    <w:rsid w:val="65D05AFB"/>
    <w:rsid w:val="65D17C66"/>
    <w:rsid w:val="65D6E084"/>
    <w:rsid w:val="65D76184"/>
    <w:rsid w:val="65DBCA83"/>
    <w:rsid w:val="65E2874B"/>
    <w:rsid w:val="65E4396A"/>
    <w:rsid w:val="65E620DF"/>
    <w:rsid w:val="65E78F22"/>
    <w:rsid w:val="65E8976E"/>
    <w:rsid w:val="65E9C7B5"/>
    <w:rsid w:val="65EBA1AA"/>
    <w:rsid w:val="65F0CF56"/>
    <w:rsid w:val="65F374C6"/>
    <w:rsid w:val="65F374E0"/>
    <w:rsid w:val="65F43DE9"/>
    <w:rsid w:val="65F8F434"/>
    <w:rsid w:val="65FABD41"/>
    <w:rsid w:val="65FDB2B3"/>
    <w:rsid w:val="65FE1CE4"/>
    <w:rsid w:val="66001C7E"/>
    <w:rsid w:val="6601BD3C"/>
    <w:rsid w:val="66026B70"/>
    <w:rsid w:val="660434AC"/>
    <w:rsid w:val="6609C135"/>
    <w:rsid w:val="660CD7B4"/>
    <w:rsid w:val="660F3D2F"/>
    <w:rsid w:val="6612137A"/>
    <w:rsid w:val="6618158E"/>
    <w:rsid w:val="661B0F6C"/>
    <w:rsid w:val="661CA3E4"/>
    <w:rsid w:val="661DEE1B"/>
    <w:rsid w:val="661E02B6"/>
    <w:rsid w:val="66239A31"/>
    <w:rsid w:val="66246FDF"/>
    <w:rsid w:val="66264CC9"/>
    <w:rsid w:val="662A21E9"/>
    <w:rsid w:val="662AD5E9"/>
    <w:rsid w:val="662C90C9"/>
    <w:rsid w:val="662CF52C"/>
    <w:rsid w:val="662F7CA9"/>
    <w:rsid w:val="662FBCA2"/>
    <w:rsid w:val="66348859"/>
    <w:rsid w:val="663886E0"/>
    <w:rsid w:val="6638A592"/>
    <w:rsid w:val="66398330"/>
    <w:rsid w:val="663BF715"/>
    <w:rsid w:val="663DB91C"/>
    <w:rsid w:val="6640E9C1"/>
    <w:rsid w:val="6641E02D"/>
    <w:rsid w:val="66431C9E"/>
    <w:rsid w:val="66446103"/>
    <w:rsid w:val="66453558"/>
    <w:rsid w:val="66488D2C"/>
    <w:rsid w:val="6648C2CD"/>
    <w:rsid w:val="664A2156"/>
    <w:rsid w:val="664A2D4E"/>
    <w:rsid w:val="664C8BDE"/>
    <w:rsid w:val="6650D5F9"/>
    <w:rsid w:val="66547FED"/>
    <w:rsid w:val="665796F2"/>
    <w:rsid w:val="6658E332"/>
    <w:rsid w:val="66597631"/>
    <w:rsid w:val="665B1D67"/>
    <w:rsid w:val="665D03E2"/>
    <w:rsid w:val="665ED805"/>
    <w:rsid w:val="6662886F"/>
    <w:rsid w:val="66647136"/>
    <w:rsid w:val="6668262F"/>
    <w:rsid w:val="6668A51E"/>
    <w:rsid w:val="666E02E2"/>
    <w:rsid w:val="66724421"/>
    <w:rsid w:val="66740465"/>
    <w:rsid w:val="66761ED2"/>
    <w:rsid w:val="6677BB40"/>
    <w:rsid w:val="66790E96"/>
    <w:rsid w:val="6679C8DD"/>
    <w:rsid w:val="667AEA9C"/>
    <w:rsid w:val="667EB49B"/>
    <w:rsid w:val="667F918F"/>
    <w:rsid w:val="66859DE5"/>
    <w:rsid w:val="66869180"/>
    <w:rsid w:val="668AAF76"/>
    <w:rsid w:val="668FDE57"/>
    <w:rsid w:val="668FFED7"/>
    <w:rsid w:val="6692C979"/>
    <w:rsid w:val="6694C68A"/>
    <w:rsid w:val="6698939B"/>
    <w:rsid w:val="6699E18B"/>
    <w:rsid w:val="669D737F"/>
    <w:rsid w:val="669EC5A2"/>
    <w:rsid w:val="66A2A4DF"/>
    <w:rsid w:val="66A4F209"/>
    <w:rsid w:val="66AF86CC"/>
    <w:rsid w:val="66B117A5"/>
    <w:rsid w:val="66B20404"/>
    <w:rsid w:val="66B41656"/>
    <w:rsid w:val="66B69976"/>
    <w:rsid w:val="66B848E4"/>
    <w:rsid w:val="66B9A85D"/>
    <w:rsid w:val="66BC9D72"/>
    <w:rsid w:val="66BDE2E4"/>
    <w:rsid w:val="66BEF610"/>
    <w:rsid w:val="66C2CE27"/>
    <w:rsid w:val="66C4A670"/>
    <w:rsid w:val="66C72D71"/>
    <w:rsid w:val="66CC76BF"/>
    <w:rsid w:val="66CDEF88"/>
    <w:rsid w:val="66CF4B12"/>
    <w:rsid w:val="66D4EC07"/>
    <w:rsid w:val="66D66E44"/>
    <w:rsid w:val="66D7749F"/>
    <w:rsid w:val="66D7B3A4"/>
    <w:rsid w:val="66D9559D"/>
    <w:rsid w:val="66D9BC33"/>
    <w:rsid w:val="66D9D5F0"/>
    <w:rsid w:val="66DBEED9"/>
    <w:rsid w:val="66DDD3C4"/>
    <w:rsid w:val="66E1B512"/>
    <w:rsid w:val="66E556AE"/>
    <w:rsid w:val="66E84858"/>
    <w:rsid w:val="66E9F3A8"/>
    <w:rsid w:val="66EA7E70"/>
    <w:rsid w:val="66EABAC4"/>
    <w:rsid w:val="66EC5640"/>
    <w:rsid w:val="66ECEDC1"/>
    <w:rsid w:val="66F39B9E"/>
    <w:rsid w:val="66F4BDAB"/>
    <w:rsid w:val="66F6972D"/>
    <w:rsid w:val="66F847F1"/>
    <w:rsid w:val="66F9AE79"/>
    <w:rsid w:val="66FA6983"/>
    <w:rsid w:val="66FAD757"/>
    <w:rsid w:val="66FDA932"/>
    <w:rsid w:val="66FE9B15"/>
    <w:rsid w:val="67027757"/>
    <w:rsid w:val="67056250"/>
    <w:rsid w:val="6707CDF5"/>
    <w:rsid w:val="670E722E"/>
    <w:rsid w:val="6712567D"/>
    <w:rsid w:val="6713D66D"/>
    <w:rsid w:val="6718D0FE"/>
    <w:rsid w:val="67193F91"/>
    <w:rsid w:val="671C72D3"/>
    <w:rsid w:val="671E3345"/>
    <w:rsid w:val="671E3DD6"/>
    <w:rsid w:val="6720DF3F"/>
    <w:rsid w:val="6720F52F"/>
    <w:rsid w:val="67217681"/>
    <w:rsid w:val="6724381C"/>
    <w:rsid w:val="6729DC46"/>
    <w:rsid w:val="672DE6B9"/>
    <w:rsid w:val="672ED839"/>
    <w:rsid w:val="6731803B"/>
    <w:rsid w:val="6733EEDA"/>
    <w:rsid w:val="6736B54D"/>
    <w:rsid w:val="6736E1BA"/>
    <w:rsid w:val="6739A78B"/>
    <w:rsid w:val="6739B611"/>
    <w:rsid w:val="674001BF"/>
    <w:rsid w:val="67425519"/>
    <w:rsid w:val="6742DE65"/>
    <w:rsid w:val="67443221"/>
    <w:rsid w:val="6744EDD8"/>
    <w:rsid w:val="6745930D"/>
    <w:rsid w:val="6747A209"/>
    <w:rsid w:val="6748E32C"/>
    <w:rsid w:val="674B4F86"/>
    <w:rsid w:val="674C01AE"/>
    <w:rsid w:val="674DB020"/>
    <w:rsid w:val="67509288"/>
    <w:rsid w:val="6752BD89"/>
    <w:rsid w:val="6758C5AB"/>
    <w:rsid w:val="6759EE13"/>
    <w:rsid w:val="6759F28B"/>
    <w:rsid w:val="675B8367"/>
    <w:rsid w:val="675E2A4A"/>
    <w:rsid w:val="675F6534"/>
    <w:rsid w:val="675FC316"/>
    <w:rsid w:val="6760F279"/>
    <w:rsid w:val="6763B304"/>
    <w:rsid w:val="6766748C"/>
    <w:rsid w:val="67677CD3"/>
    <w:rsid w:val="6768368B"/>
    <w:rsid w:val="6769A784"/>
    <w:rsid w:val="6769F8C9"/>
    <w:rsid w:val="676B0573"/>
    <w:rsid w:val="67775F01"/>
    <w:rsid w:val="677B29B4"/>
    <w:rsid w:val="677D7964"/>
    <w:rsid w:val="677DC9D2"/>
    <w:rsid w:val="677DD8E1"/>
    <w:rsid w:val="677F7675"/>
    <w:rsid w:val="6780AE33"/>
    <w:rsid w:val="6781FD43"/>
    <w:rsid w:val="6782B8BB"/>
    <w:rsid w:val="67844295"/>
    <w:rsid w:val="67864750"/>
    <w:rsid w:val="67877F57"/>
    <w:rsid w:val="67892CB0"/>
    <w:rsid w:val="678D778B"/>
    <w:rsid w:val="678EB598"/>
    <w:rsid w:val="679469D5"/>
    <w:rsid w:val="6795A3C2"/>
    <w:rsid w:val="6799A69F"/>
    <w:rsid w:val="679A6E92"/>
    <w:rsid w:val="679C98FA"/>
    <w:rsid w:val="67A3F1D6"/>
    <w:rsid w:val="67AB0E68"/>
    <w:rsid w:val="67ADC931"/>
    <w:rsid w:val="67B20A5F"/>
    <w:rsid w:val="67B3E7BE"/>
    <w:rsid w:val="67B7040B"/>
    <w:rsid w:val="67B75098"/>
    <w:rsid w:val="67B7AF94"/>
    <w:rsid w:val="67BA10DA"/>
    <w:rsid w:val="67BD91E9"/>
    <w:rsid w:val="67BE186C"/>
    <w:rsid w:val="67BF5B44"/>
    <w:rsid w:val="67C429BC"/>
    <w:rsid w:val="67C82AB6"/>
    <w:rsid w:val="67C967BF"/>
    <w:rsid w:val="67CC8D19"/>
    <w:rsid w:val="67CE56E7"/>
    <w:rsid w:val="67D3AA27"/>
    <w:rsid w:val="67D61238"/>
    <w:rsid w:val="67D84E05"/>
    <w:rsid w:val="67D969A5"/>
    <w:rsid w:val="67DA7D0E"/>
    <w:rsid w:val="67E063E3"/>
    <w:rsid w:val="67E0823F"/>
    <w:rsid w:val="67E227E9"/>
    <w:rsid w:val="67E261AE"/>
    <w:rsid w:val="67E37B64"/>
    <w:rsid w:val="67E61DC3"/>
    <w:rsid w:val="67E6D646"/>
    <w:rsid w:val="67E7C6E9"/>
    <w:rsid w:val="67ECD7B2"/>
    <w:rsid w:val="67EE0B9F"/>
    <w:rsid w:val="67EF9EA7"/>
    <w:rsid w:val="67F18E62"/>
    <w:rsid w:val="67F24263"/>
    <w:rsid w:val="67F586F7"/>
    <w:rsid w:val="67F5F9D7"/>
    <w:rsid w:val="67F796C8"/>
    <w:rsid w:val="67F855E7"/>
    <w:rsid w:val="67FD2223"/>
    <w:rsid w:val="67FD383F"/>
    <w:rsid w:val="67FD45EE"/>
    <w:rsid w:val="68013BB8"/>
    <w:rsid w:val="6802DE49"/>
    <w:rsid w:val="6803CA26"/>
    <w:rsid w:val="6805D631"/>
    <w:rsid w:val="68069131"/>
    <w:rsid w:val="68073C03"/>
    <w:rsid w:val="6808E83D"/>
    <w:rsid w:val="680A0765"/>
    <w:rsid w:val="680E838A"/>
    <w:rsid w:val="680EA2D6"/>
    <w:rsid w:val="680EB109"/>
    <w:rsid w:val="681213BE"/>
    <w:rsid w:val="6812B10D"/>
    <w:rsid w:val="681346E7"/>
    <w:rsid w:val="6817B0DE"/>
    <w:rsid w:val="6819B468"/>
    <w:rsid w:val="681BFA20"/>
    <w:rsid w:val="682402E3"/>
    <w:rsid w:val="682746C2"/>
    <w:rsid w:val="6828E450"/>
    <w:rsid w:val="682947D4"/>
    <w:rsid w:val="68298CCD"/>
    <w:rsid w:val="682B45CB"/>
    <w:rsid w:val="683AF9A8"/>
    <w:rsid w:val="68408289"/>
    <w:rsid w:val="6840C7AB"/>
    <w:rsid w:val="68442997"/>
    <w:rsid w:val="68473898"/>
    <w:rsid w:val="6847B2C5"/>
    <w:rsid w:val="684C9903"/>
    <w:rsid w:val="684F30D1"/>
    <w:rsid w:val="68545FA6"/>
    <w:rsid w:val="6854F946"/>
    <w:rsid w:val="68557B78"/>
    <w:rsid w:val="6855E7DD"/>
    <w:rsid w:val="6857C66F"/>
    <w:rsid w:val="68591293"/>
    <w:rsid w:val="685BC391"/>
    <w:rsid w:val="685F55B2"/>
    <w:rsid w:val="6863160A"/>
    <w:rsid w:val="6863C87F"/>
    <w:rsid w:val="6864A437"/>
    <w:rsid w:val="68661E4E"/>
    <w:rsid w:val="6872E253"/>
    <w:rsid w:val="68743BEB"/>
    <w:rsid w:val="6874BF34"/>
    <w:rsid w:val="68810439"/>
    <w:rsid w:val="68830633"/>
    <w:rsid w:val="6886EC22"/>
    <w:rsid w:val="688D34ED"/>
    <w:rsid w:val="688EDD65"/>
    <w:rsid w:val="68909A74"/>
    <w:rsid w:val="68911EFD"/>
    <w:rsid w:val="6891FE0C"/>
    <w:rsid w:val="6895055F"/>
    <w:rsid w:val="68957F5B"/>
    <w:rsid w:val="689CFC06"/>
    <w:rsid w:val="68A103D6"/>
    <w:rsid w:val="68A23D3F"/>
    <w:rsid w:val="68A265ED"/>
    <w:rsid w:val="68A2D163"/>
    <w:rsid w:val="68A35ED1"/>
    <w:rsid w:val="68A43831"/>
    <w:rsid w:val="68A484EF"/>
    <w:rsid w:val="68A7BA20"/>
    <w:rsid w:val="68A9D139"/>
    <w:rsid w:val="68A9EA4D"/>
    <w:rsid w:val="68AC82DB"/>
    <w:rsid w:val="68ACB250"/>
    <w:rsid w:val="68AD213A"/>
    <w:rsid w:val="68AD3836"/>
    <w:rsid w:val="68AD4CB3"/>
    <w:rsid w:val="68AE29C5"/>
    <w:rsid w:val="68AE3B74"/>
    <w:rsid w:val="68B038EA"/>
    <w:rsid w:val="68B1E8EA"/>
    <w:rsid w:val="68B52746"/>
    <w:rsid w:val="68B5EF2B"/>
    <w:rsid w:val="68B61114"/>
    <w:rsid w:val="68B68386"/>
    <w:rsid w:val="68C05B51"/>
    <w:rsid w:val="68C3946E"/>
    <w:rsid w:val="68C54CEB"/>
    <w:rsid w:val="68CB31C8"/>
    <w:rsid w:val="68CC41D5"/>
    <w:rsid w:val="68CE3CDB"/>
    <w:rsid w:val="68D480E0"/>
    <w:rsid w:val="68D5E7A9"/>
    <w:rsid w:val="68D6AF83"/>
    <w:rsid w:val="68D7298F"/>
    <w:rsid w:val="68D74BB0"/>
    <w:rsid w:val="68D78F9F"/>
    <w:rsid w:val="68D876A5"/>
    <w:rsid w:val="68DCE97A"/>
    <w:rsid w:val="68DE3EA4"/>
    <w:rsid w:val="68DF6FB0"/>
    <w:rsid w:val="68E196BD"/>
    <w:rsid w:val="68E3FC20"/>
    <w:rsid w:val="68E57334"/>
    <w:rsid w:val="68E9607E"/>
    <w:rsid w:val="68EDF727"/>
    <w:rsid w:val="68F348F4"/>
    <w:rsid w:val="68F47171"/>
    <w:rsid w:val="68F594E5"/>
    <w:rsid w:val="68F73392"/>
    <w:rsid w:val="68F98BAB"/>
    <w:rsid w:val="68F99E34"/>
    <w:rsid w:val="68FA1AD2"/>
    <w:rsid w:val="68FD444B"/>
    <w:rsid w:val="68FE05AD"/>
    <w:rsid w:val="69000C28"/>
    <w:rsid w:val="69013115"/>
    <w:rsid w:val="69020C37"/>
    <w:rsid w:val="6903013F"/>
    <w:rsid w:val="6903BFB8"/>
    <w:rsid w:val="69059B06"/>
    <w:rsid w:val="69130FB3"/>
    <w:rsid w:val="69141D63"/>
    <w:rsid w:val="6915C233"/>
    <w:rsid w:val="6916592D"/>
    <w:rsid w:val="691F2426"/>
    <w:rsid w:val="691F4701"/>
    <w:rsid w:val="6925CCF0"/>
    <w:rsid w:val="69264BD8"/>
    <w:rsid w:val="6936576E"/>
    <w:rsid w:val="69383B4E"/>
    <w:rsid w:val="69397854"/>
    <w:rsid w:val="69398688"/>
    <w:rsid w:val="6939F0D0"/>
    <w:rsid w:val="693C72B6"/>
    <w:rsid w:val="693EFB0C"/>
    <w:rsid w:val="69458B82"/>
    <w:rsid w:val="69466E2A"/>
    <w:rsid w:val="69482E94"/>
    <w:rsid w:val="694932AE"/>
    <w:rsid w:val="694B718C"/>
    <w:rsid w:val="694BB446"/>
    <w:rsid w:val="694BE17F"/>
    <w:rsid w:val="69505967"/>
    <w:rsid w:val="69518AD2"/>
    <w:rsid w:val="6957E32B"/>
    <w:rsid w:val="69591891"/>
    <w:rsid w:val="695A3ECA"/>
    <w:rsid w:val="695B7FDC"/>
    <w:rsid w:val="69607ABF"/>
    <w:rsid w:val="696111D9"/>
    <w:rsid w:val="6961BCD7"/>
    <w:rsid w:val="69629531"/>
    <w:rsid w:val="6962FD52"/>
    <w:rsid w:val="6963F7A9"/>
    <w:rsid w:val="6965D683"/>
    <w:rsid w:val="696667BC"/>
    <w:rsid w:val="696ADABF"/>
    <w:rsid w:val="696C09C1"/>
    <w:rsid w:val="696D9A30"/>
    <w:rsid w:val="6970AE0E"/>
    <w:rsid w:val="6974A3B2"/>
    <w:rsid w:val="6979313D"/>
    <w:rsid w:val="697AA2C5"/>
    <w:rsid w:val="697ADD81"/>
    <w:rsid w:val="697AEDCB"/>
    <w:rsid w:val="697F4A64"/>
    <w:rsid w:val="69845B96"/>
    <w:rsid w:val="69866108"/>
    <w:rsid w:val="6987B2EF"/>
    <w:rsid w:val="6988DB18"/>
    <w:rsid w:val="698C9623"/>
    <w:rsid w:val="698DC1C0"/>
    <w:rsid w:val="698F96F7"/>
    <w:rsid w:val="699151FF"/>
    <w:rsid w:val="6993EA76"/>
    <w:rsid w:val="69940B9B"/>
    <w:rsid w:val="699429AF"/>
    <w:rsid w:val="69948B20"/>
    <w:rsid w:val="69950211"/>
    <w:rsid w:val="6995F218"/>
    <w:rsid w:val="6996A0F9"/>
    <w:rsid w:val="6996E50A"/>
    <w:rsid w:val="69995954"/>
    <w:rsid w:val="6999F255"/>
    <w:rsid w:val="699AD94D"/>
    <w:rsid w:val="699DB00D"/>
    <w:rsid w:val="69A465F5"/>
    <w:rsid w:val="69A507D7"/>
    <w:rsid w:val="69A5308F"/>
    <w:rsid w:val="69A75744"/>
    <w:rsid w:val="69A79E21"/>
    <w:rsid w:val="69A8121E"/>
    <w:rsid w:val="69A8CCB8"/>
    <w:rsid w:val="69ABF823"/>
    <w:rsid w:val="69ACE481"/>
    <w:rsid w:val="69AD2801"/>
    <w:rsid w:val="69AD695B"/>
    <w:rsid w:val="69AE0174"/>
    <w:rsid w:val="69AFA848"/>
    <w:rsid w:val="69B6361D"/>
    <w:rsid w:val="69B636A8"/>
    <w:rsid w:val="69B703DC"/>
    <w:rsid w:val="69BA6129"/>
    <w:rsid w:val="69BEDE6D"/>
    <w:rsid w:val="69BF45F6"/>
    <w:rsid w:val="69BF86C4"/>
    <w:rsid w:val="69C1A3FA"/>
    <w:rsid w:val="69C227F6"/>
    <w:rsid w:val="69C2DD33"/>
    <w:rsid w:val="69C790D0"/>
    <w:rsid w:val="69C88C4F"/>
    <w:rsid w:val="69C88D84"/>
    <w:rsid w:val="69CB139A"/>
    <w:rsid w:val="69CB1785"/>
    <w:rsid w:val="69CD9A41"/>
    <w:rsid w:val="69CE65B8"/>
    <w:rsid w:val="69CEA02F"/>
    <w:rsid w:val="69CF55AE"/>
    <w:rsid w:val="69D06F66"/>
    <w:rsid w:val="69D24AB9"/>
    <w:rsid w:val="69D26CF2"/>
    <w:rsid w:val="69D2D762"/>
    <w:rsid w:val="69D82C49"/>
    <w:rsid w:val="69D9057B"/>
    <w:rsid w:val="69DD8F56"/>
    <w:rsid w:val="69DECFE0"/>
    <w:rsid w:val="69DFDA1F"/>
    <w:rsid w:val="69E17A3B"/>
    <w:rsid w:val="69E32AEA"/>
    <w:rsid w:val="69E3F915"/>
    <w:rsid w:val="69E5EE05"/>
    <w:rsid w:val="69ECAC3E"/>
    <w:rsid w:val="69ED317C"/>
    <w:rsid w:val="69EEA0B4"/>
    <w:rsid w:val="69F39B9B"/>
    <w:rsid w:val="69F7339D"/>
    <w:rsid w:val="69F7410C"/>
    <w:rsid w:val="69FED7C8"/>
    <w:rsid w:val="6A003507"/>
    <w:rsid w:val="6A046A6F"/>
    <w:rsid w:val="6A05D13A"/>
    <w:rsid w:val="6A069585"/>
    <w:rsid w:val="6A06D88B"/>
    <w:rsid w:val="6A06D995"/>
    <w:rsid w:val="6A087FB4"/>
    <w:rsid w:val="6A0D6878"/>
    <w:rsid w:val="6A0DAE8A"/>
    <w:rsid w:val="6A107B86"/>
    <w:rsid w:val="6A15F7D0"/>
    <w:rsid w:val="6A1A0A1F"/>
    <w:rsid w:val="6A1AACC8"/>
    <w:rsid w:val="6A1AFA3C"/>
    <w:rsid w:val="6A1D0BC2"/>
    <w:rsid w:val="6A1D7AF3"/>
    <w:rsid w:val="6A1DF6D1"/>
    <w:rsid w:val="6A24AB5D"/>
    <w:rsid w:val="6A263F34"/>
    <w:rsid w:val="6A2765AD"/>
    <w:rsid w:val="6A287283"/>
    <w:rsid w:val="6A2D8808"/>
    <w:rsid w:val="6A2F5AAE"/>
    <w:rsid w:val="6A308296"/>
    <w:rsid w:val="6A312A0C"/>
    <w:rsid w:val="6A314C49"/>
    <w:rsid w:val="6A32376C"/>
    <w:rsid w:val="6A33E0C5"/>
    <w:rsid w:val="6A3E3590"/>
    <w:rsid w:val="6A3E4BC0"/>
    <w:rsid w:val="6A3FF89B"/>
    <w:rsid w:val="6A42C04E"/>
    <w:rsid w:val="6A47717D"/>
    <w:rsid w:val="6A4935CF"/>
    <w:rsid w:val="6A4ABE4A"/>
    <w:rsid w:val="6A4ACD98"/>
    <w:rsid w:val="6A4BBF10"/>
    <w:rsid w:val="6A4D0526"/>
    <w:rsid w:val="6A4D89D6"/>
    <w:rsid w:val="6A4E75B7"/>
    <w:rsid w:val="6A4E987B"/>
    <w:rsid w:val="6A4F6821"/>
    <w:rsid w:val="6A4FC1FF"/>
    <w:rsid w:val="6A505616"/>
    <w:rsid w:val="6A541C94"/>
    <w:rsid w:val="6A549127"/>
    <w:rsid w:val="6A5602AF"/>
    <w:rsid w:val="6A569683"/>
    <w:rsid w:val="6A573A34"/>
    <w:rsid w:val="6A58388B"/>
    <w:rsid w:val="6A5A8F8B"/>
    <w:rsid w:val="6A5C1F37"/>
    <w:rsid w:val="6A5F6002"/>
    <w:rsid w:val="6A60FF8F"/>
    <w:rsid w:val="6A6284A2"/>
    <w:rsid w:val="6A66CD67"/>
    <w:rsid w:val="6A67CA57"/>
    <w:rsid w:val="6A694DB7"/>
    <w:rsid w:val="6A6B35B6"/>
    <w:rsid w:val="6A7247EB"/>
    <w:rsid w:val="6A799D04"/>
    <w:rsid w:val="6A7CB909"/>
    <w:rsid w:val="6A7D9B3E"/>
    <w:rsid w:val="6A7DBC2F"/>
    <w:rsid w:val="6A7EEBE6"/>
    <w:rsid w:val="6A818F7A"/>
    <w:rsid w:val="6A84631B"/>
    <w:rsid w:val="6A85FB0C"/>
    <w:rsid w:val="6A8B4EBB"/>
    <w:rsid w:val="6A904CC3"/>
    <w:rsid w:val="6A915694"/>
    <w:rsid w:val="6A94E89D"/>
    <w:rsid w:val="6A9D7426"/>
    <w:rsid w:val="6A9DB052"/>
    <w:rsid w:val="6A9FEF14"/>
    <w:rsid w:val="6A9FF860"/>
    <w:rsid w:val="6AA41D66"/>
    <w:rsid w:val="6AA7EBDA"/>
    <w:rsid w:val="6AA83765"/>
    <w:rsid w:val="6AA99128"/>
    <w:rsid w:val="6AAC8F48"/>
    <w:rsid w:val="6AAEC37C"/>
    <w:rsid w:val="6AB163D6"/>
    <w:rsid w:val="6AB4C8C7"/>
    <w:rsid w:val="6AB6EA0D"/>
    <w:rsid w:val="6ABE11F5"/>
    <w:rsid w:val="6AC05A07"/>
    <w:rsid w:val="6AC21DF1"/>
    <w:rsid w:val="6AC431D8"/>
    <w:rsid w:val="6ACCFCB7"/>
    <w:rsid w:val="6ACD4F7E"/>
    <w:rsid w:val="6ACE59DE"/>
    <w:rsid w:val="6AD07549"/>
    <w:rsid w:val="6AD3BF8D"/>
    <w:rsid w:val="6AD7336F"/>
    <w:rsid w:val="6AD807BE"/>
    <w:rsid w:val="6ADB1E48"/>
    <w:rsid w:val="6ADC0619"/>
    <w:rsid w:val="6ADE161B"/>
    <w:rsid w:val="6AE373E2"/>
    <w:rsid w:val="6AE3C732"/>
    <w:rsid w:val="6AE4A459"/>
    <w:rsid w:val="6AE6AC94"/>
    <w:rsid w:val="6AEC6D70"/>
    <w:rsid w:val="6AED317A"/>
    <w:rsid w:val="6AEF953A"/>
    <w:rsid w:val="6AF0D05B"/>
    <w:rsid w:val="6AF1D6FF"/>
    <w:rsid w:val="6AF2985D"/>
    <w:rsid w:val="6AF43877"/>
    <w:rsid w:val="6AF6A114"/>
    <w:rsid w:val="6AF6D870"/>
    <w:rsid w:val="6AFA05A9"/>
    <w:rsid w:val="6AFCB70C"/>
    <w:rsid w:val="6AFDC8BE"/>
    <w:rsid w:val="6B0426B1"/>
    <w:rsid w:val="6B04A5DB"/>
    <w:rsid w:val="6B06E64D"/>
    <w:rsid w:val="6B06F0A3"/>
    <w:rsid w:val="6B07D14F"/>
    <w:rsid w:val="6B08C48D"/>
    <w:rsid w:val="6B09983A"/>
    <w:rsid w:val="6B0C60AF"/>
    <w:rsid w:val="6B0F60E6"/>
    <w:rsid w:val="6B0FF2E9"/>
    <w:rsid w:val="6B12308C"/>
    <w:rsid w:val="6B12524A"/>
    <w:rsid w:val="6B14BBAD"/>
    <w:rsid w:val="6B160BE9"/>
    <w:rsid w:val="6B194FF6"/>
    <w:rsid w:val="6B1BF125"/>
    <w:rsid w:val="6B1D8983"/>
    <w:rsid w:val="6B1E9AD8"/>
    <w:rsid w:val="6B21D6C1"/>
    <w:rsid w:val="6B2419C9"/>
    <w:rsid w:val="6B255CDE"/>
    <w:rsid w:val="6B25924A"/>
    <w:rsid w:val="6B26B327"/>
    <w:rsid w:val="6B2901A0"/>
    <w:rsid w:val="6B379040"/>
    <w:rsid w:val="6B3834D0"/>
    <w:rsid w:val="6B3964E0"/>
    <w:rsid w:val="6B3AE75C"/>
    <w:rsid w:val="6B3BF4AF"/>
    <w:rsid w:val="6B3CA4FB"/>
    <w:rsid w:val="6B3CDEF3"/>
    <w:rsid w:val="6B3D25EF"/>
    <w:rsid w:val="6B3E5235"/>
    <w:rsid w:val="6B40506B"/>
    <w:rsid w:val="6B41175C"/>
    <w:rsid w:val="6B415296"/>
    <w:rsid w:val="6B43F37D"/>
    <w:rsid w:val="6B46047E"/>
    <w:rsid w:val="6B469A5B"/>
    <w:rsid w:val="6B481550"/>
    <w:rsid w:val="6B482C1D"/>
    <w:rsid w:val="6B49E080"/>
    <w:rsid w:val="6B4E1D04"/>
    <w:rsid w:val="6B4EB0FD"/>
    <w:rsid w:val="6B4F452B"/>
    <w:rsid w:val="6B4F4FE3"/>
    <w:rsid w:val="6B5285A4"/>
    <w:rsid w:val="6B5D7523"/>
    <w:rsid w:val="6B60EBDC"/>
    <w:rsid w:val="6B6150BF"/>
    <w:rsid w:val="6B6296C4"/>
    <w:rsid w:val="6B660348"/>
    <w:rsid w:val="6B689F60"/>
    <w:rsid w:val="6B68B5A4"/>
    <w:rsid w:val="6B68E040"/>
    <w:rsid w:val="6B69E9F3"/>
    <w:rsid w:val="6B6ABCC6"/>
    <w:rsid w:val="6B6CF05F"/>
    <w:rsid w:val="6B6EC46C"/>
    <w:rsid w:val="6B6F359F"/>
    <w:rsid w:val="6B72DCE6"/>
    <w:rsid w:val="6B72E78A"/>
    <w:rsid w:val="6B77B8FD"/>
    <w:rsid w:val="6B7ACF31"/>
    <w:rsid w:val="6B7B8C5C"/>
    <w:rsid w:val="6B7DA8CA"/>
    <w:rsid w:val="6B80D694"/>
    <w:rsid w:val="6B82B540"/>
    <w:rsid w:val="6B840CEC"/>
    <w:rsid w:val="6B8A1E8A"/>
    <w:rsid w:val="6B8CADD0"/>
    <w:rsid w:val="6B8CC28F"/>
    <w:rsid w:val="6B8D55DC"/>
    <w:rsid w:val="6B90CF92"/>
    <w:rsid w:val="6B910483"/>
    <w:rsid w:val="6B95F93E"/>
    <w:rsid w:val="6B967D3B"/>
    <w:rsid w:val="6B979BFF"/>
    <w:rsid w:val="6B9910BE"/>
    <w:rsid w:val="6B991344"/>
    <w:rsid w:val="6B995853"/>
    <w:rsid w:val="6B99F0F2"/>
    <w:rsid w:val="6B9A18EF"/>
    <w:rsid w:val="6B9A54C1"/>
    <w:rsid w:val="6BA164E0"/>
    <w:rsid w:val="6BA48503"/>
    <w:rsid w:val="6BA65748"/>
    <w:rsid w:val="6BA861B9"/>
    <w:rsid w:val="6BAA0F10"/>
    <w:rsid w:val="6BAA4EC3"/>
    <w:rsid w:val="6BAA6DC6"/>
    <w:rsid w:val="6BAAE62F"/>
    <w:rsid w:val="6BAB1AA4"/>
    <w:rsid w:val="6BAF6219"/>
    <w:rsid w:val="6BB1F875"/>
    <w:rsid w:val="6BB6412F"/>
    <w:rsid w:val="6BB942A4"/>
    <w:rsid w:val="6BBAEF21"/>
    <w:rsid w:val="6BBBC963"/>
    <w:rsid w:val="6BBCFEE3"/>
    <w:rsid w:val="6BBD90C7"/>
    <w:rsid w:val="6BC04F76"/>
    <w:rsid w:val="6BC08C36"/>
    <w:rsid w:val="6BC31C44"/>
    <w:rsid w:val="6BC5F58F"/>
    <w:rsid w:val="6BC87EF5"/>
    <w:rsid w:val="6BC9EB71"/>
    <w:rsid w:val="6BCA7AD2"/>
    <w:rsid w:val="6BCCB813"/>
    <w:rsid w:val="6BCF83A8"/>
    <w:rsid w:val="6BD1D1E0"/>
    <w:rsid w:val="6BD24FA8"/>
    <w:rsid w:val="6BD31E43"/>
    <w:rsid w:val="6BD41670"/>
    <w:rsid w:val="6BD481AA"/>
    <w:rsid w:val="6BD4D813"/>
    <w:rsid w:val="6BD69B5D"/>
    <w:rsid w:val="6BD9977B"/>
    <w:rsid w:val="6BDDB3F6"/>
    <w:rsid w:val="6BE13101"/>
    <w:rsid w:val="6BE1999A"/>
    <w:rsid w:val="6BE34EA2"/>
    <w:rsid w:val="6BE81ABB"/>
    <w:rsid w:val="6BE995AD"/>
    <w:rsid w:val="6BEE14D8"/>
    <w:rsid w:val="6BEE798B"/>
    <w:rsid w:val="6BEE8BD0"/>
    <w:rsid w:val="6BEED7D9"/>
    <w:rsid w:val="6BF1F566"/>
    <w:rsid w:val="6BF2FAA4"/>
    <w:rsid w:val="6BF355BE"/>
    <w:rsid w:val="6BF40728"/>
    <w:rsid w:val="6BF9B507"/>
    <w:rsid w:val="6BFA9A8A"/>
    <w:rsid w:val="6BFAACC7"/>
    <w:rsid w:val="6BFC1ED3"/>
    <w:rsid w:val="6BFE4388"/>
    <w:rsid w:val="6C008B45"/>
    <w:rsid w:val="6C014113"/>
    <w:rsid w:val="6C05B174"/>
    <w:rsid w:val="6C08D3BD"/>
    <w:rsid w:val="6C0CDA33"/>
    <w:rsid w:val="6C0D4B2E"/>
    <w:rsid w:val="6C10F2E5"/>
    <w:rsid w:val="6C120B0A"/>
    <w:rsid w:val="6C17C722"/>
    <w:rsid w:val="6C185D8D"/>
    <w:rsid w:val="6C18973E"/>
    <w:rsid w:val="6C19916F"/>
    <w:rsid w:val="6C1E98DA"/>
    <w:rsid w:val="6C2504E8"/>
    <w:rsid w:val="6C2612C3"/>
    <w:rsid w:val="6C2BA58F"/>
    <w:rsid w:val="6C2D066E"/>
    <w:rsid w:val="6C2D5D10"/>
    <w:rsid w:val="6C2E0FB1"/>
    <w:rsid w:val="6C2E9D11"/>
    <w:rsid w:val="6C36F4BE"/>
    <w:rsid w:val="6C3894FB"/>
    <w:rsid w:val="6C3AB610"/>
    <w:rsid w:val="6C3D72C6"/>
    <w:rsid w:val="6C3ED3CB"/>
    <w:rsid w:val="6C43ADF2"/>
    <w:rsid w:val="6C448F88"/>
    <w:rsid w:val="6C4A946F"/>
    <w:rsid w:val="6C4BE5EA"/>
    <w:rsid w:val="6C5224FE"/>
    <w:rsid w:val="6C551B3E"/>
    <w:rsid w:val="6C5796F4"/>
    <w:rsid w:val="6C5C8307"/>
    <w:rsid w:val="6C5E25CA"/>
    <w:rsid w:val="6C5F2958"/>
    <w:rsid w:val="6C6652C8"/>
    <w:rsid w:val="6C6876FF"/>
    <w:rsid w:val="6C6902A1"/>
    <w:rsid w:val="6C69B4E5"/>
    <w:rsid w:val="6C6AD40D"/>
    <w:rsid w:val="6C6B38F1"/>
    <w:rsid w:val="6C6E10A1"/>
    <w:rsid w:val="6C6F339B"/>
    <w:rsid w:val="6C711FD5"/>
    <w:rsid w:val="6C7477B2"/>
    <w:rsid w:val="6C7517E2"/>
    <w:rsid w:val="6C7910A1"/>
    <w:rsid w:val="6C7A30C4"/>
    <w:rsid w:val="6C7BBAAF"/>
    <w:rsid w:val="6C7D2431"/>
    <w:rsid w:val="6C7E7E66"/>
    <w:rsid w:val="6C7FCA1F"/>
    <w:rsid w:val="6C80A996"/>
    <w:rsid w:val="6C80D668"/>
    <w:rsid w:val="6C81C713"/>
    <w:rsid w:val="6C86CC0A"/>
    <w:rsid w:val="6C8842F3"/>
    <w:rsid w:val="6C89EB5E"/>
    <w:rsid w:val="6C8AA08B"/>
    <w:rsid w:val="6C8C6B11"/>
    <w:rsid w:val="6C91510F"/>
    <w:rsid w:val="6C92D8C2"/>
    <w:rsid w:val="6C93F000"/>
    <w:rsid w:val="6C99AFF6"/>
    <w:rsid w:val="6C9CC8AA"/>
    <w:rsid w:val="6C9E198B"/>
    <w:rsid w:val="6CA0C364"/>
    <w:rsid w:val="6CA19B15"/>
    <w:rsid w:val="6CA3B937"/>
    <w:rsid w:val="6CA470BA"/>
    <w:rsid w:val="6CA55197"/>
    <w:rsid w:val="6CAA1614"/>
    <w:rsid w:val="6CABB139"/>
    <w:rsid w:val="6CAC9913"/>
    <w:rsid w:val="6CACD1C5"/>
    <w:rsid w:val="6CAEDA94"/>
    <w:rsid w:val="6CB0BDE2"/>
    <w:rsid w:val="6CB3B225"/>
    <w:rsid w:val="6CB7E9BC"/>
    <w:rsid w:val="6CB8DF54"/>
    <w:rsid w:val="6CBC429A"/>
    <w:rsid w:val="6CBCF124"/>
    <w:rsid w:val="6CBF5940"/>
    <w:rsid w:val="6CC01573"/>
    <w:rsid w:val="6CC23007"/>
    <w:rsid w:val="6CC3666A"/>
    <w:rsid w:val="6CC64DB8"/>
    <w:rsid w:val="6CC80439"/>
    <w:rsid w:val="6CC94B69"/>
    <w:rsid w:val="6CC9510A"/>
    <w:rsid w:val="6CD1F4DB"/>
    <w:rsid w:val="6CD294BE"/>
    <w:rsid w:val="6CD4240D"/>
    <w:rsid w:val="6CD569CC"/>
    <w:rsid w:val="6CD7715E"/>
    <w:rsid w:val="6CD88BFC"/>
    <w:rsid w:val="6CD8B958"/>
    <w:rsid w:val="6CDB2FC5"/>
    <w:rsid w:val="6CDDF447"/>
    <w:rsid w:val="6CE05DC2"/>
    <w:rsid w:val="6CE0C071"/>
    <w:rsid w:val="6CE33D26"/>
    <w:rsid w:val="6CE81F66"/>
    <w:rsid w:val="6CED693B"/>
    <w:rsid w:val="6CEDC764"/>
    <w:rsid w:val="6CEF101D"/>
    <w:rsid w:val="6CEF5470"/>
    <w:rsid w:val="6CF67BEE"/>
    <w:rsid w:val="6CF6999C"/>
    <w:rsid w:val="6CF6EC74"/>
    <w:rsid w:val="6CF8B901"/>
    <w:rsid w:val="6CFB8400"/>
    <w:rsid w:val="6CFDBD98"/>
    <w:rsid w:val="6D000B7D"/>
    <w:rsid w:val="6D0188A1"/>
    <w:rsid w:val="6D01A538"/>
    <w:rsid w:val="6D027278"/>
    <w:rsid w:val="6D091AE9"/>
    <w:rsid w:val="6D0E4D19"/>
    <w:rsid w:val="6D0F2B60"/>
    <w:rsid w:val="6D12CAE0"/>
    <w:rsid w:val="6D18BE64"/>
    <w:rsid w:val="6D1980FD"/>
    <w:rsid w:val="6D1C0155"/>
    <w:rsid w:val="6D1ED610"/>
    <w:rsid w:val="6D21DEA0"/>
    <w:rsid w:val="6D2238C2"/>
    <w:rsid w:val="6D224DEA"/>
    <w:rsid w:val="6D298CC5"/>
    <w:rsid w:val="6D2E7E24"/>
    <w:rsid w:val="6D2EE235"/>
    <w:rsid w:val="6D3694AC"/>
    <w:rsid w:val="6D379F3F"/>
    <w:rsid w:val="6D37E23E"/>
    <w:rsid w:val="6D394EEC"/>
    <w:rsid w:val="6D3B6869"/>
    <w:rsid w:val="6D3BF53D"/>
    <w:rsid w:val="6D3C76F7"/>
    <w:rsid w:val="6D3CCD43"/>
    <w:rsid w:val="6D412E01"/>
    <w:rsid w:val="6D441A91"/>
    <w:rsid w:val="6D47FDFC"/>
    <w:rsid w:val="6D488E5E"/>
    <w:rsid w:val="6D4A8781"/>
    <w:rsid w:val="6D4B47D6"/>
    <w:rsid w:val="6D4D3709"/>
    <w:rsid w:val="6D4DD4BF"/>
    <w:rsid w:val="6D4F51DF"/>
    <w:rsid w:val="6D532958"/>
    <w:rsid w:val="6D534ADD"/>
    <w:rsid w:val="6D55D9CA"/>
    <w:rsid w:val="6D5AD771"/>
    <w:rsid w:val="6D5B26B8"/>
    <w:rsid w:val="6D60DF40"/>
    <w:rsid w:val="6D60DFE5"/>
    <w:rsid w:val="6D61CEAE"/>
    <w:rsid w:val="6D65A42A"/>
    <w:rsid w:val="6D696FDB"/>
    <w:rsid w:val="6D6A5A15"/>
    <w:rsid w:val="6D6BEA43"/>
    <w:rsid w:val="6D6F6DDB"/>
    <w:rsid w:val="6D703CB9"/>
    <w:rsid w:val="6D720B84"/>
    <w:rsid w:val="6D7578D6"/>
    <w:rsid w:val="6D76B5A8"/>
    <w:rsid w:val="6D7CAB76"/>
    <w:rsid w:val="6D7D37AF"/>
    <w:rsid w:val="6D80D097"/>
    <w:rsid w:val="6D81C125"/>
    <w:rsid w:val="6D8DCF3E"/>
    <w:rsid w:val="6D8F01BF"/>
    <w:rsid w:val="6D921419"/>
    <w:rsid w:val="6D9482D6"/>
    <w:rsid w:val="6D94BFD4"/>
    <w:rsid w:val="6D96FE79"/>
    <w:rsid w:val="6D9804DE"/>
    <w:rsid w:val="6D9B9F3F"/>
    <w:rsid w:val="6D9C8A8B"/>
    <w:rsid w:val="6D9D6793"/>
    <w:rsid w:val="6D9D8FC8"/>
    <w:rsid w:val="6D9EAA41"/>
    <w:rsid w:val="6DA22C6D"/>
    <w:rsid w:val="6DA56AFE"/>
    <w:rsid w:val="6DA6840B"/>
    <w:rsid w:val="6DA74D51"/>
    <w:rsid w:val="6DA7E282"/>
    <w:rsid w:val="6DAB9DF2"/>
    <w:rsid w:val="6DACBE94"/>
    <w:rsid w:val="6DAD3E92"/>
    <w:rsid w:val="6DAFC113"/>
    <w:rsid w:val="6DB013FD"/>
    <w:rsid w:val="6DB06743"/>
    <w:rsid w:val="6DB68661"/>
    <w:rsid w:val="6DB7F31E"/>
    <w:rsid w:val="6DB82AF3"/>
    <w:rsid w:val="6DBA0D2A"/>
    <w:rsid w:val="6DBA6F05"/>
    <w:rsid w:val="6DC259C5"/>
    <w:rsid w:val="6DC29B3A"/>
    <w:rsid w:val="6DC30C9D"/>
    <w:rsid w:val="6DC8FEA4"/>
    <w:rsid w:val="6DCB65A8"/>
    <w:rsid w:val="6DD0BC3F"/>
    <w:rsid w:val="6DD1DBED"/>
    <w:rsid w:val="6DD2EA1A"/>
    <w:rsid w:val="6DD345EC"/>
    <w:rsid w:val="6DD74A73"/>
    <w:rsid w:val="6DD91061"/>
    <w:rsid w:val="6DDB04AD"/>
    <w:rsid w:val="6DDFD70C"/>
    <w:rsid w:val="6DE24698"/>
    <w:rsid w:val="6DE26548"/>
    <w:rsid w:val="6DE434DD"/>
    <w:rsid w:val="6DE5AF3B"/>
    <w:rsid w:val="6DE84421"/>
    <w:rsid w:val="6DED4E81"/>
    <w:rsid w:val="6DEEB16A"/>
    <w:rsid w:val="6DF12B06"/>
    <w:rsid w:val="6DF2EC80"/>
    <w:rsid w:val="6DF46D58"/>
    <w:rsid w:val="6DF496B2"/>
    <w:rsid w:val="6DFA1E41"/>
    <w:rsid w:val="6DFAD012"/>
    <w:rsid w:val="6DFD4FF0"/>
    <w:rsid w:val="6DFE10BF"/>
    <w:rsid w:val="6E06E2B6"/>
    <w:rsid w:val="6E090A2B"/>
    <w:rsid w:val="6E09642C"/>
    <w:rsid w:val="6E09CEF7"/>
    <w:rsid w:val="6E0BD450"/>
    <w:rsid w:val="6E0E280A"/>
    <w:rsid w:val="6E11857E"/>
    <w:rsid w:val="6E13A5C0"/>
    <w:rsid w:val="6E177778"/>
    <w:rsid w:val="6E1B1057"/>
    <w:rsid w:val="6E1C823F"/>
    <w:rsid w:val="6E201759"/>
    <w:rsid w:val="6E2086C6"/>
    <w:rsid w:val="6E2170BA"/>
    <w:rsid w:val="6E2175A1"/>
    <w:rsid w:val="6E241012"/>
    <w:rsid w:val="6E258E0E"/>
    <w:rsid w:val="6E272472"/>
    <w:rsid w:val="6E2DA4CF"/>
    <w:rsid w:val="6E2E5074"/>
    <w:rsid w:val="6E33C26E"/>
    <w:rsid w:val="6E35CE46"/>
    <w:rsid w:val="6E36BC26"/>
    <w:rsid w:val="6E371D8E"/>
    <w:rsid w:val="6E3ACD6F"/>
    <w:rsid w:val="6E3E90B5"/>
    <w:rsid w:val="6E3FD016"/>
    <w:rsid w:val="6E41D5F0"/>
    <w:rsid w:val="6E436447"/>
    <w:rsid w:val="6E450AF8"/>
    <w:rsid w:val="6E4671B9"/>
    <w:rsid w:val="6E477D85"/>
    <w:rsid w:val="6E4838EE"/>
    <w:rsid w:val="6E490162"/>
    <w:rsid w:val="6E4C367B"/>
    <w:rsid w:val="6E5534A9"/>
    <w:rsid w:val="6E5BC6B6"/>
    <w:rsid w:val="6E5F8195"/>
    <w:rsid w:val="6E61D376"/>
    <w:rsid w:val="6E664BDF"/>
    <w:rsid w:val="6E69D4EB"/>
    <w:rsid w:val="6E6A087D"/>
    <w:rsid w:val="6E6B39CF"/>
    <w:rsid w:val="6E6C0939"/>
    <w:rsid w:val="6E6C37F7"/>
    <w:rsid w:val="6E6DB129"/>
    <w:rsid w:val="6E756F13"/>
    <w:rsid w:val="6E7766C5"/>
    <w:rsid w:val="6E7840B0"/>
    <w:rsid w:val="6E7B49BA"/>
    <w:rsid w:val="6E7C730E"/>
    <w:rsid w:val="6E7EEEC3"/>
    <w:rsid w:val="6E808A0A"/>
    <w:rsid w:val="6E81912F"/>
    <w:rsid w:val="6E82A992"/>
    <w:rsid w:val="6E841C39"/>
    <w:rsid w:val="6E85FE9A"/>
    <w:rsid w:val="6E86B2E6"/>
    <w:rsid w:val="6E895DD4"/>
    <w:rsid w:val="6E898209"/>
    <w:rsid w:val="6E8CFEB8"/>
    <w:rsid w:val="6E900549"/>
    <w:rsid w:val="6E901655"/>
    <w:rsid w:val="6E9AA0E7"/>
    <w:rsid w:val="6E9C62F7"/>
    <w:rsid w:val="6E9F2A4C"/>
    <w:rsid w:val="6EA2B609"/>
    <w:rsid w:val="6EA4DCA1"/>
    <w:rsid w:val="6EA74317"/>
    <w:rsid w:val="6EA773E6"/>
    <w:rsid w:val="6EA966F8"/>
    <w:rsid w:val="6EAAC0ED"/>
    <w:rsid w:val="6EAB8ED8"/>
    <w:rsid w:val="6EAC3039"/>
    <w:rsid w:val="6EAC6D4C"/>
    <w:rsid w:val="6EAEF34D"/>
    <w:rsid w:val="6EAF1D40"/>
    <w:rsid w:val="6EB3235C"/>
    <w:rsid w:val="6EB4E0CD"/>
    <w:rsid w:val="6EB77EE6"/>
    <w:rsid w:val="6EB9C0E4"/>
    <w:rsid w:val="6EBB1229"/>
    <w:rsid w:val="6EBC1143"/>
    <w:rsid w:val="6EC04E1A"/>
    <w:rsid w:val="6EC4365A"/>
    <w:rsid w:val="6EC4D252"/>
    <w:rsid w:val="6EC650BE"/>
    <w:rsid w:val="6EC76D39"/>
    <w:rsid w:val="6ED87D95"/>
    <w:rsid w:val="6ED96A0C"/>
    <w:rsid w:val="6EDAFCB3"/>
    <w:rsid w:val="6EDCBDBD"/>
    <w:rsid w:val="6EE038A5"/>
    <w:rsid w:val="6EE095C6"/>
    <w:rsid w:val="6EE2BD50"/>
    <w:rsid w:val="6EE8E144"/>
    <w:rsid w:val="6EE92EA0"/>
    <w:rsid w:val="6EEA248B"/>
    <w:rsid w:val="6EEBEEB9"/>
    <w:rsid w:val="6EEF29C2"/>
    <w:rsid w:val="6EF43D71"/>
    <w:rsid w:val="6EF4B163"/>
    <w:rsid w:val="6EF67814"/>
    <w:rsid w:val="6EFBFCE0"/>
    <w:rsid w:val="6EFCFFF6"/>
    <w:rsid w:val="6EFD07BF"/>
    <w:rsid w:val="6EFD66DE"/>
    <w:rsid w:val="6EFFC0D7"/>
    <w:rsid w:val="6F015144"/>
    <w:rsid w:val="6F01EAA1"/>
    <w:rsid w:val="6F0315EF"/>
    <w:rsid w:val="6F07416D"/>
    <w:rsid w:val="6F089970"/>
    <w:rsid w:val="6F098FA5"/>
    <w:rsid w:val="6F0DF032"/>
    <w:rsid w:val="6F0EFCB3"/>
    <w:rsid w:val="6F0FED99"/>
    <w:rsid w:val="6F116ADA"/>
    <w:rsid w:val="6F11DBE4"/>
    <w:rsid w:val="6F12BEE9"/>
    <w:rsid w:val="6F12CA4D"/>
    <w:rsid w:val="6F14570D"/>
    <w:rsid w:val="6F15BFE2"/>
    <w:rsid w:val="6F1916E9"/>
    <w:rsid w:val="6F1AA211"/>
    <w:rsid w:val="6F1DCDDE"/>
    <w:rsid w:val="6F1F9423"/>
    <w:rsid w:val="6F224D9F"/>
    <w:rsid w:val="6F232B47"/>
    <w:rsid w:val="6F242E9D"/>
    <w:rsid w:val="6F275607"/>
    <w:rsid w:val="6F27C92B"/>
    <w:rsid w:val="6F2C1B02"/>
    <w:rsid w:val="6F2D1C0C"/>
    <w:rsid w:val="6F2DF583"/>
    <w:rsid w:val="6F2EDDD7"/>
    <w:rsid w:val="6F30423D"/>
    <w:rsid w:val="6F332B56"/>
    <w:rsid w:val="6F342B7B"/>
    <w:rsid w:val="6F34D2DB"/>
    <w:rsid w:val="6F368AB6"/>
    <w:rsid w:val="6F37FEFA"/>
    <w:rsid w:val="6F38E2B7"/>
    <w:rsid w:val="6F39A186"/>
    <w:rsid w:val="6F3C09C4"/>
    <w:rsid w:val="6F3EC111"/>
    <w:rsid w:val="6F3F58E5"/>
    <w:rsid w:val="6F428A3C"/>
    <w:rsid w:val="6F44218D"/>
    <w:rsid w:val="6F46D317"/>
    <w:rsid w:val="6F476E98"/>
    <w:rsid w:val="6F4903EC"/>
    <w:rsid w:val="6F4C94AE"/>
    <w:rsid w:val="6F4CFB4E"/>
    <w:rsid w:val="6F4ECE9D"/>
    <w:rsid w:val="6F4EFACC"/>
    <w:rsid w:val="6F501ECE"/>
    <w:rsid w:val="6F518748"/>
    <w:rsid w:val="6F52A3F4"/>
    <w:rsid w:val="6F52DC0A"/>
    <w:rsid w:val="6F551380"/>
    <w:rsid w:val="6F5A3846"/>
    <w:rsid w:val="6F5B04C5"/>
    <w:rsid w:val="6F5F8B0A"/>
    <w:rsid w:val="6F609D35"/>
    <w:rsid w:val="6F60CC0B"/>
    <w:rsid w:val="6F613AA8"/>
    <w:rsid w:val="6F63026D"/>
    <w:rsid w:val="6F649B3B"/>
    <w:rsid w:val="6F67C5D8"/>
    <w:rsid w:val="6F6B485C"/>
    <w:rsid w:val="6F6DE7C5"/>
    <w:rsid w:val="6F6E422F"/>
    <w:rsid w:val="6F737E64"/>
    <w:rsid w:val="6F748CA9"/>
    <w:rsid w:val="6F75C442"/>
    <w:rsid w:val="6F75CEFD"/>
    <w:rsid w:val="6F76DE7C"/>
    <w:rsid w:val="6F7B7E5A"/>
    <w:rsid w:val="6F7BF1D7"/>
    <w:rsid w:val="6F7D5557"/>
    <w:rsid w:val="6F7E49ED"/>
    <w:rsid w:val="6F7E8327"/>
    <w:rsid w:val="6F7E9587"/>
    <w:rsid w:val="6F817527"/>
    <w:rsid w:val="6F8315E1"/>
    <w:rsid w:val="6F84B507"/>
    <w:rsid w:val="6F86077B"/>
    <w:rsid w:val="6F8620ED"/>
    <w:rsid w:val="6F875E1C"/>
    <w:rsid w:val="6F89FDDE"/>
    <w:rsid w:val="6F8C20E3"/>
    <w:rsid w:val="6F904898"/>
    <w:rsid w:val="6F915E77"/>
    <w:rsid w:val="6F939619"/>
    <w:rsid w:val="6F960783"/>
    <w:rsid w:val="6F98035B"/>
    <w:rsid w:val="6F9BC5A9"/>
    <w:rsid w:val="6F9D32E1"/>
    <w:rsid w:val="6FA50CFE"/>
    <w:rsid w:val="6FA6F286"/>
    <w:rsid w:val="6FA86C94"/>
    <w:rsid w:val="6FADAAC9"/>
    <w:rsid w:val="6FAE3DAE"/>
    <w:rsid w:val="6FB14F97"/>
    <w:rsid w:val="6FB44D57"/>
    <w:rsid w:val="6FB57532"/>
    <w:rsid w:val="6FB6D3D7"/>
    <w:rsid w:val="6FBDF916"/>
    <w:rsid w:val="6FBE66F8"/>
    <w:rsid w:val="6FBEC577"/>
    <w:rsid w:val="6FBF378C"/>
    <w:rsid w:val="6FC51F5D"/>
    <w:rsid w:val="6FC77C6A"/>
    <w:rsid w:val="6FCAC971"/>
    <w:rsid w:val="6FCACA49"/>
    <w:rsid w:val="6FCAEB3D"/>
    <w:rsid w:val="6FCB1330"/>
    <w:rsid w:val="6FCB8940"/>
    <w:rsid w:val="6FCE15A2"/>
    <w:rsid w:val="6FCFC089"/>
    <w:rsid w:val="6FD343C6"/>
    <w:rsid w:val="6FD8183E"/>
    <w:rsid w:val="6FD861D5"/>
    <w:rsid w:val="6FD87518"/>
    <w:rsid w:val="6FDC6682"/>
    <w:rsid w:val="6FE3B528"/>
    <w:rsid w:val="6FE8B084"/>
    <w:rsid w:val="6FEB8937"/>
    <w:rsid w:val="6FEF687B"/>
    <w:rsid w:val="6FF06500"/>
    <w:rsid w:val="6FF1FA89"/>
    <w:rsid w:val="6FF360B5"/>
    <w:rsid w:val="6FF4C5E1"/>
    <w:rsid w:val="6FF8F7E1"/>
    <w:rsid w:val="6FFAA740"/>
    <w:rsid w:val="6FFAC7F6"/>
    <w:rsid w:val="6FFB0583"/>
    <w:rsid w:val="6FFB7B58"/>
    <w:rsid w:val="6FFCB538"/>
    <w:rsid w:val="6FFE0BEE"/>
    <w:rsid w:val="6FFFE0DB"/>
    <w:rsid w:val="7008013B"/>
    <w:rsid w:val="700D740A"/>
    <w:rsid w:val="700F81B4"/>
    <w:rsid w:val="7010A778"/>
    <w:rsid w:val="701244F6"/>
    <w:rsid w:val="7013D08C"/>
    <w:rsid w:val="7014403F"/>
    <w:rsid w:val="70149734"/>
    <w:rsid w:val="702226C2"/>
    <w:rsid w:val="70227280"/>
    <w:rsid w:val="7023736E"/>
    <w:rsid w:val="702434BD"/>
    <w:rsid w:val="7027216A"/>
    <w:rsid w:val="702BCA38"/>
    <w:rsid w:val="702D6EBD"/>
    <w:rsid w:val="70304E2C"/>
    <w:rsid w:val="70328E46"/>
    <w:rsid w:val="7033EBED"/>
    <w:rsid w:val="7034ABEC"/>
    <w:rsid w:val="7034C124"/>
    <w:rsid w:val="703533D6"/>
    <w:rsid w:val="7035795F"/>
    <w:rsid w:val="7039514A"/>
    <w:rsid w:val="703B1792"/>
    <w:rsid w:val="703BCE91"/>
    <w:rsid w:val="703C0908"/>
    <w:rsid w:val="703C46B1"/>
    <w:rsid w:val="703D075B"/>
    <w:rsid w:val="70438697"/>
    <w:rsid w:val="7043BDB4"/>
    <w:rsid w:val="7045B4D8"/>
    <w:rsid w:val="704910D9"/>
    <w:rsid w:val="704B707A"/>
    <w:rsid w:val="704F1DF6"/>
    <w:rsid w:val="7051F12B"/>
    <w:rsid w:val="705364DB"/>
    <w:rsid w:val="7057FB4B"/>
    <w:rsid w:val="7059FC2F"/>
    <w:rsid w:val="7061D0C5"/>
    <w:rsid w:val="70623A9B"/>
    <w:rsid w:val="70685007"/>
    <w:rsid w:val="706CF6B1"/>
    <w:rsid w:val="7070ED93"/>
    <w:rsid w:val="707222D7"/>
    <w:rsid w:val="7076E457"/>
    <w:rsid w:val="70775DDB"/>
    <w:rsid w:val="7077646A"/>
    <w:rsid w:val="7077DC47"/>
    <w:rsid w:val="7078D235"/>
    <w:rsid w:val="707A3D36"/>
    <w:rsid w:val="707B1D13"/>
    <w:rsid w:val="707B215C"/>
    <w:rsid w:val="707C09D6"/>
    <w:rsid w:val="707CDEFE"/>
    <w:rsid w:val="70803582"/>
    <w:rsid w:val="70856367"/>
    <w:rsid w:val="708A5213"/>
    <w:rsid w:val="708CAD5F"/>
    <w:rsid w:val="708CC2CF"/>
    <w:rsid w:val="708D1C3C"/>
    <w:rsid w:val="708D6395"/>
    <w:rsid w:val="708ECBB4"/>
    <w:rsid w:val="70919230"/>
    <w:rsid w:val="7091B492"/>
    <w:rsid w:val="709308C3"/>
    <w:rsid w:val="7095ED72"/>
    <w:rsid w:val="70964A2B"/>
    <w:rsid w:val="70973B55"/>
    <w:rsid w:val="70989E10"/>
    <w:rsid w:val="709A90D6"/>
    <w:rsid w:val="709FF921"/>
    <w:rsid w:val="70A0DB8C"/>
    <w:rsid w:val="70A41FF4"/>
    <w:rsid w:val="70A4A2A9"/>
    <w:rsid w:val="70A79962"/>
    <w:rsid w:val="70A87DD1"/>
    <w:rsid w:val="70AA262D"/>
    <w:rsid w:val="70ABC09C"/>
    <w:rsid w:val="70AC3D29"/>
    <w:rsid w:val="70ADFC75"/>
    <w:rsid w:val="70AE1428"/>
    <w:rsid w:val="70AFB309"/>
    <w:rsid w:val="70AFF5D5"/>
    <w:rsid w:val="70B0DEC2"/>
    <w:rsid w:val="70B205B8"/>
    <w:rsid w:val="70B6618C"/>
    <w:rsid w:val="70B8F6B8"/>
    <w:rsid w:val="70B99A5B"/>
    <w:rsid w:val="70BC407B"/>
    <w:rsid w:val="70BCD12E"/>
    <w:rsid w:val="70BD25BF"/>
    <w:rsid w:val="70BF9099"/>
    <w:rsid w:val="70C083A0"/>
    <w:rsid w:val="70C77762"/>
    <w:rsid w:val="70C822DB"/>
    <w:rsid w:val="70CFA4A3"/>
    <w:rsid w:val="70D709F3"/>
    <w:rsid w:val="70D8BF97"/>
    <w:rsid w:val="70D9E7EE"/>
    <w:rsid w:val="70DA787C"/>
    <w:rsid w:val="70DB0DA8"/>
    <w:rsid w:val="70DCB02F"/>
    <w:rsid w:val="70DD03C2"/>
    <w:rsid w:val="70DEE4E3"/>
    <w:rsid w:val="70E013D9"/>
    <w:rsid w:val="70E0D488"/>
    <w:rsid w:val="70E1268F"/>
    <w:rsid w:val="70E214AF"/>
    <w:rsid w:val="70E22E97"/>
    <w:rsid w:val="70E3CCA5"/>
    <w:rsid w:val="70E5AF90"/>
    <w:rsid w:val="70E6F408"/>
    <w:rsid w:val="70E8A557"/>
    <w:rsid w:val="70ED179D"/>
    <w:rsid w:val="70ED500E"/>
    <w:rsid w:val="70EE6529"/>
    <w:rsid w:val="70F04BA1"/>
    <w:rsid w:val="70F163F8"/>
    <w:rsid w:val="70F20B8B"/>
    <w:rsid w:val="70F3F6FF"/>
    <w:rsid w:val="70F483DA"/>
    <w:rsid w:val="70F84108"/>
    <w:rsid w:val="70FE3B33"/>
    <w:rsid w:val="70FEDBDD"/>
    <w:rsid w:val="70FF4AB6"/>
    <w:rsid w:val="70FFAD94"/>
    <w:rsid w:val="70FFD441"/>
    <w:rsid w:val="7101475F"/>
    <w:rsid w:val="7102AB59"/>
    <w:rsid w:val="710384E2"/>
    <w:rsid w:val="710400B9"/>
    <w:rsid w:val="710BD788"/>
    <w:rsid w:val="710C13E5"/>
    <w:rsid w:val="7110C941"/>
    <w:rsid w:val="71151F4A"/>
    <w:rsid w:val="7116328B"/>
    <w:rsid w:val="7116A9D5"/>
    <w:rsid w:val="71176C84"/>
    <w:rsid w:val="7117790A"/>
    <w:rsid w:val="711CD624"/>
    <w:rsid w:val="711E0D89"/>
    <w:rsid w:val="712035B3"/>
    <w:rsid w:val="71254C3F"/>
    <w:rsid w:val="7126820B"/>
    <w:rsid w:val="7128BEEC"/>
    <w:rsid w:val="7129F552"/>
    <w:rsid w:val="713082CD"/>
    <w:rsid w:val="7132ADD0"/>
    <w:rsid w:val="7136E3DD"/>
    <w:rsid w:val="713E9D86"/>
    <w:rsid w:val="713EB7D6"/>
    <w:rsid w:val="713FD02F"/>
    <w:rsid w:val="7140FE5F"/>
    <w:rsid w:val="7144834F"/>
    <w:rsid w:val="7144A005"/>
    <w:rsid w:val="714898B1"/>
    <w:rsid w:val="714D6F86"/>
    <w:rsid w:val="714D7EE5"/>
    <w:rsid w:val="71516BF0"/>
    <w:rsid w:val="7157E84D"/>
    <w:rsid w:val="715A6D31"/>
    <w:rsid w:val="715C3F6E"/>
    <w:rsid w:val="715CEDDE"/>
    <w:rsid w:val="7160A8D4"/>
    <w:rsid w:val="71618993"/>
    <w:rsid w:val="7164B55F"/>
    <w:rsid w:val="7165A830"/>
    <w:rsid w:val="7165CE77"/>
    <w:rsid w:val="71671E9C"/>
    <w:rsid w:val="716925AA"/>
    <w:rsid w:val="7169AEC6"/>
    <w:rsid w:val="716A734C"/>
    <w:rsid w:val="716DDAA6"/>
    <w:rsid w:val="716E1F64"/>
    <w:rsid w:val="71719159"/>
    <w:rsid w:val="7176BC94"/>
    <w:rsid w:val="71781A9C"/>
    <w:rsid w:val="717A0DA7"/>
    <w:rsid w:val="717A5380"/>
    <w:rsid w:val="7180CBA7"/>
    <w:rsid w:val="71826334"/>
    <w:rsid w:val="71841A66"/>
    <w:rsid w:val="71862344"/>
    <w:rsid w:val="7186F741"/>
    <w:rsid w:val="718769AF"/>
    <w:rsid w:val="71886D15"/>
    <w:rsid w:val="71892970"/>
    <w:rsid w:val="71894F6D"/>
    <w:rsid w:val="718A5CEF"/>
    <w:rsid w:val="718AF459"/>
    <w:rsid w:val="718CA298"/>
    <w:rsid w:val="71962E03"/>
    <w:rsid w:val="71973CE3"/>
    <w:rsid w:val="719A5929"/>
    <w:rsid w:val="719B1E06"/>
    <w:rsid w:val="719E0207"/>
    <w:rsid w:val="719EE68A"/>
    <w:rsid w:val="719FA507"/>
    <w:rsid w:val="71A1C4BD"/>
    <w:rsid w:val="71A6EDAA"/>
    <w:rsid w:val="71A6F1AC"/>
    <w:rsid w:val="71A70412"/>
    <w:rsid w:val="71A9210D"/>
    <w:rsid w:val="71A940C2"/>
    <w:rsid w:val="71AC4199"/>
    <w:rsid w:val="71AFE49E"/>
    <w:rsid w:val="71B01723"/>
    <w:rsid w:val="71B0FE5F"/>
    <w:rsid w:val="71B1504C"/>
    <w:rsid w:val="71BA5298"/>
    <w:rsid w:val="71BAE1AD"/>
    <w:rsid w:val="71C0F7B5"/>
    <w:rsid w:val="71C191F2"/>
    <w:rsid w:val="71C26941"/>
    <w:rsid w:val="71C32E1B"/>
    <w:rsid w:val="71C37B23"/>
    <w:rsid w:val="71C7124B"/>
    <w:rsid w:val="71D0438A"/>
    <w:rsid w:val="71D5C8EF"/>
    <w:rsid w:val="71D90D72"/>
    <w:rsid w:val="71D951D3"/>
    <w:rsid w:val="71DADB5C"/>
    <w:rsid w:val="71DB6451"/>
    <w:rsid w:val="71DE267B"/>
    <w:rsid w:val="71DFF0E5"/>
    <w:rsid w:val="71E08213"/>
    <w:rsid w:val="71E44335"/>
    <w:rsid w:val="71E4BBC8"/>
    <w:rsid w:val="71E81FCA"/>
    <w:rsid w:val="71EB49F3"/>
    <w:rsid w:val="71F0123C"/>
    <w:rsid w:val="71F02605"/>
    <w:rsid w:val="71F05E5D"/>
    <w:rsid w:val="71F09B5C"/>
    <w:rsid w:val="71FAEFD5"/>
    <w:rsid w:val="71FBFBE2"/>
    <w:rsid w:val="71FEA883"/>
    <w:rsid w:val="72005CB5"/>
    <w:rsid w:val="7202FEC4"/>
    <w:rsid w:val="7204C6C0"/>
    <w:rsid w:val="7204E8EA"/>
    <w:rsid w:val="7208F68E"/>
    <w:rsid w:val="720B51B2"/>
    <w:rsid w:val="720F3CB8"/>
    <w:rsid w:val="72147B60"/>
    <w:rsid w:val="7216A622"/>
    <w:rsid w:val="721B0F8E"/>
    <w:rsid w:val="721B455E"/>
    <w:rsid w:val="721EA1D2"/>
    <w:rsid w:val="721F343C"/>
    <w:rsid w:val="72202A1D"/>
    <w:rsid w:val="72238B0A"/>
    <w:rsid w:val="7228ACA5"/>
    <w:rsid w:val="722A4BE9"/>
    <w:rsid w:val="7232A35E"/>
    <w:rsid w:val="7232D429"/>
    <w:rsid w:val="7233D890"/>
    <w:rsid w:val="7234F962"/>
    <w:rsid w:val="723832C9"/>
    <w:rsid w:val="72392850"/>
    <w:rsid w:val="723C2E13"/>
    <w:rsid w:val="723EABA0"/>
    <w:rsid w:val="7240F4F5"/>
    <w:rsid w:val="72451158"/>
    <w:rsid w:val="7245C104"/>
    <w:rsid w:val="724C6C71"/>
    <w:rsid w:val="724F3C75"/>
    <w:rsid w:val="7251BB21"/>
    <w:rsid w:val="72527122"/>
    <w:rsid w:val="7254241A"/>
    <w:rsid w:val="72547A73"/>
    <w:rsid w:val="725A12B3"/>
    <w:rsid w:val="725B6569"/>
    <w:rsid w:val="72625CCA"/>
    <w:rsid w:val="7262C398"/>
    <w:rsid w:val="726471C4"/>
    <w:rsid w:val="7265C8F1"/>
    <w:rsid w:val="72678E65"/>
    <w:rsid w:val="7268824A"/>
    <w:rsid w:val="7269E03F"/>
    <w:rsid w:val="726A820D"/>
    <w:rsid w:val="726AF679"/>
    <w:rsid w:val="726D526A"/>
    <w:rsid w:val="726D7088"/>
    <w:rsid w:val="726FEFDE"/>
    <w:rsid w:val="7271773F"/>
    <w:rsid w:val="727CDC45"/>
    <w:rsid w:val="727D50E9"/>
    <w:rsid w:val="727E477E"/>
    <w:rsid w:val="72808881"/>
    <w:rsid w:val="72824216"/>
    <w:rsid w:val="72845FCC"/>
    <w:rsid w:val="7284A8D2"/>
    <w:rsid w:val="72866A29"/>
    <w:rsid w:val="72869706"/>
    <w:rsid w:val="7286EA58"/>
    <w:rsid w:val="728832DF"/>
    <w:rsid w:val="72893988"/>
    <w:rsid w:val="72894E67"/>
    <w:rsid w:val="728968D4"/>
    <w:rsid w:val="728F0151"/>
    <w:rsid w:val="728F39A0"/>
    <w:rsid w:val="7291AAD6"/>
    <w:rsid w:val="7291BC8D"/>
    <w:rsid w:val="72921392"/>
    <w:rsid w:val="729276F4"/>
    <w:rsid w:val="7292C2FF"/>
    <w:rsid w:val="7292FCAB"/>
    <w:rsid w:val="7293CD5A"/>
    <w:rsid w:val="729462D1"/>
    <w:rsid w:val="72950E69"/>
    <w:rsid w:val="7296876E"/>
    <w:rsid w:val="72975E99"/>
    <w:rsid w:val="729B5D17"/>
    <w:rsid w:val="729DBC5A"/>
    <w:rsid w:val="729E8F42"/>
    <w:rsid w:val="729EB939"/>
    <w:rsid w:val="72A98458"/>
    <w:rsid w:val="72ADB27B"/>
    <w:rsid w:val="72AE8A8B"/>
    <w:rsid w:val="72AFF09E"/>
    <w:rsid w:val="72B7A6FF"/>
    <w:rsid w:val="72BAE80F"/>
    <w:rsid w:val="72BB01F0"/>
    <w:rsid w:val="72BB15AB"/>
    <w:rsid w:val="72BD30CD"/>
    <w:rsid w:val="72BFF415"/>
    <w:rsid w:val="72C20D8D"/>
    <w:rsid w:val="72C50B3D"/>
    <w:rsid w:val="72C6A58C"/>
    <w:rsid w:val="72C6AC56"/>
    <w:rsid w:val="72D005EE"/>
    <w:rsid w:val="72D009F8"/>
    <w:rsid w:val="72D315ED"/>
    <w:rsid w:val="72D36E5E"/>
    <w:rsid w:val="72D60554"/>
    <w:rsid w:val="72D695FE"/>
    <w:rsid w:val="72D71C77"/>
    <w:rsid w:val="72D8E142"/>
    <w:rsid w:val="72DA305D"/>
    <w:rsid w:val="72DA3FD5"/>
    <w:rsid w:val="72DA6096"/>
    <w:rsid w:val="72DAB26C"/>
    <w:rsid w:val="72E0B90D"/>
    <w:rsid w:val="72E0DFBA"/>
    <w:rsid w:val="72E464B9"/>
    <w:rsid w:val="72E7B4E7"/>
    <w:rsid w:val="72E7E323"/>
    <w:rsid w:val="72E9CA0D"/>
    <w:rsid w:val="72ED7E4D"/>
    <w:rsid w:val="72EF0BC7"/>
    <w:rsid w:val="72F06B73"/>
    <w:rsid w:val="72F3A9FA"/>
    <w:rsid w:val="72F575FB"/>
    <w:rsid w:val="72F5AA73"/>
    <w:rsid w:val="72F85CD5"/>
    <w:rsid w:val="72FCC8CE"/>
    <w:rsid w:val="73013786"/>
    <w:rsid w:val="73038193"/>
    <w:rsid w:val="7304A9A3"/>
    <w:rsid w:val="7305E102"/>
    <w:rsid w:val="7306D217"/>
    <w:rsid w:val="7309121D"/>
    <w:rsid w:val="730DE6CD"/>
    <w:rsid w:val="730DED9B"/>
    <w:rsid w:val="730ECAE0"/>
    <w:rsid w:val="730F06F4"/>
    <w:rsid w:val="7313508B"/>
    <w:rsid w:val="7314780F"/>
    <w:rsid w:val="7315538B"/>
    <w:rsid w:val="7316F72A"/>
    <w:rsid w:val="7319CF06"/>
    <w:rsid w:val="731A2A1D"/>
    <w:rsid w:val="731AAC49"/>
    <w:rsid w:val="731BE6FD"/>
    <w:rsid w:val="731DDE87"/>
    <w:rsid w:val="731ED798"/>
    <w:rsid w:val="731F1DB8"/>
    <w:rsid w:val="731F9C75"/>
    <w:rsid w:val="732BEC8C"/>
    <w:rsid w:val="732D29F7"/>
    <w:rsid w:val="732E4AD7"/>
    <w:rsid w:val="7335B675"/>
    <w:rsid w:val="7338A8B7"/>
    <w:rsid w:val="733BA3A2"/>
    <w:rsid w:val="733D728B"/>
    <w:rsid w:val="73430534"/>
    <w:rsid w:val="7348DEB2"/>
    <w:rsid w:val="734960CE"/>
    <w:rsid w:val="7349A8D9"/>
    <w:rsid w:val="734D8CA6"/>
    <w:rsid w:val="7350B2FC"/>
    <w:rsid w:val="73537541"/>
    <w:rsid w:val="7355331F"/>
    <w:rsid w:val="73555159"/>
    <w:rsid w:val="73561C60"/>
    <w:rsid w:val="735806A4"/>
    <w:rsid w:val="735ACD23"/>
    <w:rsid w:val="735DE31E"/>
    <w:rsid w:val="73649EA7"/>
    <w:rsid w:val="7364AEAE"/>
    <w:rsid w:val="7364F3BA"/>
    <w:rsid w:val="7366DA0C"/>
    <w:rsid w:val="7367107C"/>
    <w:rsid w:val="7369D60F"/>
    <w:rsid w:val="736B2D73"/>
    <w:rsid w:val="736C914E"/>
    <w:rsid w:val="736D92DC"/>
    <w:rsid w:val="736E9220"/>
    <w:rsid w:val="736FC896"/>
    <w:rsid w:val="7371EFB7"/>
    <w:rsid w:val="73767723"/>
    <w:rsid w:val="73780EB1"/>
    <w:rsid w:val="737BBCB7"/>
    <w:rsid w:val="7382252A"/>
    <w:rsid w:val="738811BC"/>
    <w:rsid w:val="7388EF62"/>
    <w:rsid w:val="738CE102"/>
    <w:rsid w:val="7394C202"/>
    <w:rsid w:val="7398671A"/>
    <w:rsid w:val="739A9821"/>
    <w:rsid w:val="739CEAFB"/>
    <w:rsid w:val="73A181DC"/>
    <w:rsid w:val="73A2C517"/>
    <w:rsid w:val="73A4857F"/>
    <w:rsid w:val="73A51E58"/>
    <w:rsid w:val="73A582CE"/>
    <w:rsid w:val="73A63CD7"/>
    <w:rsid w:val="73A7CAB2"/>
    <w:rsid w:val="73A7E9B2"/>
    <w:rsid w:val="73AA741C"/>
    <w:rsid w:val="73AA8ACA"/>
    <w:rsid w:val="73AE9D61"/>
    <w:rsid w:val="73AF8582"/>
    <w:rsid w:val="73B00D6C"/>
    <w:rsid w:val="73B13532"/>
    <w:rsid w:val="73B59060"/>
    <w:rsid w:val="73B7021A"/>
    <w:rsid w:val="73BA2A66"/>
    <w:rsid w:val="73BA9B50"/>
    <w:rsid w:val="73BC043F"/>
    <w:rsid w:val="73BEC6EE"/>
    <w:rsid w:val="73C10739"/>
    <w:rsid w:val="73C20B84"/>
    <w:rsid w:val="73C29920"/>
    <w:rsid w:val="73C446DD"/>
    <w:rsid w:val="73C7805C"/>
    <w:rsid w:val="73C85C07"/>
    <w:rsid w:val="73C99AD1"/>
    <w:rsid w:val="73C9C875"/>
    <w:rsid w:val="73CB2461"/>
    <w:rsid w:val="73CC71D9"/>
    <w:rsid w:val="73D01C64"/>
    <w:rsid w:val="73D22618"/>
    <w:rsid w:val="73D38D20"/>
    <w:rsid w:val="73D43B34"/>
    <w:rsid w:val="73D9DB2B"/>
    <w:rsid w:val="73DCEAF5"/>
    <w:rsid w:val="73E434D0"/>
    <w:rsid w:val="73E4AA73"/>
    <w:rsid w:val="73E52939"/>
    <w:rsid w:val="73EA0892"/>
    <w:rsid w:val="73EA4D36"/>
    <w:rsid w:val="73EAFFA4"/>
    <w:rsid w:val="73EC5BC9"/>
    <w:rsid w:val="73ED0779"/>
    <w:rsid w:val="73F142AA"/>
    <w:rsid w:val="73F20C0A"/>
    <w:rsid w:val="73F30DA6"/>
    <w:rsid w:val="73F691E7"/>
    <w:rsid w:val="73F6F2EA"/>
    <w:rsid w:val="73F76381"/>
    <w:rsid w:val="73F97421"/>
    <w:rsid w:val="73FC84E8"/>
    <w:rsid w:val="73FEF297"/>
    <w:rsid w:val="73FFD063"/>
    <w:rsid w:val="740066F9"/>
    <w:rsid w:val="74021BE4"/>
    <w:rsid w:val="74030726"/>
    <w:rsid w:val="7403E8BA"/>
    <w:rsid w:val="74058F33"/>
    <w:rsid w:val="7405D997"/>
    <w:rsid w:val="7406EF5F"/>
    <w:rsid w:val="740C3C24"/>
    <w:rsid w:val="740CDE49"/>
    <w:rsid w:val="740E4E31"/>
    <w:rsid w:val="741082D1"/>
    <w:rsid w:val="74112EBD"/>
    <w:rsid w:val="7411592D"/>
    <w:rsid w:val="74187227"/>
    <w:rsid w:val="741904DA"/>
    <w:rsid w:val="741A9371"/>
    <w:rsid w:val="741B6B6A"/>
    <w:rsid w:val="741C1E16"/>
    <w:rsid w:val="741C72CA"/>
    <w:rsid w:val="741CDDA0"/>
    <w:rsid w:val="741FEBB2"/>
    <w:rsid w:val="7423D15F"/>
    <w:rsid w:val="74263AFC"/>
    <w:rsid w:val="742883BF"/>
    <w:rsid w:val="742DA78A"/>
    <w:rsid w:val="742DFBD3"/>
    <w:rsid w:val="74332C83"/>
    <w:rsid w:val="74337502"/>
    <w:rsid w:val="743493F2"/>
    <w:rsid w:val="74351226"/>
    <w:rsid w:val="74359626"/>
    <w:rsid w:val="7435E8B5"/>
    <w:rsid w:val="74365E12"/>
    <w:rsid w:val="74386B82"/>
    <w:rsid w:val="7438A298"/>
    <w:rsid w:val="743917BA"/>
    <w:rsid w:val="7439E9BF"/>
    <w:rsid w:val="743BDE32"/>
    <w:rsid w:val="743BF1B9"/>
    <w:rsid w:val="743E53CB"/>
    <w:rsid w:val="743F7C03"/>
    <w:rsid w:val="74438A6F"/>
    <w:rsid w:val="74499496"/>
    <w:rsid w:val="744A7B7F"/>
    <w:rsid w:val="744DA23C"/>
    <w:rsid w:val="744E4B87"/>
    <w:rsid w:val="74512099"/>
    <w:rsid w:val="7452DAD9"/>
    <w:rsid w:val="7455ACA4"/>
    <w:rsid w:val="74565A98"/>
    <w:rsid w:val="745836B4"/>
    <w:rsid w:val="74649FEF"/>
    <w:rsid w:val="746631B4"/>
    <w:rsid w:val="746707A8"/>
    <w:rsid w:val="7467E4D8"/>
    <w:rsid w:val="7467F685"/>
    <w:rsid w:val="7469D977"/>
    <w:rsid w:val="746AACA7"/>
    <w:rsid w:val="746AB2CE"/>
    <w:rsid w:val="746AD9BA"/>
    <w:rsid w:val="7472BDCE"/>
    <w:rsid w:val="74757701"/>
    <w:rsid w:val="74776DC8"/>
    <w:rsid w:val="7477B063"/>
    <w:rsid w:val="74784101"/>
    <w:rsid w:val="74787105"/>
    <w:rsid w:val="747BC7DD"/>
    <w:rsid w:val="747DE921"/>
    <w:rsid w:val="74807E7A"/>
    <w:rsid w:val="7484E7E5"/>
    <w:rsid w:val="748527E8"/>
    <w:rsid w:val="748C0CF0"/>
    <w:rsid w:val="748F74BD"/>
    <w:rsid w:val="7490BF23"/>
    <w:rsid w:val="74911C21"/>
    <w:rsid w:val="74917365"/>
    <w:rsid w:val="7491C738"/>
    <w:rsid w:val="74921F5F"/>
    <w:rsid w:val="74957650"/>
    <w:rsid w:val="7497C5FB"/>
    <w:rsid w:val="74983A79"/>
    <w:rsid w:val="74993A2B"/>
    <w:rsid w:val="749A7829"/>
    <w:rsid w:val="749C589C"/>
    <w:rsid w:val="74A18A66"/>
    <w:rsid w:val="74A347A8"/>
    <w:rsid w:val="74A5084F"/>
    <w:rsid w:val="74A613D6"/>
    <w:rsid w:val="74A67E2F"/>
    <w:rsid w:val="74A8D67E"/>
    <w:rsid w:val="74AA8F85"/>
    <w:rsid w:val="74AE3BFB"/>
    <w:rsid w:val="74AE8791"/>
    <w:rsid w:val="74B01130"/>
    <w:rsid w:val="74B37A47"/>
    <w:rsid w:val="74B37C24"/>
    <w:rsid w:val="74B497DF"/>
    <w:rsid w:val="74B69100"/>
    <w:rsid w:val="74B6DFF9"/>
    <w:rsid w:val="74BBEA93"/>
    <w:rsid w:val="74BC1C35"/>
    <w:rsid w:val="74BE1A68"/>
    <w:rsid w:val="74C3C610"/>
    <w:rsid w:val="74C3F9A3"/>
    <w:rsid w:val="74C8527F"/>
    <w:rsid w:val="74CA9FD4"/>
    <w:rsid w:val="74D3F4E1"/>
    <w:rsid w:val="74D4631A"/>
    <w:rsid w:val="74D71ACC"/>
    <w:rsid w:val="74D7FC61"/>
    <w:rsid w:val="74D9B330"/>
    <w:rsid w:val="74DD5A0F"/>
    <w:rsid w:val="74E36618"/>
    <w:rsid w:val="74E60BB1"/>
    <w:rsid w:val="74E78713"/>
    <w:rsid w:val="74E9AA95"/>
    <w:rsid w:val="74F1FBAB"/>
    <w:rsid w:val="74F35788"/>
    <w:rsid w:val="74F5D462"/>
    <w:rsid w:val="74F72C93"/>
    <w:rsid w:val="74F76B39"/>
    <w:rsid w:val="74FD6E4C"/>
    <w:rsid w:val="75025C92"/>
    <w:rsid w:val="7506AE51"/>
    <w:rsid w:val="750775A6"/>
    <w:rsid w:val="750CD960"/>
    <w:rsid w:val="750F1C3A"/>
    <w:rsid w:val="750FB4D2"/>
    <w:rsid w:val="7510D4C1"/>
    <w:rsid w:val="7511263E"/>
    <w:rsid w:val="75149255"/>
    <w:rsid w:val="751597E7"/>
    <w:rsid w:val="75169336"/>
    <w:rsid w:val="7516ED72"/>
    <w:rsid w:val="75196AE1"/>
    <w:rsid w:val="751D42A6"/>
    <w:rsid w:val="752046A9"/>
    <w:rsid w:val="7520767F"/>
    <w:rsid w:val="752419BD"/>
    <w:rsid w:val="7524B715"/>
    <w:rsid w:val="75255B55"/>
    <w:rsid w:val="752576A4"/>
    <w:rsid w:val="752804D8"/>
    <w:rsid w:val="7528AFBC"/>
    <w:rsid w:val="752D03A4"/>
    <w:rsid w:val="752F4D2C"/>
    <w:rsid w:val="7531ADE8"/>
    <w:rsid w:val="7536398F"/>
    <w:rsid w:val="75377748"/>
    <w:rsid w:val="7538F670"/>
    <w:rsid w:val="753903D8"/>
    <w:rsid w:val="7539755A"/>
    <w:rsid w:val="753C4BD3"/>
    <w:rsid w:val="753CD5CE"/>
    <w:rsid w:val="753FF7A7"/>
    <w:rsid w:val="754771A3"/>
    <w:rsid w:val="7547FB6E"/>
    <w:rsid w:val="754995F7"/>
    <w:rsid w:val="754C1A49"/>
    <w:rsid w:val="754D6483"/>
    <w:rsid w:val="75531771"/>
    <w:rsid w:val="75584A68"/>
    <w:rsid w:val="7558F8EF"/>
    <w:rsid w:val="755A50BA"/>
    <w:rsid w:val="755DD655"/>
    <w:rsid w:val="755FB89B"/>
    <w:rsid w:val="756257EE"/>
    <w:rsid w:val="7562633D"/>
    <w:rsid w:val="756D3F90"/>
    <w:rsid w:val="7572B74E"/>
    <w:rsid w:val="7577E097"/>
    <w:rsid w:val="75791252"/>
    <w:rsid w:val="757A72B7"/>
    <w:rsid w:val="757DF235"/>
    <w:rsid w:val="757E952A"/>
    <w:rsid w:val="757ED58A"/>
    <w:rsid w:val="758072D0"/>
    <w:rsid w:val="75895F5E"/>
    <w:rsid w:val="758C3789"/>
    <w:rsid w:val="759087F6"/>
    <w:rsid w:val="75916183"/>
    <w:rsid w:val="759672E4"/>
    <w:rsid w:val="759D7976"/>
    <w:rsid w:val="759F15F9"/>
    <w:rsid w:val="75A07327"/>
    <w:rsid w:val="75A0D485"/>
    <w:rsid w:val="75A77D72"/>
    <w:rsid w:val="75A97AD9"/>
    <w:rsid w:val="75AC90D1"/>
    <w:rsid w:val="75ADECDA"/>
    <w:rsid w:val="75AE976B"/>
    <w:rsid w:val="75B3CB80"/>
    <w:rsid w:val="75B3E8ED"/>
    <w:rsid w:val="75B5BF0A"/>
    <w:rsid w:val="75B62295"/>
    <w:rsid w:val="75B62341"/>
    <w:rsid w:val="75BABD1D"/>
    <w:rsid w:val="75BC3A0B"/>
    <w:rsid w:val="75BFA869"/>
    <w:rsid w:val="75C10774"/>
    <w:rsid w:val="75C67785"/>
    <w:rsid w:val="75C84FF0"/>
    <w:rsid w:val="75C96DE8"/>
    <w:rsid w:val="75D14798"/>
    <w:rsid w:val="75D50366"/>
    <w:rsid w:val="75D7EBFD"/>
    <w:rsid w:val="75D8A00F"/>
    <w:rsid w:val="75DECD42"/>
    <w:rsid w:val="75E0B54E"/>
    <w:rsid w:val="75E41524"/>
    <w:rsid w:val="75E632F6"/>
    <w:rsid w:val="75E9CF30"/>
    <w:rsid w:val="75EA3A61"/>
    <w:rsid w:val="75EB1ADC"/>
    <w:rsid w:val="75EE8990"/>
    <w:rsid w:val="75F1BEE3"/>
    <w:rsid w:val="75F40433"/>
    <w:rsid w:val="75F796D3"/>
    <w:rsid w:val="75FC237B"/>
    <w:rsid w:val="75FF3666"/>
    <w:rsid w:val="76012638"/>
    <w:rsid w:val="7604944A"/>
    <w:rsid w:val="7605D644"/>
    <w:rsid w:val="76063231"/>
    <w:rsid w:val="76070107"/>
    <w:rsid w:val="7608270C"/>
    <w:rsid w:val="7608A5E9"/>
    <w:rsid w:val="760A28AE"/>
    <w:rsid w:val="760BBA3F"/>
    <w:rsid w:val="76133E9F"/>
    <w:rsid w:val="76137FA5"/>
    <w:rsid w:val="7613E82A"/>
    <w:rsid w:val="7617C1E5"/>
    <w:rsid w:val="7619B659"/>
    <w:rsid w:val="761C9F67"/>
    <w:rsid w:val="761F5ADD"/>
    <w:rsid w:val="7620A3FC"/>
    <w:rsid w:val="762548F9"/>
    <w:rsid w:val="7628D9A9"/>
    <w:rsid w:val="762BC737"/>
    <w:rsid w:val="7630FFFF"/>
    <w:rsid w:val="7631719E"/>
    <w:rsid w:val="7631C882"/>
    <w:rsid w:val="7635DBD0"/>
    <w:rsid w:val="76368963"/>
    <w:rsid w:val="7636A06D"/>
    <w:rsid w:val="763D6E2E"/>
    <w:rsid w:val="763E19E0"/>
    <w:rsid w:val="763E3CB5"/>
    <w:rsid w:val="763FCB77"/>
    <w:rsid w:val="7642149B"/>
    <w:rsid w:val="7646A4B4"/>
    <w:rsid w:val="76479C3C"/>
    <w:rsid w:val="76497CD2"/>
    <w:rsid w:val="764A7A5D"/>
    <w:rsid w:val="764B17CD"/>
    <w:rsid w:val="764F0D8F"/>
    <w:rsid w:val="765172C0"/>
    <w:rsid w:val="76543F2A"/>
    <w:rsid w:val="76559943"/>
    <w:rsid w:val="765636BC"/>
    <w:rsid w:val="765676B0"/>
    <w:rsid w:val="76578FEC"/>
    <w:rsid w:val="765B5DEE"/>
    <w:rsid w:val="765C4D23"/>
    <w:rsid w:val="765C7106"/>
    <w:rsid w:val="7660BFBC"/>
    <w:rsid w:val="76636F60"/>
    <w:rsid w:val="7668902F"/>
    <w:rsid w:val="7669457F"/>
    <w:rsid w:val="766A8B8C"/>
    <w:rsid w:val="766BBB60"/>
    <w:rsid w:val="7670B1FB"/>
    <w:rsid w:val="7673601B"/>
    <w:rsid w:val="7676E806"/>
    <w:rsid w:val="7677D8EC"/>
    <w:rsid w:val="76786EF4"/>
    <w:rsid w:val="7679FD27"/>
    <w:rsid w:val="767C5CA4"/>
    <w:rsid w:val="767CFE6D"/>
    <w:rsid w:val="767E500B"/>
    <w:rsid w:val="76819331"/>
    <w:rsid w:val="76825593"/>
    <w:rsid w:val="7682FE00"/>
    <w:rsid w:val="768584F4"/>
    <w:rsid w:val="7685CCC4"/>
    <w:rsid w:val="7686F369"/>
    <w:rsid w:val="7687F9C8"/>
    <w:rsid w:val="76882879"/>
    <w:rsid w:val="768AE64A"/>
    <w:rsid w:val="768C0280"/>
    <w:rsid w:val="769012BA"/>
    <w:rsid w:val="7691104B"/>
    <w:rsid w:val="76912432"/>
    <w:rsid w:val="769663AE"/>
    <w:rsid w:val="76976C32"/>
    <w:rsid w:val="769BEBA7"/>
    <w:rsid w:val="769C34BA"/>
    <w:rsid w:val="769CCAB3"/>
    <w:rsid w:val="769CED9C"/>
    <w:rsid w:val="769E1F20"/>
    <w:rsid w:val="76A0979F"/>
    <w:rsid w:val="76A1F1BB"/>
    <w:rsid w:val="76A25BEA"/>
    <w:rsid w:val="76A3AA72"/>
    <w:rsid w:val="76AAFB88"/>
    <w:rsid w:val="76ABEFBB"/>
    <w:rsid w:val="76ACA444"/>
    <w:rsid w:val="76ADA1CB"/>
    <w:rsid w:val="76AEA4BF"/>
    <w:rsid w:val="76B01016"/>
    <w:rsid w:val="76B267E7"/>
    <w:rsid w:val="76B55226"/>
    <w:rsid w:val="76B62CA9"/>
    <w:rsid w:val="76B9C0DC"/>
    <w:rsid w:val="76BE91C1"/>
    <w:rsid w:val="76BED760"/>
    <w:rsid w:val="76BF48A2"/>
    <w:rsid w:val="76C2A340"/>
    <w:rsid w:val="76C4A86B"/>
    <w:rsid w:val="76C69D63"/>
    <w:rsid w:val="76C871B7"/>
    <w:rsid w:val="76C87A60"/>
    <w:rsid w:val="76C99C66"/>
    <w:rsid w:val="76CC0AC8"/>
    <w:rsid w:val="76D4A7A6"/>
    <w:rsid w:val="76DA02C4"/>
    <w:rsid w:val="76DA3E11"/>
    <w:rsid w:val="76DB1B1D"/>
    <w:rsid w:val="76DE8079"/>
    <w:rsid w:val="76E174F5"/>
    <w:rsid w:val="76E1C8E1"/>
    <w:rsid w:val="76E2D87C"/>
    <w:rsid w:val="76E3DC16"/>
    <w:rsid w:val="76E673A0"/>
    <w:rsid w:val="76E6ED3A"/>
    <w:rsid w:val="76EA03B4"/>
    <w:rsid w:val="76EA7480"/>
    <w:rsid w:val="76EE096D"/>
    <w:rsid w:val="76F1222D"/>
    <w:rsid w:val="76F3214D"/>
    <w:rsid w:val="76F71CE1"/>
    <w:rsid w:val="76F7FA20"/>
    <w:rsid w:val="76FD69CF"/>
    <w:rsid w:val="76FE4830"/>
    <w:rsid w:val="77001C5F"/>
    <w:rsid w:val="770893F6"/>
    <w:rsid w:val="770A39A1"/>
    <w:rsid w:val="770D1349"/>
    <w:rsid w:val="770D7877"/>
    <w:rsid w:val="770ECEE7"/>
    <w:rsid w:val="7711649C"/>
    <w:rsid w:val="7712D2AE"/>
    <w:rsid w:val="7713C2C4"/>
    <w:rsid w:val="7713C8C1"/>
    <w:rsid w:val="77156943"/>
    <w:rsid w:val="771A011E"/>
    <w:rsid w:val="771CD929"/>
    <w:rsid w:val="771E7753"/>
    <w:rsid w:val="77213177"/>
    <w:rsid w:val="77253B1F"/>
    <w:rsid w:val="772790B7"/>
    <w:rsid w:val="77290E75"/>
    <w:rsid w:val="772B2219"/>
    <w:rsid w:val="772C011F"/>
    <w:rsid w:val="772C184C"/>
    <w:rsid w:val="772F02DF"/>
    <w:rsid w:val="77333ACB"/>
    <w:rsid w:val="77345F8B"/>
    <w:rsid w:val="77373426"/>
    <w:rsid w:val="773BB6AF"/>
    <w:rsid w:val="773F3645"/>
    <w:rsid w:val="774511AA"/>
    <w:rsid w:val="77453A3F"/>
    <w:rsid w:val="77465773"/>
    <w:rsid w:val="774AADFC"/>
    <w:rsid w:val="774AAFB8"/>
    <w:rsid w:val="774AF1B7"/>
    <w:rsid w:val="774B8D34"/>
    <w:rsid w:val="774B96C2"/>
    <w:rsid w:val="774DF79B"/>
    <w:rsid w:val="775A928E"/>
    <w:rsid w:val="775B739F"/>
    <w:rsid w:val="77665927"/>
    <w:rsid w:val="7768B4AE"/>
    <w:rsid w:val="776950ED"/>
    <w:rsid w:val="776AD198"/>
    <w:rsid w:val="776AEFE6"/>
    <w:rsid w:val="776B5A69"/>
    <w:rsid w:val="776CBBE0"/>
    <w:rsid w:val="777175F3"/>
    <w:rsid w:val="7773A66A"/>
    <w:rsid w:val="7774222A"/>
    <w:rsid w:val="777B5A41"/>
    <w:rsid w:val="778113AD"/>
    <w:rsid w:val="778194B3"/>
    <w:rsid w:val="77831ADC"/>
    <w:rsid w:val="7783D5B9"/>
    <w:rsid w:val="7783E743"/>
    <w:rsid w:val="778E642B"/>
    <w:rsid w:val="778E8EAA"/>
    <w:rsid w:val="7791CC21"/>
    <w:rsid w:val="7794367E"/>
    <w:rsid w:val="7797C76C"/>
    <w:rsid w:val="7797D172"/>
    <w:rsid w:val="7797E174"/>
    <w:rsid w:val="7797F10C"/>
    <w:rsid w:val="779A553F"/>
    <w:rsid w:val="779B8988"/>
    <w:rsid w:val="779BDB7E"/>
    <w:rsid w:val="779CFCA9"/>
    <w:rsid w:val="779E34A4"/>
    <w:rsid w:val="77A48655"/>
    <w:rsid w:val="77A4F399"/>
    <w:rsid w:val="77AA17F4"/>
    <w:rsid w:val="77AA1BF0"/>
    <w:rsid w:val="77AB9D1A"/>
    <w:rsid w:val="77ABEF1F"/>
    <w:rsid w:val="77AD9B40"/>
    <w:rsid w:val="77B02AC3"/>
    <w:rsid w:val="77B3AB85"/>
    <w:rsid w:val="77B3DE49"/>
    <w:rsid w:val="77B6201C"/>
    <w:rsid w:val="77B7618C"/>
    <w:rsid w:val="77B7C6BB"/>
    <w:rsid w:val="77B9EB3E"/>
    <w:rsid w:val="77BB394F"/>
    <w:rsid w:val="77BB6105"/>
    <w:rsid w:val="77BC438F"/>
    <w:rsid w:val="77C363EF"/>
    <w:rsid w:val="77C4505B"/>
    <w:rsid w:val="77C59975"/>
    <w:rsid w:val="77C5DED2"/>
    <w:rsid w:val="77C6651B"/>
    <w:rsid w:val="77C6ED16"/>
    <w:rsid w:val="77C84158"/>
    <w:rsid w:val="77D248B0"/>
    <w:rsid w:val="77D2BCA8"/>
    <w:rsid w:val="77D4C199"/>
    <w:rsid w:val="77D6F994"/>
    <w:rsid w:val="77D9E818"/>
    <w:rsid w:val="77DA8250"/>
    <w:rsid w:val="77DC9E6D"/>
    <w:rsid w:val="77DF53F0"/>
    <w:rsid w:val="77E5A854"/>
    <w:rsid w:val="77EABCA9"/>
    <w:rsid w:val="77EAD113"/>
    <w:rsid w:val="77EB086E"/>
    <w:rsid w:val="77EC8714"/>
    <w:rsid w:val="77ECFD77"/>
    <w:rsid w:val="77F0DA35"/>
    <w:rsid w:val="77F3844C"/>
    <w:rsid w:val="77F4D089"/>
    <w:rsid w:val="77F80C19"/>
    <w:rsid w:val="77FB2CEF"/>
    <w:rsid w:val="77FDF621"/>
    <w:rsid w:val="77FEBE4A"/>
    <w:rsid w:val="7800894F"/>
    <w:rsid w:val="7804290D"/>
    <w:rsid w:val="7804EDAF"/>
    <w:rsid w:val="78066385"/>
    <w:rsid w:val="780B50E3"/>
    <w:rsid w:val="780B952E"/>
    <w:rsid w:val="780BB76D"/>
    <w:rsid w:val="780CB8F5"/>
    <w:rsid w:val="780DCB82"/>
    <w:rsid w:val="780F3AEE"/>
    <w:rsid w:val="7811EAC2"/>
    <w:rsid w:val="7817AF9E"/>
    <w:rsid w:val="7819AB66"/>
    <w:rsid w:val="781EF410"/>
    <w:rsid w:val="781F1D39"/>
    <w:rsid w:val="7820EDA1"/>
    <w:rsid w:val="78222412"/>
    <w:rsid w:val="7822565C"/>
    <w:rsid w:val="78227BD8"/>
    <w:rsid w:val="7824C3B6"/>
    <w:rsid w:val="7827A542"/>
    <w:rsid w:val="782A22AC"/>
    <w:rsid w:val="782B5E80"/>
    <w:rsid w:val="782FD7E5"/>
    <w:rsid w:val="7831F495"/>
    <w:rsid w:val="78350476"/>
    <w:rsid w:val="783619CA"/>
    <w:rsid w:val="7838F07D"/>
    <w:rsid w:val="78423C16"/>
    <w:rsid w:val="78440944"/>
    <w:rsid w:val="7844F1D2"/>
    <w:rsid w:val="7845F858"/>
    <w:rsid w:val="784C9BE8"/>
    <w:rsid w:val="784F60B8"/>
    <w:rsid w:val="7850F5E5"/>
    <w:rsid w:val="78515833"/>
    <w:rsid w:val="78534C10"/>
    <w:rsid w:val="78578038"/>
    <w:rsid w:val="7857CE62"/>
    <w:rsid w:val="785844EA"/>
    <w:rsid w:val="7858E0E2"/>
    <w:rsid w:val="785B9EA7"/>
    <w:rsid w:val="785D93AA"/>
    <w:rsid w:val="785DB259"/>
    <w:rsid w:val="785F0A1E"/>
    <w:rsid w:val="78621AB7"/>
    <w:rsid w:val="78623018"/>
    <w:rsid w:val="78634406"/>
    <w:rsid w:val="7867DC78"/>
    <w:rsid w:val="786D2ECD"/>
    <w:rsid w:val="786E853D"/>
    <w:rsid w:val="786F60C0"/>
    <w:rsid w:val="786FD7DC"/>
    <w:rsid w:val="78705928"/>
    <w:rsid w:val="78727A8D"/>
    <w:rsid w:val="7872DEA9"/>
    <w:rsid w:val="78760900"/>
    <w:rsid w:val="78766E66"/>
    <w:rsid w:val="78767B4F"/>
    <w:rsid w:val="787EA2B5"/>
    <w:rsid w:val="78832628"/>
    <w:rsid w:val="7886DA20"/>
    <w:rsid w:val="7887F64E"/>
    <w:rsid w:val="78882FE6"/>
    <w:rsid w:val="78898621"/>
    <w:rsid w:val="788A4099"/>
    <w:rsid w:val="788A8A65"/>
    <w:rsid w:val="788AE7D6"/>
    <w:rsid w:val="788CEF5E"/>
    <w:rsid w:val="788E8A8E"/>
    <w:rsid w:val="78948A06"/>
    <w:rsid w:val="7897F927"/>
    <w:rsid w:val="789BA276"/>
    <w:rsid w:val="789CAD56"/>
    <w:rsid w:val="78A0E9E6"/>
    <w:rsid w:val="78A38E70"/>
    <w:rsid w:val="78A3B205"/>
    <w:rsid w:val="78A3C55F"/>
    <w:rsid w:val="78A50826"/>
    <w:rsid w:val="78A7B7E0"/>
    <w:rsid w:val="78AC947F"/>
    <w:rsid w:val="78ACB21D"/>
    <w:rsid w:val="78AD71B9"/>
    <w:rsid w:val="78AE097C"/>
    <w:rsid w:val="78AFE5EB"/>
    <w:rsid w:val="78B05014"/>
    <w:rsid w:val="78B0F292"/>
    <w:rsid w:val="78B8E4AD"/>
    <w:rsid w:val="78B96237"/>
    <w:rsid w:val="78BB2B19"/>
    <w:rsid w:val="78BD3479"/>
    <w:rsid w:val="78BF06B8"/>
    <w:rsid w:val="78C05F1E"/>
    <w:rsid w:val="78C1A315"/>
    <w:rsid w:val="78C5998E"/>
    <w:rsid w:val="78C6660F"/>
    <w:rsid w:val="78C7AA81"/>
    <w:rsid w:val="78C9F620"/>
    <w:rsid w:val="78CA16B6"/>
    <w:rsid w:val="78CA5EE9"/>
    <w:rsid w:val="78CAE3E5"/>
    <w:rsid w:val="78CAF178"/>
    <w:rsid w:val="78CB34EB"/>
    <w:rsid w:val="78CD0C56"/>
    <w:rsid w:val="78CD92AA"/>
    <w:rsid w:val="78CF3C2B"/>
    <w:rsid w:val="78D21470"/>
    <w:rsid w:val="78D2A9D8"/>
    <w:rsid w:val="78D2F5CC"/>
    <w:rsid w:val="78D5D567"/>
    <w:rsid w:val="78D5DBAE"/>
    <w:rsid w:val="78D9168C"/>
    <w:rsid w:val="78D93D51"/>
    <w:rsid w:val="78DA04D7"/>
    <w:rsid w:val="78DB6DCC"/>
    <w:rsid w:val="78DD9045"/>
    <w:rsid w:val="78DDCCD1"/>
    <w:rsid w:val="78DF940F"/>
    <w:rsid w:val="78E14E2A"/>
    <w:rsid w:val="78E4D5B9"/>
    <w:rsid w:val="78E83625"/>
    <w:rsid w:val="78EBD96D"/>
    <w:rsid w:val="78EC0620"/>
    <w:rsid w:val="78ECEB8F"/>
    <w:rsid w:val="78F23057"/>
    <w:rsid w:val="78F26DB4"/>
    <w:rsid w:val="78F30395"/>
    <w:rsid w:val="78FA3F02"/>
    <w:rsid w:val="78FE6011"/>
    <w:rsid w:val="790217B2"/>
    <w:rsid w:val="79040D93"/>
    <w:rsid w:val="7908C946"/>
    <w:rsid w:val="790BF903"/>
    <w:rsid w:val="790E8D2E"/>
    <w:rsid w:val="790F79BB"/>
    <w:rsid w:val="7910E43F"/>
    <w:rsid w:val="7912C3D6"/>
    <w:rsid w:val="7914A7AC"/>
    <w:rsid w:val="79156598"/>
    <w:rsid w:val="79158804"/>
    <w:rsid w:val="791B9A92"/>
    <w:rsid w:val="791FDE3A"/>
    <w:rsid w:val="791FE562"/>
    <w:rsid w:val="79239CE1"/>
    <w:rsid w:val="7927DC64"/>
    <w:rsid w:val="7929512F"/>
    <w:rsid w:val="7929AF39"/>
    <w:rsid w:val="792FC62A"/>
    <w:rsid w:val="792FF5D8"/>
    <w:rsid w:val="79318F98"/>
    <w:rsid w:val="7931AF29"/>
    <w:rsid w:val="793278BD"/>
    <w:rsid w:val="79341678"/>
    <w:rsid w:val="793A0734"/>
    <w:rsid w:val="793A5F3C"/>
    <w:rsid w:val="793AC758"/>
    <w:rsid w:val="793BE520"/>
    <w:rsid w:val="793D97F4"/>
    <w:rsid w:val="793E3B8D"/>
    <w:rsid w:val="79411014"/>
    <w:rsid w:val="7943B241"/>
    <w:rsid w:val="7943C85C"/>
    <w:rsid w:val="79449DF2"/>
    <w:rsid w:val="79456D25"/>
    <w:rsid w:val="7947B6FB"/>
    <w:rsid w:val="7948D2C5"/>
    <w:rsid w:val="794EC222"/>
    <w:rsid w:val="7954F5C0"/>
    <w:rsid w:val="7956D8B2"/>
    <w:rsid w:val="7957A83F"/>
    <w:rsid w:val="7958D1FF"/>
    <w:rsid w:val="79599E53"/>
    <w:rsid w:val="795A5C7B"/>
    <w:rsid w:val="795C6A3E"/>
    <w:rsid w:val="7964317A"/>
    <w:rsid w:val="7965F375"/>
    <w:rsid w:val="7967368F"/>
    <w:rsid w:val="7967666C"/>
    <w:rsid w:val="7968A768"/>
    <w:rsid w:val="796B8CA0"/>
    <w:rsid w:val="796C7CD3"/>
    <w:rsid w:val="79706B89"/>
    <w:rsid w:val="7970B0DE"/>
    <w:rsid w:val="797A3BE2"/>
    <w:rsid w:val="797B01E6"/>
    <w:rsid w:val="797C1E0D"/>
    <w:rsid w:val="797D35AB"/>
    <w:rsid w:val="797E8403"/>
    <w:rsid w:val="7980EC4F"/>
    <w:rsid w:val="79861C31"/>
    <w:rsid w:val="79874035"/>
    <w:rsid w:val="798ABE83"/>
    <w:rsid w:val="798B0AD6"/>
    <w:rsid w:val="798EA5F6"/>
    <w:rsid w:val="798EFA5D"/>
    <w:rsid w:val="798F6758"/>
    <w:rsid w:val="798F946C"/>
    <w:rsid w:val="7992BF39"/>
    <w:rsid w:val="79934177"/>
    <w:rsid w:val="799500D8"/>
    <w:rsid w:val="7996DC2E"/>
    <w:rsid w:val="799C750E"/>
    <w:rsid w:val="799ECA8F"/>
    <w:rsid w:val="79AAE314"/>
    <w:rsid w:val="79AB3767"/>
    <w:rsid w:val="79AF3DD6"/>
    <w:rsid w:val="79B1C6E4"/>
    <w:rsid w:val="79B8A047"/>
    <w:rsid w:val="79B901FA"/>
    <w:rsid w:val="79BA3216"/>
    <w:rsid w:val="79BA6EF7"/>
    <w:rsid w:val="79BCC1F9"/>
    <w:rsid w:val="79CE71A9"/>
    <w:rsid w:val="79CF4ACD"/>
    <w:rsid w:val="79CF801B"/>
    <w:rsid w:val="79CF91B9"/>
    <w:rsid w:val="79CFA930"/>
    <w:rsid w:val="79D3BC27"/>
    <w:rsid w:val="79D5394A"/>
    <w:rsid w:val="79D7CF0A"/>
    <w:rsid w:val="79DA7855"/>
    <w:rsid w:val="79DA9A33"/>
    <w:rsid w:val="79DC18AE"/>
    <w:rsid w:val="79E367AE"/>
    <w:rsid w:val="79E47805"/>
    <w:rsid w:val="79E68DFE"/>
    <w:rsid w:val="79E9019E"/>
    <w:rsid w:val="79EACA55"/>
    <w:rsid w:val="79EAD268"/>
    <w:rsid w:val="79ED1AAF"/>
    <w:rsid w:val="79EE88A8"/>
    <w:rsid w:val="79F0B483"/>
    <w:rsid w:val="79F4906B"/>
    <w:rsid w:val="79F56399"/>
    <w:rsid w:val="79F56B66"/>
    <w:rsid w:val="79F84BBA"/>
    <w:rsid w:val="79F9D2FC"/>
    <w:rsid w:val="79FA516A"/>
    <w:rsid w:val="79FDE3D3"/>
    <w:rsid w:val="79FFE710"/>
    <w:rsid w:val="7A01231C"/>
    <w:rsid w:val="7A015B98"/>
    <w:rsid w:val="7A032CDA"/>
    <w:rsid w:val="7A0552CB"/>
    <w:rsid w:val="7A0715CC"/>
    <w:rsid w:val="7A0D082E"/>
    <w:rsid w:val="7A0ED0DB"/>
    <w:rsid w:val="7A0EE57E"/>
    <w:rsid w:val="7A0F6CF5"/>
    <w:rsid w:val="7A11FC07"/>
    <w:rsid w:val="7A1C26D0"/>
    <w:rsid w:val="7A1EF1F4"/>
    <w:rsid w:val="7A211780"/>
    <w:rsid w:val="7A22D89F"/>
    <w:rsid w:val="7A2304ED"/>
    <w:rsid w:val="7A258085"/>
    <w:rsid w:val="7A29F094"/>
    <w:rsid w:val="7A2D5B00"/>
    <w:rsid w:val="7A2DC738"/>
    <w:rsid w:val="7A2E49AA"/>
    <w:rsid w:val="7A34753F"/>
    <w:rsid w:val="7A395347"/>
    <w:rsid w:val="7A3D7F10"/>
    <w:rsid w:val="7A3F99A0"/>
    <w:rsid w:val="7A4392E6"/>
    <w:rsid w:val="7A44DC1F"/>
    <w:rsid w:val="7A44F1EB"/>
    <w:rsid w:val="7A45170E"/>
    <w:rsid w:val="7A48119A"/>
    <w:rsid w:val="7A498B66"/>
    <w:rsid w:val="7A4B4922"/>
    <w:rsid w:val="7A4C2534"/>
    <w:rsid w:val="7A4C99C4"/>
    <w:rsid w:val="7A4E23EA"/>
    <w:rsid w:val="7A5074A5"/>
    <w:rsid w:val="7A514EA3"/>
    <w:rsid w:val="7A53F665"/>
    <w:rsid w:val="7A54ACBE"/>
    <w:rsid w:val="7A598D8E"/>
    <w:rsid w:val="7A5AC8AC"/>
    <w:rsid w:val="7A5B81CB"/>
    <w:rsid w:val="7A5C86CB"/>
    <w:rsid w:val="7A60EB80"/>
    <w:rsid w:val="7A612BEE"/>
    <w:rsid w:val="7A63083C"/>
    <w:rsid w:val="7A635FA5"/>
    <w:rsid w:val="7A638B57"/>
    <w:rsid w:val="7A65C59E"/>
    <w:rsid w:val="7A67F720"/>
    <w:rsid w:val="7A691D3A"/>
    <w:rsid w:val="7A6AD3B4"/>
    <w:rsid w:val="7A6B3F08"/>
    <w:rsid w:val="7A6E8B5D"/>
    <w:rsid w:val="7A778950"/>
    <w:rsid w:val="7A77F43E"/>
    <w:rsid w:val="7A7932E1"/>
    <w:rsid w:val="7A7953A9"/>
    <w:rsid w:val="7A797A56"/>
    <w:rsid w:val="7A7A5B00"/>
    <w:rsid w:val="7A7A7256"/>
    <w:rsid w:val="7A7AAD44"/>
    <w:rsid w:val="7A7CD562"/>
    <w:rsid w:val="7A7D041C"/>
    <w:rsid w:val="7A7F4874"/>
    <w:rsid w:val="7A8111F5"/>
    <w:rsid w:val="7A84AD27"/>
    <w:rsid w:val="7A885E4F"/>
    <w:rsid w:val="7A8B935E"/>
    <w:rsid w:val="7A8CF5BE"/>
    <w:rsid w:val="7A936409"/>
    <w:rsid w:val="7A93B8E3"/>
    <w:rsid w:val="7A996D75"/>
    <w:rsid w:val="7A9B2FE7"/>
    <w:rsid w:val="7A9E50B2"/>
    <w:rsid w:val="7AA0D746"/>
    <w:rsid w:val="7AA10C3E"/>
    <w:rsid w:val="7AA4016E"/>
    <w:rsid w:val="7AA47EE1"/>
    <w:rsid w:val="7AAA8FFC"/>
    <w:rsid w:val="7AAB4F6D"/>
    <w:rsid w:val="7AABF63A"/>
    <w:rsid w:val="7AAC2FE4"/>
    <w:rsid w:val="7AB07CF5"/>
    <w:rsid w:val="7AB59DBB"/>
    <w:rsid w:val="7AB73B10"/>
    <w:rsid w:val="7AB82053"/>
    <w:rsid w:val="7AB966D8"/>
    <w:rsid w:val="7ABA0CBD"/>
    <w:rsid w:val="7AC31478"/>
    <w:rsid w:val="7AC5EC2F"/>
    <w:rsid w:val="7AC6A0F5"/>
    <w:rsid w:val="7AC97B5F"/>
    <w:rsid w:val="7ACCF5BF"/>
    <w:rsid w:val="7ACF984A"/>
    <w:rsid w:val="7AD08966"/>
    <w:rsid w:val="7AD1DA32"/>
    <w:rsid w:val="7AD4E712"/>
    <w:rsid w:val="7AD771D7"/>
    <w:rsid w:val="7ADA52CB"/>
    <w:rsid w:val="7ADBB772"/>
    <w:rsid w:val="7ADBCA59"/>
    <w:rsid w:val="7AE353EB"/>
    <w:rsid w:val="7AE3E2D5"/>
    <w:rsid w:val="7AE3FD0E"/>
    <w:rsid w:val="7AE618C1"/>
    <w:rsid w:val="7AE7AD33"/>
    <w:rsid w:val="7AE8FA31"/>
    <w:rsid w:val="7AE95E51"/>
    <w:rsid w:val="7AEB759D"/>
    <w:rsid w:val="7AEEDACC"/>
    <w:rsid w:val="7AF1C92A"/>
    <w:rsid w:val="7AF48E41"/>
    <w:rsid w:val="7AF6323A"/>
    <w:rsid w:val="7AF83027"/>
    <w:rsid w:val="7AFF2EB0"/>
    <w:rsid w:val="7B003586"/>
    <w:rsid w:val="7B025F6E"/>
    <w:rsid w:val="7B06585C"/>
    <w:rsid w:val="7B068C09"/>
    <w:rsid w:val="7B0C4349"/>
    <w:rsid w:val="7B0F1D0F"/>
    <w:rsid w:val="7B0F50D6"/>
    <w:rsid w:val="7B115131"/>
    <w:rsid w:val="7B12C366"/>
    <w:rsid w:val="7B132EC4"/>
    <w:rsid w:val="7B16C13E"/>
    <w:rsid w:val="7B18B7BE"/>
    <w:rsid w:val="7B1B1DA5"/>
    <w:rsid w:val="7B1B7347"/>
    <w:rsid w:val="7B1C1403"/>
    <w:rsid w:val="7B22E0A1"/>
    <w:rsid w:val="7B2553E4"/>
    <w:rsid w:val="7B25967B"/>
    <w:rsid w:val="7B282D29"/>
    <w:rsid w:val="7B2D4573"/>
    <w:rsid w:val="7B2FB07B"/>
    <w:rsid w:val="7B319328"/>
    <w:rsid w:val="7B35B06D"/>
    <w:rsid w:val="7B39FBD4"/>
    <w:rsid w:val="7B3D1BC1"/>
    <w:rsid w:val="7B3DB32B"/>
    <w:rsid w:val="7B3F8955"/>
    <w:rsid w:val="7B434E5F"/>
    <w:rsid w:val="7B447F5B"/>
    <w:rsid w:val="7B4734BF"/>
    <w:rsid w:val="7B4954D7"/>
    <w:rsid w:val="7B4AD46E"/>
    <w:rsid w:val="7B4EA8A1"/>
    <w:rsid w:val="7B4FAA13"/>
    <w:rsid w:val="7B5166BD"/>
    <w:rsid w:val="7B51E74A"/>
    <w:rsid w:val="7B54B6A2"/>
    <w:rsid w:val="7B58420D"/>
    <w:rsid w:val="7B593328"/>
    <w:rsid w:val="7B5C7240"/>
    <w:rsid w:val="7B5D525A"/>
    <w:rsid w:val="7B5EADAB"/>
    <w:rsid w:val="7B5F24CB"/>
    <w:rsid w:val="7B64EF36"/>
    <w:rsid w:val="7B664216"/>
    <w:rsid w:val="7B6A9C1E"/>
    <w:rsid w:val="7B6C002C"/>
    <w:rsid w:val="7B6D51D4"/>
    <w:rsid w:val="7B70FAF2"/>
    <w:rsid w:val="7B757904"/>
    <w:rsid w:val="7B7867E3"/>
    <w:rsid w:val="7B78F1E7"/>
    <w:rsid w:val="7B79189A"/>
    <w:rsid w:val="7B7C7FA3"/>
    <w:rsid w:val="7B85BACF"/>
    <w:rsid w:val="7B88D2BA"/>
    <w:rsid w:val="7B8C065A"/>
    <w:rsid w:val="7B8E8CD7"/>
    <w:rsid w:val="7B8F2B3D"/>
    <w:rsid w:val="7B900B23"/>
    <w:rsid w:val="7B90156B"/>
    <w:rsid w:val="7B923C20"/>
    <w:rsid w:val="7B97CA45"/>
    <w:rsid w:val="7B9A7C73"/>
    <w:rsid w:val="7B9C0A36"/>
    <w:rsid w:val="7B9D70A3"/>
    <w:rsid w:val="7B9E4917"/>
    <w:rsid w:val="7B9F0998"/>
    <w:rsid w:val="7B9FBB85"/>
    <w:rsid w:val="7BA02982"/>
    <w:rsid w:val="7BA0BA90"/>
    <w:rsid w:val="7BA2A534"/>
    <w:rsid w:val="7BA2A8A9"/>
    <w:rsid w:val="7BA53D97"/>
    <w:rsid w:val="7BA6A71E"/>
    <w:rsid w:val="7BAC2F9E"/>
    <w:rsid w:val="7BAE3C92"/>
    <w:rsid w:val="7BAE70B0"/>
    <w:rsid w:val="7BAFC6BB"/>
    <w:rsid w:val="7BB9CAC0"/>
    <w:rsid w:val="7BB9FA60"/>
    <w:rsid w:val="7BBCCE1A"/>
    <w:rsid w:val="7BBDFA06"/>
    <w:rsid w:val="7BC0351D"/>
    <w:rsid w:val="7BC4F4C4"/>
    <w:rsid w:val="7BC60503"/>
    <w:rsid w:val="7BC74F28"/>
    <w:rsid w:val="7BC7C078"/>
    <w:rsid w:val="7BCB620C"/>
    <w:rsid w:val="7BCBE924"/>
    <w:rsid w:val="7BD1B048"/>
    <w:rsid w:val="7BD35E08"/>
    <w:rsid w:val="7BD8BA3A"/>
    <w:rsid w:val="7BDAB6F2"/>
    <w:rsid w:val="7BDAD1B9"/>
    <w:rsid w:val="7BDE278B"/>
    <w:rsid w:val="7BDE82B6"/>
    <w:rsid w:val="7BE3FBD4"/>
    <w:rsid w:val="7BE454C0"/>
    <w:rsid w:val="7BE9841F"/>
    <w:rsid w:val="7BE9AA50"/>
    <w:rsid w:val="7BEEDE46"/>
    <w:rsid w:val="7BF1061F"/>
    <w:rsid w:val="7BF28036"/>
    <w:rsid w:val="7BF2AB91"/>
    <w:rsid w:val="7BF2B9F6"/>
    <w:rsid w:val="7BF2C339"/>
    <w:rsid w:val="7BF34EC7"/>
    <w:rsid w:val="7BF540F9"/>
    <w:rsid w:val="7BF8E7D3"/>
    <w:rsid w:val="7BFCC81C"/>
    <w:rsid w:val="7C005954"/>
    <w:rsid w:val="7C03EF96"/>
    <w:rsid w:val="7C0B7879"/>
    <w:rsid w:val="7C0FF420"/>
    <w:rsid w:val="7C11B509"/>
    <w:rsid w:val="7C1472EF"/>
    <w:rsid w:val="7C14D459"/>
    <w:rsid w:val="7C1C47D1"/>
    <w:rsid w:val="7C1CC4F7"/>
    <w:rsid w:val="7C1CCF1C"/>
    <w:rsid w:val="7C1D13BD"/>
    <w:rsid w:val="7C1DCE4D"/>
    <w:rsid w:val="7C1F0649"/>
    <w:rsid w:val="7C214466"/>
    <w:rsid w:val="7C2A4FFD"/>
    <w:rsid w:val="7C315B21"/>
    <w:rsid w:val="7C319072"/>
    <w:rsid w:val="7C353EC7"/>
    <w:rsid w:val="7C3758D6"/>
    <w:rsid w:val="7C40B9D4"/>
    <w:rsid w:val="7C4358EB"/>
    <w:rsid w:val="7C43C488"/>
    <w:rsid w:val="7C468AE2"/>
    <w:rsid w:val="7C4910E5"/>
    <w:rsid w:val="7C49E78F"/>
    <w:rsid w:val="7C4D3438"/>
    <w:rsid w:val="7C4DA659"/>
    <w:rsid w:val="7C51551C"/>
    <w:rsid w:val="7C51909F"/>
    <w:rsid w:val="7C51CEBE"/>
    <w:rsid w:val="7C568536"/>
    <w:rsid w:val="7C5735AF"/>
    <w:rsid w:val="7C5765D7"/>
    <w:rsid w:val="7C5C4BA9"/>
    <w:rsid w:val="7C5E21C1"/>
    <w:rsid w:val="7C605443"/>
    <w:rsid w:val="7C61757E"/>
    <w:rsid w:val="7C6179C6"/>
    <w:rsid w:val="7C61CE5E"/>
    <w:rsid w:val="7C6537AA"/>
    <w:rsid w:val="7C65F963"/>
    <w:rsid w:val="7C686066"/>
    <w:rsid w:val="7C6A739A"/>
    <w:rsid w:val="7C6AD35C"/>
    <w:rsid w:val="7C6B150F"/>
    <w:rsid w:val="7C6CE0B9"/>
    <w:rsid w:val="7C6F19C4"/>
    <w:rsid w:val="7C722D38"/>
    <w:rsid w:val="7C7A3A98"/>
    <w:rsid w:val="7C8059C4"/>
    <w:rsid w:val="7C8727DD"/>
    <w:rsid w:val="7C8993B3"/>
    <w:rsid w:val="7C89BE80"/>
    <w:rsid w:val="7C8A25E0"/>
    <w:rsid w:val="7C8B51D7"/>
    <w:rsid w:val="7C8BF91B"/>
    <w:rsid w:val="7C8DA8FE"/>
    <w:rsid w:val="7C8E25B4"/>
    <w:rsid w:val="7C8F60EC"/>
    <w:rsid w:val="7C8FBC98"/>
    <w:rsid w:val="7C912A2B"/>
    <w:rsid w:val="7C9319DD"/>
    <w:rsid w:val="7C93E63F"/>
    <w:rsid w:val="7C956E48"/>
    <w:rsid w:val="7C97D628"/>
    <w:rsid w:val="7C988D1D"/>
    <w:rsid w:val="7C9A3C67"/>
    <w:rsid w:val="7C9B7920"/>
    <w:rsid w:val="7C9BFAC9"/>
    <w:rsid w:val="7C9F9DB6"/>
    <w:rsid w:val="7CA4191C"/>
    <w:rsid w:val="7CA4A778"/>
    <w:rsid w:val="7CA4FCAD"/>
    <w:rsid w:val="7CA68196"/>
    <w:rsid w:val="7CA7040E"/>
    <w:rsid w:val="7CA904E8"/>
    <w:rsid w:val="7CA917BC"/>
    <w:rsid w:val="7CACE758"/>
    <w:rsid w:val="7CAE444A"/>
    <w:rsid w:val="7CAF9E61"/>
    <w:rsid w:val="7CB10A8F"/>
    <w:rsid w:val="7CB17CB8"/>
    <w:rsid w:val="7CB2F331"/>
    <w:rsid w:val="7CB2FB43"/>
    <w:rsid w:val="7CB79E03"/>
    <w:rsid w:val="7CB8A25A"/>
    <w:rsid w:val="7CB9CF74"/>
    <w:rsid w:val="7CBE883D"/>
    <w:rsid w:val="7CC1E539"/>
    <w:rsid w:val="7CC291C5"/>
    <w:rsid w:val="7CC3AF9A"/>
    <w:rsid w:val="7CC5BE16"/>
    <w:rsid w:val="7CC5CF83"/>
    <w:rsid w:val="7CC733B1"/>
    <w:rsid w:val="7CC7B16E"/>
    <w:rsid w:val="7CC9D091"/>
    <w:rsid w:val="7CCDE45B"/>
    <w:rsid w:val="7CCEAE13"/>
    <w:rsid w:val="7CD02B9A"/>
    <w:rsid w:val="7CD111E8"/>
    <w:rsid w:val="7CD18E38"/>
    <w:rsid w:val="7CD87FE6"/>
    <w:rsid w:val="7CD9A7EC"/>
    <w:rsid w:val="7CDC6113"/>
    <w:rsid w:val="7CDF5468"/>
    <w:rsid w:val="7CE0FE52"/>
    <w:rsid w:val="7CE32A57"/>
    <w:rsid w:val="7CE47122"/>
    <w:rsid w:val="7CE5926E"/>
    <w:rsid w:val="7CE72A2F"/>
    <w:rsid w:val="7CE7D096"/>
    <w:rsid w:val="7CE8762F"/>
    <w:rsid w:val="7CEAAD47"/>
    <w:rsid w:val="7CEC09AB"/>
    <w:rsid w:val="7CEC36B4"/>
    <w:rsid w:val="7CEE5304"/>
    <w:rsid w:val="7CF05E86"/>
    <w:rsid w:val="7CF55921"/>
    <w:rsid w:val="7CF664A3"/>
    <w:rsid w:val="7CF74FF3"/>
    <w:rsid w:val="7CF927CF"/>
    <w:rsid w:val="7CF9F4DA"/>
    <w:rsid w:val="7CFA6EE0"/>
    <w:rsid w:val="7CFF065A"/>
    <w:rsid w:val="7D01E85C"/>
    <w:rsid w:val="7D0252BB"/>
    <w:rsid w:val="7D03E6FC"/>
    <w:rsid w:val="7D0643C9"/>
    <w:rsid w:val="7D076C1F"/>
    <w:rsid w:val="7D0C3D69"/>
    <w:rsid w:val="7D0C9999"/>
    <w:rsid w:val="7D11CB06"/>
    <w:rsid w:val="7D146BFF"/>
    <w:rsid w:val="7D15A1A6"/>
    <w:rsid w:val="7D15DF58"/>
    <w:rsid w:val="7D162716"/>
    <w:rsid w:val="7D1A37A7"/>
    <w:rsid w:val="7D1B11A8"/>
    <w:rsid w:val="7D1B1A5E"/>
    <w:rsid w:val="7D208416"/>
    <w:rsid w:val="7D219DA2"/>
    <w:rsid w:val="7D224DB3"/>
    <w:rsid w:val="7D24388E"/>
    <w:rsid w:val="7D247F27"/>
    <w:rsid w:val="7D27B0F7"/>
    <w:rsid w:val="7D2C1F6B"/>
    <w:rsid w:val="7D2C411E"/>
    <w:rsid w:val="7D355848"/>
    <w:rsid w:val="7D39FD1F"/>
    <w:rsid w:val="7D3DC68C"/>
    <w:rsid w:val="7D3EC855"/>
    <w:rsid w:val="7D3F1713"/>
    <w:rsid w:val="7D3FE742"/>
    <w:rsid w:val="7D412F42"/>
    <w:rsid w:val="7D434AAC"/>
    <w:rsid w:val="7D469BD1"/>
    <w:rsid w:val="7D4B99AB"/>
    <w:rsid w:val="7D4DD763"/>
    <w:rsid w:val="7D4E2012"/>
    <w:rsid w:val="7D4E8774"/>
    <w:rsid w:val="7D4F9553"/>
    <w:rsid w:val="7D4FA4B1"/>
    <w:rsid w:val="7D5000D1"/>
    <w:rsid w:val="7D52784D"/>
    <w:rsid w:val="7D540678"/>
    <w:rsid w:val="7D5413AD"/>
    <w:rsid w:val="7D5C7CCC"/>
    <w:rsid w:val="7D5E4E4C"/>
    <w:rsid w:val="7D5F1273"/>
    <w:rsid w:val="7D5F7026"/>
    <w:rsid w:val="7D5FD5B5"/>
    <w:rsid w:val="7D67FDFB"/>
    <w:rsid w:val="7D6B6E75"/>
    <w:rsid w:val="7D6D4482"/>
    <w:rsid w:val="7D6E7BDB"/>
    <w:rsid w:val="7D6EA3FA"/>
    <w:rsid w:val="7D6FD1CB"/>
    <w:rsid w:val="7D705C9C"/>
    <w:rsid w:val="7D75712B"/>
    <w:rsid w:val="7D7651B7"/>
    <w:rsid w:val="7D76FB6F"/>
    <w:rsid w:val="7D7743B1"/>
    <w:rsid w:val="7D79C3B4"/>
    <w:rsid w:val="7D829582"/>
    <w:rsid w:val="7D831C1D"/>
    <w:rsid w:val="7D839F5E"/>
    <w:rsid w:val="7D8423A2"/>
    <w:rsid w:val="7D844044"/>
    <w:rsid w:val="7D86EB54"/>
    <w:rsid w:val="7D8D90F2"/>
    <w:rsid w:val="7D8E7B74"/>
    <w:rsid w:val="7D8E84AE"/>
    <w:rsid w:val="7D8F6C72"/>
    <w:rsid w:val="7D9192DA"/>
    <w:rsid w:val="7D932D57"/>
    <w:rsid w:val="7D952E51"/>
    <w:rsid w:val="7D967F62"/>
    <w:rsid w:val="7D979DD0"/>
    <w:rsid w:val="7D9DAE17"/>
    <w:rsid w:val="7D9E1BF0"/>
    <w:rsid w:val="7D9E6EC1"/>
    <w:rsid w:val="7DA5C779"/>
    <w:rsid w:val="7DA5D931"/>
    <w:rsid w:val="7DA6AE36"/>
    <w:rsid w:val="7DA759A0"/>
    <w:rsid w:val="7DA9007D"/>
    <w:rsid w:val="7DAADD4C"/>
    <w:rsid w:val="7DACDE12"/>
    <w:rsid w:val="7DACDE2E"/>
    <w:rsid w:val="7DADDB3C"/>
    <w:rsid w:val="7DB08A52"/>
    <w:rsid w:val="7DB1072A"/>
    <w:rsid w:val="7DB7C8AC"/>
    <w:rsid w:val="7DBA8AD0"/>
    <w:rsid w:val="7DBF3D3A"/>
    <w:rsid w:val="7DC10C19"/>
    <w:rsid w:val="7DC27807"/>
    <w:rsid w:val="7DC3BE30"/>
    <w:rsid w:val="7DC905DB"/>
    <w:rsid w:val="7DC9FEE6"/>
    <w:rsid w:val="7DCA6AD0"/>
    <w:rsid w:val="7DCAD90D"/>
    <w:rsid w:val="7DCAE181"/>
    <w:rsid w:val="7DD20B0D"/>
    <w:rsid w:val="7DD24745"/>
    <w:rsid w:val="7DD59372"/>
    <w:rsid w:val="7DD5C7E1"/>
    <w:rsid w:val="7DD8FAB3"/>
    <w:rsid w:val="7DDF6FB1"/>
    <w:rsid w:val="7DDFBCC1"/>
    <w:rsid w:val="7DE117EF"/>
    <w:rsid w:val="7DE13715"/>
    <w:rsid w:val="7DE1B4EF"/>
    <w:rsid w:val="7DE2387A"/>
    <w:rsid w:val="7DE2AD90"/>
    <w:rsid w:val="7DE2B79A"/>
    <w:rsid w:val="7DE85068"/>
    <w:rsid w:val="7DE88CC7"/>
    <w:rsid w:val="7DE9CE9A"/>
    <w:rsid w:val="7DEB830E"/>
    <w:rsid w:val="7DEF17EF"/>
    <w:rsid w:val="7DEF203F"/>
    <w:rsid w:val="7DF3CFB0"/>
    <w:rsid w:val="7DF40866"/>
    <w:rsid w:val="7DF791FD"/>
    <w:rsid w:val="7DF99F36"/>
    <w:rsid w:val="7DFB28C7"/>
    <w:rsid w:val="7DFB83C9"/>
    <w:rsid w:val="7DFB9CFC"/>
    <w:rsid w:val="7DFCCF00"/>
    <w:rsid w:val="7E02CC97"/>
    <w:rsid w:val="7E051178"/>
    <w:rsid w:val="7E072611"/>
    <w:rsid w:val="7E0A535E"/>
    <w:rsid w:val="7E0A749E"/>
    <w:rsid w:val="7E0EAE81"/>
    <w:rsid w:val="7E10CAD5"/>
    <w:rsid w:val="7E1214AD"/>
    <w:rsid w:val="7E124416"/>
    <w:rsid w:val="7E1E986E"/>
    <w:rsid w:val="7E21766F"/>
    <w:rsid w:val="7E2373AE"/>
    <w:rsid w:val="7E268799"/>
    <w:rsid w:val="7E2892E6"/>
    <w:rsid w:val="7E289F41"/>
    <w:rsid w:val="7E293F2D"/>
    <w:rsid w:val="7E2BAC47"/>
    <w:rsid w:val="7E2BF206"/>
    <w:rsid w:val="7E2C0A7D"/>
    <w:rsid w:val="7E2F3E92"/>
    <w:rsid w:val="7E3302E8"/>
    <w:rsid w:val="7E376A4D"/>
    <w:rsid w:val="7E3954EA"/>
    <w:rsid w:val="7E3CA896"/>
    <w:rsid w:val="7E3D644D"/>
    <w:rsid w:val="7E3E52B6"/>
    <w:rsid w:val="7E3F2AC7"/>
    <w:rsid w:val="7E40D317"/>
    <w:rsid w:val="7E410C1B"/>
    <w:rsid w:val="7E41126C"/>
    <w:rsid w:val="7E422ABF"/>
    <w:rsid w:val="7E48285C"/>
    <w:rsid w:val="7E49C426"/>
    <w:rsid w:val="7E4AAF94"/>
    <w:rsid w:val="7E4BECEB"/>
    <w:rsid w:val="7E4DA919"/>
    <w:rsid w:val="7E513BD7"/>
    <w:rsid w:val="7E524367"/>
    <w:rsid w:val="7E56B322"/>
    <w:rsid w:val="7E584B49"/>
    <w:rsid w:val="7E593037"/>
    <w:rsid w:val="7E5DA48B"/>
    <w:rsid w:val="7E604BBE"/>
    <w:rsid w:val="7E612BA2"/>
    <w:rsid w:val="7E61DC72"/>
    <w:rsid w:val="7E632D6D"/>
    <w:rsid w:val="7E64BDC4"/>
    <w:rsid w:val="7E68703E"/>
    <w:rsid w:val="7E6AB3F9"/>
    <w:rsid w:val="7E6BA687"/>
    <w:rsid w:val="7E6E2D88"/>
    <w:rsid w:val="7E719CEC"/>
    <w:rsid w:val="7E732221"/>
    <w:rsid w:val="7E75F71F"/>
    <w:rsid w:val="7E764AFA"/>
    <w:rsid w:val="7E78E1D4"/>
    <w:rsid w:val="7E7B5038"/>
    <w:rsid w:val="7E7CBB17"/>
    <w:rsid w:val="7E7E7A7A"/>
    <w:rsid w:val="7E7EC4DB"/>
    <w:rsid w:val="7E7EE3A8"/>
    <w:rsid w:val="7E84C145"/>
    <w:rsid w:val="7E8842D9"/>
    <w:rsid w:val="7E8B4341"/>
    <w:rsid w:val="7E8BFEA5"/>
    <w:rsid w:val="7E9058C8"/>
    <w:rsid w:val="7E90F48D"/>
    <w:rsid w:val="7E918368"/>
    <w:rsid w:val="7E9294E0"/>
    <w:rsid w:val="7E966CC5"/>
    <w:rsid w:val="7E9A3F17"/>
    <w:rsid w:val="7E9C5423"/>
    <w:rsid w:val="7EA1E7B2"/>
    <w:rsid w:val="7EA8AD02"/>
    <w:rsid w:val="7EAA0B4C"/>
    <w:rsid w:val="7EAA82BE"/>
    <w:rsid w:val="7EAA9080"/>
    <w:rsid w:val="7EACB7DF"/>
    <w:rsid w:val="7EB2BE75"/>
    <w:rsid w:val="7EB2E412"/>
    <w:rsid w:val="7EB43300"/>
    <w:rsid w:val="7EB4A39D"/>
    <w:rsid w:val="7EB554F8"/>
    <w:rsid w:val="7EB6F1A6"/>
    <w:rsid w:val="7EB75044"/>
    <w:rsid w:val="7EB88577"/>
    <w:rsid w:val="7EB8EF4C"/>
    <w:rsid w:val="7EBAE244"/>
    <w:rsid w:val="7EBB9607"/>
    <w:rsid w:val="7EC6E222"/>
    <w:rsid w:val="7EC7B06D"/>
    <w:rsid w:val="7ECBE9C8"/>
    <w:rsid w:val="7ED15E23"/>
    <w:rsid w:val="7ED19CFD"/>
    <w:rsid w:val="7ED23F21"/>
    <w:rsid w:val="7ED2B1D5"/>
    <w:rsid w:val="7ED32955"/>
    <w:rsid w:val="7ED37709"/>
    <w:rsid w:val="7EDE94C6"/>
    <w:rsid w:val="7EE11BA0"/>
    <w:rsid w:val="7EE269DC"/>
    <w:rsid w:val="7EE81CEF"/>
    <w:rsid w:val="7EE92812"/>
    <w:rsid w:val="7EEFED83"/>
    <w:rsid w:val="7EF0C693"/>
    <w:rsid w:val="7EF4AF6C"/>
    <w:rsid w:val="7EF8B60C"/>
    <w:rsid w:val="7EFBC336"/>
    <w:rsid w:val="7F007C23"/>
    <w:rsid w:val="7F00C743"/>
    <w:rsid w:val="7F01B267"/>
    <w:rsid w:val="7F023303"/>
    <w:rsid w:val="7F031ECF"/>
    <w:rsid w:val="7F03616F"/>
    <w:rsid w:val="7F03EBC8"/>
    <w:rsid w:val="7F05CE0E"/>
    <w:rsid w:val="7F078B0C"/>
    <w:rsid w:val="7F07CA69"/>
    <w:rsid w:val="7F07F834"/>
    <w:rsid w:val="7F0B4FD0"/>
    <w:rsid w:val="7F0D4858"/>
    <w:rsid w:val="7F0D693D"/>
    <w:rsid w:val="7F101798"/>
    <w:rsid w:val="7F104FB3"/>
    <w:rsid w:val="7F106095"/>
    <w:rsid w:val="7F10B34A"/>
    <w:rsid w:val="7F118381"/>
    <w:rsid w:val="7F12E271"/>
    <w:rsid w:val="7F16D7F3"/>
    <w:rsid w:val="7F182073"/>
    <w:rsid w:val="7F186D73"/>
    <w:rsid w:val="7F1A0FAF"/>
    <w:rsid w:val="7F1AB164"/>
    <w:rsid w:val="7F2506F7"/>
    <w:rsid w:val="7F252E2B"/>
    <w:rsid w:val="7F254F2B"/>
    <w:rsid w:val="7F27A1CF"/>
    <w:rsid w:val="7F2A3EC3"/>
    <w:rsid w:val="7F2E00F6"/>
    <w:rsid w:val="7F32E86C"/>
    <w:rsid w:val="7F360B28"/>
    <w:rsid w:val="7F3A8C62"/>
    <w:rsid w:val="7F3A950B"/>
    <w:rsid w:val="7F3BD298"/>
    <w:rsid w:val="7F3D383B"/>
    <w:rsid w:val="7F3D55FD"/>
    <w:rsid w:val="7F40D179"/>
    <w:rsid w:val="7F40EE2E"/>
    <w:rsid w:val="7F443FEF"/>
    <w:rsid w:val="7F494721"/>
    <w:rsid w:val="7F4B2A4A"/>
    <w:rsid w:val="7F4D4996"/>
    <w:rsid w:val="7F4FFC37"/>
    <w:rsid w:val="7F53F044"/>
    <w:rsid w:val="7F53FE34"/>
    <w:rsid w:val="7F557F14"/>
    <w:rsid w:val="7F56BC94"/>
    <w:rsid w:val="7F5865A7"/>
    <w:rsid w:val="7F58777C"/>
    <w:rsid w:val="7F5A4CAB"/>
    <w:rsid w:val="7F5A9AA6"/>
    <w:rsid w:val="7F5C234B"/>
    <w:rsid w:val="7F5DED9C"/>
    <w:rsid w:val="7F5F66F9"/>
    <w:rsid w:val="7F6BF78A"/>
    <w:rsid w:val="7F6D5AA5"/>
    <w:rsid w:val="7F70C996"/>
    <w:rsid w:val="7F71C47A"/>
    <w:rsid w:val="7F72B217"/>
    <w:rsid w:val="7F732DD6"/>
    <w:rsid w:val="7F76E066"/>
    <w:rsid w:val="7F777EE5"/>
    <w:rsid w:val="7F77DB23"/>
    <w:rsid w:val="7F7ACC6F"/>
    <w:rsid w:val="7F7D5B4C"/>
    <w:rsid w:val="7F7EE2C9"/>
    <w:rsid w:val="7F851EBD"/>
    <w:rsid w:val="7F8A255A"/>
    <w:rsid w:val="7F8B7C38"/>
    <w:rsid w:val="7F8C7CAC"/>
    <w:rsid w:val="7F8D394B"/>
    <w:rsid w:val="7F9060DC"/>
    <w:rsid w:val="7F90E1C2"/>
    <w:rsid w:val="7F916526"/>
    <w:rsid w:val="7F979CC4"/>
    <w:rsid w:val="7F9A00DD"/>
    <w:rsid w:val="7F9B90A9"/>
    <w:rsid w:val="7F9C24A9"/>
    <w:rsid w:val="7F9D867B"/>
    <w:rsid w:val="7F9E5FF5"/>
    <w:rsid w:val="7F9FD041"/>
    <w:rsid w:val="7FA480CF"/>
    <w:rsid w:val="7FA49764"/>
    <w:rsid w:val="7FA79500"/>
    <w:rsid w:val="7FA7C266"/>
    <w:rsid w:val="7FAA3169"/>
    <w:rsid w:val="7FAB9406"/>
    <w:rsid w:val="7FAD821F"/>
    <w:rsid w:val="7FAF10A0"/>
    <w:rsid w:val="7FB049C7"/>
    <w:rsid w:val="7FB0CFC9"/>
    <w:rsid w:val="7FB1605E"/>
    <w:rsid w:val="7FB56160"/>
    <w:rsid w:val="7FB69FAE"/>
    <w:rsid w:val="7FBB5D5C"/>
    <w:rsid w:val="7FBE34DA"/>
    <w:rsid w:val="7FBEFFB9"/>
    <w:rsid w:val="7FC0D8E0"/>
    <w:rsid w:val="7FC16241"/>
    <w:rsid w:val="7FC2E8D8"/>
    <w:rsid w:val="7FC470CF"/>
    <w:rsid w:val="7FC73AAC"/>
    <w:rsid w:val="7FC8EBBF"/>
    <w:rsid w:val="7FCEEECC"/>
    <w:rsid w:val="7FD33AB6"/>
    <w:rsid w:val="7FD4373F"/>
    <w:rsid w:val="7FD46737"/>
    <w:rsid w:val="7FD552A7"/>
    <w:rsid w:val="7FD5A80C"/>
    <w:rsid w:val="7FD81DB6"/>
    <w:rsid w:val="7FD8BD2F"/>
    <w:rsid w:val="7FD9095A"/>
    <w:rsid w:val="7FDB8447"/>
    <w:rsid w:val="7FDC900F"/>
    <w:rsid w:val="7FDE74A5"/>
    <w:rsid w:val="7FE11FDD"/>
    <w:rsid w:val="7FE15CED"/>
    <w:rsid w:val="7FE39C2B"/>
    <w:rsid w:val="7FE5759A"/>
    <w:rsid w:val="7FE60AA4"/>
    <w:rsid w:val="7FE75918"/>
    <w:rsid w:val="7FED7E28"/>
    <w:rsid w:val="7FF07C96"/>
    <w:rsid w:val="7FF43585"/>
    <w:rsid w:val="7FF8744E"/>
    <w:rsid w:val="7FFA8ACD"/>
    <w:rsid w:val="7FFB608A"/>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2"/>
    </o:shapelayout>
  </w:shapeDefaults>
  <w:decimalSymbol w:val=","/>
  <w:listSeparator w:val=";"/>
  <w14:docId w14:val="0F1ACC1B"/>
  <w15:docId w15:val="{B0FA6F5B-7BCF-4F8C-991C-FCD4E41B133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iPriority="1" w:unhideWhenUsed="1" w:qFormat="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iPriority="0"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0"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25BEE"/>
    <w:pPr>
      <w:spacing w:after="240" w:line="240" w:lineRule="auto"/>
      <w:jc w:val="both"/>
    </w:pPr>
    <w:rPr>
      <w:rFonts w:ascii="Times New Roman" w:hAnsi="Times New Roman" w:cs="Times New Roman"/>
      <w:sz w:val="24"/>
      <w:szCs w:val="24"/>
    </w:rPr>
  </w:style>
  <w:style w:type="paragraph" w:styleId="Heading1">
    <w:name w:val="heading 1"/>
    <w:aliases w:val="H: 1"/>
    <w:basedOn w:val="Normal"/>
    <w:next w:val="Text1"/>
    <w:link w:val="Heading1Char"/>
    <w:qFormat/>
    <w:rsid w:val="006B087E"/>
    <w:pPr>
      <w:keepNext/>
      <w:numPr>
        <w:numId w:val="12"/>
      </w:numPr>
      <w:spacing w:before="240"/>
      <w:outlineLvl w:val="0"/>
    </w:pPr>
    <w:rPr>
      <w:rFonts w:eastAsia="Times New Roman"/>
      <w:b/>
      <w:smallCaps/>
      <w:szCs w:val="20"/>
    </w:rPr>
  </w:style>
  <w:style w:type="paragraph" w:styleId="Heading2">
    <w:name w:val="heading 2"/>
    <w:aliases w:val="H: 2"/>
    <w:basedOn w:val="Normal"/>
    <w:next w:val="Text2"/>
    <w:link w:val="Heading2Char"/>
    <w:qFormat/>
    <w:rsid w:val="006B087E"/>
    <w:pPr>
      <w:keepNext/>
      <w:numPr>
        <w:ilvl w:val="1"/>
        <w:numId w:val="12"/>
      </w:numPr>
      <w:outlineLvl w:val="1"/>
    </w:pPr>
    <w:rPr>
      <w:rFonts w:eastAsia="Times New Roman"/>
      <w:b/>
      <w:szCs w:val="20"/>
    </w:rPr>
  </w:style>
  <w:style w:type="paragraph" w:styleId="Heading3">
    <w:name w:val="heading 3"/>
    <w:aliases w:val="H 3"/>
    <w:basedOn w:val="Normal"/>
    <w:next w:val="Normal"/>
    <w:link w:val="Heading3Char"/>
    <w:qFormat/>
    <w:rsid w:val="006B087E"/>
    <w:pPr>
      <w:keepNext/>
      <w:numPr>
        <w:ilvl w:val="2"/>
        <w:numId w:val="12"/>
      </w:numPr>
      <w:outlineLvl w:val="2"/>
    </w:pPr>
    <w:rPr>
      <w:rFonts w:eastAsia="Times New Roman"/>
      <w:i/>
      <w:szCs w:val="20"/>
    </w:rPr>
  </w:style>
  <w:style w:type="paragraph" w:styleId="Heading4">
    <w:name w:val="heading 4"/>
    <w:basedOn w:val="Normal"/>
    <w:next w:val="Normal"/>
    <w:link w:val="Heading4Char"/>
    <w:qFormat/>
    <w:rsid w:val="006B087E"/>
    <w:pPr>
      <w:keepNext/>
      <w:numPr>
        <w:ilvl w:val="3"/>
        <w:numId w:val="12"/>
      </w:numPr>
      <w:outlineLvl w:val="3"/>
    </w:pPr>
    <w:rPr>
      <w:rFonts w:eastAsia="Times New Roman"/>
      <w:szCs w:val="20"/>
    </w:rPr>
  </w:style>
  <w:style w:type="paragraph" w:styleId="Heading5">
    <w:name w:val="heading 5"/>
    <w:basedOn w:val="Normal"/>
    <w:next w:val="Normal"/>
    <w:link w:val="Heading5Char"/>
    <w:uiPriority w:val="9"/>
    <w:unhideWhenUsed/>
    <w:qFormat/>
    <w:rsid w:val="0053316B"/>
    <w:pPr>
      <w:keepNext/>
      <w:keepLines/>
      <w:numPr>
        <w:ilvl w:val="4"/>
        <w:numId w:val="12"/>
      </w:numPr>
      <w:spacing w:before="40" w:after="0"/>
      <w:outlineLvl w:val="4"/>
    </w:pPr>
    <w:rPr>
      <w:rFonts w:asciiTheme="majorHAnsi" w:eastAsiaTheme="majorEastAsia" w:hAnsiTheme="majorHAnsi" w:cstheme="majorBidi"/>
      <w:color w:val="365F91" w:themeColor="accent1" w:themeShade="BF"/>
    </w:rPr>
  </w:style>
  <w:style w:type="paragraph" w:styleId="Heading6">
    <w:name w:val="heading 6"/>
    <w:basedOn w:val="Normal"/>
    <w:next w:val="Normal"/>
    <w:link w:val="Heading6Char"/>
    <w:uiPriority w:val="9"/>
    <w:unhideWhenUsed/>
    <w:qFormat/>
    <w:rsid w:val="00427075"/>
    <w:pPr>
      <w:keepNext/>
      <w:keepLines/>
      <w:numPr>
        <w:ilvl w:val="5"/>
        <w:numId w:val="12"/>
      </w:numPr>
      <w:spacing w:before="40" w:after="0"/>
      <w:outlineLvl w:val="5"/>
    </w:pPr>
    <w:rPr>
      <w:rFonts w:asciiTheme="majorHAnsi" w:eastAsiaTheme="majorEastAsia" w:hAnsiTheme="majorHAnsi" w:cstheme="majorBidi"/>
      <w:color w:val="243F60" w:themeColor="accent1" w:themeShade="7F"/>
    </w:rPr>
  </w:style>
  <w:style w:type="paragraph" w:styleId="Heading7">
    <w:name w:val="heading 7"/>
    <w:basedOn w:val="Normal"/>
    <w:next w:val="Normal"/>
    <w:link w:val="Heading7Char"/>
    <w:uiPriority w:val="9"/>
    <w:unhideWhenUsed/>
    <w:qFormat/>
    <w:rsid w:val="00701B62"/>
    <w:pPr>
      <w:keepNext/>
      <w:keepLines/>
      <w:numPr>
        <w:ilvl w:val="6"/>
        <w:numId w:val="12"/>
      </w:numPr>
      <w:spacing w:before="40" w:after="0"/>
      <w:outlineLvl w:val="6"/>
    </w:pPr>
    <w:rPr>
      <w:rFonts w:asciiTheme="majorHAnsi" w:eastAsiaTheme="majorEastAsia" w:hAnsiTheme="majorHAnsi" w:cstheme="majorBidi"/>
      <w:i/>
      <w:iCs/>
      <w:color w:val="243F60" w:themeColor="accent1" w:themeShade="7F"/>
    </w:rPr>
  </w:style>
  <w:style w:type="paragraph" w:styleId="Heading8">
    <w:name w:val="heading 8"/>
    <w:basedOn w:val="Normal"/>
    <w:next w:val="Normal"/>
    <w:link w:val="Heading8Char"/>
    <w:uiPriority w:val="9"/>
    <w:semiHidden/>
    <w:unhideWhenUsed/>
    <w:qFormat/>
    <w:rsid w:val="00701B62"/>
    <w:pPr>
      <w:keepNext/>
      <w:keepLines/>
      <w:numPr>
        <w:ilvl w:val="7"/>
        <w:numId w:val="12"/>
      </w:numPr>
      <w:spacing w:before="40" w:after="0"/>
      <w:outlineLvl w:val="7"/>
    </w:pPr>
    <w:rPr>
      <w:rFonts w:asciiTheme="majorHAnsi" w:eastAsiaTheme="majorEastAsia" w:hAnsiTheme="majorHAnsi" w:cstheme="majorBidi"/>
      <w:color w:val="272727" w:themeColor="text1" w:themeTint="D8"/>
      <w:sz w:val="21"/>
      <w:szCs w:val="21"/>
    </w:rPr>
  </w:style>
  <w:style w:type="paragraph" w:styleId="Heading9">
    <w:name w:val="heading 9"/>
    <w:basedOn w:val="Normal"/>
    <w:next w:val="Normal"/>
    <w:link w:val="Heading9Char"/>
    <w:uiPriority w:val="9"/>
    <w:semiHidden/>
    <w:unhideWhenUsed/>
    <w:qFormat/>
    <w:rsid w:val="00701B62"/>
    <w:pPr>
      <w:keepNext/>
      <w:keepLines/>
      <w:numPr>
        <w:ilvl w:val="8"/>
        <w:numId w:val="12"/>
      </w:numPr>
      <w:spacing w:before="40" w:after="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aliases w:val="H: 1 Char"/>
    <w:basedOn w:val="DefaultParagraphFont"/>
    <w:link w:val="Heading1"/>
    <w:rsid w:val="006B087E"/>
    <w:rPr>
      <w:rFonts w:ascii="Times New Roman" w:eastAsia="Times New Roman" w:hAnsi="Times New Roman" w:cs="Times New Roman"/>
      <w:b/>
      <w:smallCaps/>
      <w:sz w:val="24"/>
      <w:szCs w:val="20"/>
    </w:rPr>
  </w:style>
  <w:style w:type="character" w:customStyle="1" w:styleId="Heading2Char">
    <w:name w:val="Heading 2 Char"/>
    <w:aliases w:val="H: 2 Char"/>
    <w:basedOn w:val="DefaultParagraphFont"/>
    <w:link w:val="Heading2"/>
    <w:rsid w:val="006B087E"/>
    <w:rPr>
      <w:rFonts w:ascii="Times New Roman" w:eastAsia="Times New Roman" w:hAnsi="Times New Roman" w:cs="Times New Roman"/>
      <w:b/>
      <w:sz w:val="24"/>
      <w:szCs w:val="20"/>
    </w:rPr>
  </w:style>
  <w:style w:type="character" w:customStyle="1" w:styleId="Heading3Char">
    <w:name w:val="Heading 3 Char"/>
    <w:aliases w:val="H 3 Char"/>
    <w:basedOn w:val="DefaultParagraphFont"/>
    <w:link w:val="Heading3"/>
    <w:rsid w:val="006B087E"/>
    <w:rPr>
      <w:rFonts w:ascii="Times New Roman" w:eastAsia="Times New Roman" w:hAnsi="Times New Roman" w:cs="Times New Roman"/>
      <w:i/>
      <w:sz w:val="24"/>
      <w:szCs w:val="20"/>
    </w:rPr>
  </w:style>
  <w:style w:type="character" w:customStyle="1" w:styleId="Heading4Char">
    <w:name w:val="Heading 4 Char"/>
    <w:basedOn w:val="DefaultParagraphFont"/>
    <w:link w:val="Heading4"/>
    <w:rsid w:val="006B087E"/>
    <w:rPr>
      <w:rFonts w:ascii="Times New Roman" w:eastAsia="Times New Roman" w:hAnsi="Times New Roman" w:cs="Times New Roman"/>
      <w:sz w:val="24"/>
      <w:szCs w:val="20"/>
    </w:rPr>
  </w:style>
  <w:style w:type="character" w:customStyle="1" w:styleId="Marker">
    <w:name w:val="Marker"/>
    <w:basedOn w:val="DefaultParagraphFont"/>
    <w:rsid w:val="006B087E"/>
    <w:rPr>
      <w:color w:val="0000FF"/>
      <w:shd w:val="clear" w:color="auto" w:fill="auto"/>
    </w:rPr>
  </w:style>
  <w:style w:type="paragraph" w:customStyle="1" w:styleId="Pagedecouverture">
    <w:name w:val="Page de couverture"/>
    <w:basedOn w:val="Normal"/>
    <w:next w:val="Normal"/>
    <w:rsid w:val="006B087E"/>
    <w:pPr>
      <w:spacing w:after="0"/>
    </w:pPr>
  </w:style>
  <w:style w:type="paragraph" w:styleId="Header">
    <w:name w:val="header"/>
    <w:basedOn w:val="Normal"/>
    <w:link w:val="HeaderChar"/>
    <w:uiPriority w:val="99"/>
    <w:unhideWhenUsed/>
    <w:rsid w:val="006B087E"/>
    <w:pPr>
      <w:tabs>
        <w:tab w:val="center" w:pos="4535"/>
        <w:tab w:val="right" w:pos="9071"/>
      </w:tabs>
      <w:spacing w:after="120"/>
    </w:pPr>
  </w:style>
  <w:style w:type="character" w:customStyle="1" w:styleId="HeaderChar">
    <w:name w:val="Header Char"/>
    <w:basedOn w:val="DefaultParagraphFont"/>
    <w:link w:val="Header"/>
    <w:uiPriority w:val="99"/>
    <w:rsid w:val="006B087E"/>
    <w:rPr>
      <w:rFonts w:ascii="Times New Roman" w:hAnsi="Times New Roman" w:cs="Times New Roman"/>
      <w:sz w:val="24"/>
    </w:rPr>
  </w:style>
  <w:style w:type="paragraph" w:styleId="Footer">
    <w:name w:val="footer"/>
    <w:basedOn w:val="Normal"/>
    <w:link w:val="FooterChar"/>
    <w:uiPriority w:val="99"/>
    <w:unhideWhenUsed/>
    <w:rsid w:val="006B087E"/>
    <w:pPr>
      <w:tabs>
        <w:tab w:val="center" w:pos="4535"/>
        <w:tab w:val="right" w:pos="9071"/>
        <w:tab w:val="right" w:pos="9921"/>
      </w:tabs>
      <w:spacing w:before="360" w:after="0"/>
      <w:ind w:left="-850" w:right="-850"/>
    </w:pPr>
  </w:style>
  <w:style w:type="character" w:customStyle="1" w:styleId="FooterChar">
    <w:name w:val="Footer Char"/>
    <w:basedOn w:val="DefaultParagraphFont"/>
    <w:link w:val="Footer"/>
    <w:uiPriority w:val="99"/>
    <w:rsid w:val="006B087E"/>
    <w:rPr>
      <w:rFonts w:ascii="Times New Roman" w:hAnsi="Times New Roman" w:cs="Times New Roman"/>
      <w:sz w:val="24"/>
    </w:rPr>
  </w:style>
  <w:style w:type="paragraph" w:customStyle="1" w:styleId="FooterCoverPage">
    <w:name w:val="Footer Cover Page"/>
    <w:basedOn w:val="Normal"/>
    <w:link w:val="FooterCoverPageChar"/>
    <w:rsid w:val="006B087E"/>
    <w:pPr>
      <w:tabs>
        <w:tab w:val="center" w:pos="4535"/>
        <w:tab w:val="right" w:pos="9071"/>
        <w:tab w:val="right" w:pos="9921"/>
      </w:tabs>
      <w:spacing w:before="360" w:after="0"/>
      <w:ind w:left="-850" w:right="-850"/>
      <w:jc w:val="left"/>
    </w:pPr>
  </w:style>
  <w:style w:type="character" w:customStyle="1" w:styleId="FooterCoverPageChar">
    <w:name w:val="Footer Cover Page Char"/>
    <w:basedOn w:val="DefaultParagraphFont"/>
    <w:link w:val="FooterCoverPage"/>
    <w:rsid w:val="006B087E"/>
    <w:rPr>
      <w:rFonts w:ascii="Times New Roman" w:hAnsi="Times New Roman" w:cs="Times New Roman"/>
      <w:sz w:val="24"/>
      <w:szCs w:val="24"/>
    </w:rPr>
  </w:style>
  <w:style w:type="paragraph" w:customStyle="1" w:styleId="HeaderCoverPage">
    <w:name w:val="Header Cover Page"/>
    <w:basedOn w:val="Normal"/>
    <w:link w:val="HeaderCoverPageChar"/>
    <w:rsid w:val="006B087E"/>
    <w:pPr>
      <w:tabs>
        <w:tab w:val="center" w:pos="4535"/>
        <w:tab w:val="right" w:pos="9071"/>
      </w:tabs>
      <w:spacing w:after="120"/>
    </w:pPr>
  </w:style>
  <w:style w:type="character" w:customStyle="1" w:styleId="HeaderCoverPageChar">
    <w:name w:val="Header Cover Page Char"/>
    <w:basedOn w:val="DefaultParagraphFont"/>
    <w:link w:val="HeaderCoverPage"/>
    <w:rsid w:val="006B087E"/>
    <w:rPr>
      <w:rFonts w:ascii="Times New Roman" w:hAnsi="Times New Roman" w:cs="Times New Roman"/>
      <w:sz w:val="24"/>
      <w:szCs w:val="24"/>
    </w:rPr>
  </w:style>
  <w:style w:type="paragraph" w:customStyle="1" w:styleId="Text1">
    <w:name w:val="Text 1"/>
    <w:basedOn w:val="Normal"/>
    <w:rsid w:val="006B087E"/>
    <w:pPr>
      <w:ind w:left="482"/>
    </w:pPr>
    <w:rPr>
      <w:rFonts w:eastAsia="Times New Roman"/>
      <w:szCs w:val="20"/>
    </w:rPr>
  </w:style>
  <w:style w:type="paragraph" w:customStyle="1" w:styleId="Text2">
    <w:name w:val="Text 2"/>
    <w:basedOn w:val="Normal"/>
    <w:rsid w:val="006B087E"/>
    <w:pPr>
      <w:tabs>
        <w:tab w:val="left" w:pos="2302"/>
      </w:tabs>
      <w:ind w:left="1202"/>
    </w:pPr>
    <w:rPr>
      <w:rFonts w:eastAsia="Times New Roman"/>
      <w:szCs w:val="20"/>
    </w:rPr>
  </w:style>
  <w:style w:type="paragraph" w:styleId="ListBullet">
    <w:name w:val="List Bullet"/>
    <w:basedOn w:val="Normal"/>
    <w:rsid w:val="006B087E"/>
    <w:pPr>
      <w:numPr>
        <w:numId w:val="2"/>
      </w:numPr>
    </w:pPr>
    <w:rPr>
      <w:rFonts w:eastAsia="Times New Roman"/>
      <w:szCs w:val="20"/>
    </w:rPr>
  </w:style>
  <w:style w:type="paragraph" w:customStyle="1" w:styleId="ListDash1">
    <w:name w:val="List Dash 1"/>
    <w:basedOn w:val="Text1"/>
    <w:rsid w:val="006B087E"/>
    <w:pPr>
      <w:numPr>
        <w:numId w:val="1"/>
      </w:numPr>
    </w:pPr>
  </w:style>
  <w:style w:type="table" w:styleId="TableGrid">
    <w:name w:val="Table Grid"/>
    <w:aliases w:val="Document Table,CV1"/>
    <w:basedOn w:val="TableNormal"/>
    <w:uiPriority w:val="39"/>
    <w:rsid w:val="006B087E"/>
    <w:pPr>
      <w:spacing w:after="0" w:line="240" w:lineRule="auto"/>
    </w:pPr>
    <w:rPr>
      <w:rFonts w:ascii="Times New Roman" w:eastAsia="Times New Roman" w:hAnsi="Times New Roman" w:cs="Times New Roman"/>
      <w:sz w:val="20"/>
      <w:szCs w:val="20"/>
      <w:lang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nnexTitle">
    <w:name w:val="Annex Title"/>
    <w:basedOn w:val="Heading1"/>
    <w:next w:val="Normal"/>
    <w:link w:val="AnnexTitleChar"/>
    <w:autoRedefine/>
    <w:qFormat/>
    <w:rsid w:val="00C22AB4"/>
    <w:pPr>
      <w:numPr>
        <w:numId w:val="0"/>
      </w:numPr>
      <w:spacing w:after="480"/>
      <w:jc w:val="center"/>
    </w:pPr>
    <w:rPr>
      <w:sz w:val="32"/>
    </w:rPr>
  </w:style>
  <w:style w:type="character" w:customStyle="1" w:styleId="AnnexTitleChar">
    <w:name w:val="Annex Title Char"/>
    <w:basedOn w:val="DefaultParagraphFont"/>
    <w:link w:val="AnnexTitle"/>
    <w:rsid w:val="00C22AB4"/>
    <w:rPr>
      <w:rFonts w:ascii="Times New Roman" w:eastAsia="Times New Roman" w:hAnsi="Times New Roman" w:cs="Times New Roman"/>
      <w:b/>
      <w:smallCaps/>
      <w:sz w:val="32"/>
      <w:szCs w:val="20"/>
    </w:rPr>
  </w:style>
  <w:style w:type="table" w:customStyle="1" w:styleId="CV11">
    <w:name w:val="CV11"/>
    <w:basedOn w:val="TableNormal"/>
    <w:next w:val="TableGrid"/>
    <w:uiPriority w:val="59"/>
    <w:rsid w:val="006B087E"/>
    <w:pPr>
      <w:spacing w:after="0" w:line="240" w:lineRule="auto"/>
    </w:pPr>
    <w:rPr>
      <w:rFonts w:ascii="Times New Roman" w:eastAsia="Times New Roman" w:hAnsi="Times New Roman" w:cs="Times New Roman"/>
      <w:sz w:val="20"/>
      <w:szCs w:val="20"/>
      <w:lang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CV12">
    <w:name w:val="CV12"/>
    <w:basedOn w:val="TableNormal"/>
    <w:next w:val="TableGrid"/>
    <w:uiPriority w:val="39"/>
    <w:rsid w:val="006B087E"/>
    <w:pPr>
      <w:spacing w:after="0" w:line="240" w:lineRule="auto"/>
    </w:pPr>
    <w:rPr>
      <w:rFonts w:ascii="Times New Roman" w:eastAsia="Times New Roman" w:hAnsi="Times New Roman" w:cs="Times New Roman"/>
      <w:sz w:val="20"/>
      <w:szCs w:val="20"/>
      <w:lang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CV13">
    <w:name w:val="CV13"/>
    <w:basedOn w:val="TableNormal"/>
    <w:next w:val="TableGrid"/>
    <w:uiPriority w:val="39"/>
    <w:rsid w:val="006B087E"/>
    <w:pPr>
      <w:spacing w:after="0" w:line="240" w:lineRule="auto"/>
    </w:pPr>
    <w:rPr>
      <w:rFonts w:ascii="Times New Roman" w:eastAsia="Times New Roman" w:hAnsi="Times New Roman" w:cs="Times New Roman"/>
      <w:sz w:val="20"/>
      <w:szCs w:val="20"/>
      <w:lang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1">
    <w:name w:val="toc 1"/>
    <w:basedOn w:val="Normal"/>
    <w:next w:val="Normal"/>
    <w:uiPriority w:val="39"/>
    <w:rsid w:val="006B087E"/>
    <w:pPr>
      <w:tabs>
        <w:tab w:val="right" w:leader="dot" w:pos="8640"/>
      </w:tabs>
      <w:spacing w:before="120" w:after="120"/>
      <w:ind w:left="482" w:right="720" w:hanging="482"/>
    </w:pPr>
    <w:rPr>
      <w:rFonts w:eastAsia="Times New Roman"/>
      <w:caps/>
      <w:sz w:val="20"/>
      <w:szCs w:val="20"/>
    </w:rPr>
  </w:style>
  <w:style w:type="paragraph" w:styleId="TOC2">
    <w:name w:val="toc 2"/>
    <w:basedOn w:val="Normal"/>
    <w:next w:val="Normal"/>
    <w:uiPriority w:val="39"/>
    <w:rsid w:val="006B087E"/>
    <w:pPr>
      <w:tabs>
        <w:tab w:val="right" w:leader="dot" w:pos="8640"/>
      </w:tabs>
      <w:spacing w:before="60" w:after="60"/>
      <w:ind w:left="1077" w:right="720" w:hanging="595"/>
    </w:pPr>
    <w:rPr>
      <w:rFonts w:eastAsia="Times New Roman"/>
      <w:szCs w:val="20"/>
    </w:rPr>
  </w:style>
  <w:style w:type="paragraph" w:styleId="TOCHeading">
    <w:name w:val="TOC Heading"/>
    <w:basedOn w:val="Normal"/>
    <w:next w:val="Normal"/>
    <w:qFormat/>
    <w:rsid w:val="006B087E"/>
    <w:pPr>
      <w:keepNext/>
      <w:spacing w:before="240"/>
      <w:jc w:val="center"/>
    </w:pPr>
    <w:rPr>
      <w:rFonts w:eastAsia="Times New Roman"/>
      <w:b/>
      <w:szCs w:val="20"/>
    </w:rPr>
  </w:style>
  <w:style w:type="character" w:styleId="Hyperlink">
    <w:name w:val="Hyperlink"/>
    <w:basedOn w:val="DefaultParagraphFont"/>
    <w:uiPriority w:val="99"/>
    <w:unhideWhenUsed/>
    <w:rsid w:val="006B087E"/>
    <w:rPr>
      <w:color w:val="0000FF" w:themeColor="hyperlink"/>
      <w:u w:val="single"/>
    </w:rPr>
  </w:style>
  <w:style w:type="paragraph" w:styleId="BalloonText">
    <w:name w:val="Balloon Text"/>
    <w:basedOn w:val="Normal"/>
    <w:link w:val="BalloonTextChar"/>
    <w:uiPriority w:val="99"/>
    <w:semiHidden/>
    <w:unhideWhenUsed/>
    <w:rsid w:val="006B087E"/>
    <w:pPr>
      <w:spacing w:after="0"/>
    </w:pPr>
    <w:rPr>
      <w:rFonts w:ascii="Tahoma" w:hAnsi="Tahoma" w:cs="Tahoma"/>
      <w:sz w:val="16"/>
      <w:szCs w:val="16"/>
    </w:rPr>
  </w:style>
  <w:style w:type="character" w:customStyle="1" w:styleId="BalloonTextChar">
    <w:name w:val="Balloon Text Char"/>
    <w:basedOn w:val="DefaultParagraphFont"/>
    <w:link w:val="BalloonText"/>
    <w:uiPriority w:val="99"/>
    <w:semiHidden/>
    <w:rsid w:val="006B087E"/>
    <w:rPr>
      <w:rFonts w:ascii="Tahoma" w:hAnsi="Tahoma" w:cs="Tahoma"/>
      <w:sz w:val="16"/>
      <w:szCs w:val="16"/>
    </w:rPr>
  </w:style>
  <w:style w:type="paragraph" w:customStyle="1" w:styleId="Declassification">
    <w:name w:val="Declassification"/>
    <w:basedOn w:val="Normal"/>
    <w:next w:val="Normal"/>
    <w:rsid w:val="006B087E"/>
    <w:pPr>
      <w:spacing w:after="0"/>
    </w:pPr>
  </w:style>
  <w:style w:type="paragraph" w:customStyle="1" w:styleId="HeaderLandscape">
    <w:name w:val="HeaderLandscape"/>
    <w:basedOn w:val="Normal"/>
    <w:rsid w:val="006B087E"/>
    <w:pPr>
      <w:tabs>
        <w:tab w:val="center" w:pos="7285"/>
        <w:tab w:val="right" w:pos="14003"/>
      </w:tabs>
      <w:spacing w:after="120"/>
    </w:pPr>
  </w:style>
  <w:style w:type="paragraph" w:customStyle="1" w:styleId="HeaderSensitivity">
    <w:name w:val="Header Sensitivity"/>
    <w:basedOn w:val="Normal"/>
    <w:rsid w:val="006B087E"/>
    <w:pPr>
      <w:pBdr>
        <w:top w:val="single" w:sz="4" w:space="1" w:color="auto"/>
        <w:left w:val="single" w:sz="4" w:space="4" w:color="auto"/>
        <w:bottom w:val="single" w:sz="4" w:space="1" w:color="auto"/>
        <w:right w:val="single" w:sz="4" w:space="4" w:color="auto"/>
      </w:pBdr>
      <w:spacing w:after="120"/>
      <w:ind w:left="113" w:right="113"/>
      <w:jc w:val="center"/>
    </w:pPr>
    <w:rPr>
      <w:b/>
      <w:sz w:val="32"/>
    </w:rPr>
  </w:style>
  <w:style w:type="paragraph" w:customStyle="1" w:styleId="FooterLandscape">
    <w:name w:val="FooterLandscape"/>
    <w:basedOn w:val="Normal"/>
    <w:rsid w:val="006B087E"/>
    <w:pPr>
      <w:tabs>
        <w:tab w:val="center" w:pos="7285"/>
        <w:tab w:val="center" w:pos="10913"/>
        <w:tab w:val="right" w:pos="15137"/>
      </w:tabs>
      <w:spacing w:before="360" w:after="0"/>
      <w:ind w:left="-567" w:right="-567"/>
    </w:pPr>
  </w:style>
  <w:style w:type="paragraph" w:customStyle="1" w:styleId="FooterSensitivity">
    <w:name w:val="Footer Sensitivity"/>
    <w:basedOn w:val="Normal"/>
    <w:rsid w:val="006B087E"/>
    <w:pPr>
      <w:pBdr>
        <w:top w:val="single" w:sz="4" w:space="1" w:color="auto"/>
        <w:left w:val="single" w:sz="4" w:space="4" w:color="auto"/>
        <w:bottom w:val="single" w:sz="4" w:space="1" w:color="auto"/>
        <w:right w:val="single" w:sz="4" w:space="4" w:color="auto"/>
      </w:pBdr>
      <w:spacing w:before="360" w:after="0"/>
      <w:ind w:left="113" w:right="113"/>
      <w:jc w:val="center"/>
    </w:pPr>
    <w:rPr>
      <w:b/>
      <w:sz w:val="32"/>
    </w:rPr>
  </w:style>
  <w:style w:type="paragraph" w:customStyle="1" w:styleId="HeaderSensitivityRight">
    <w:name w:val="Header Sensitivity Right"/>
    <w:basedOn w:val="Normal"/>
    <w:link w:val="HeaderSensitivityRightChar"/>
    <w:rsid w:val="006B087E"/>
    <w:pPr>
      <w:spacing w:after="120"/>
      <w:jc w:val="right"/>
    </w:pPr>
    <w:rPr>
      <w:sz w:val="28"/>
    </w:rPr>
  </w:style>
  <w:style w:type="character" w:customStyle="1" w:styleId="HeaderSensitivityRightChar">
    <w:name w:val="Header Sensitivity Right Char"/>
    <w:basedOn w:val="DefaultParagraphFont"/>
    <w:link w:val="HeaderSensitivityRight"/>
    <w:rsid w:val="006B087E"/>
    <w:rPr>
      <w:rFonts w:ascii="Times New Roman" w:hAnsi="Times New Roman" w:cs="Times New Roman"/>
      <w:sz w:val="28"/>
      <w:szCs w:val="24"/>
    </w:rPr>
  </w:style>
  <w:style w:type="character" w:customStyle="1" w:styleId="Heading5Char">
    <w:name w:val="Heading 5 Char"/>
    <w:basedOn w:val="DefaultParagraphFont"/>
    <w:link w:val="Heading5"/>
    <w:uiPriority w:val="9"/>
    <w:rsid w:val="0053316B"/>
    <w:rPr>
      <w:rFonts w:asciiTheme="majorHAnsi" w:eastAsiaTheme="majorEastAsia" w:hAnsiTheme="majorHAnsi" w:cstheme="majorBidi"/>
      <w:color w:val="365F91" w:themeColor="accent1" w:themeShade="BF"/>
      <w:sz w:val="24"/>
      <w:szCs w:val="24"/>
    </w:rPr>
  </w:style>
  <w:style w:type="paragraph" w:styleId="Title">
    <w:name w:val="Title"/>
    <w:aliases w:val="Cover- title"/>
    <w:basedOn w:val="Normal"/>
    <w:next w:val="Normal"/>
    <w:link w:val="TitleChar"/>
    <w:uiPriority w:val="10"/>
    <w:qFormat/>
    <w:rsid w:val="0053316B"/>
    <w:pPr>
      <w:spacing w:after="0"/>
      <w:contextualSpacing/>
    </w:pPr>
    <w:rPr>
      <w:rFonts w:asciiTheme="majorHAnsi" w:eastAsiaTheme="majorEastAsia" w:hAnsiTheme="majorHAnsi" w:cstheme="majorBidi"/>
      <w:spacing w:val="-10"/>
      <w:kern w:val="28"/>
      <w:sz w:val="56"/>
      <w:szCs w:val="56"/>
    </w:rPr>
  </w:style>
  <w:style w:type="character" w:customStyle="1" w:styleId="TitleChar">
    <w:name w:val="Title Char"/>
    <w:aliases w:val="Cover- title Char"/>
    <w:basedOn w:val="DefaultParagraphFont"/>
    <w:link w:val="Title"/>
    <w:uiPriority w:val="10"/>
    <w:rsid w:val="0053316B"/>
    <w:rPr>
      <w:rFonts w:asciiTheme="majorHAnsi" w:eastAsiaTheme="majorEastAsia" w:hAnsiTheme="majorHAnsi" w:cstheme="majorBidi"/>
      <w:spacing w:val="-10"/>
      <w:kern w:val="28"/>
      <w:sz w:val="56"/>
      <w:szCs w:val="56"/>
    </w:rPr>
  </w:style>
  <w:style w:type="paragraph" w:styleId="NoSpacing">
    <w:name w:val="No Spacing"/>
    <w:aliases w:val="H: TEXT"/>
    <w:uiPriority w:val="1"/>
    <w:qFormat/>
    <w:rsid w:val="00FB0D73"/>
    <w:pPr>
      <w:spacing w:after="0" w:line="240" w:lineRule="auto"/>
    </w:pPr>
    <w:rPr>
      <w:rFonts w:eastAsiaTheme="minorEastAsia"/>
    </w:rPr>
  </w:style>
  <w:style w:type="paragraph" w:styleId="FootnoteText">
    <w:name w:val="footnote text"/>
    <w:aliases w:val="Char,Fußnote,Carattere,fn,Footnotes,Footnote ak,Footnote Text Char1,Footnote Text Char Char,fn Char Char,footnote text Char Char,Footnotes Char Char,Footnote ak Char Char,fn Char1,footnote text Char1,Footnotes Char1,ft,Footnote Text_EP-LC"/>
    <w:basedOn w:val="Normal"/>
    <w:link w:val="FootnoteTextChar"/>
    <w:uiPriority w:val="99"/>
    <w:unhideWhenUsed/>
    <w:qFormat/>
    <w:rsid w:val="00FB0D73"/>
    <w:pPr>
      <w:spacing w:after="0"/>
    </w:pPr>
    <w:rPr>
      <w:rFonts w:eastAsiaTheme="minorEastAsia"/>
      <w:sz w:val="20"/>
      <w:szCs w:val="20"/>
    </w:rPr>
  </w:style>
  <w:style w:type="character" w:customStyle="1" w:styleId="FootnoteTextChar">
    <w:name w:val="Footnote Text Char"/>
    <w:aliases w:val="Char Char,Fußnote Char,Carattere Char,fn Char,Footnotes Char,Footnote ak Char,Footnote Text Char1 Char,Footnote Text Char Char Char,fn Char Char Char,footnote text Char Char Char,Footnotes Char Char Char,Footnote ak Char Char Char"/>
    <w:basedOn w:val="DefaultParagraphFont"/>
    <w:link w:val="FootnoteText"/>
    <w:uiPriority w:val="99"/>
    <w:qFormat/>
    <w:rsid w:val="00FB0D73"/>
    <w:rPr>
      <w:rFonts w:ascii="Times New Roman" w:eastAsiaTheme="minorEastAsia" w:hAnsi="Times New Roman"/>
      <w:sz w:val="20"/>
      <w:szCs w:val="20"/>
    </w:rPr>
  </w:style>
  <w:style w:type="character" w:styleId="FootnoteReference">
    <w:name w:val="footnote reference"/>
    <w:aliases w:val="Footnote symbol,Footnote reference number,note TESI,BVI fnr,Appel note de bas de p,Nota,SUPERS,Footnote number,Footnote Reference Superscript,EN Footnote Reference,-E Fußnotenzeichen,number Char Char,number,Ref,styl,styli,de nota al p"/>
    <w:basedOn w:val="DefaultParagraphFont"/>
    <w:link w:val="CharCharChar1"/>
    <w:uiPriority w:val="99"/>
    <w:unhideWhenUsed/>
    <w:qFormat/>
    <w:rsid w:val="00FB0D73"/>
    <w:rPr>
      <w:vertAlign w:val="superscript"/>
    </w:rPr>
  </w:style>
  <w:style w:type="paragraph" w:customStyle="1" w:styleId="CharCharChar1">
    <w:name w:val="Char Char Char1"/>
    <w:basedOn w:val="Normal"/>
    <w:link w:val="FootnoteReference"/>
    <w:uiPriority w:val="99"/>
    <w:rsid w:val="00FB0D73"/>
    <w:pPr>
      <w:spacing w:after="160" w:line="240" w:lineRule="exact"/>
    </w:pPr>
    <w:rPr>
      <w:vertAlign w:val="superscript"/>
    </w:rPr>
  </w:style>
  <w:style w:type="paragraph" w:styleId="ListParagraph">
    <w:name w:val="List Paragraph"/>
    <w:aliases w:val="List Paragraph_Sections,Paragraphe EI,Paragraphe de liste1,EC,List_Paragraph,Multilevel para_II,List Paragraph1,Akapit z listą BS,Bullet1,Main numbered paragraph,Dot pt,F5 List Paragraph,No Spacing1,List Paragraph Char Char Char,Bullet 1"/>
    <w:basedOn w:val="Normal"/>
    <w:link w:val="ListParagraphChar"/>
    <w:uiPriority w:val="34"/>
    <w:qFormat/>
    <w:rsid w:val="00281573"/>
    <w:pPr>
      <w:ind w:left="720"/>
      <w:contextualSpacing/>
    </w:pPr>
  </w:style>
  <w:style w:type="character" w:styleId="CommentReference">
    <w:name w:val="annotation reference"/>
    <w:basedOn w:val="DefaultParagraphFont"/>
    <w:uiPriority w:val="99"/>
    <w:semiHidden/>
    <w:unhideWhenUsed/>
    <w:rsid w:val="002252CF"/>
    <w:rPr>
      <w:sz w:val="16"/>
      <w:szCs w:val="16"/>
    </w:rPr>
  </w:style>
  <w:style w:type="paragraph" w:styleId="CommentText">
    <w:name w:val="annotation text"/>
    <w:basedOn w:val="Normal"/>
    <w:link w:val="CommentTextChar"/>
    <w:uiPriority w:val="99"/>
    <w:unhideWhenUsed/>
    <w:rsid w:val="002252CF"/>
    <w:rPr>
      <w:sz w:val="20"/>
      <w:szCs w:val="20"/>
    </w:rPr>
  </w:style>
  <w:style w:type="character" w:customStyle="1" w:styleId="CommentTextChar">
    <w:name w:val="Comment Text Char"/>
    <w:basedOn w:val="DefaultParagraphFont"/>
    <w:link w:val="CommentText"/>
    <w:uiPriority w:val="99"/>
    <w:rsid w:val="002252CF"/>
    <w:rPr>
      <w:rFonts w:ascii="Times New Roman" w:hAnsi="Times New Roman" w:cs="Times New Roman"/>
      <w:sz w:val="20"/>
      <w:szCs w:val="20"/>
    </w:rPr>
  </w:style>
  <w:style w:type="paragraph" w:styleId="CommentSubject">
    <w:name w:val="annotation subject"/>
    <w:basedOn w:val="CommentText"/>
    <w:next w:val="CommentText"/>
    <w:link w:val="CommentSubjectChar"/>
    <w:uiPriority w:val="99"/>
    <w:semiHidden/>
    <w:unhideWhenUsed/>
    <w:rsid w:val="002252CF"/>
    <w:rPr>
      <w:b/>
      <w:bCs/>
    </w:rPr>
  </w:style>
  <w:style w:type="character" w:customStyle="1" w:styleId="CommentSubjectChar">
    <w:name w:val="Comment Subject Char"/>
    <w:basedOn w:val="CommentTextChar"/>
    <w:link w:val="CommentSubject"/>
    <w:uiPriority w:val="99"/>
    <w:semiHidden/>
    <w:rsid w:val="002252CF"/>
    <w:rPr>
      <w:rFonts w:ascii="Times New Roman" w:hAnsi="Times New Roman" w:cs="Times New Roman"/>
      <w:b/>
      <w:bCs/>
      <w:sz w:val="20"/>
      <w:szCs w:val="20"/>
    </w:rPr>
  </w:style>
  <w:style w:type="paragraph" w:styleId="Revision">
    <w:name w:val="Revision"/>
    <w:hidden/>
    <w:uiPriority w:val="99"/>
    <w:semiHidden/>
    <w:rsid w:val="002252CF"/>
    <w:pPr>
      <w:spacing w:after="0" w:line="240" w:lineRule="auto"/>
    </w:pPr>
    <w:rPr>
      <w:rFonts w:ascii="Times New Roman" w:hAnsi="Times New Roman" w:cs="Times New Roman"/>
      <w:sz w:val="24"/>
      <w:szCs w:val="24"/>
    </w:rPr>
  </w:style>
  <w:style w:type="character" w:styleId="UnresolvedMention">
    <w:name w:val="Unresolved Mention"/>
    <w:basedOn w:val="DefaultParagraphFont"/>
    <w:uiPriority w:val="99"/>
    <w:semiHidden/>
    <w:unhideWhenUsed/>
    <w:rsid w:val="00303B8A"/>
    <w:rPr>
      <w:color w:val="605E5C"/>
      <w:shd w:val="clear" w:color="auto" w:fill="E1DFDD"/>
    </w:rPr>
  </w:style>
  <w:style w:type="character" w:styleId="FollowedHyperlink">
    <w:name w:val="FollowedHyperlink"/>
    <w:basedOn w:val="DefaultParagraphFont"/>
    <w:uiPriority w:val="99"/>
    <w:semiHidden/>
    <w:unhideWhenUsed/>
    <w:rsid w:val="002564DE"/>
    <w:rPr>
      <w:color w:val="800080" w:themeColor="followedHyperlink"/>
      <w:u w:val="single"/>
    </w:rPr>
  </w:style>
  <w:style w:type="character" w:customStyle="1" w:styleId="ListParagraphChar">
    <w:name w:val="List Paragraph Char"/>
    <w:aliases w:val="List Paragraph_Sections Char,Paragraphe EI Char,Paragraphe de liste1 Char,EC Char,List_Paragraph Char,Multilevel para_II Char,List Paragraph1 Char,Akapit z listą BS Char,Bullet1 Char,Main numbered paragraph Char,Dot pt Char"/>
    <w:basedOn w:val="DefaultParagraphFont"/>
    <w:link w:val="ListParagraph"/>
    <w:uiPriority w:val="34"/>
    <w:qFormat/>
    <w:locked/>
    <w:rsid w:val="00995F32"/>
    <w:rPr>
      <w:rFonts w:ascii="Times New Roman" w:hAnsi="Times New Roman" w:cs="Times New Roman"/>
      <w:sz w:val="24"/>
      <w:szCs w:val="24"/>
    </w:rPr>
  </w:style>
  <w:style w:type="table" w:styleId="TableGridLight">
    <w:name w:val="Grid Table Light"/>
    <w:basedOn w:val="TableNormal"/>
    <w:uiPriority w:val="40"/>
    <w:rsid w:val="001A529D"/>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paragraph" w:styleId="TOC3">
    <w:name w:val="toc 3"/>
    <w:basedOn w:val="Normal"/>
    <w:next w:val="Normal"/>
    <w:autoRedefine/>
    <w:uiPriority w:val="39"/>
    <w:unhideWhenUsed/>
    <w:rsid w:val="00DF786B"/>
    <w:pPr>
      <w:spacing w:after="100"/>
      <w:ind w:left="480"/>
    </w:pPr>
  </w:style>
  <w:style w:type="paragraph" w:customStyle="1" w:styleId="Point0">
    <w:name w:val="Point 0"/>
    <w:basedOn w:val="Normal"/>
    <w:rsid w:val="004649A2"/>
    <w:pPr>
      <w:spacing w:before="120" w:after="120"/>
      <w:ind w:left="850" w:hanging="850"/>
    </w:pPr>
    <w:rPr>
      <w:szCs w:val="22"/>
    </w:rPr>
  </w:style>
  <w:style w:type="paragraph" w:customStyle="1" w:styleId="Tiret0">
    <w:name w:val="Tiret 0"/>
    <w:basedOn w:val="Point0"/>
    <w:rsid w:val="0005481B"/>
    <w:pPr>
      <w:numPr>
        <w:numId w:val="3"/>
      </w:numPr>
    </w:pPr>
  </w:style>
  <w:style w:type="paragraph" w:styleId="ListNumber2">
    <w:name w:val="List Number 2"/>
    <w:basedOn w:val="Normal"/>
    <w:rsid w:val="006B0672"/>
    <w:pPr>
      <w:numPr>
        <w:numId w:val="4"/>
      </w:numPr>
      <w:spacing w:before="120" w:after="120"/>
    </w:pPr>
    <w:rPr>
      <w:rFonts w:eastAsia="Times New Roman"/>
      <w:szCs w:val="22"/>
      <w:lang w:val="fr-FR" w:eastAsia="en-GB"/>
    </w:rPr>
  </w:style>
  <w:style w:type="paragraph" w:customStyle="1" w:styleId="ListNumber2Level2">
    <w:name w:val="List Number 2 (Level 2)"/>
    <w:basedOn w:val="Text2"/>
    <w:rsid w:val="006B0672"/>
    <w:pPr>
      <w:numPr>
        <w:ilvl w:val="1"/>
        <w:numId w:val="4"/>
      </w:numPr>
      <w:tabs>
        <w:tab w:val="clear" w:pos="2302"/>
      </w:tabs>
      <w:spacing w:before="120" w:after="120"/>
    </w:pPr>
    <w:rPr>
      <w:szCs w:val="22"/>
      <w:lang w:val="fr-FR" w:eastAsia="en-GB"/>
    </w:rPr>
  </w:style>
  <w:style w:type="paragraph" w:customStyle="1" w:styleId="ListNumber2Level3">
    <w:name w:val="List Number 2 (Level 3)"/>
    <w:basedOn w:val="Text2"/>
    <w:rsid w:val="006B0672"/>
    <w:pPr>
      <w:numPr>
        <w:ilvl w:val="2"/>
        <w:numId w:val="4"/>
      </w:numPr>
      <w:tabs>
        <w:tab w:val="clear" w:pos="2302"/>
      </w:tabs>
      <w:spacing w:before="120" w:after="120"/>
    </w:pPr>
    <w:rPr>
      <w:szCs w:val="22"/>
      <w:lang w:val="fr-FR" w:eastAsia="en-GB"/>
    </w:rPr>
  </w:style>
  <w:style w:type="paragraph" w:customStyle="1" w:styleId="ListNumber2Level4">
    <w:name w:val="List Number 2 (Level 4)"/>
    <w:basedOn w:val="Text2"/>
    <w:rsid w:val="006B0672"/>
    <w:pPr>
      <w:numPr>
        <w:ilvl w:val="3"/>
        <w:numId w:val="4"/>
      </w:numPr>
      <w:tabs>
        <w:tab w:val="clear" w:pos="2302"/>
      </w:tabs>
      <w:spacing w:before="120" w:after="120"/>
    </w:pPr>
    <w:rPr>
      <w:szCs w:val="22"/>
      <w:lang w:val="fr-FR" w:eastAsia="en-GB"/>
    </w:rPr>
  </w:style>
  <w:style w:type="paragraph" w:customStyle="1" w:styleId="FootnoteReferenceCharCarCharCharCarCharCarCharCarCharCarCharCharCarCarCharCharCharCharCharCarCharCarCharCharCarCharCar">
    <w:name w:val="Footnote Reference Char Car Char Char Car Char Car Char Car Char Car Char Char Car Car Char Char Char Char Char Car Char Car Char Char Car Char Car"/>
    <w:aliases w:val="Footnotes refss Car Char Car,callout Car Car Char Char Car,Footnotes refss Car1"/>
    <w:basedOn w:val="Normal"/>
    <w:qFormat/>
    <w:rsid w:val="006B0672"/>
    <w:pPr>
      <w:spacing w:after="160" w:line="240" w:lineRule="exact"/>
      <w:jc w:val="left"/>
    </w:pPr>
    <w:rPr>
      <w:rFonts w:asciiTheme="minorHAnsi" w:hAnsiTheme="minorHAnsi" w:cstheme="minorBidi"/>
      <w:sz w:val="22"/>
      <w:szCs w:val="22"/>
      <w:vertAlign w:val="superscript"/>
      <w:lang w:val="en-US"/>
    </w:rPr>
  </w:style>
  <w:style w:type="paragraph" w:customStyle="1" w:styleId="oj-normal">
    <w:name w:val="oj-normal"/>
    <w:basedOn w:val="Normal"/>
    <w:rsid w:val="00CE523F"/>
    <w:pPr>
      <w:spacing w:before="100" w:beforeAutospacing="1" w:after="100" w:afterAutospacing="1"/>
      <w:jc w:val="left"/>
    </w:pPr>
    <w:rPr>
      <w:rFonts w:eastAsia="Times New Roman"/>
      <w:lang w:val="en-IE" w:eastAsia="en-IE"/>
    </w:rPr>
  </w:style>
  <w:style w:type="paragraph" w:customStyle="1" w:styleId="Normal1">
    <w:name w:val="Normal1"/>
    <w:basedOn w:val="Normal"/>
    <w:rsid w:val="008E2741"/>
    <w:pPr>
      <w:spacing w:before="100" w:beforeAutospacing="1" w:after="100" w:afterAutospacing="1"/>
      <w:jc w:val="left"/>
    </w:pPr>
    <w:rPr>
      <w:rFonts w:eastAsia="Times New Roman"/>
      <w:lang w:val="en-IE" w:eastAsia="en-IE"/>
    </w:rPr>
  </w:style>
  <w:style w:type="character" w:customStyle="1" w:styleId="footnotereference0">
    <w:name w:val="footnotereference"/>
    <w:basedOn w:val="DefaultParagraphFont"/>
    <w:rsid w:val="00CE523F"/>
  </w:style>
  <w:style w:type="paragraph" w:customStyle="1" w:styleId="ManualHeading2">
    <w:name w:val="Manual Heading 2"/>
    <w:basedOn w:val="Normal"/>
    <w:next w:val="Text1"/>
    <w:rsid w:val="00333E60"/>
    <w:pPr>
      <w:keepNext/>
      <w:tabs>
        <w:tab w:val="left" w:pos="850"/>
      </w:tabs>
      <w:spacing w:before="120" w:after="120"/>
      <w:ind w:left="850" w:hanging="850"/>
      <w:outlineLvl w:val="1"/>
    </w:pPr>
    <w:rPr>
      <w:b/>
      <w:szCs w:val="22"/>
    </w:rPr>
  </w:style>
  <w:style w:type="character" w:styleId="Mention">
    <w:name w:val="Mention"/>
    <w:basedOn w:val="DefaultParagraphFont"/>
    <w:uiPriority w:val="99"/>
    <w:unhideWhenUsed/>
    <w:rsid w:val="000A6816"/>
    <w:rPr>
      <w:color w:val="2B579A"/>
      <w:shd w:val="clear" w:color="auto" w:fill="E1DFDD"/>
    </w:rPr>
  </w:style>
  <w:style w:type="paragraph" w:styleId="NormalWeb">
    <w:name w:val="Normal (Web)"/>
    <w:basedOn w:val="Normal"/>
    <w:uiPriority w:val="99"/>
    <w:unhideWhenUsed/>
    <w:rsid w:val="00FD4B11"/>
    <w:pPr>
      <w:spacing w:before="100" w:beforeAutospacing="1" w:after="100" w:afterAutospacing="1"/>
      <w:jc w:val="left"/>
    </w:pPr>
    <w:rPr>
      <w:rFonts w:eastAsia="Times New Roman"/>
      <w:lang w:val="en-IE" w:eastAsia="en-IE"/>
    </w:rPr>
  </w:style>
  <w:style w:type="character" w:styleId="Strong">
    <w:name w:val="Strong"/>
    <w:basedOn w:val="DefaultParagraphFont"/>
    <w:uiPriority w:val="22"/>
    <w:qFormat/>
    <w:rsid w:val="00FD4B11"/>
    <w:rPr>
      <w:b/>
      <w:bCs/>
    </w:rPr>
  </w:style>
  <w:style w:type="paragraph" w:customStyle="1" w:styleId="Languesfaisantfoi">
    <w:name w:val="Langues faisant foi"/>
    <w:basedOn w:val="Normal"/>
    <w:next w:val="Normal"/>
    <w:rsid w:val="00801A80"/>
    <w:pPr>
      <w:spacing w:before="360"/>
      <w:jc w:val="center"/>
    </w:pPr>
    <w:rPr>
      <w:szCs w:val="22"/>
    </w:rPr>
  </w:style>
  <w:style w:type="paragraph" w:customStyle="1" w:styleId="LanguesfaisantfoiPagedecouverture">
    <w:name w:val="Langues faisant foi (Page de couverture)"/>
    <w:basedOn w:val="Normal"/>
    <w:next w:val="Normal"/>
    <w:rsid w:val="00801A80"/>
    <w:pPr>
      <w:spacing w:before="360"/>
      <w:jc w:val="center"/>
    </w:pPr>
    <w:rPr>
      <w:szCs w:val="22"/>
    </w:rPr>
  </w:style>
  <w:style w:type="paragraph" w:customStyle="1" w:styleId="IntrtEEE">
    <w:name w:val="Intérêt EEE"/>
    <w:basedOn w:val="Languesfaisantfoi"/>
    <w:next w:val="Normal"/>
    <w:rsid w:val="00801A80"/>
    <w:pPr>
      <w:spacing w:after="0"/>
    </w:pPr>
  </w:style>
  <w:style w:type="paragraph" w:customStyle="1" w:styleId="IntrtEEEPagedecouverture">
    <w:name w:val="Intérêt EEE (Page de couverture)"/>
    <w:basedOn w:val="IntrtEEE"/>
    <w:next w:val="Normal"/>
    <w:rsid w:val="00801A80"/>
  </w:style>
  <w:style w:type="paragraph" w:customStyle="1" w:styleId="paragraph">
    <w:name w:val="paragraph"/>
    <w:basedOn w:val="Normal"/>
    <w:rsid w:val="009374F8"/>
    <w:pPr>
      <w:spacing w:before="100" w:beforeAutospacing="1" w:after="100" w:afterAutospacing="1"/>
      <w:jc w:val="left"/>
    </w:pPr>
    <w:rPr>
      <w:rFonts w:eastAsia="Times New Roman"/>
      <w:lang w:val="en-IE" w:eastAsia="en-IE"/>
    </w:rPr>
  </w:style>
  <w:style w:type="character" w:customStyle="1" w:styleId="normaltextrun">
    <w:name w:val="normaltextrun"/>
    <w:basedOn w:val="DefaultParagraphFont"/>
    <w:rsid w:val="009374F8"/>
  </w:style>
  <w:style w:type="character" w:customStyle="1" w:styleId="eop">
    <w:name w:val="eop"/>
    <w:basedOn w:val="DefaultParagraphFont"/>
    <w:rsid w:val="009374F8"/>
  </w:style>
  <w:style w:type="character" w:customStyle="1" w:styleId="superscript">
    <w:name w:val="superscript"/>
    <w:basedOn w:val="DefaultParagraphFont"/>
    <w:rsid w:val="009374F8"/>
  </w:style>
  <w:style w:type="paragraph" w:styleId="ListNumber">
    <w:name w:val="List Number"/>
    <w:basedOn w:val="Normal"/>
    <w:uiPriority w:val="1"/>
    <w:qFormat/>
    <w:rsid w:val="00416328"/>
    <w:pPr>
      <w:numPr>
        <w:numId w:val="6"/>
      </w:numPr>
      <w:spacing w:before="80" w:after="80" w:line="264" w:lineRule="auto"/>
      <w:jc w:val="left"/>
    </w:pPr>
    <w:rPr>
      <w:rFonts w:ascii="Arial" w:eastAsia="Times New Roman" w:hAnsi="Arial"/>
      <w:lang w:eastAsia="de-DE"/>
    </w:rPr>
  </w:style>
  <w:style w:type="paragraph" w:customStyle="1" w:styleId="ListNumberLevel2">
    <w:name w:val="List Number (Level 2)"/>
    <w:basedOn w:val="ListNumber"/>
    <w:uiPriority w:val="1"/>
    <w:qFormat/>
    <w:rsid w:val="00416328"/>
    <w:pPr>
      <w:numPr>
        <w:ilvl w:val="1"/>
      </w:numPr>
    </w:pPr>
  </w:style>
  <w:style w:type="paragraph" w:customStyle="1" w:styleId="ListNumberLevel3">
    <w:name w:val="List Number (Level 3)"/>
    <w:basedOn w:val="ListNumber"/>
    <w:uiPriority w:val="1"/>
    <w:qFormat/>
    <w:rsid w:val="00416328"/>
    <w:pPr>
      <w:numPr>
        <w:ilvl w:val="2"/>
      </w:numPr>
    </w:pPr>
  </w:style>
  <w:style w:type="paragraph" w:customStyle="1" w:styleId="ListNumberLevel4">
    <w:name w:val="List Number (Level 4)"/>
    <w:basedOn w:val="ListNumber"/>
    <w:uiPriority w:val="1"/>
    <w:qFormat/>
    <w:rsid w:val="00416328"/>
    <w:pPr>
      <w:numPr>
        <w:ilvl w:val="3"/>
      </w:numPr>
    </w:pPr>
  </w:style>
  <w:style w:type="paragraph" w:customStyle="1" w:styleId="ListNumberLevel5">
    <w:name w:val="List Number (Level 5)"/>
    <w:uiPriority w:val="1"/>
    <w:qFormat/>
    <w:rsid w:val="00416328"/>
    <w:pPr>
      <w:numPr>
        <w:ilvl w:val="4"/>
        <w:numId w:val="6"/>
      </w:numPr>
      <w:spacing w:before="80" w:after="80" w:line="264" w:lineRule="auto"/>
    </w:pPr>
    <w:rPr>
      <w:rFonts w:ascii="Arial" w:eastAsia="Times New Roman" w:hAnsi="Arial" w:cs="Times New Roman"/>
      <w:sz w:val="24"/>
      <w:szCs w:val="24"/>
      <w:lang w:eastAsia="de-DE"/>
    </w:rPr>
  </w:style>
  <w:style w:type="paragraph" w:styleId="Caption">
    <w:name w:val="caption"/>
    <w:aliases w:val="Char Car,Caption - Centre Graphic,Char Char Char,Caption1 Char Char Char Char Char Char Char Char,Caption1 Char Char Char Char Char Char Char Char Tegn Tegn Tegn Tegn Tegn,Caption1 Char Char Char Char Char Char Char Char Tegn Tegn Tegn,C,5,label"/>
    <w:next w:val="Normal"/>
    <w:link w:val="CaptionChar"/>
    <w:uiPriority w:val="35"/>
    <w:unhideWhenUsed/>
    <w:qFormat/>
    <w:rsid w:val="001F52A0"/>
    <w:pPr>
      <w:spacing w:before="120" w:line="240" w:lineRule="auto"/>
    </w:pPr>
    <w:rPr>
      <w:rFonts w:ascii="Arial" w:eastAsia="Times New Roman" w:hAnsi="Arial" w:cs="Times New Roman"/>
      <w:b/>
      <w:sz w:val="20"/>
      <w:szCs w:val="24"/>
      <w:lang w:eastAsia="de-DE"/>
    </w:rPr>
  </w:style>
  <w:style w:type="paragraph" w:customStyle="1" w:styleId="CaptionSourceorCopyright">
    <w:name w:val="Caption Source or Copyright"/>
    <w:uiPriority w:val="99"/>
    <w:qFormat/>
    <w:rsid w:val="001F52A0"/>
    <w:pPr>
      <w:spacing w:before="120" w:after="120" w:line="264" w:lineRule="auto"/>
    </w:pPr>
    <w:rPr>
      <w:rFonts w:ascii="Arial" w:eastAsia="Times New Roman" w:hAnsi="Arial" w:cs="Times New Roman"/>
      <w:sz w:val="20"/>
      <w:szCs w:val="24"/>
      <w:lang w:eastAsia="de-DE"/>
    </w:rPr>
  </w:style>
  <w:style w:type="paragraph" w:customStyle="1" w:styleId="FootnotesymbolCharCharChar">
    <w:name w:val="Footnote symbol Char Char Char"/>
    <w:aliases w:val="Voetnootverwijzing Char Char Char,Times 10 Point Char Char Char,Exposant 3 Point Char Char Char,Footnote Reference Superscript Char Char Char,Footnote symbol Char,FR Char, Exposant 3 Point Char Char Char"/>
    <w:basedOn w:val="Normal"/>
    <w:uiPriority w:val="99"/>
    <w:rsid w:val="00F9487F"/>
    <w:pPr>
      <w:spacing w:after="160" w:line="240" w:lineRule="exact"/>
      <w:ind w:left="357" w:hanging="357"/>
      <w:jc w:val="left"/>
    </w:pPr>
    <w:rPr>
      <w:rFonts w:asciiTheme="minorHAnsi" w:hAnsiTheme="minorHAnsi" w:cstheme="minorBidi"/>
      <w:sz w:val="22"/>
      <w:szCs w:val="22"/>
      <w:vertAlign w:val="superscript"/>
    </w:rPr>
  </w:style>
  <w:style w:type="character" w:customStyle="1" w:styleId="langEN">
    <w:name w:val="lang_EN"/>
    <w:semiHidden/>
    <w:rsid w:val="00B47C7E"/>
    <w:rPr>
      <w:lang w:val="en-GB"/>
    </w:rPr>
  </w:style>
  <w:style w:type="paragraph" w:customStyle="1" w:styleId="Datainchart">
    <w:name w:val="Data in chart"/>
    <w:link w:val="DatainchartChar"/>
    <w:autoRedefine/>
    <w:uiPriority w:val="1"/>
    <w:qFormat/>
    <w:rsid w:val="0050591C"/>
    <w:pPr>
      <w:spacing w:before="120" w:after="120" w:line="360" w:lineRule="auto"/>
    </w:pPr>
    <w:rPr>
      <w:rFonts w:ascii="Times New Roman" w:eastAsia="Times New Roman" w:hAnsi="Times New Roman" w:cs="Times New Roman"/>
      <w:noProof/>
      <w:color w:val="000000" w:themeColor="text1"/>
      <w:sz w:val="24"/>
      <w:szCs w:val="24"/>
      <w:lang w:eastAsia="de-DE"/>
    </w:rPr>
  </w:style>
  <w:style w:type="character" w:customStyle="1" w:styleId="DatainchartChar">
    <w:name w:val="Data in chart Char"/>
    <w:basedOn w:val="DefaultParagraphFont"/>
    <w:link w:val="Datainchart"/>
    <w:uiPriority w:val="1"/>
    <w:rsid w:val="0050591C"/>
    <w:rPr>
      <w:rFonts w:ascii="Times New Roman" w:eastAsia="Times New Roman" w:hAnsi="Times New Roman" w:cs="Times New Roman"/>
      <w:noProof/>
      <w:color w:val="000000" w:themeColor="text1"/>
      <w:sz w:val="24"/>
      <w:szCs w:val="24"/>
      <w:lang w:eastAsia="de-DE"/>
    </w:rPr>
  </w:style>
  <w:style w:type="character" w:customStyle="1" w:styleId="Bold">
    <w:name w:val="Bold"/>
    <w:uiPriority w:val="1"/>
    <w:qFormat/>
    <w:rsid w:val="00D777C9"/>
    <w:rPr>
      <w:b/>
      <w:bCs/>
    </w:rPr>
  </w:style>
  <w:style w:type="paragraph" w:customStyle="1" w:styleId="HeaderBottomBorder">
    <w:name w:val="Header BottomBorder"/>
    <w:rsid w:val="00032387"/>
    <w:pPr>
      <w:pBdr>
        <w:bottom w:val="single" w:sz="8" w:space="12" w:color="1F497D" w:themeColor="text2"/>
      </w:pBdr>
      <w:spacing w:before="120" w:after="120" w:line="264" w:lineRule="auto"/>
      <w:jc w:val="center"/>
    </w:pPr>
    <w:rPr>
      <w:rFonts w:ascii="Arial" w:eastAsia="Times New Roman" w:hAnsi="Arial" w:cs="Times New Roman"/>
      <w:color w:val="1F497D" w:themeColor="text2"/>
      <w:sz w:val="20"/>
      <w:szCs w:val="24"/>
      <w:lang w:eastAsia="de-DE"/>
    </w:rPr>
  </w:style>
  <w:style w:type="character" w:customStyle="1" w:styleId="CaptionChar">
    <w:name w:val="Caption Char"/>
    <w:aliases w:val="Char Car Char,Caption - Centre Graphic Char,Char Char Char Char,Caption1 Char Char Char Char Char Char Char Char Char,Caption1 Char Char Char Char Char Char Char Char Tegn Tegn Tegn Tegn Tegn Char,C Char,5 Char,label Char"/>
    <w:basedOn w:val="DefaultParagraphFont"/>
    <w:link w:val="Caption"/>
    <w:uiPriority w:val="35"/>
    <w:qFormat/>
    <w:rsid w:val="00032387"/>
    <w:rPr>
      <w:rFonts w:ascii="Arial" w:eastAsia="Times New Roman" w:hAnsi="Arial" w:cs="Times New Roman"/>
      <w:b/>
      <w:sz w:val="20"/>
      <w:szCs w:val="24"/>
      <w:lang w:eastAsia="de-DE"/>
    </w:rPr>
  </w:style>
  <w:style w:type="table" w:styleId="GridTable4-Accent1">
    <w:name w:val="Grid Table 4 Accent 1"/>
    <w:basedOn w:val="TableNormal"/>
    <w:uiPriority w:val="49"/>
    <w:rsid w:val="00586D40"/>
    <w:pPr>
      <w:spacing w:after="0" w:line="240" w:lineRule="auto"/>
    </w:p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insideV w:val="nil"/>
        </w:tcBorders>
        <w:shd w:val="clear" w:color="auto" w:fill="4F81BD" w:themeFill="accent1"/>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paragraph" w:styleId="Subtitle">
    <w:name w:val="Subtitle"/>
    <w:aliases w:val="Source / Subtitle"/>
    <w:next w:val="Normal"/>
    <w:link w:val="SubtitleChar"/>
    <w:uiPriority w:val="11"/>
    <w:qFormat/>
    <w:rsid w:val="00586D40"/>
    <w:pPr>
      <w:spacing w:after="240" w:line="240" w:lineRule="atLeast"/>
    </w:pPr>
    <w:rPr>
      <w:rFonts w:ascii="Corbel" w:eastAsia="Corbel" w:hAnsi="Corbel" w:cs="Times New Roman"/>
      <w:color w:val="595653"/>
      <w:sz w:val="16"/>
      <w:szCs w:val="24"/>
    </w:rPr>
  </w:style>
  <w:style w:type="character" w:customStyle="1" w:styleId="SubtitleChar">
    <w:name w:val="Subtitle Char"/>
    <w:aliases w:val="Source / Subtitle Char"/>
    <w:basedOn w:val="DefaultParagraphFont"/>
    <w:link w:val="Subtitle"/>
    <w:uiPriority w:val="11"/>
    <w:rsid w:val="00586D40"/>
    <w:rPr>
      <w:rFonts w:ascii="Corbel" w:eastAsia="Corbel" w:hAnsi="Corbel" w:cs="Times New Roman"/>
      <w:color w:val="595653"/>
      <w:sz w:val="16"/>
      <w:szCs w:val="24"/>
    </w:rPr>
  </w:style>
  <w:style w:type="paragraph" w:customStyle="1" w:styleId="TABLEFONT">
    <w:name w:val="TABLE FONT"/>
    <w:autoRedefine/>
    <w:qFormat/>
    <w:rsid w:val="006E6745"/>
    <w:pPr>
      <w:framePr w:hSpace="180" w:wrap="around" w:vAnchor="page" w:hAnchor="margin" w:y="1786"/>
      <w:spacing w:before="120" w:after="120" w:line="240" w:lineRule="auto"/>
    </w:pPr>
    <w:rPr>
      <w:rFonts w:ascii="Times New Roman" w:eastAsia="Times New Roman" w:hAnsi="Times New Roman" w:cs="Times New Roman"/>
      <w:b/>
      <w:iCs/>
      <w:sz w:val="20"/>
      <w:szCs w:val="20"/>
      <w:lang w:eastAsia="en-GB"/>
    </w:rPr>
  </w:style>
  <w:style w:type="table" w:customStyle="1" w:styleId="TableGridLight1">
    <w:name w:val="Table Grid Light1"/>
    <w:aliases w:val="PPMI List"/>
    <w:basedOn w:val="TableNormal"/>
    <w:uiPriority w:val="40"/>
    <w:rsid w:val="00B24BA2"/>
    <w:pPr>
      <w:spacing w:after="0" w:line="240" w:lineRule="auto"/>
    </w:pPr>
    <w:rPr>
      <w:rFonts w:ascii="Corbel" w:eastAsia="Corbel" w:hAnsi="Corbel" w:cs="Times New Roman"/>
      <w:sz w:val="16"/>
      <w:szCs w:val="20"/>
      <w:lang w:eastAsia="en-GB"/>
    </w:rPr>
    <w:tblPr>
      <w:tblStyleRowBandSize w:val="1"/>
    </w:tblPr>
    <w:tblStylePr w:type="firstRow">
      <w:rPr>
        <w:rFonts w:ascii="Palatino" w:hAnsi="Palatino"/>
        <w:b/>
        <w:i w:val="0"/>
        <w:caps/>
        <w:smallCaps w:val="0"/>
        <w:strike w:val="0"/>
        <w:dstrike w:val="0"/>
        <w:vanish w:val="0"/>
        <w:sz w:val="20"/>
        <w:vertAlign w:val="baseline"/>
      </w:rPr>
      <w:tblPr/>
      <w:tcPr>
        <w:tcBorders>
          <w:bottom w:val="single" w:sz="4" w:space="0" w:color="FCB342"/>
        </w:tcBorders>
      </w:tcPr>
    </w:tblStylePr>
    <w:tblStylePr w:type="firstCol">
      <w:rPr>
        <w:rFonts w:ascii="Palatino" w:hAnsi="Palatino"/>
        <w:b/>
        <w:i w:val="0"/>
        <w:caps w:val="0"/>
        <w:smallCaps w:val="0"/>
        <w:strike w:val="0"/>
        <w:dstrike w:val="0"/>
        <w:vanish w:val="0"/>
        <w:sz w:val="16"/>
        <w:vertAlign w:val="baseline"/>
      </w:rPr>
    </w:tblStylePr>
    <w:tblStylePr w:type="band1Horz">
      <w:tblPr/>
      <w:tcPr>
        <w:shd w:val="clear" w:color="auto" w:fill="F2F2F2"/>
      </w:tcPr>
    </w:tblStylePr>
  </w:style>
  <w:style w:type="paragraph" w:customStyle="1" w:styleId="HTABLE">
    <w:name w:val="H: TABLE"/>
    <w:basedOn w:val="TABLEFONT"/>
    <w:qFormat/>
    <w:rsid w:val="00586D40"/>
    <w:pPr>
      <w:framePr w:wrap="around"/>
    </w:pPr>
  </w:style>
  <w:style w:type="paragraph" w:customStyle="1" w:styleId="font-claude-response-body">
    <w:name w:val="font-claude-response-body"/>
    <w:basedOn w:val="Normal"/>
    <w:rsid w:val="00586D40"/>
    <w:pPr>
      <w:spacing w:before="100" w:beforeAutospacing="1" w:after="100" w:afterAutospacing="1"/>
      <w:jc w:val="left"/>
    </w:pPr>
    <w:rPr>
      <w:rFonts w:eastAsia="Times New Roman"/>
      <w:lang w:val="en-IE" w:eastAsia="en-IE"/>
    </w:rPr>
  </w:style>
  <w:style w:type="character" w:customStyle="1" w:styleId="Heading6Char">
    <w:name w:val="Heading 6 Char"/>
    <w:basedOn w:val="DefaultParagraphFont"/>
    <w:link w:val="Heading6"/>
    <w:uiPriority w:val="9"/>
    <w:rsid w:val="00427075"/>
    <w:rPr>
      <w:rFonts w:asciiTheme="majorHAnsi" w:eastAsiaTheme="majorEastAsia" w:hAnsiTheme="majorHAnsi" w:cstheme="majorBidi"/>
      <w:color w:val="243F60" w:themeColor="accent1" w:themeShade="7F"/>
      <w:sz w:val="24"/>
      <w:szCs w:val="24"/>
    </w:rPr>
  </w:style>
  <w:style w:type="character" w:customStyle="1" w:styleId="Heading7Char">
    <w:name w:val="Heading 7 Char"/>
    <w:basedOn w:val="DefaultParagraphFont"/>
    <w:link w:val="Heading7"/>
    <w:uiPriority w:val="9"/>
    <w:rsid w:val="00701B62"/>
    <w:rPr>
      <w:rFonts w:asciiTheme="majorHAnsi" w:eastAsiaTheme="majorEastAsia" w:hAnsiTheme="majorHAnsi" w:cstheme="majorBidi"/>
      <w:i/>
      <w:iCs/>
      <w:color w:val="243F60" w:themeColor="accent1" w:themeShade="7F"/>
      <w:sz w:val="24"/>
      <w:szCs w:val="24"/>
    </w:rPr>
  </w:style>
  <w:style w:type="character" w:customStyle="1" w:styleId="Heading8Char">
    <w:name w:val="Heading 8 Char"/>
    <w:basedOn w:val="DefaultParagraphFont"/>
    <w:link w:val="Heading8"/>
    <w:uiPriority w:val="9"/>
    <w:semiHidden/>
    <w:rsid w:val="00701B62"/>
    <w:rPr>
      <w:rFonts w:asciiTheme="majorHAnsi" w:eastAsiaTheme="majorEastAsia" w:hAnsiTheme="majorHAnsi" w:cstheme="majorBidi"/>
      <w:color w:val="272727" w:themeColor="text1" w:themeTint="D8"/>
      <w:sz w:val="21"/>
      <w:szCs w:val="21"/>
    </w:rPr>
  </w:style>
  <w:style w:type="character" w:customStyle="1" w:styleId="Heading9Char">
    <w:name w:val="Heading 9 Char"/>
    <w:basedOn w:val="DefaultParagraphFont"/>
    <w:link w:val="Heading9"/>
    <w:uiPriority w:val="9"/>
    <w:semiHidden/>
    <w:rsid w:val="00701B62"/>
    <w:rPr>
      <w:rFonts w:asciiTheme="majorHAnsi" w:eastAsiaTheme="majorEastAsia" w:hAnsiTheme="majorHAnsi" w:cstheme="majorBidi"/>
      <w:i/>
      <w:iCs/>
      <w:color w:val="272727" w:themeColor="text1" w:themeTint="D8"/>
      <w:sz w:val="21"/>
      <w:szCs w:val="21"/>
    </w:rPr>
  </w:style>
  <w:style w:type="numbering" w:styleId="111111">
    <w:name w:val="Outline List 2"/>
    <w:basedOn w:val="NoList"/>
    <w:uiPriority w:val="99"/>
    <w:semiHidden/>
    <w:unhideWhenUsed/>
    <w:rsid w:val="00E37E25"/>
  </w:style>
  <w:style w:type="character" w:styleId="PageNumber">
    <w:name w:val="page number"/>
    <w:uiPriority w:val="99"/>
    <w:unhideWhenUsed/>
    <w:rsid w:val="00E37E25"/>
    <w:rPr>
      <w:rFonts w:ascii="Corbel" w:hAnsi="Corbel"/>
      <w:b w:val="0"/>
      <w:i w:val="0"/>
      <w:sz w:val="16"/>
    </w:rPr>
  </w:style>
  <w:style w:type="paragraph" w:styleId="Quote">
    <w:name w:val="Quote"/>
    <w:basedOn w:val="Normal"/>
    <w:next w:val="Normal"/>
    <w:link w:val="QuoteChar"/>
    <w:uiPriority w:val="29"/>
    <w:qFormat/>
    <w:rsid w:val="00E37E25"/>
    <w:pPr>
      <w:pBdr>
        <w:top w:val="single" w:sz="6" w:space="10" w:color="FCB342"/>
      </w:pBdr>
      <w:spacing w:before="100" w:after="100" w:line="310" w:lineRule="atLeast"/>
      <w:ind w:left="567"/>
      <w:jc w:val="left"/>
    </w:pPr>
    <w:rPr>
      <w:rFonts w:ascii="Palatino Linotype" w:eastAsia="Times New Roman" w:hAnsi="Palatino Linotype"/>
      <w:b/>
      <w:bCs/>
      <w:color w:val="1F1E1D"/>
      <w:sz w:val="26"/>
      <w:szCs w:val="26"/>
      <w:lang w:eastAsia="lt-LT"/>
    </w:rPr>
  </w:style>
  <w:style w:type="character" w:customStyle="1" w:styleId="QuoteChar">
    <w:name w:val="Quote Char"/>
    <w:basedOn w:val="DefaultParagraphFont"/>
    <w:link w:val="Quote"/>
    <w:uiPriority w:val="29"/>
    <w:rsid w:val="00E37E25"/>
    <w:rPr>
      <w:rFonts w:ascii="Palatino Linotype" w:eastAsia="Times New Roman" w:hAnsi="Palatino Linotype" w:cs="Times New Roman"/>
      <w:b/>
      <w:bCs/>
      <w:color w:val="1F1E1D"/>
      <w:sz w:val="26"/>
      <w:szCs w:val="26"/>
      <w:lang w:eastAsia="lt-LT"/>
    </w:rPr>
  </w:style>
  <w:style w:type="character" w:styleId="SubtleEmphasis">
    <w:name w:val="Subtle Emphasis"/>
    <w:uiPriority w:val="19"/>
    <w:rsid w:val="00E37E25"/>
    <w:rPr>
      <w:rFonts w:ascii="Corbel" w:hAnsi="Corbel"/>
      <w:b/>
      <w:iCs/>
      <w:color w:val="353332"/>
      <w:sz w:val="20"/>
      <w:szCs w:val="20"/>
    </w:rPr>
  </w:style>
  <w:style w:type="character" w:styleId="Emphasis">
    <w:name w:val="Emphasis"/>
    <w:uiPriority w:val="20"/>
    <w:qFormat/>
    <w:rsid w:val="00E37E25"/>
    <w:rPr>
      <w:rFonts w:ascii="Palatino" w:hAnsi="Palatino"/>
      <w:b/>
      <w:i w:val="0"/>
      <w:iCs/>
      <w:sz w:val="20"/>
    </w:rPr>
  </w:style>
  <w:style w:type="paragraph" w:customStyle="1" w:styleId="HFIGURE">
    <w:name w:val="H: FIGURE"/>
    <w:next w:val="Normal"/>
    <w:rsid w:val="003B5903"/>
    <w:pPr>
      <w:numPr>
        <w:numId w:val="8"/>
      </w:numPr>
      <w:pBdr>
        <w:bottom w:val="single" w:sz="2" w:space="5" w:color="auto"/>
      </w:pBdr>
      <w:spacing w:before="480" w:after="600" w:line="270" w:lineRule="atLeast"/>
    </w:pPr>
    <w:rPr>
      <w:rFonts w:ascii="Corbel" w:eastAsia="Times New Roman" w:hAnsi="Corbel" w:cs="Times New Roman"/>
      <w:b/>
      <w:bCs/>
      <w:caps/>
      <w:color w:val="0A0A08"/>
      <w:sz w:val="20"/>
      <w:szCs w:val="20"/>
      <w:lang w:eastAsia="lt-LT"/>
    </w:rPr>
  </w:style>
  <w:style w:type="numbering" w:customStyle="1" w:styleId="CurrentList1">
    <w:name w:val="Current List1"/>
    <w:uiPriority w:val="99"/>
    <w:rsid w:val="00E37E25"/>
  </w:style>
  <w:style w:type="paragraph" w:customStyle="1" w:styleId="HTABLES">
    <w:name w:val="H: TABLES"/>
    <w:basedOn w:val="HFIGURE"/>
    <w:next w:val="Normal"/>
    <w:rsid w:val="003B5903"/>
    <w:pPr>
      <w:numPr>
        <w:numId w:val="9"/>
      </w:numPr>
      <w:tabs>
        <w:tab w:val="num" w:pos="936"/>
      </w:tabs>
    </w:pPr>
  </w:style>
  <w:style w:type="paragraph" w:styleId="TOC4">
    <w:name w:val="toc 4"/>
    <w:basedOn w:val="Normal"/>
    <w:next w:val="Normal"/>
    <w:autoRedefine/>
    <w:uiPriority w:val="39"/>
    <w:unhideWhenUsed/>
    <w:rsid w:val="00E37E25"/>
    <w:pPr>
      <w:spacing w:after="270" w:line="270" w:lineRule="atLeast"/>
      <w:ind w:left="600"/>
    </w:pPr>
    <w:rPr>
      <w:rFonts w:ascii="Corbel" w:eastAsia="Times New Roman" w:hAnsi="Corbel"/>
      <w:color w:val="353332"/>
      <w:sz w:val="20"/>
      <w:szCs w:val="20"/>
      <w:lang w:eastAsia="en-GB"/>
    </w:rPr>
  </w:style>
  <w:style w:type="paragraph" w:styleId="TOC5">
    <w:name w:val="toc 5"/>
    <w:basedOn w:val="Normal"/>
    <w:next w:val="Normal"/>
    <w:autoRedefine/>
    <w:uiPriority w:val="39"/>
    <w:unhideWhenUsed/>
    <w:rsid w:val="00E37E25"/>
    <w:pPr>
      <w:spacing w:after="270" w:line="270" w:lineRule="atLeast"/>
      <w:ind w:left="800"/>
    </w:pPr>
    <w:rPr>
      <w:rFonts w:ascii="Corbel" w:eastAsia="Times New Roman" w:hAnsi="Corbel"/>
      <w:color w:val="353332"/>
      <w:sz w:val="20"/>
      <w:szCs w:val="20"/>
      <w:lang w:eastAsia="en-GB"/>
    </w:rPr>
  </w:style>
  <w:style w:type="paragraph" w:styleId="TOC6">
    <w:name w:val="toc 6"/>
    <w:basedOn w:val="Normal"/>
    <w:next w:val="Normal"/>
    <w:autoRedefine/>
    <w:uiPriority w:val="39"/>
    <w:unhideWhenUsed/>
    <w:rsid w:val="00E37E25"/>
    <w:pPr>
      <w:spacing w:after="270" w:line="270" w:lineRule="atLeast"/>
      <w:ind w:left="1000"/>
    </w:pPr>
    <w:rPr>
      <w:rFonts w:ascii="Corbel" w:eastAsia="Times New Roman" w:hAnsi="Corbel"/>
      <w:color w:val="353332"/>
      <w:sz w:val="20"/>
      <w:szCs w:val="20"/>
      <w:lang w:eastAsia="en-GB"/>
    </w:rPr>
  </w:style>
  <w:style w:type="paragraph" w:styleId="TOC7">
    <w:name w:val="toc 7"/>
    <w:basedOn w:val="Normal"/>
    <w:next w:val="Normal"/>
    <w:autoRedefine/>
    <w:uiPriority w:val="39"/>
    <w:unhideWhenUsed/>
    <w:rsid w:val="00E37E25"/>
    <w:pPr>
      <w:spacing w:after="270" w:line="270" w:lineRule="atLeast"/>
      <w:ind w:left="1200"/>
    </w:pPr>
    <w:rPr>
      <w:rFonts w:ascii="Corbel" w:eastAsia="Times New Roman" w:hAnsi="Corbel"/>
      <w:color w:val="353332"/>
      <w:sz w:val="20"/>
      <w:szCs w:val="20"/>
      <w:lang w:eastAsia="en-GB"/>
    </w:rPr>
  </w:style>
  <w:style w:type="paragraph" w:styleId="TOC8">
    <w:name w:val="toc 8"/>
    <w:basedOn w:val="Normal"/>
    <w:next w:val="Normal"/>
    <w:autoRedefine/>
    <w:uiPriority w:val="39"/>
    <w:unhideWhenUsed/>
    <w:rsid w:val="00E37E25"/>
    <w:pPr>
      <w:spacing w:after="270" w:line="270" w:lineRule="atLeast"/>
      <w:ind w:left="1400"/>
    </w:pPr>
    <w:rPr>
      <w:rFonts w:ascii="Corbel" w:eastAsia="Times New Roman" w:hAnsi="Corbel"/>
      <w:color w:val="353332"/>
      <w:sz w:val="20"/>
      <w:szCs w:val="20"/>
      <w:lang w:eastAsia="en-GB"/>
    </w:rPr>
  </w:style>
  <w:style w:type="paragraph" w:styleId="TOC9">
    <w:name w:val="toc 9"/>
    <w:basedOn w:val="Normal"/>
    <w:next w:val="Normal"/>
    <w:autoRedefine/>
    <w:uiPriority w:val="39"/>
    <w:unhideWhenUsed/>
    <w:rsid w:val="00E37E25"/>
    <w:pPr>
      <w:spacing w:after="270" w:line="270" w:lineRule="atLeast"/>
      <w:ind w:left="1600"/>
    </w:pPr>
    <w:rPr>
      <w:rFonts w:ascii="Corbel" w:eastAsia="Times New Roman" w:hAnsi="Corbel"/>
      <w:color w:val="353332"/>
      <w:sz w:val="20"/>
      <w:szCs w:val="20"/>
      <w:lang w:eastAsia="en-GB"/>
    </w:rPr>
  </w:style>
  <w:style w:type="paragraph" w:customStyle="1" w:styleId="HeaderText">
    <w:name w:val="Header Text"/>
    <w:basedOn w:val="Header"/>
    <w:link w:val="HeaderTextChar"/>
    <w:rsid w:val="00E37E25"/>
    <w:pPr>
      <w:pBdr>
        <w:bottom w:val="single" w:sz="2" w:space="5" w:color="auto"/>
      </w:pBdr>
      <w:tabs>
        <w:tab w:val="clear" w:pos="4535"/>
        <w:tab w:val="clear" w:pos="9071"/>
        <w:tab w:val="center" w:pos="4680"/>
        <w:tab w:val="right" w:pos="9360"/>
      </w:tabs>
      <w:spacing w:after="270" w:line="270" w:lineRule="atLeast"/>
      <w:jc w:val="left"/>
    </w:pPr>
    <w:rPr>
      <w:rFonts w:ascii="Corbel" w:eastAsia="Times New Roman" w:hAnsi="Corbel"/>
      <w:b/>
      <w:color w:val="1F1E1D"/>
      <w:sz w:val="16"/>
      <w:szCs w:val="14"/>
      <w:lang w:eastAsia="lt-LT"/>
    </w:rPr>
  </w:style>
  <w:style w:type="character" w:customStyle="1" w:styleId="HeaderTextChar">
    <w:name w:val="Header Text Char"/>
    <w:link w:val="HeaderText"/>
    <w:rsid w:val="00E37E25"/>
    <w:rPr>
      <w:rFonts w:ascii="Corbel" w:eastAsia="Times New Roman" w:hAnsi="Corbel" w:cs="Times New Roman"/>
      <w:b/>
      <w:color w:val="1F1E1D"/>
      <w:sz w:val="16"/>
      <w:szCs w:val="14"/>
      <w:lang w:eastAsia="lt-LT"/>
    </w:rPr>
  </w:style>
  <w:style w:type="table" w:customStyle="1" w:styleId="GridTable3-Accent61">
    <w:name w:val="Grid Table 3 - Accent 61"/>
    <w:basedOn w:val="TableNormal"/>
    <w:uiPriority w:val="48"/>
    <w:rsid w:val="00E37E25"/>
    <w:pPr>
      <w:spacing w:after="0" w:line="240" w:lineRule="auto"/>
    </w:pPr>
    <w:rPr>
      <w:rFonts w:ascii="Corbel" w:eastAsia="Corbel" w:hAnsi="Corbel" w:cs="Times New Roman"/>
      <w:sz w:val="20"/>
      <w:szCs w:val="20"/>
      <w:lang w:eastAsia="en-GB"/>
    </w:rPr>
    <w:tblPr>
      <w:tblStyleRowBandSize w:val="1"/>
      <w:tblStyleColBandSize w:val="1"/>
      <w:tblBorders>
        <w:top w:val="single" w:sz="4" w:space="0" w:color="FEEC9F"/>
        <w:left w:val="single" w:sz="4" w:space="0" w:color="FEEC9F"/>
        <w:bottom w:val="single" w:sz="4" w:space="0" w:color="FEEC9F"/>
        <w:right w:val="single" w:sz="4" w:space="0" w:color="FEEC9F"/>
        <w:insideH w:val="single" w:sz="4" w:space="0" w:color="FEEC9F"/>
        <w:insideV w:val="single" w:sz="4" w:space="0" w:color="FEEC9F"/>
      </w:tblBorders>
    </w:tblPr>
    <w:tblStylePr w:type="firstRow">
      <w:rPr>
        <w:b/>
        <w:bCs/>
      </w:rPr>
      <w:tblPr/>
      <w:tcPr>
        <w:tcBorders>
          <w:top w:val="nil"/>
          <w:left w:val="nil"/>
          <w:right w:val="nil"/>
          <w:insideH w:val="nil"/>
          <w:insideV w:val="nil"/>
        </w:tcBorders>
        <w:shd w:val="clear" w:color="auto" w:fill="FFFFFF"/>
      </w:tcPr>
    </w:tblStylePr>
    <w:tblStylePr w:type="lastRow">
      <w:rPr>
        <w:b/>
        <w:bCs/>
      </w:rPr>
      <w:tblPr/>
      <w:tcPr>
        <w:tcBorders>
          <w:left w:val="nil"/>
          <w:bottom w:val="nil"/>
          <w:right w:val="nil"/>
          <w:insideH w:val="nil"/>
          <w:insideV w:val="nil"/>
        </w:tcBorders>
        <w:shd w:val="clear" w:color="auto" w:fill="FFFFFF"/>
      </w:tcPr>
    </w:tblStylePr>
    <w:tblStylePr w:type="firstCol">
      <w:pPr>
        <w:jc w:val="right"/>
      </w:pPr>
      <w:rPr>
        <w:i/>
        <w:iCs/>
      </w:rPr>
      <w:tblPr/>
      <w:tcPr>
        <w:tcBorders>
          <w:top w:val="nil"/>
          <w:left w:val="nil"/>
          <w:bottom w:val="nil"/>
          <w:insideH w:val="nil"/>
          <w:insideV w:val="nil"/>
        </w:tcBorders>
        <w:shd w:val="clear" w:color="auto" w:fill="FFFFFF"/>
      </w:tcPr>
    </w:tblStylePr>
    <w:tblStylePr w:type="lastCol">
      <w:rPr>
        <w:i/>
        <w:iCs/>
      </w:rPr>
      <w:tblPr/>
      <w:tcPr>
        <w:tcBorders>
          <w:top w:val="nil"/>
          <w:bottom w:val="nil"/>
          <w:right w:val="nil"/>
          <w:insideH w:val="nil"/>
          <w:insideV w:val="nil"/>
        </w:tcBorders>
        <w:shd w:val="clear" w:color="auto" w:fill="FFFFFF"/>
      </w:tcPr>
    </w:tblStylePr>
    <w:tblStylePr w:type="band1Vert">
      <w:tblPr/>
      <w:tcPr>
        <w:shd w:val="clear" w:color="auto" w:fill="FEF8DF"/>
      </w:tcPr>
    </w:tblStylePr>
    <w:tblStylePr w:type="band1Horz">
      <w:tblPr/>
      <w:tcPr>
        <w:shd w:val="clear" w:color="auto" w:fill="FEF8DF"/>
      </w:tcPr>
    </w:tblStylePr>
    <w:tblStylePr w:type="neCell">
      <w:tblPr/>
      <w:tcPr>
        <w:tcBorders>
          <w:bottom w:val="single" w:sz="4" w:space="0" w:color="FEEC9F"/>
        </w:tcBorders>
      </w:tcPr>
    </w:tblStylePr>
    <w:tblStylePr w:type="nwCell">
      <w:tblPr/>
      <w:tcPr>
        <w:tcBorders>
          <w:bottom w:val="single" w:sz="4" w:space="0" w:color="FEEC9F"/>
        </w:tcBorders>
      </w:tcPr>
    </w:tblStylePr>
    <w:tblStylePr w:type="seCell">
      <w:tblPr/>
      <w:tcPr>
        <w:tcBorders>
          <w:top w:val="single" w:sz="4" w:space="0" w:color="FEEC9F"/>
        </w:tcBorders>
      </w:tcPr>
    </w:tblStylePr>
    <w:tblStylePr w:type="swCell">
      <w:tblPr/>
      <w:tcPr>
        <w:tcBorders>
          <w:top w:val="single" w:sz="4" w:space="0" w:color="FEEC9F"/>
        </w:tcBorders>
      </w:tcPr>
    </w:tblStylePr>
  </w:style>
  <w:style w:type="table" w:customStyle="1" w:styleId="ListTable1Light1">
    <w:name w:val="List Table 1 Light1"/>
    <w:basedOn w:val="TableNormal"/>
    <w:uiPriority w:val="46"/>
    <w:rsid w:val="00E37E25"/>
    <w:pPr>
      <w:spacing w:after="0" w:line="240" w:lineRule="auto"/>
    </w:pPr>
    <w:rPr>
      <w:rFonts w:ascii="Corbel" w:eastAsia="Corbel" w:hAnsi="Corbel" w:cs="Times New Roman"/>
      <w:sz w:val="20"/>
      <w:szCs w:val="20"/>
      <w:lang w:eastAsia="en-GB"/>
    </w:rPr>
    <w:tblPr>
      <w:tblStyleRowBandSize w:val="1"/>
      <w:tblStyleColBandSize w:val="1"/>
    </w:tblPr>
    <w:tblStylePr w:type="firstRow">
      <w:rPr>
        <w:b/>
        <w:bCs/>
      </w:rPr>
      <w:tblPr/>
      <w:tcPr>
        <w:tcBorders>
          <w:bottom w:val="single" w:sz="4" w:space="0" w:color="7C7774"/>
        </w:tcBorders>
      </w:tcPr>
    </w:tblStylePr>
    <w:tblStylePr w:type="lastRow">
      <w:rPr>
        <w:b/>
        <w:bCs/>
      </w:rPr>
      <w:tblPr/>
      <w:tcPr>
        <w:tcBorders>
          <w:top w:val="single" w:sz="4" w:space="0" w:color="7C7774"/>
        </w:tcBorders>
      </w:tcPr>
    </w:tblStylePr>
    <w:tblStylePr w:type="firstCol">
      <w:rPr>
        <w:b/>
        <w:bCs/>
      </w:rPr>
    </w:tblStylePr>
    <w:tblStylePr w:type="lastCol">
      <w:rPr>
        <w:b/>
        <w:bCs/>
      </w:rPr>
    </w:tblStylePr>
    <w:tblStylePr w:type="band1Vert">
      <w:tblPr/>
      <w:tcPr>
        <w:shd w:val="clear" w:color="auto" w:fill="D3D1D0"/>
      </w:tcPr>
    </w:tblStylePr>
    <w:tblStylePr w:type="band1Horz">
      <w:tblPr/>
      <w:tcPr>
        <w:shd w:val="clear" w:color="auto" w:fill="D3D1D0"/>
      </w:tcPr>
    </w:tblStylePr>
  </w:style>
  <w:style w:type="table" w:customStyle="1" w:styleId="ListTable7Colorful1">
    <w:name w:val="List Table 7 Colorful1"/>
    <w:basedOn w:val="TableNormal"/>
    <w:uiPriority w:val="52"/>
    <w:rsid w:val="00E37E25"/>
    <w:pPr>
      <w:spacing w:after="0" w:line="240" w:lineRule="auto"/>
    </w:pPr>
    <w:rPr>
      <w:rFonts w:ascii="Corbel" w:eastAsia="Corbel" w:hAnsi="Corbel" w:cs="Times New Roman"/>
      <w:color w:val="1F1E1D"/>
      <w:sz w:val="16"/>
      <w:szCs w:val="20"/>
      <w:lang w:eastAsia="en-GB"/>
    </w:rPr>
    <w:tblPr>
      <w:tblStyleRowBandSize w:val="1"/>
      <w:tblStyleColBandSize w:val="1"/>
    </w:tblPr>
    <w:tcPr>
      <w:shd w:val="clear" w:color="auto" w:fill="auto"/>
    </w:tcPr>
    <w:tblStylePr w:type="firstRow">
      <w:pPr>
        <w:wordWrap/>
        <w:spacing w:beforeLines="0" w:before="40" w:beforeAutospacing="0" w:afterLines="0" w:after="80" w:afterAutospacing="0" w:line="190" w:lineRule="exact"/>
      </w:pPr>
      <w:rPr>
        <w:rFonts w:ascii="Palatino" w:hAnsi="Palatino" w:cs="Times New Roman"/>
        <w:b/>
        <w:i w:val="0"/>
        <w:iCs/>
        <w:caps/>
        <w:smallCaps w:val="0"/>
        <w:strike w:val="0"/>
        <w:dstrike w:val="0"/>
        <w:vanish w:val="0"/>
        <w:color w:val="353332"/>
        <w:sz w:val="16"/>
        <w:vertAlign w:val="baseline"/>
      </w:rPr>
      <w:tblPr/>
      <w:tcPr>
        <w:tcBorders>
          <w:bottom w:val="single" w:sz="4" w:space="0" w:color="FCB342"/>
        </w:tcBorders>
        <w:shd w:val="clear" w:color="auto" w:fill="auto"/>
      </w:tcPr>
    </w:tblStylePr>
    <w:tblStylePr w:type="lastRow">
      <w:pPr>
        <w:wordWrap/>
        <w:spacing w:beforeLines="0" w:before="40" w:beforeAutospacing="0" w:afterLines="0" w:after="80" w:afterAutospacing="0" w:line="190" w:lineRule="exact"/>
      </w:pPr>
      <w:rPr>
        <w:rFonts w:ascii="Palatino" w:hAnsi="Palatino" w:cs="Times New Roman"/>
        <w:b w:val="0"/>
        <w:i w:val="0"/>
        <w:iCs/>
        <w:color w:val="353332"/>
        <w:sz w:val="16"/>
      </w:rPr>
    </w:tblStylePr>
    <w:tblStylePr w:type="firstCol">
      <w:pPr>
        <w:wordWrap/>
        <w:spacing w:beforeLines="0" w:before="40" w:beforeAutospacing="0" w:afterLines="0" w:after="80" w:afterAutospacing="0" w:line="190" w:lineRule="atLeast"/>
        <w:jc w:val="right"/>
      </w:pPr>
      <w:rPr>
        <w:rFonts w:ascii="Palatino" w:hAnsi="Palatino" w:cs="Times New Roman"/>
        <w:b/>
        <w:i w:val="0"/>
        <w:iCs/>
        <w:caps w:val="0"/>
        <w:smallCaps w:val="0"/>
        <w:strike w:val="0"/>
        <w:dstrike w:val="0"/>
        <w:vanish w:val="0"/>
        <w:color w:val="353332"/>
        <w:sz w:val="16"/>
        <w:vertAlign w:val="baseline"/>
      </w:rPr>
      <w:tblPr/>
      <w:tcPr>
        <w:tcBorders>
          <w:top w:val="nil"/>
          <w:left w:val="nil"/>
          <w:bottom w:val="nil"/>
          <w:right w:val="nil"/>
          <w:insideH w:val="nil"/>
          <w:insideV w:val="nil"/>
          <w:tl2br w:val="nil"/>
          <w:tr2bl w:val="nil"/>
        </w:tcBorders>
        <w:shd w:val="clear" w:color="auto" w:fill="F2F2F2"/>
      </w:tcPr>
    </w:tblStylePr>
    <w:tblStylePr w:type="lastCol">
      <w:pPr>
        <w:wordWrap/>
        <w:spacing w:beforeLines="0" w:before="40" w:beforeAutospacing="0" w:afterLines="0" w:after="80" w:afterAutospacing="0" w:line="190" w:lineRule="exact"/>
      </w:pPr>
      <w:rPr>
        <w:rFonts w:ascii="Palatino" w:eastAsia="Times New Roman" w:hAnsi="Palatino" w:cs="Times New Roman"/>
        <w:i w:val="0"/>
        <w:iCs/>
        <w:sz w:val="16"/>
      </w:rPr>
      <w:tblPr/>
      <w:tcPr>
        <w:tcBorders>
          <w:left w:val="single" w:sz="4" w:space="0" w:color="1F1E1D"/>
        </w:tcBorders>
        <w:shd w:val="clear" w:color="auto" w:fill="FFFFFF"/>
      </w:tcPr>
    </w:tblStylePr>
    <w:tblStylePr w:type="band1Vert">
      <w:pPr>
        <w:wordWrap/>
        <w:spacing w:beforeLines="0" w:before="40" w:beforeAutospacing="0" w:afterLines="0" w:after="80" w:afterAutospacing="0" w:line="190" w:lineRule="exact"/>
      </w:pPr>
      <w:rPr>
        <w:rFonts w:ascii="Palatino" w:hAnsi="Palatino"/>
        <w:sz w:val="16"/>
      </w:rPr>
      <w:tblPr/>
      <w:tcPr>
        <w:tcBorders>
          <w:top w:val="nil"/>
          <w:bottom w:val="nil"/>
        </w:tcBorders>
        <w:shd w:val="clear" w:color="auto" w:fill="auto"/>
      </w:tcPr>
    </w:tblStylePr>
    <w:tblStylePr w:type="band2Vert">
      <w:pPr>
        <w:wordWrap/>
        <w:spacing w:beforeLines="0" w:before="40" w:beforeAutospacing="0" w:afterLines="0" w:after="80" w:afterAutospacing="0" w:line="190" w:lineRule="exact"/>
      </w:pPr>
      <w:rPr>
        <w:rFonts w:ascii="Palatino" w:hAnsi="Palatino"/>
        <w:sz w:val="16"/>
      </w:rPr>
      <w:tblPr/>
      <w:tcPr>
        <w:tcBorders>
          <w:top w:val="nil"/>
          <w:bottom w:val="nil"/>
        </w:tcBorders>
        <w:shd w:val="clear" w:color="auto" w:fill="auto"/>
      </w:tcPr>
    </w:tblStylePr>
    <w:tblStylePr w:type="band1Horz">
      <w:pPr>
        <w:wordWrap/>
        <w:spacing w:beforeLines="0" w:before="40" w:beforeAutospacing="0" w:afterLines="0" w:after="80" w:afterAutospacing="0" w:line="190" w:lineRule="exact"/>
      </w:pPr>
      <w:rPr>
        <w:rFonts w:ascii="Palatino" w:hAnsi="Palatino"/>
        <w:color w:val="353332"/>
        <w:sz w:val="16"/>
      </w:rPr>
      <w:tblPr/>
      <w:tcPr>
        <w:tcBorders>
          <w:bottom w:val="single" w:sz="4" w:space="0" w:color="918D8A"/>
        </w:tcBorders>
        <w:shd w:val="clear" w:color="auto" w:fill="auto"/>
      </w:tcPr>
    </w:tblStylePr>
    <w:tblStylePr w:type="band2Horz">
      <w:pPr>
        <w:wordWrap/>
        <w:spacing w:beforeLines="0" w:before="40" w:beforeAutospacing="0" w:afterLines="0" w:after="80" w:afterAutospacing="0" w:line="190" w:lineRule="exact"/>
      </w:pPr>
      <w:rPr>
        <w:rFonts w:ascii="Palatino" w:hAnsi="Palatino"/>
        <w:sz w:val="16"/>
      </w:rPr>
      <w:tblPr/>
      <w:tcPr>
        <w:tcBorders>
          <w:bottom w:val="single" w:sz="4" w:space="0" w:color="918D8A"/>
        </w:tcBorders>
        <w:shd w:val="clear" w:color="auto" w:fill="auto"/>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rPr>
        <w:rFonts w:ascii="Palatino" w:hAnsi="Palatino"/>
        <w:sz w:val="16"/>
      </w:rPr>
      <w:tblPr/>
      <w:tcPr>
        <w:tcBorders>
          <w:right w:val="nil"/>
        </w:tcBorders>
      </w:tcPr>
    </w:tblStylePr>
  </w:style>
  <w:style w:type="table" w:customStyle="1" w:styleId="ListTable7Colorful-Accent51">
    <w:name w:val="List Table 7 Colorful - Accent 51"/>
    <w:basedOn w:val="TableNormal"/>
    <w:uiPriority w:val="52"/>
    <w:rsid w:val="00E37E25"/>
    <w:pPr>
      <w:spacing w:after="0" w:line="240" w:lineRule="auto"/>
    </w:pPr>
    <w:rPr>
      <w:rFonts w:ascii="Corbel" w:eastAsia="Corbel" w:hAnsi="Corbel" w:cs="Times New Roman"/>
      <w:color w:val="EA8E03"/>
      <w:sz w:val="20"/>
      <w:szCs w:val="20"/>
      <w:lang w:eastAsia="en-GB"/>
    </w:rPr>
    <w:tblPr>
      <w:tblStyleRowBandSize w:val="1"/>
      <w:tblStyleColBandSize w:val="1"/>
    </w:tblPr>
    <w:tblStylePr w:type="firstRow">
      <w:rPr>
        <w:rFonts w:ascii="Palatino" w:eastAsia="Times New Roman" w:hAnsi="Palatino" w:cs="Times New Roman"/>
        <w:i/>
        <w:iCs/>
        <w:sz w:val="26"/>
      </w:rPr>
      <w:tblPr/>
      <w:tcPr>
        <w:tcBorders>
          <w:bottom w:val="single" w:sz="4" w:space="0" w:color="FCB342"/>
        </w:tcBorders>
        <w:shd w:val="clear" w:color="auto" w:fill="FFFFFF"/>
      </w:tcPr>
    </w:tblStylePr>
    <w:tblStylePr w:type="lastRow">
      <w:rPr>
        <w:rFonts w:ascii="Palatino" w:eastAsia="Times New Roman" w:hAnsi="Palatino" w:cs="Times New Roman"/>
        <w:i/>
        <w:iCs/>
        <w:sz w:val="26"/>
      </w:rPr>
      <w:tblPr/>
      <w:tcPr>
        <w:tcBorders>
          <w:top w:val="single" w:sz="4" w:space="0" w:color="FCB342"/>
        </w:tcBorders>
        <w:shd w:val="clear" w:color="auto" w:fill="FFFFFF"/>
      </w:tcPr>
    </w:tblStylePr>
    <w:tblStylePr w:type="firstCol">
      <w:pPr>
        <w:jc w:val="right"/>
      </w:pPr>
      <w:rPr>
        <w:rFonts w:ascii="Palatino" w:eastAsia="Times New Roman" w:hAnsi="Palatino" w:cs="Times New Roman"/>
        <w:i/>
        <w:iCs/>
        <w:sz w:val="26"/>
      </w:rPr>
      <w:tblPr/>
      <w:tcPr>
        <w:tcBorders>
          <w:right w:val="single" w:sz="4" w:space="0" w:color="FCB342"/>
        </w:tcBorders>
        <w:shd w:val="clear" w:color="auto" w:fill="FFFFFF"/>
      </w:tcPr>
    </w:tblStylePr>
    <w:tblStylePr w:type="lastCol">
      <w:rPr>
        <w:rFonts w:ascii="Palatino" w:eastAsia="Times New Roman" w:hAnsi="Palatino" w:cs="Times New Roman"/>
        <w:i/>
        <w:iCs/>
        <w:sz w:val="26"/>
      </w:rPr>
      <w:tblPr/>
      <w:tcPr>
        <w:tcBorders>
          <w:left w:val="single" w:sz="4" w:space="0" w:color="FCB342"/>
        </w:tcBorders>
        <w:shd w:val="clear" w:color="auto" w:fill="FFFFFF"/>
      </w:tcPr>
    </w:tblStylePr>
    <w:tblStylePr w:type="band1Vert">
      <w:tblPr/>
      <w:tcPr>
        <w:shd w:val="clear" w:color="auto" w:fill="FEEFD8"/>
      </w:tcPr>
    </w:tblStylePr>
    <w:tblStylePr w:type="band1Horz">
      <w:tblPr/>
      <w:tcPr>
        <w:shd w:val="clear" w:color="auto" w:fill="FEEFD8"/>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ListTable7Colorful-Accent11">
    <w:name w:val="List Table 7 Colorful - Accent 11"/>
    <w:basedOn w:val="TableNormal"/>
    <w:uiPriority w:val="52"/>
    <w:rsid w:val="00E37E25"/>
    <w:pPr>
      <w:spacing w:after="0" w:line="240" w:lineRule="auto"/>
    </w:pPr>
    <w:rPr>
      <w:rFonts w:ascii="Corbel" w:eastAsia="Corbel" w:hAnsi="Corbel" w:cs="Times New Roman"/>
      <w:color w:val="187587"/>
      <w:sz w:val="20"/>
      <w:szCs w:val="20"/>
      <w:lang w:eastAsia="en-GB"/>
    </w:rPr>
    <w:tblPr>
      <w:tblStyleRowBandSize w:val="1"/>
      <w:tblStyleColBandSize w:val="1"/>
    </w:tblPr>
    <w:tblStylePr w:type="firstRow">
      <w:rPr>
        <w:rFonts w:ascii="Palatino" w:eastAsia="Times New Roman" w:hAnsi="Palatino" w:cs="Times New Roman"/>
        <w:i/>
        <w:iCs/>
        <w:sz w:val="26"/>
      </w:rPr>
      <w:tblPr/>
      <w:tcPr>
        <w:tcBorders>
          <w:bottom w:val="single" w:sz="4" w:space="0" w:color="209EB5"/>
        </w:tcBorders>
        <w:shd w:val="clear" w:color="auto" w:fill="FFFFFF"/>
      </w:tcPr>
    </w:tblStylePr>
    <w:tblStylePr w:type="lastRow">
      <w:rPr>
        <w:rFonts w:ascii="Palatino" w:eastAsia="Times New Roman" w:hAnsi="Palatino" w:cs="Times New Roman"/>
        <w:i/>
        <w:iCs/>
        <w:sz w:val="26"/>
      </w:rPr>
      <w:tblPr/>
      <w:tcPr>
        <w:tcBorders>
          <w:top w:val="single" w:sz="4" w:space="0" w:color="209EB5"/>
        </w:tcBorders>
        <w:shd w:val="clear" w:color="auto" w:fill="FFFFFF"/>
      </w:tcPr>
    </w:tblStylePr>
    <w:tblStylePr w:type="firstCol">
      <w:pPr>
        <w:jc w:val="right"/>
      </w:pPr>
      <w:rPr>
        <w:rFonts w:ascii="Palatino" w:eastAsia="Times New Roman" w:hAnsi="Palatino" w:cs="Times New Roman"/>
        <w:i/>
        <w:iCs/>
        <w:sz w:val="26"/>
      </w:rPr>
      <w:tblPr/>
      <w:tcPr>
        <w:tcBorders>
          <w:right w:val="single" w:sz="4" w:space="0" w:color="209EB5"/>
        </w:tcBorders>
        <w:shd w:val="clear" w:color="auto" w:fill="FFFFFF"/>
      </w:tcPr>
    </w:tblStylePr>
    <w:tblStylePr w:type="lastCol">
      <w:rPr>
        <w:rFonts w:ascii="Palatino" w:eastAsia="Times New Roman" w:hAnsi="Palatino" w:cs="Times New Roman"/>
        <w:i/>
        <w:iCs/>
        <w:sz w:val="26"/>
      </w:rPr>
      <w:tblPr/>
      <w:tcPr>
        <w:tcBorders>
          <w:left w:val="single" w:sz="4" w:space="0" w:color="209EB5"/>
        </w:tcBorders>
        <w:shd w:val="clear" w:color="auto" w:fill="FFFFFF"/>
      </w:tcPr>
    </w:tblStylePr>
    <w:tblStylePr w:type="band1Vert">
      <w:tblPr/>
      <w:tcPr>
        <w:shd w:val="clear" w:color="auto" w:fill="CCEFF6"/>
      </w:tcPr>
    </w:tblStylePr>
    <w:tblStylePr w:type="band1Horz">
      <w:tblPr/>
      <w:tcPr>
        <w:shd w:val="clear" w:color="auto" w:fill="CCEFF6"/>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PlainTable31">
    <w:name w:val="Plain Table 31"/>
    <w:basedOn w:val="TableNormal"/>
    <w:uiPriority w:val="43"/>
    <w:rsid w:val="00E37E25"/>
    <w:pPr>
      <w:spacing w:after="0" w:line="240" w:lineRule="auto"/>
    </w:pPr>
    <w:rPr>
      <w:rFonts w:ascii="Corbel" w:eastAsia="Corbel" w:hAnsi="Corbel" w:cs="Times New Roman"/>
      <w:sz w:val="20"/>
      <w:szCs w:val="20"/>
      <w:lang w:eastAsia="en-GB"/>
    </w:rPr>
    <w:tblPr>
      <w:tblStyleRowBandSize w:val="1"/>
      <w:tblStyleColBandSize w:val="1"/>
    </w:tblPr>
    <w:tcPr>
      <w:shd w:val="clear" w:color="auto" w:fill="auto"/>
    </w:tcPr>
    <w:tblStylePr w:type="firstRow">
      <w:rPr>
        <w:b/>
        <w:bCs/>
        <w:caps/>
      </w:rPr>
      <w:tblPr/>
      <w:tcPr>
        <w:tcBorders>
          <w:bottom w:val="single" w:sz="4" w:space="0" w:color="FCB342"/>
        </w:tcBorders>
        <w:shd w:val="clear" w:color="auto" w:fill="auto"/>
      </w:tcPr>
    </w:tblStylePr>
    <w:tblStylePr w:type="lastRow">
      <w:rPr>
        <w:rFonts w:ascii="Palatino" w:hAnsi="Palatino"/>
        <w:b/>
        <w:bCs/>
        <w:caps/>
        <w:color w:val="353332"/>
        <w:sz w:val="16"/>
      </w:rPr>
      <w:tblPr/>
      <w:tcPr>
        <w:tcBorders>
          <w:top w:val="nil"/>
          <w:bottom w:val="nil"/>
        </w:tcBorders>
        <w:shd w:val="clear" w:color="auto" w:fill="auto"/>
      </w:tcPr>
    </w:tblStylePr>
    <w:tblStylePr w:type="firstCol">
      <w:rPr>
        <w:rFonts w:ascii="Palatino" w:hAnsi="Palatino"/>
        <w:b/>
        <w:bCs/>
        <w:i w:val="0"/>
        <w:caps w:val="0"/>
        <w:sz w:val="16"/>
      </w:rPr>
      <w:tblPr/>
      <w:tcPr>
        <w:tcBorders>
          <w:top w:val="nil"/>
          <w:left w:val="nil"/>
          <w:bottom w:val="nil"/>
          <w:right w:val="nil"/>
          <w:insideH w:val="nil"/>
          <w:insideV w:val="nil"/>
          <w:tl2br w:val="nil"/>
          <w:tr2bl w:val="nil"/>
        </w:tcBorders>
        <w:shd w:val="clear" w:color="auto" w:fill="F2F2F2"/>
      </w:tcPr>
    </w:tblStylePr>
    <w:tblStylePr w:type="lastCol">
      <w:rPr>
        <w:b/>
        <w:bCs/>
        <w:caps/>
      </w:rPr>
    </w:tblStylePr>
    <w:tblStylePr w:type="band1Horz">
      <w:tblPr/>
      <w:tcPr>
        <w:tcBorders>
          <w:top w:val="nil"/>
          <w:left w:val="nil"/>
          <w:bottom w:val="single" w:sz="4" w:space="0" w:color="C8C6C4"/>
          <w:right w:val="nil"/>
          <w:insideH w:val="nil"/>
          <w:insideV w:val="nil"/>
          <w:tl2br w:val="nil"/>
          <w:tr2bl w:val="nil"/>
        </w:tcBorders>
        <w:shd w:val="clear" w:color="auto" w:fill="auto"/>
      </w:tcPr>
    </w:tblStylePr>
    <w:tblStylePr w:type="band2Horz">
      <w:tblPr/>
      <w:tcPr>
        <w:tcBorders>
          <w:top w:val="nil"/>
          <w:left w:val="nil"/>
          <w:bottom w:val="single" w:sz="4" w:space="0" w:color="C8C6C4"/>
          <w:right w:val="nil"/>
          <w:insideH w:val="nil"/>
          <w:insideV w:val="nil"/>
          <w:tl2br w:val="nil"/>
          <w:tr2bl w:val="nil"/>
        </w:tcBorders>
        <w:shd w:val="clear" w:color="auto" w:fill="auto"/>
      </w:tcPr>
    </w:tblStylePr>
    <w:tblStylePr w:type="neCell">
      <w:tblPr/>
      <w:tcPr>
        <w:tcBorders>
          <w:left w:val="nil"/>
        </w:tcBorders>
      </w:tcPr>
    </w:tblStylePr>
    <w:tblStylePr w:type="nwCell">
      <w:tblPr/>
      <w:tcPr>
        <w:tcBorders>
          <w:right w:val="nil"/>
        </w:tcBorders>
      </w:tcPr>
    </w:tblStylePr>
  </w:style>
  <w:style w:type="table" w:customStyle="1" w:styleId="PlainTable21">
    <w:name w:val="Plain Table 21"/>
    <w:basedOn w:val="TableNormal"/>
    <w:uiPriority w:val="42"/>
    <w:rsid w:val="00E37E25"/>
    <w:pPr>
      <w:spacing w:after="0" w:line="240" w:lineRule="auto"/>
    </w:pPr>
    <w:rPr>
      <w:rFonts w:ascii="Corbel" w:eastAsia="Corbel" w:hAnsi="Corbel" w:cs="Times New Roman"/>
      <w:color w:val="353332"/>
      <w:sz w:val="16"/>
      <w:szCs w:val="20"/>
      <w:lang w:eastAsia="en-GB"/>
    </w:rPr>
    <w:tblPr>
      <w:tblStyleRowBandSize w:val="1"/>
      <w:tblStyleColBandSize w:val="1"/>
      <w:tblBorders>
        <w:top w:val="single" w:sz="4" w:space="0" w:color="918D8A"/>
        <w:bottom w:val="single" w:sz="4" w:space="0" w:color="918D8A"/>
      </w:tblBorders>
    </w:tblPr>
    <w:tblStylePr w:type="firstRow">
      <w:rPr>
        <w:rFonts w:ascii="Palatino" w:hAnsi="Palatino"/>
        <w:b/>
        <w:bCs/>
        <w:caps/>
        <w:smallCaps w:val="0"/>
        <w:strike w:val="0"/>
        <w:dstrike w:val="0"/>
        <w:vanish w:val="0"/>
        <w:sz w:val="16"/>
        <w:vertAlign w:val="baseline"/>
      </w:rPr>
      <w:tblPr/>
      <w:tcPr>
        <w:tcBorders>
          <w:top w:val="single" w:sz="4" w:space="0" w:color="FCB342"/>
          <w:left w:val="nil"/>
          <w:bottom w:val="single" w:sz="4" w:space="0" w:color="FCB342"/>
          <w:right w:val="nil"/>
        </w:tcBorders>
      </w:tcPr>
    </w:tblStylePr>
    <w:tblStylePr w:type="lastRow">
      <w:rPr>
        <w:b/>
        <w:bCs/>
      </w:rPr>
      <w:tblPr/>
      <w:tcPr>
        <w:tcBorders>
          <w:top w:val="single" w:sz="4" w:space="0" w:color="918D8A"/>
        </w:tcBorders>
      </w:tcPr>
    </w:tblStylePr>
    <w:tblStylePr w:type="firstCol">
      <w:rPr>
        <w:b/>
        <w:bCs/>
      </w:rPr>
    </w:tblStylePr>
    <w:tblStylePr w:type="lastCol">
      <w:rPr>
        <w:b/>
        <w:bCs/>
      </w:rPr>
    </w:tblStylePr>
    <w:tblStylePr w:type="band1Vert">
      <w:tblPr/>
      <w:tcPr>
        <w:tcBorders>
          <w:left w:val="single" w:sz="4" w:space="0" w:color="918D8A"/>
          <w:bottom w:val="single" w:sz="4" w:space="0" w:color="C8C6C4"/>
          <w:right w:val="single" w:sz="4" w:space="0" w:color="918D8A"/>
        </w:tcBorders>
      </w:tcPr>
    </w:tblStylePr>
    <w:tblStylePr w:type="band2Vert">
      <w:tblPr/>
      <w:tcPr>
        <w:tcBorders>
          <w:top w:val="nil"/>
          <w:left w:val="single" w:sz="2" w:space="0" w:color="C8C6C4"/>
          <w:bottom w:val="single" w:sz="4" w:space="0" w:color="C8C6C4"/>
          <w:right w:val="single" w:sz="2" w:space="0" w:color="C8C6C4"/>
        </w:tcBorders>
      </w:tcPr>
    </w:tblStylePr>
    <w:tblStylePr w:type="band1Horz">
      <w:tblPr/>
      <w:tcPr>
        <w:tcBorders>
          <w:top w:val="single" w:sz="4" w:space="0" w:color="C8C6C4"/>
          <w:bottom w:val="nil"/>
        </w:tcBorders>
      </w:tcPr>
    </w:tblStylePr>
    <w:tblStylePr w:type="band2Horz">
      <w:tblPr/>
      <w:tcPr>
        <w:tcBorders>
          <w:top w:val="single" w:sz="4" w:space="0" w:color="C8C6C4"/>
          <w:bottom w:val="nil"/>
        </w:tcBorders>
      </w:tcPr>
    </w:tblStylePr>
  </w:style>
  <w:style w:type="table" w:customStyle="1" w:styleId="PlainTable11">
    <w:name w:val="Plain Table 11"/>
    <w:basedOn w:val="TableNormal"/>
    <w:uiPriority w:val="41"/>
    <w:rsid w:val="00E37E25"/>
    <w:pPr>
      <w:spacing w:after="0" w:line="240" w:lineRule="auto"/>
    </w:pPr>
    <w:rPr>
      <w:rFonts w:ascii="Corbel" w:eastAsia="Corbel" w:hAnsi="Corbel" w:cs="Times New Roman"/>
      <w:sz w:val="20"/>
      <w:szCs w:val="20"/>
      <w:lang w:eastAsia="en-GB"/>
    </w:rPr>
    <w:tblPr>
      <w:tblStyleRowBandSize w:val="1"/>
      <w:tblStyleColBandSize w:val="1"/>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tblStylePr w:type="firstRow">
      <w:rPr>
        <w:rFonts w:ascii="Palatino" w:hAnsi="Palatino"/>
        <w:b/>
        <w:bCs/>
        <w:i w:val="0"/>
        <w:caps/>
        <w:smallCaps w:val="0"/>
        <w:strike w:val="0"/>
        <w:dstrike w:val="0"/>
        <w:vanish w:val="0"/>
        <w:sz w:val="16"/>
        <w:vertAlign w:val="baseline"/>
      </w:rPr>
    </w:tblStylePr>
    <w:tblStylePr w:type="lastRow">
      <w:rPr>
        <w:b/>
        <w:bCs/>
      </w:rPr>
      <w:tblPr/>
      <w:tcPr>
        <w:tcBorders>
          <w:top w:val="double" w:sz="4" w:space="0" w:color="BFBFBF"/>
        </w:tcBorders>
      </w:tcPr>
    </w:tblStylePr>
    <w:tblStylePr w:type="firstCol">
      <w:rPr>
        <w:b/>
        <w:bCs/>
      </w:rPr>
    </w:tblStylePr>
    <w:tblStylePr w:type="lastCol">
      <w:rPr>
        <w:b/>
        <w:bCs/>
      </w:rPr>
    </w:tblStylePr>
    <w:tblStylePr w:type="band1Vert">
      <w:tblPr/>
      <w:tcPr>
        <w:shd w:val="clear" w:color="auto" w:fill="F2F2F2"/>
      </w:tcPr>
    </w:tblStylePr>
    <w:tblStylePr w:type="band1Horz">
      <w:tblPr/>
      <w:tcPr>
        <w:shd w:val="clear" w:color="auto" w:fill="F2F2F2"/>
      </w:tcPr>
    </w:tblStylePr>
  </w:style>
  <w:style w:type="paragraph" w:styleId="PlainText">
    <w:name w:val="Plain Text"/>
    <w:basedOn w:val="Normal"/>
    <w:link w:val="PlainTextChar"/>
    <w:uiPriority w:val="99"/>
    <w:unhideWhenUsed/>
    <w:rsid w:val="00E37E25"/>
    <w:pPr>
      <w:spacing w:after="270"/>
    </w:pPr>
    <w:rPr>
      <w:rFonts w:ascii="Courier" w:eastAsia="Times New Roman" w:hAnsi="Courier"/>
      <w:color w:val="353332"/>
      <w:sz w:val="21"/>
      <w:szCs w:val="21"/>
      <w:lang w:eastAsia="en-GB"/>
    </w:rPr>
  </w:style>
  <w:style w:type="character" w:customStyle="1" w:styleId="PlainTextChar">
    <w:name w:val="Plain Text Char"/>
    <w:basedOn w:val="DefaultParagraphFont"/>
    <w:link w:val="PlainText"/>
    <w:uiPriority w:val="99"/>
    <w:rsid w:val="00E37E25"/>
    <w:rPr>
      <w:rFonts w:ascii="Courier" w:eastAsia="Times New Roman" w:hAnsi="Courier" w:cs="Times New Roman"/>
      <w:color w:val="353332"/>
      <w:sz w:val="21"/>
      <w:szCs w:val="21"/>
      <w:lang w:eastAsia="en-GB"/>
    </w:rPr>
  </w:style>
  <w:style w:type="paragraph" w:customStyle="1" w:styleId="HNAME">
    <w:name w:val="H: NAME"/>
    <w:basedOn w:val="NoSpacing"/>
    <w:rsid w:val="00E37E25"/>
    <w:pPr>
      <w:spacing w:before="160" w:after="240" w:line="270" w:lineRule="atLeast"/>
    </w:pPr>
    <w:rPr>
      <w:rFonts w:ascii="Corbel" w:eastAsia="Times New Roman" w:hAnsi="Corbel" w:cs="Times New Roman"/>
      <w:b/>
      <w:bCs/>
      <w:caps/>
      <w:color w:val="353332"/>
      <w:spacing w:val="2"/>
      <w:sz w:val="20"/>
      <w:szCs w:val="32"/>
      <w:lang w:eastAsia="lt-LT"/>
    </w:rPr>
  </w:style>
  <w:style w:type="paragraph" w:customStyle="1" w:styleId="HSUBTITLE">
    <w:name w:val="H: SUBTITLE"/>
    <w:basedOn w:val="NoSpacing"/>
    <w:rsid w:val="00E37E25"/>
    <w:pPr>
      <w:spacing w:before="160" w:after="240" w:line="270" w:lineRule="atLeast"/>
    </w:pPr>
    <w:rPr>
      <w:rFonts w:ascii="Corbel" w:eastAsia="Times New Roman" w:hAnsi="Corbel" w:cs="Times New Roman"/>
      <w:b/>
      <w:bCs/>
      <w:caps/>
      <w:color w:val="808080"/>
      <w:spacing w:val="2"/>
      <w:sz w:val="20"/>
      <w:szCs w:val="32"/>
      <w:lang w:eastAsia="lt-LT"/>
    </w:rPr>
  </w:style>
  <w:style w:type="paragraph" w:customStyle="1" w:styleId="BOXHEADING">
    <w:name w:val="BOX: HEADING"/>
    <w:next w:val="Normal"/>
    <w:qFormat/>
    <w:rsid w:val="003B5903"/>
    <w:pPr>
      <w:numPr>
        <w:numId w:val="11"/>
      </w:numPr>
      <w:pBdr>
        <w:bottom w:val="single" w:sz="2" w:space="5" w:color="FCB342"/>
      </w:pBdr>
      <w:spacing w:before="280" w:after="360" w:line="270" w:lineRule="atLeast"/>
    </w:pPr>
    <w:rPr>
      <w:rFonts w:ascii="Corbel" w:eastAsia="Times New Roman" w:hAnsi="Corbel" w:cs="Times New Roman"/>
      <w:b/>
      <w:bCs/>
      <w:caps/>
      <w:color w:val="353332"/>
      <w:sz w:val="20"/>
      <w:szCs w:val="20"/>
      <w:lang w:eastAsia="lt-LT"/>
    </w:rPr>
  </w:style>
  <w:style w:type="paragraph" w:styleId="TableofFigures">
    <w:name w:val="table of figures"/>
    <w:next w:val="Normal"/>
    <w:uiPriority w:val="99"/>
    <w:unhideWhenUsed/>
    <w:rsid w:val="00E37E25"/>
    <w:pPr>
      <w:spacing w:after="0" w:line="240" w:lineRule="auto"/>
    </w:pPr>
    <w:rPr>
      <w:rFonts w:ascii="Corbel" w:eastAsia="Times New Roman" w:hAnsi="Corbel" w:cs="Times New Roman"/>
      <w:bCs/>
      <w:noProof/>
      <w:color w:val="1F1E1D"/>
      <w:sz w:val="20"/>
      <w:lang w:eastAsia="en-GB"/>
    </w:rPr>
  </w:style>
  <w:style w:type="paragraph" w:customStyle="1" w:styleId="BasicParagraph">
    <w:name w:val="[Basic Paragraph]"/>
    <w:basedOn w:val="Normal"/>
    <w:uiPriority w:val="99"/>
    <w:rsid w:val="00E37E25"/>
    <w:pPr>
      <w:widowControl w:val="0"/>
      <w:autoSpaceDE w:val="0"/>
      <w:autoSpaceDN w:val="0"/>
      <w:adjustRightInd w:val="0"/>
      <w:spacing w:after="270" w:line="288" w:lineRule="auto"/>
      <w:jc w:val="left"/>
      <w:textAlignment w:val="center"/>
    </w:pPr>
    <w:rPr>
      <w:rFonts w:ascii="Palatino Linotype" w:eastAsia="Corbel" w:hAnsi="Palatino Linotype" w:cs="Times-Roman"/>
      <w:color w:val="000000"/>
      <w:sz w:val="20"/>
      <w:lang w:val="en-US"/>
    </w:rPr>
  </w:style>
  <w:style w:type="character" w:styleId="SubtleReference">
    <w:name w:val="Subtle Reference"/>
    <w:uiPriority w:val="31"/>
    <w:rsid w:val="00E37E25"/>
    <w:rPr>
      <w:color w:val="808080"/>
    </w:rPr>
  </w:style>
  <w:style w:type="paragraph" w:customStyle="1" w:styleId="Cover-subtitle">
    <w:name w:val="Cover- subtitle"/>
    <w:next w:val="Normal"/>
    <w:qFormat/>
    <w:rsid w:val="00E37E25"/>
    <w:pPr>
      <w:spacing w:line="250" w:lineRule="atLeast"/>
      <w:ind w:left="936" w:right="3402"/>
    </w:pPr>
    <w:rPr>
      <w:rFonts w:ascii="Corbel" w:eastAsia="Times New Roman" w:hAnsi="Corbel" w:cs="Times New Roman"/>
      <w:bCs/>
      <w:color w:val="808080"/>
      <w:sz w:val="20"/>
      <w:szCs w:val="32"/>
      <w:lang w:eastAsia="lt-LT"/>
    </w:rPr>
  </w:style>
  <w:style w:type="table" w:customStyle="1" w:styleId="PlainTable41">
    <w:name w:val="Plain Table 41"/>
    <w:basedOn w:val="TableNormal"/>
    <w:uiPriority w:val="44"/>
    <w:rsid w:val="00E37E25"/>
    <w:pPr>
      <w:spacing w:after="0" w:line="240" w:lineRule="auto"/>
    </w:pPr>
    <w:rPr>
      <w:rFonts w:ascii="Corbel" w:eastAsia="Corbel" w:hAnsi="Corbel" w:cs="Times New Roman"/>
      <w:sz w:val="16"/>
      <w:szCs w:val="20"/>
      <w:lang w:eastAsia="en-GB"/>
    </w:rPr>
    <w:tblPr>
      <w:tblStyleRowBandSize w:val="1"/>
      <w:tblStyleColBandSize w:val="1"/>
    </w:tblPr>
    <w:tblStylePr w:type="firstRow">
      <w:rPr>
        <w:rFonts w:ascii="Palatino" w:hAnsi="Palatino"/>
        <w:b/>
        <w:bCs/>
        <w:caps/>
        <w:smallCaps w:val="0"/>
        <w:strike w:val="0"/>
        <w:dstrike w:val="0"/>
        <w:vanish w:val="0"/>
        <w:sz w:val="16"/>
        <w:vertAlign w:val="baseline"/>
      </w:rPr>
    </w:tblStylePr>
    <w:tblStylePr w:type="lastRow">
      <w:rPr>
        <w:b/>
        <w:bCs/>
      </w:rPr>
    </w:tblStylePr>
    <w:tblStylePr w:type="firstCol">
      <w:rPr>
        <w:b/>
        <w:bCs/>
      </w:rPr>
    </w:tblStylePr>
    <w:tblStylePr w:type="lastCol">
      <w:rPr>
        <w:b/>
        <w:bCs/>
      </w:rPr>
    </w:tblStylePr>
    <w:tblStylePr w:type="band1Vert">
      <w:tblPr/>
      <w:tcPr>
        <w:shd w:val="clear" w:color="auto" w:fill="F2F2F2"/>
      </w:tcPr>
    </w:tblStylePr>
    <w:tblStylePr w:type="band1Horz">
      <w:tblPr/>
      <w:tcPr>
        <w:shd w:val="clear" w:color="auto" w:fill="F2F2F2"/>
      </w:tcPr>
    </w:tblStylePr>
  </w:style>
  <w:style w:type="table" w:customStyle="1" w:styleId="PlainTable51">
    <w:name w:val="Plain Table 51"/>
    <w:basedOn w:val="TableNormal"/>
    <w:uiPriority w:val="45"/>
    <w:rsid w:val="00E37E25"/>
    <w:pPr>
      <w:spacing w:after="0" w:line="240" w:lineRule="auto"/>
    </w:pPr>
    <w:rPr>
      <w:rFonts w:ascii="Corbel" w:eastAsia="Corbel" w:hAnsi="Corbel" w:cs="Times New Roman"/>
      <w:sz w:val="20"/>
      <w:szCs w:val="20"/>
      <w:lang w:eastAsia="en-GB"/>
    </w:rPr>
    <w:tblPr>
      <w:tblStyleRowBandSize w:val="1"/>
      <w:tblStyleColBandSize w:val="1"/>
    </w:tblPr>
    <w:tblStylePr w:type="firstRow">
      <w:rPr>
        <w:rFonts w:ascii="Palatino" w:eastAsia="Times New Roman" w:hAnsi="Palatino" w:cs="Times New Roman"/>
        <w:i/>
        <w:iCs/>
        <w:sz w:val="26"/>
      </w:rPr>
      <w:tblPr/>
      <w:tcPr>
        <w:tcBorders>
          <w:bottom w:val="single" w:sz="4" w:space="0" w:color="918D8A"/>
        </w:tcBorders>
        <w:shd w:val="clear" w:color="auto" w:fill="FFFFFF"/>
      </w:tcPr>
    </w:tblStylePr>
    <w:tblStylePr w:type="lastRow">
      <w:rPr>
        <w:rFonts w:ascii="Palatino" w:eastAsia="Times New Roman" w:hAnsi="Palatino" w:cs="Times New Roman"/>
        <w:i/>
        <w:iCs/>
        <w:sz w:val="26"/>
      </w:rPr>
      <w:tblPr/>
      <w:tcPr>
        <w:tcBorders>
          <w:top w:val="single" w:sz="4" w:space="0" w:color="918D8A"/>
        </w:tcBorders>
        <w:shd w:val="clear" w:color="auto" w:fill="FFFFFF"/>
      </w:tcPr>
    </w:tblStylePr>
    <w:tblStylePr w:type="firstCol">
      <w:pPr>
        <w:jc w:val="right"/>
      </w:pPr>
      <w:rPr>
        <w:rFonts w:ascii="Palatino" w:eastAsia="Times New Roman" w:hAnsi="Palatino" w:cs="Times New Roman"/>
        <w:i/>
        <w:iCs/>
        <w:sz w:val="26"/>
      </w:rPr>
      <w:tblPr/>
      <w:tcPr>
        <w:tcBorders>
          <w:right w:val="single" w:sz="4" w:space="0" w:color="918D8A"/>
        </w:tcBorders>
        <w:shd w:val="clear" w:color="auto" w:fill="FFFFFF"/>
      </w:tcPr>
    </w:tblStylePr>
    <w:tblStylePr w:type="lastCol">
      <w:rPr>
        <w:rFonts w:ascii="Palatino" w:eastAsia="Times New Roman" w:hAnsi="Palatino" w:cs="Times New Roman"/>
        <w:i/>
        <w:iCs/>
        <w:sz w:val="26"/>
      </w:rPr>
      <w:tblPr/>
      <w:tcPr>
        <w:tcBorders>
          <w:left w:val="single" w:sz="4" w:space="0" w:color="918D8A"/>
        </w:tcBorders>
        <w:shd w:val="clear" w:color="auto" w:fill="FFFFFF"/>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GridTable1Light1">
    <w:name w:val="Grid Table 1 Light1"/>
    <w:basedOn w:val="TableNormal"/>
    <w:uiPriority w:val="46"/>
    <w:rsid w:val="00E37E25"/>
    <w:pPr>
      <w:spacing w:after="0" w:line="240" w:lineRule="auto"/>
    </w:pPr>
    <w:rPr>
      <w:rFonts w:ascii="Corbel" w:eastAsia="Corbel" w:hAnsi="Corbel" w:cs="Times New Roman"/>
      <w:sz w:val="20"/>
      <w:szCs w:val="20"/>
      <w:lang w:eastAsia="en-GB"/>
    </w:rPr>
    <w:tblPr>
      <w:tblStyleRowBandSize w:val="1"/>
      <w:tblStyleColBandSize w:val="1"/>
      <w:tblBorders>
        <w:top w:val="single" w:sz="4" w:space="0" w:color="A8A4A2"/>
        <w:left w:val="single" w:sz="4" w:space="0" w:color="A8A4A2"/>
        <w:bottom w:val="single" w:sz="4" w:space="0" w:color="A8A4A2"/>
        <w:right w:val="single" w:sz="4" w:space="0" w:color="A8A4A2"/>
        <w:insideH w:val="single" w:sz="4" w:space="0" w:color="A8A4A2"/>
        <w:insideV w:val="single" w:sz="4" w:space="0" w:color="A8A4A2"/>
      </w:tblBorders>
    </w:tblPr>
    <w:tblStylePr w:type="firstRow">
      <w:rPr>
        <w:b/>
        <w:bCs/>
      </w:rPr>
      <w:tblPr/>
      <w:tcPr>
        <w:tcBorders>
          <w:bottom w:val="single" w:sz="12" w:space="0" w:color="7C7774"/>
        </w:tcBorders>
      </w:tcPr>
    </w:tblStylePr>
    <w:tblStylePr w:type="lastRow">
      <w:rPr>
        <w:b/>
        <w:bCs/>
      </w:rPr>
      <w:tblPr/>
      <w:tcPr>
        <w:tcBorders>
          <w:top w:val="double" w:sz="2" w:space="0" w:color="7C7774"/>
        </w:tcBorders>
      </w:tcPr>
    </w:tblStylePr>
    <w:tblStylePr w:type="firstCol">
      <w:rPr>
        <w:b/>
        <w:bCs/>
      </w:rPr>
    </w:tblStylePr>
    <w:tblStylePr w:type="lastCol">
      <w:rPr>
        <w:b/>
        <w:bCs/>
      </w:rPr>
    </w:tblStylePr>
  </w:style>
  <w:style w:type="paragraph" w:customStyle="1" w:styleId="NumberedList">
    <w:name w:val="Numbered List"/>
    <w:qFormat/>
    <w:rsid w:val="003B5903"/>
    <w:pPr>
      <w:numPr>
        <w:numId w:val="10"/>
      </w:numPr>
      <w:spacing w:after="0" w:line="270" w:lineRule="atLeast"/>
    </w:pPr>
    <w:rPr>
      <w:rFonts w:ascii="Palatino" w:eastAsia="Times New Roman" w:hAnsi="Palatino" w:cs="Times New Roman"/>
      <w:color w:val="353332"/>
      <w:sz w:val="20"/>
      <w:szCs w:val="24"/>
      <w:lang w:eastAsia="en-GB"/>
    </w:rPr>
  </w:style>
  <w:style w:type="paragraph" w:styleId="TableofAuthorities">
    <w:name w:val="table of authorities"/>
    <w:basedOn w:val="TableofFigures"/>
    <w:next w:val="Normal"/>
    <w:uiPriority w:val="99"/>
    <w:semiHidden/>
    <w:unhideWhenUsed/>
    <w:rsid w:val="00E37E25"/>
    <w:pPr>
      <w:ind w:left="200" w:hanging="200"/>
    </w:pPr>
  </w:style>
  <w:style w:type="character" w:styleId="PlaceholderText">
    <w:name w:val="Placeholder Text"/>
    <w:basedOn w:val="DefaultParagraphFont"/>
    <w:uiPriority w:val="99"/>
    <w:semiHidden/>
    <w:rsid w:val="00E37E25"/>
    <w:rPr>
      <w:color w:val="808080"/>
    </w:rPr>
  </w:style>
  <w:style w:type="character" w:customStyle="1" w:styleId="citation-136">
    <w:name w:val="citation-136"/>
    <w:basedOn w:val="DefaultParagraphFont"/>
    <w:rsid w:val="00E37E25"/>
  </w:style>
  <w:style w:type="character" w:customStyle="1" w:styleId="citation-124">
    <w:name w:val="citation-124"/>
    <w:basedOn w:val="DefaultParagraphFont"/>
    <w:rsid w:val="00E37E25"/>
  </w:style>
  <w:style w:type="character" w:customStyle="1" w:styleId="citation-123">
    <w:name w:val="citation-123"/>
    <w:basedOn w:val="DefaultParagraphFont"/>
    <w:rsid w:val="00E37E25"/>
  </w:style>
  <w:style w:type="character" w:customStyle="1" w:styleId="citation-122">
    <w:name w:val="citation-122"/>
    <w:basedOn w:val="DefaultParagraphFont"/>
    <w:rsid w:val="00E37E25"/>
  </w:style>
  <w:style w:type="character" w:customStyle="1" w:styleId="citation-121">
    <w:name w:val="citation-121"/>
    <w:basedOn w:val="DefaultParagraphFont"/>
    <w:rsid w:val="00E37E25"/>
  </w:style>
  <w:style w:type="character" w:customStyle="1" w:styleId="citation-120">
    <w:name w:val="citation-120"/>
    <w:basedOn w:val="DefaultParagraphFont"/>
    <w:rsid w:val="00E37E25"/>
  </w:style>
  <w:style w:type="character" w:customStyle="1" w:styleId="citation-119">
    <w:name w:val="citation-119"/>
    <w:basedOn w:val="DefaultParagraphFont"/>
    <w:rsid w:val="00E37E25"/>
  </w:style>
  <w:style w:type="character" w:customStyle="1" w:styleId="citation-118">
    <w:name w:val="citation-118"/>
    <w:basedOn w:val="DefaultParagraphFont"/>
    <w:rsid w:val="00E37E25"/>
  </w:style>
  <w:style w:type="character" w:customStyle="1" w:styleId="citation-117">
    <w:name w:val="citation-117"/>
    <w:basedOn w:val="DefaultParagraphFont"/>
    <w:rsid w:val="00E37E25"/>
  </w:style>
  <w:style w:type="character" w:customStyle="1" w:styleId="citation-116">
    <w:name w:val="citation-116"/>
    <w:basedOn w:val="DefaultParagraphFont"/>
    <w:rsid w:val="00E37E25"/>
  </w:style>
  <w:style w:type="character" w:customStyle="1" w:styleId="citation-115">
    <w:name w:val="citation-115"/>
    <w:basedOn w:val="DefaultParagraphFont"/>
    <w:rsid w:val="00E37E25"/>
  </w:style>
  <w:style w:type="character" w:customStyle="1" w:styleId="citation-114">
    <w:name w:val="citation-114"/>
    <w:basedOn w:val="DefaultParagraphFont"/>
    <w:rsid w:val="00E37E25"/>
  </w:style>
  <w:style w:type="character" w:customStyle="1" w:styleId="citation-108">
    <w:name w:val="citation-108"/>
    <w:basedOn w:val="DefaultParagraphFont"/>
    <w:rsid w:val="00E37E25"/>
  </w:style>
  <w:style w:type="character" w:customStyle="1" w:styleId="citation-107">
    <w:name w:val="citation-107"/>
    <w:basedOn w:val="DefaultParagraphFont"/>
    <w:rsid w:val="00E37E25"/>
  </w:style>
  <w:style w:type="character" w:customStyle="1" w:styleId="citation-106">
    <w:name w:val="citation-106"/>
    <w:basedOn w:val="DefaultParagraphFont"/>
    <w:rsid w:val="00E37E25"/>
  </w:style>
  <w:style w:type="character" w:customStyle="1" w:styleId="citation-105">
    <w:name w:val="citation-105"/>
    <w:basedOn w:val="DefaultParagraphFont"/>
    <w:rsid w:val="00E37E25"/>
  </w:style>
  <w:style w:type="character" w:customStyle="1" w:styleId="citation-172">
    <w:name w:val="citation-172"/>
    <w:basedOn w:val="DefaultParagraphFont"/>
    <w:rsid w:val="00E37E25"/>
  </w:style>
  <w:style w:type="character" w:customStyle="1" w:styleId="citation-197">
    <w:name w:val="citation-197"/>
    <w:basedOn w:val="DefaultParagraphFont"/>
    <w:rsid w:val="00E37E25"/>
  </w:style>
  <w:style w:type="character" w:customStyle="1" w:styleId="citation-196">
    <w:name w:val="citation-196"/>
    <w:basedOn w:val="DefaultParagraphFont"/>
    <w:rsid w:val="00E37E25"/>
  </w:style>
  <w:style w:type="character" w:customStyle="1" w:styleId="citation-195">
    <w:name w:val="citation-195"/>
    <w:basedOn w:val="DefaultParagraphFont"/>
    <w:rsid w:val="00E37E25"/>
  </w:style>
  <w:style w:type="character" w:customStyle="1" w:styleId="citation-194">
    <w:name w:val="citation-194"/>
    <w:basedOn w:val="DefaultParagraphFont"/>
    <w:rsid w:val="00E37E25"/>
  </w:style>
  <w:style w:type="character" w:customStyle="1" w:styleId="citation-193">
    <w:name w:val="citation-193"/>
    <w:basedOn w:val="DefaultParagraphFont"/>
    <w:rsid w:val="00E37E25"/>
  </w:style>
  <w:style w:type="character" w:customStyle="1" w:styleId="citation-192">
    <w:name w:val="citation-192"/>
    <w:basedOn w:val="DefaultParagraphFont"/>
    <w:rsid w:val="00E37E25"/>
  </w:style>
  <w:style w:type="character" w:customStyle="1" w:styleId="citation-191">
    <w:name w:val="citation-191"/>
    <w:basedOn w:val="DefaultParagraphFont"/>
    <w:rsid w:val="00E37E25"/>
  </w:style>
  <w:style w:type="character" w:customStyle="1" w:styleId="citation-190">
    <w:name w:val="citation-190"/>
    <w:basedOn w:val="DefaultParagraphFont"/>
    <w:rsid w:val="00E37E25"/>
  </w:style>
  <w:style w:type="paragraph" w:styleId="BodyText">
    <w:name w:val="Body Text"/>
    <w:basedOn w:val="Normal"/>
    <w:link w:val="BodyTextChar"/>
    <w:qFormat/>
    <w:rsid w:val="00E37E25"/>
    <w:pPr>
      <w:spacing w:before="180" w:after="180"/>
      <w:jc w:val="left"/>
    </w:pPr>
    <w:rPr>
      <w:rFonts w:asciiTheme="minorHAnsi" w:hAnsiTheme="minorHAnsi" w:cstheme="minorBidi"/>
      <w:lang w:val="en-US"/>
    </w:rPr>
  </w:style>
  <w:style w:type="character" w:customStyle="1" w:styleId="BodyTextChar">
    <w:name w:val="Body Text Char"/>
    <w:basedOn w:val="DefaultParagraphFont"/>
    <w:link w:val="BodyText"/>
    <w:rsid w:val="00E37E25"/>
    <w:rPr>
      <w:sz w:val="24"/>
      <w:szCs w:val="24"/>
      <w:lang w:val="en-US"/>
    </w:rPr>
  </w:style>
  <w:style w:type="paragraph" w:customStyle="1" w:styleId="FirstParagraph">
    <w:name w:val="First Paragraph"/>
    <w:basedOn w:val="BodyText"/>
    <w:next w:val="BodyText"/>
    <w:qFormat/>
    <w:rsid w:val="00E37E25"/>
  </w:style>
  <w:style w:type="paragraph" w:customStyle="1" w:styleId="whitespace-normal">
    <w:name w:val="whitespace-normal"/>
    <w:basedOn w:val="Normal"/>
    <w:rsid w:val="00E37E25"/>
    <w:pPr>
      <w:spacing w:before="100" w:beforeAutospacing="1" w:after="100" w:afterAutospacing="1"/>
      <w:jc w:val="left"/>
    </w:pPr>
    <w:rPr>
      <w:rFonts w:eastAsia="Times New Roman"/>
      <w:lang w:val="en-US"/>
    </w:rPr>
  </w:style>
  <w:style w:type="character" w:customStyle="1" w:styleId="citation-11">
    <w:name w:val="citation-11"/>
    <w:basedOn w:val="DefaultParagraphFont"/>
    <w:rsid w:val="00E37E25"/>
  </w:style>
  <w:style w:type="character" w:customStyle="1" w:styleId="citation-10">
    <w:name w:val="citation-10"/>
    <w:basedOn w:val="DefaultParagraphFont"/>
    <w:rsid w:val="00E37E25"/>
  </w:style>
  <w:style w:type="character" w:customStyle="1" w:styleId="citation-13">
    <w:name w:val="citation-13"/>
    <w:basedOn w:val="DefaultParagraphFont"/>
    <w:rsid w:val="00E37E25"/>
  </w:style>
  <w:style w:type="character" w:customStyle="1" w:styleId="citation-9">
    <w:name w:val="citation-9"/>
    <w:basedOn w:val="DefaultParagraphFont"/>
    <w:rsid w:val="00E37E25"/>
  </w:style>
  <w:style w:type="character" w:customStyle="1" w:styleId="citation-8">
    <w:name w:val="citation-8"/>
    <w:basedOn w:val="DefaultParagraphFont"/>
    <w:rsid w:val="00E37E25"/>
  </w:style>
  <w:style w:type="character" w:customStyle="1" w:styleId="citation-7">
    <w:name w:val="citation-7"/>
    <w:basedOn w:val="DefaultParagraphFont"/>
    <w:rsid w:val="00E37E25"/>
  </w:style>
  <w:style w:type="character" w:customStyle="1" w:styleId="citation-84">
    <w:name w:val="citation-84"/>
    <w:basedOn w:val="DefaultParagraphFont"/>
    <w:rsid w:val="00E37E25"/>
  </w:style>
  <w:style w:type="character" w:customStyle="1" w:styleId="citation-83">
    <w:name w:val="citation-83"/>
    <w:basedOn w:val="DefaultParagraphFont"/>
    <w:rsid w:val="00E37E25"/>
  </w:style>
  <w:style w:type="table" w:customStyle="1" w:styleId="NormalGrid">
    <w:name w:val="Normal Grid"/>
    <w:basedOn w:val="TableNormal"/>
    <w:uiPriority w:val="39"/>
    <w:rsid w:val="00E37E25"/>
    <w:pPr>
      <w:spacing w:after="0" w:line="240" w:lineRule="auto"/>
    </w:pPr>
    <w:rPr>
      <w:rFonts w:ascii="Georgia"/>
      <w:sz w:val="21"/>
      <w:lang w:val="en-US"/>
    </w:rPr>
    <w:tblPr>
      <w:tblCellMar>
        <w:top w:w="80" w:type="dxa"/>
        <w:left w:w="160" w:type="dxa"/>
        <w:bottom w:w="80" w:type="dxa"/>
        <w:right w:w="160" w:type="dxa"/>
      </w:tblCellMar>
    </w:tblPr>
  </w:style>
  <w:style w:type="character" w:customStyle="1" w:styleId="mopen">
    <w:name w:val="mopen"/>
    <w:basedOn w:val="DefaultParagraphFont"/>
    <w:rsid w:val="00E37E25"/>
  </w:style>
  <w:style w:type="character" w:customStyle="1" w:styleId="delimsizing">
    <w:name w:val="delimsizing"/>
    <w:basedOn w:val="DefaultParagraphFont"/>
    <w:rsid w:val="00E37E25"/>
  </w:style>
  <w:style w:type="character" w:customStyle="1" w:styleId="mord">
    <w:name w:val="mord"/>
    <w:basedOn w:val="DefaultParagraphFont"/>
    <w:rsid w:val="00E37E25"/>
  </w:style>
  <w:style w:type="character" w:customStyle="1" w:styleId="vlist-s">
    <w:name w:val="vlist-s"/>
    <w:basedOn w:val="DefaultParagraphFont"/>
    <w:rsid w:val="00E37E25"/>
  </w:style>
  <w:style w:type="character" w:customStyle="1" w:styleId="mclose">
    <w:name w:val="mclose"/>
    <w:basedOn w:val="DefaultParagraphFont"/>
    <w:rsid w:val="00E37E25"/>
  </w:style>
  <w:style w:type="character" w:customStyle="1" w:styleId="mbin">
    <w:name w:val="mbin"/>
    <w:basedOn w:val="DefaultParagraphFont"/>
    <w:rsid w:val="00E37E25"/>
  </w:style>
  <w:style w:type="character" w:customStyle="1" w:styleId="mrel">
    <w:name w:val="mrel"/>
    <w:basedOn w:val="DefaultParagraphFont"/>
    <w:rsid w:val="00E37E25"/>
  </w:style>
  <w:style w:type="character" w:customStyle="1" w:styleId="FootnotetextChar0">
    <w:name w:val="Footnotetext Char"/>
    <w:uiPriority w:val="99"/>
    <w:unhideWhenUsed/>
    <w:rsid w:val="00B853F3"/>
    <w:rPr>
      <w:sz w:val="20"/>
    </w:rPr>
  </w:style>
  <w:style w:type="paragraph" w:customStyle="1" w:styleId="pf0">
    <w:name w:val="pf0"/>
    <w:basedOn w:val="Normal"/>
    <w:rsid w:val="00A75DF6"/>
    <w:pPr>
      <w:spacing w:before="100" w:beforeAutospacing="1" w:after="100" w:afterAutospacing="1"/>
      <w:jc w:val="left"/>
    </w:pPr>
    <w:rPr>
      <w:rFonts w:eastAsia="Times New Roman"/>
      <w:lang w:eastAsia="en-GB"/>
    </w:rPr>
  </w:style>
  <w:style w:type="table" w:customStyle="1" w:styleId="TableGrid1">
    <w:name w:val="Table Grid1"/>
    <w:basedOn w:val="TableNormal"/>
    <w:next w:val="TableGrid"/>
    <w:uiPriority w:val="39"/>
    <w:rsid w:val="00176DBC"/>
    <w:pPr>
      <w:spacing w:before="60" w:after="60" w:line="240" w:lineRule="auto"/>
    </w:pPr>
    <w:rPr>
      <w:rFonts w:ascii="Corbel" w:eastAsia="Corbel" w:hAnsi="Corbel" w:cs="Times New Roman"/>
      <w:sz w:val="20"/>
      <w:szCs w:val="20"/>
      <w:lang w:eastAsia="en-GB"/>
    </w:rPr>
    <w:tblPr>
      <w:tblBorders>
        <w:insideH w:val="single" w:sz="2" w:space="0" w:color="C8C6C4"/>
        <w:insideV w:val="single" w:sz="2" w:space="0" w:color="C8C6C4"/>
      </w:tblBorders>
    </w:tblPr>
    <w:tcPr>
      <w:shd w:val="clear" w:color="auto" w:fill="auto"/>
    </w:tcPr>
    <w:tblStylePr w:type="firstRow">
      <w:rPr>
        <w:rFonts w:ascii="Palatino" w:hAnsi="Palatino"/>
        <w:b/>
        <w:i w:val="0"/>
        <w:caps/>
        <w:smallCaps w:val="0"/>
        <w:strike w:val="0"/>
        <w:dstrike w:val="0"/>
        <w:vanish w:val="0"/>
        <w:sz w:val="20"/>
        <w:vertAlign w:val="baseline"/>
      </w:rPr>
      <w:tblPr/>
      <w:tcPr>
        <w:tcBorders>
          <w:bottom w:val="single" w:sz="4" w:space="0" w:color="FCB342"/>
        </w:tcBorders>
        <w:shd w:val="clear" w:color="auto" w:fill="auto"/>
      </w:tcPr>
    </w:tblStylePr>
    <w:tblStylePr w:type="firstCol">
      <w:rPr>
        <w:rFonts w:ascii="Palatino" w:hAnsi="Palatino"/>
        <w:b/>
        <w:sz w:val="16"/>
      </w:rPr>
    </w:tblStylePr>
  </w:style>
  <w:style w:type="paragraph" w:customStyle="1" w:styleId="DocumentSubtitle">
    <w:name w:val="Document Subtitle"/>
    <w:basedOn w:val="Normal"/>
    <w:link w:val="DocumentSubtitleChar"/>
    <w:uiPriority w:val="1"/>
    <w:rsid w:val="00826142"/>
    <w:pPr>
      <w:jc w:val="center"/>
    </w:pPr>
    <w:rPr>
      <w:rFonts w:asciiTheme="minorHAnsi" w:eastAsia="Times New Roman" w:hAnsiTheme="minorHAnsi" w:cstheme="minorBidi"/>
      <w:sz w:val="32"/>
      <w:szCs w:val="32"/>
    </w:rPr>
  </w:style>
  <w:style w:type="character" w:customStyle="1" w:styleId="DocumentSubtitleChar">
    <w:name w:val="Document Subtitle Char"/>
    <w:basedOn w:val="DefaultParagraphFont"/>
    <w:link w:val="DocumentSubtitle"/>
    <w:uiPriority w:val="1"/>
    <w:rsid w:val="00826142"/>
    <w:rPr>
      <w:rFonts w:eastAsia="Times New Roman"/>
      <w:sz w:val="32"/>
      <w:szCs w:val="32"/>
    </w:rPr>
  </w:style>
  <w:style w:type="paragraph" w:customStyle="1" w:styleId="CoverTitle">
    <w:name w:val="Cover Title"/>
    <w:basedOn w:val="Normal"/>
    <w:uiPriority w:val="99"/>
    <w:qFormat/>
    <w:rsid w:val="00826142"/>
    <w:pPr>
      <w:ind w:left="-567"/>
    </w:pPr>
    <w:rPr>
      <w:rFonts w:ascii="Arial" w:eastAsia="Times New Roman" w:hAnsi="Arial"/>
      <w:b/>
      <w:bCs/>
      <w:color w:val="D3CDC0"/>
      <w:sz w:val="80"/>
      <w:szCs w:val="80"/>
    </w:rPr>
  </w:style>
  <w:style w:type="paragraph" w:styleId="EndnoteText">
    <w:name w:val="endnote text"/>
    <w:basedOn w:val="Normal"/>
    <w:link w:val="EndnoteTextChar"/>
    <w:uiPriority w:val="99"/>
    <w:semiHidden/>
    <w:unhideWhenUsed/>
    <w:rsid w:val="00CD111E"/>
    <w:pPr>
      <w:spacing w:after="0"/>
    </w:pPr>
    <w:rPr>
      <w:sz w:val="20"/>
      <w:szCs w:val="20"/>
    </w:rPr>
  </w:style>
  <w:style w:type="character" w:customStyle="1" w:styleId="EndnoteTextChar">
    <w:name w:val="Endnote Text Char"/>
    <w:basedOn w:val="DefaultParagraphFont"/>
    <w:link w:val="EndnoteText"/>
    <w:uiPriority w:val="99"/>
    <w:semiHidden/>
    <w:rsid w:val="00CD111E"/>
    <w:rPr>
      <w:rFonts w:ascii="Times New Roman" w:hAnsi="Times New Roman" w:cs="Times New Roman"/>
      <w:sz w:val="20"/>
      <w:szCs w:val="20"/>
    </w:rPr>
  </w:style>
  <w:style w:type="character" w:styleId="EndnoteReference">
    <w:name w:val="endnote reference"/>
    <w:basedOn w:val="DefaultParagraphFont"/>
    <w:uiPriority w:val="99"/>
    <w:semiHidden/>
    <w:unhideWhenUsed/>
    <w:rsid w:val="00CD111E"/>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562946">
      <w:bodyDiv w:val="1"/>
      <w:marLeft w:val="0"/>
      <w:marRight w:val="0"/>
      <w:marTop w:val="0"/>
      <w:marBottom w:val="0"/>
      <w:divBdr>
        <w:top w:val="none" w:sz="0" w:space="0" w:color="auto"/>
        <w:left w:val="none" w:sz="0" w:space="0" w:color="auto"/>
        <w:bottom w:val="none" w:sz="0" w:space="0" w:color="auto"/>
        <w:right w:val="none" w:sz="0" w:space="0" w:color="auto"/>
      </w:divBdr>
    </w:div>
    <w:div w:id="14623550">
      <w:bodyDiv w:val="1"/>
      <w:marLeft w:val="0"/>
      <w:marRight w:val="0"/>
      <w:marTop w:val="0"/>
      <w:marBottom w:val="0"/>
      <w:divBdr>
        <w:top w:val="none" w:sz="0" w:space="0" w:color="auto"/>
        <w:left w:val="none" w:sz="0" w:space="0" w:color="auto"/>
        <w:bottom w:val="none" w:sz="0" w:space="0" w:color="auto"/>
        <w:right w:val="none" w:sz="0" w:space="0" w:color="auto"/>
      </w:divBdr>
    </w:div>
    <w:div w:id="23949672">
      <w:bodyDiv w:val="1"/>
      <w:marLeft w:val="0"/>
      <w:marRight w:val="0"/>
      <w:marTop w:val="0"/>
      <w:marBottom w:val="0"/>
      <w:divBdr>
        <w:top w:val="none" w:sz="0" w:space="0" w:color="auto"/>
        <w:left w:val="none" w:sz="0" w:space="0" w:color="auto"/>
        <w:bottom w:val="none" w:sz="0" w:space="0" w:color="auto"/>
        <w:right w:val="none" w:sz="0" w:space="0" w:color="auto"/>
      </w:divBdr>
      <w:divsChild>
        <w:div w:id="278881971">
          <w:marLeft w:val="0"/>
          <w:marRight w:val="0"/>
          <w:marTop w:val="0"/>
          <w:marBottom w:val="0"/>
          <w:divBdr>
            <w:top w:val="none" w:sz="0" w:space="0" w:color="auto"/>
            <w:left w:val="none" w:sz="0" w:space="0" w:color="auto"/>
            <w:bottom w:val="none" w:sz="0" w:space="0" w:color="auto"/>
            <w:right w:val="none" w:sz="0" w:space="0" w:color="auto"/>
          </w:divBdr>
          <w:divsChild>
            <w:div w:id="866214936">
              <w:marLeft w:val="-75"/>
              <w:marRight w:val="0"/>
              <w:marTop w:val="30"/>
              <w:marBottom w:val="30"/>
              <w:divBdr>
                <w:top w:val="none" w:sz="0" w:space="0" w:color="auto"/>
                <w:left w:val="none" w:sz="0" w:space="0" w:color="auto"/>
                <w:bottom w:val="none" w:sz="0" w:space="0" w:color="auto"/>
                <w:right w:val="none" w:sz="0" w:space="0" w:color="auto"/>
              </w:divBdr>
              <w:divsChild>
                <w:div w:id="59330156">
                  <w:marLeft w:val="0"/>
                  <w:marRight w:val="0"/>
                  <w:marTop w:val="0"/>
                  <w:marBottom w:val="0"/>
                  <w:divBdr>
                    <w:top w:val="none" w:sz="0" w:space="0" w:color="auto"/>
                    <w:left w:val="none" w:sz="0" w:space="0" w:color="auto"/>
                    <w:bottom w:val="none" w:sz="0" w:space="0" w:color="auto"/>
                    <w:right w:val="none" w:sz="0" w:space="0" w:color="auto"/>
                  </w:divBdr>
                  <w:divsChild>
                    <w:div w:id="23990733">
                      <w:marLeft w:val="0"/>
                      <w:marRight w:val="0"/>
                      <w:marTop w:val="0"/>
                      <w:marBottom w:val="0"/>
                      <w:divBdr>
                        <w:top w:val="none" w:sz="0" w:space="0" w:color="auto"/>
                        <w:left w:val="none" w:sz="0" w:space="0" w:color="auto"/>
                        <w:bottom w:val="none" w:sz="0" w:space="0" w:color="auto"/>
                        <w:right w:val="none" w:sz="0" w:space="0" w:color="auto"/>
                      </w:divBdr>
                    </w:div>
                  </w:divsChild>
                </w:div>
                <w:div w:id="194660598">
                  <w:marLeft w:val="0"/>
                  <w:marRight w:val="0"/>
                  <w:marTop w:val="0"/>
                  <w:marBottom w:val="0"/>
                  <w:divBdr>
                    <w:top w:val="none" w:sz="0" w:space="0" w:color="auto"/>
                    <w:left w:val="none" w:sz="0" w:space="0" w:color="auto"/>
                    <w:bottom w:val="none" w:sz="0" w:space="0" w:color="auto"/>
                    <w:right w:val="none" w:sz="0" w:space="0" w:color="auto"/>
                  </w:divBdr>
                  <w:divsChild>
                    <w:div w:id="258299367">
                      <w:marLeft w:val="0"/>
                      <w:marRight w:val="0"/>
                      <w:marTop w:val="0"/>
                      <w:marBottom w:val="0"/>
                      <w:divBdr>
                        <w:top w:val="none" w:sz="0" w:space="0" w:color="auto"/>
                        <w:left w:val="none" w:sz="0" w:space="0" w:color="auto"/>
                        <w:bottom w:val="none" w:sz="0" w:space="0" w:color="auto"/>
                        <w:right w:val="none" w:sz="0" w:space="0" w:color="auto"/>
                      </w:divBdr>
                    </w:div>
                    <w:div w:id="296763500">
                      <w:marLeft w:val="0"/>
                      <w:marRight w:val="0"/>
                      <w:marTop w:val="0"/>
                      <w:marBottom w:val="0"/>
                      <w:divBdr>
                        <w:top w:val="none" w:sz="0" w:space="0" w:color="auto"/>
                        <w:left w:val="none" w:sz="0" w:space="0" w:color="auto"/>
                        <w:bottom w:val="none" w:sz="0" w:space="0" w:color="auto"/>
                        <w:right w:val="none" w:sz="0" w:space="0" w:color="auto"/>
                      </w:divBdr>
                    </w:div>
                    <w:div w:id="311368013">
                      <w:marLeft w:val="0"/>
                      <w:marRight w:val="0"/>
                      <w:marTop w:val="0"/>
                      <w:marBottom w:val="0"/>
                      <w:divBdr>
                        <w:top w:val="none" w:sz="0" w:space="0" w:color="auto"/>
                        <w:left w:val="none" w:sz="0" w:space="0" w:color="auto"/>
                        <w:bottom w:val="none" w:sz="0" w:space="0" w:color="auto"/>
                        <w:right w:val="none" w:sz="0" w:space="0" w:color="auto"/>
                      </w:divBdr>
                    </w:div>
                    <w:div w:id="928808370">
                      <w:marLeft w:val="0"/>
                      <w:marRight w:val="0"/>
                      <w:marTop w:val="0"/>
                      <w:marBottom w:val="0"/>
                      <w:divBdr>
                        <w:top w:val="none" w:sz="0" w:space="0" w:color="auto"/>
                        <w:left w:val="none" w:sz="0" w:space="0" w:color="auto"/>
                        <w:bottom w:val="none" w:sz="0" w:space="0" w:color="auto"/>
                        <w:right w:val="none" w:sz="0" w:space="0" w:color="auto"/>
                      </w:divBdr>
                    </w:div>
                  </w:divsChild>
                </w:div>
                <w:div w:id="300042938">
                  <w:marLeft w:val="0"/>
                  <w:marRight w:val="0"/>
                  <w:marTop w:val="0"/>
                  <w:marBottom w:val="0"/>
                  <w:divBdr>
                    <w:top w:val="none" w:sz="0" w:space="0" w:color="auto"/>
                    <w:left w:val="none" w:sz="0" w:space="0" w:color="auto"/>
                    <w:bottom w:val="none" w:sz="0" w:space="0" w:color="auto"/>
                    <w:right w:val="none" w:sz="0" w:space="0" w:color="auto"/>
                  </w:divBdr>
                  <w:divsChild>
                    <w:div w:id="1850437477">
                      <w:marLeft w:val="0"/>
                      <w:marRight w:val="0"/>
                      <w:marTop w:val="0"/>
                      <w:marBottom w:val="0"/>
                      <w:divBdr>
                        <w:top w:val="none" w:sz="0" w:space="0" w:color="auto"/>
                        <w:left w:val="none" w:sz="0" w:space="0" w:color="auto"/>
                        <w:bottom w:val="none" w:sz="0" w:space="0" w:color="auto"/>
                        <w:right w:val="none" w:sz="0" w:space="0" w:color="auto"/>
                      </w:divBdr>
                    </w:div>
                    <w:div w:id="2010667476">
                      <w:marLeft w:val="0"/>
                      <w:marRight w:val="0"/>
                      <w:marTop w:val="0"/>
                      <w:marBottom w:val="0"/>
                      <w:divBdr>
                        <w:top w:val="none" w:sz="0" w:space="0" w:color="auto"/>
                        <w:left w:val="none" w:sz="0" w:space="0" w:color="auto"/>
                        <w:bottom w:val="none" w:sz="0" w:space="0" w:color="auto"/>
                        <w:right w:val="none" w:sz="0" w:space="0" w:color="auto"/>
                      </w:divBdr>
                    </w:div>
                    <w:div w:id="2032949203">
                      <w:marLeft w:val="0"/>
                      <w:marRight w:val="0"/>
                      <w:marTop w:val="0"/>
                      <w:marBottom w:val="0"/>
                      <w:divBdr>
                        <w:top w:val="none" w:sz="0" w:space="0" w:color="auto"/>
                        <w:left w:val="none" w:sz="0" w:space="0" w:color="auto"/>
                        <w:bottom w:val="none" w:sz="0" w:space="0" w:color="auto"/>
                        <w:right w:val="none" w:sz="0" w:space="0" w:color="auto"/>
                      </w:divBdr>
                    </w:div>
                  </w:divsChild>
                </w:div>
                <w:div w:id="300421650">
                  <w:marLeft w:val="0"/>
                  <w:marRight w:val="0"/>
                  <w:marTop w:val="0"/>
                  <w:marBottom w:val="0"/>
                  <w:divBdr>
                    <w:top w:val="none" w:sz="0" w:space="0" w:color="auto"/>
                    <w:left w:val="none" w:sz="0" w:space="0" w:color="auto"/>
                    <w:bottom w:val="none" w:sz="0" w:space="0" w:color="auto"/>
                    <w:right w:val="none" w:sz="0" w:space="0" w:color="auto"/>
                  </w:divBdr>
                  <w:divsChild>
                    <w:div w:id="17246980">
                      <w:marLeft w:val="0"/>
                      <w:marRight w:val="0"/>
                      <w:marTop w:val="0"/>
                      <w:marBottom w:val="0"/>
                      <w:divBdr>
                        <w:top w:val="none" w:sz="0" w:space="0" w:color="auto"/>
                        <w:left w:val="none" w:sz="0" w:space="0" w:color="auto"/>
                        <w:bottom w:val="none" w:sz="0" w:space="0" w:color="auto"/>
                        <w:right w:val="none" w:sz="0" w:space="0" w:color="auto"/>
                      </w:divBdr>
                    </w:div>
                    <w:div w:id="126632026">
                      <w:marLeft w:val="0"/>
                      <w:marRight w:val="0"/>
                      <w:marTop w:val="0"/>
                      <w:marBottom w:val="0"/>
                      <w:divBdr>
                        <w:top w:val="none" w:sz="0" w:space="0" w:color="auto"/>
                        <w:left w:val="none" w:sz="0" w:space="0" w:color="auto"/>
                        <w:bottom w:val="none" w:sz="0" w:space="0" w:color="auto"/>
                        <w:right w:val="none" w:sz="0" w:space="0" w:color="auto"/>
                      </w:divBdr>
                    </w:div>
                    <w:div w:id="176848807">
                      <w:marLeft w:val="0"/>
                      <w:marRight w:val="0"/>
                      <w:marTop w:val="0"/>
                      <w:marBottom w:val="0"/>
                      <w:divBdr>
                        <w:top w:val="none" w:sz="0" w:space="0" w:color="auto"/>
                        <w:left w:val="none" w:sz="0" w:space="0" w:color="auto"/>
                        <w:bottom w:val="none" w:sz="0" w:space="0" w:color="auto"/>
                        <w:right w:val="none" w:sz="0" w:space="0" w:color="auto"/>
                      </w:divBdr>
                    </w:div>
                    <w:div w:id="304049412">
                      <w:marLeft w:val="0"/>
                      <w:marRight w:val="0"/>
                      <w:marTop w:val="0"/>
                      <w:marBottom w:val="0"/>
                      <w:divBdr>
                        <w:top w:val="none" w:sz="0" w:space="0" w:color="auto"/>
                        <w:left w:val="none" w:sz="0" w:space="0" w:color="auto"/>
                        <w:bottom w:val="none" w:sz="0" w:space="0" w:color="auto"/>
                        <w:right w:val="none" w:sz="0" w:space="0" w:color="auto"/>
                      </w:divBdr>
                    </w:div>
                    <w:div w:id="1064454573">
                      <w:marLeft w:val="0"/>
                      <w:marRight w:val="0"/>
                      <w:marTop w:val="0"/>
                      <w:marBottom w:val="0"/>
                      <w:divBdr>
                        <w:top w:val="none" w:sz="0" w:space="0" w:color="auto"/>
                        <w:left w:val="none" w:sz="0" w:space="0" w:color="auto"/>
                        <w:bottom w:val="none" w:sz="0" w:space="0" w:color="auto"/>
                        <w:right w:val="none" w:sz="0" w:space="0" w:color="auto"/>
                      </w:divBdr>
                    </w:div>
                    <w:div w:id="1730496595">
                      <w:marLeft w:val="0"/>
                      <w:marRight w:val="0"/>
                      <w:marTop w:val="0"/>
                      <w:marBottom w:val="0"/>
                      <w:divBdr>
                        <w:top w:val="none" w:sz="0" w:space="0" w:color="auto"/>
                        <w:left w:val="none" w:sz="0" w:space="0" w:color="auto"/>
                        <w:bottom w:val="none" w:sz="0" w:space="0" w:color="auto"/>
                        <w:right w:val="none" w:sz="0" w:space="0" w:color="auto"/>
                      </w:divBdr>
                    </w:div>
                  </w:divsChild>
                </w:div>
                <w:div w:id="421145543">
                  <w:marLeft w:val="0"/>
                  <w:marRight w:val="0"/>
                  <w:marTop w:val="0"/>
                  <w:marBottom w:val="0"/>
                  <w:divBdr>
                    <w:top w:val="none" w:sz="0" w:space="0" w:color="auto"/>
                    <w:left w:val="none" w:sz="0" w:space="0" w:color="auto"/>
                    <w:bottom w:val="none" w:sz="0" w:space="0" w:color="auto"/>
                    <w:right w:val="none" w:sz="0" w:space="0" w:color="auto"/>
                  </w:divBdr>
                  <w:divsChild>
                    <w:div w:id="1549804977">
                      <w:marLeft w:val="0"/>
                      <w:marRight w:val="0"/>
                      <w:marTop w:val="0"/>
                      <w:marBottom w:val="0"/>
                      <w:divBdr>
                        <w:top w:val="none" w:sz="0" w:space="0" w:color="auto"/>
                        <w:left w:val="none" w:sz="0" w:space="0" w:color="auto"/>
                        <w:bottom w:val="none" w:sz="0" w:space="0" w:color="auto"/>
                        <w:right w:val="none" w:sz="0" w:space="0" w:color="auto"/>
                      </w:divBdr>
                    </w:div>
                  </w:divsChild>
                </w:div>
                <w:div w:id="457843531">
                  <w:marLeft w:val="0"/>
                  <w:marRight w:val="0"/>
                  <w:marTop w:val="0"/>
                  <w:marBottom w:val="0"/>
                  <w:divBdr>
                    <w:top w:val="none" w:sz="0" w:space="0" w:color="auto"/>
                    <w:left w:val="none" w:sz="0" w:space="0" w:color="auto"/>
                    <w:bottom w:val="none" w:sz="0" w:space="0" w:color="auto"/>
                    <w:right w:val="none" w:sz="0" w:space="0" w:color="auto"/>
                  </w:divBdr>
                  <w:divsChild>
                    <w:div w:id="1291475648">
                      <w:marLeft w:val="0"/>
                      <w:marRight w:val="0"/>
                      <w:marTop w:val="0"/>
                      <w:marBottom w:val="0"/>
                      <w:divBdr>
                        <w:top w:val="none" w:sz="0" w:space="0" w:color="auto"/>
                        <w:left w:val="none" w:sz="0" w:space="0" w:color="auto"/>
                        <w:bottom w:val="none" w:sz="0" w:space="0" w:color="auto"/>
                        <w:right w:val="none" w:sz="0" w:space="0" w:color="auto"/>
                      </w:divBdr>
                    </w:div>
                  </w:divsChild>
                </w:div>
                <w:div w:id="466582208">
                  <w:marLeft w:val="0"/>
                  <w:marRight w:val="0"/>
                  <w:marTop w:val="0"/>
                  <w:marBottom w:val="0"/>
                  <w:divBdr>
                    <w:top w:val="none" w:sz="0" w:space="0" w:color="auto"/>
                    <w:left w:val="none" w:sz="0" w:space="0" w:color="auto"/>
                    <w:bottom w:val="none" w:sz="0" w:space="0" w:color="auto"/>
                    <w:right w:val="none" w:sz="0" w:space="0" w:color="auto"/>
                  </w:divBdr>
                  <w:divsChild>
                    <w:div w:id="295647213">
                      <w:marLeft w:val="0"/>
                      <w:marRight w:val="0"/>
                      <w:marTop w:val="0"/>
                      <w:marBottom w:val="0"/>
                      <w:divBdr>
                        <w:top w:val="none" w:sz="0" w:space="0" w:color="auto"/>
                        <w:left w:val="none" w:sz="0" w:space="0" w:color="auto"/>
                        <w:bottom w:val="none" w:sz="0" w:space="0" w:color="auto"/>
                        <w:right w:val="none" w:sz="0" w:space="0" w:color="auto"/>
                      </w:divBdr>
                    </w:div>
                  </w:divsChild>
                </w:div>
                <w:div w:id="468398115">
                  <w:marLeft w:val="0"/>
                  <w:marRight w:val="0"/>
                  <w:marTop w:val="0"/>
                  <w:marBottom w:val="0"/>
                  <w:divBdr>
                    <w:top w:val="none" w:sz="0" w:space="0" w:color="auto"/>
                    <w:left w:val="none" w:sz="0" w:space="0" w:color="auto"/>
                    <w:bottom w:val="none" w:sz="0" w:space="0" w:color="auto"/>
                    <w:right w:val="none" w:sz="0" w:space="0" w:color="auto"/>
                  </w:divBdr>
                  <w:divsChild>
                    <w:div w:id="381174672">
                      <w:marLeft w:val="0"/>
                      <w:marRight w:val="0"/>
                      <w:marTop w:val="0"/>
                      <w:marBottom w:val="0"/>
                      <w:divBdr>
                        <w:top w:val="none" w:sz="0" w:space="0" w:color="auto"/>
                        <w:left w:val="none" w:sz="0" w:space="0" w:color="auto"/>
                        <w:bottom w:val="none" w:sz="0" w:space="0" w:color="auto"/>
                        <w:right w:val="none" w:sz="0" w:space="0" w:color="auto"/>
                      </w:divBdr>
                    </w:div>
                    <w:div w:id="576016135">
                      <w:marLeft w:val="0"/>
                      <w:marRight w:val="0"/>
                      <w:marTop w:val="0"/>
                      <w:marBottom w:val="0"/>
                      <w:divBdr>
                        <w:top w:val="none" w:sz="0" w:space="0" w:color="auto"/>
                        <w:left w:val="none" w:sz="0" w:space="0" w:color="auto"/>
                        <w:bottom w:val="none" w:sz="0" w:space="0" w:color="auto"/>
                        <w:right w:val="none" w:sz="0" w:space="0" w:color="auto"/>
                      </w:divBdr>
                    </w:div>
                    <w:div w:id="1676299016">
                      <w:marLeft w:val="0"/>
                      <w:marRight w:val="0"/>
                      <w:marTop w:val="0"/>
                      <w:marBottom w:val="0"/>
                      <w:divBdr>
                        <w:top w:val="none" w:sz="0" w:space="0" w:color="auto"/>
                        <w:left w:val="none" w:sz="0" w:space="0" w:color="auto"/>
                        <w:bottom w:val="none" w:sz="0" w:space="0" w:color="auto"/>
                        <w:right w:val="none" w:sz="0" w:space="0" w:color="auto"/>
                      </w:divBdr>
                    </w:div>
                    <w:div w:id="1827890470">
                      <w:marLeft w:val="0"/>
                      <w:marRight w:val="0"/>
                      <w:marTop w:val="0"/>
                      <w:marBottom w:val="0"/>
                      <w:divBdr>
                        <w:top w:val="none" w:sz="0" w:space="0" w:color="auto"/>
                        <w:left w:val="none" w:sz="0" w:space="0" w:color="auto"/>
                        <w:bottom w:val="none" w:sz="0" w:space="0" w:color="auto"/>
                        <w:right w:val="none" w:sz="0" w:space="0" w:color="auto"/>
                      </w:divBdr>
                    </w:div>
                  </w:divsChild>
                </w:div>
                <w:div w:id="1435437892">
                  <w:marLeft w:val="0"/>
                  <w:marRight w:val="0"/>
                  <w:marTop w:val="0"/>
                  <w:marBottom w:val="0"/>
                  <w:divBdr>
                    <w:top w:val="none" w:sz="0" w:space="0" w:color="auto"/>
                    <w:left w:val="none" w:sz="0" w:space="0" w:color="auto"/>
                    <w:bottom w:val="none" w:sz="0" w:space="0" w:color="auto"/>
                    <w:right w:val="none" w:sz="0" w:space="0" w:color="auto"/>
                  </w:divBdr>
                  <w:divsChild>
                    <w:div w:id="1925529143">
                      <w:marLeft w:val="0"/>
                      <w:marRight w:val="0"/>
                      <w:marTop w:val="0"/>
                      <w:marBottom w:val="0"/>
                      <w:divBdr>
                        <w:top w:val="none" w:sz="0" w:space="0" w:color="auto"/>
                        <w:left w:val="none" w:sz="0" w:space="0" w:color="auto"/>
                        <w:bottom w:val="none" w:sz="0" w:space="0" w:color="auto"/>
                        <w:right w:val="none" w:sz="0" w:space="0" w:color="auto"/>
                      </w:divBdr>
                    </w:div>
                  </w:divsChild>
                </w:div>
                <w:div w:id="1470438415">
                  <w:marLeft w:val="0"/>
                  <w:marRight w:val="0"/>
                  <w:marTop w:val="0"/>
                  <w:marBottom w:val="0"/>
                  <w:divBdr>
                    <w:top w:val="none" w:sz="0" w:space="0" w:color="auto"/>
                    <w:left w:val="none" w:sz="0" w:space="0" w:color="auto"/>
                    <w:bottom w:val="none" w:sz="0" w:space="0" w:color="auto"/>
                    <w:right w:val="none" w:sz="0" w:space="0" w:color="auto"/>
                  </w:divBdr>
                  <w:divsChild>
                    <w:div w:id="1270576972">
                      <w:marLeft w:val="0"/>
                      <w:marRight w:val="0"/>
                      <w:marTop w:val="0"/>
                      <w:marBottom w:val="0"/>
                      <w:divBdr>
                        <w:top w:val="none" w:sz="0" w:space="0" w:color="auto"/>
                        <w:left w:val="none" w:sz="0" w:space="0" w:color="auto"/>
                        <w:bottom w:val="none" w:sz="0" w:space="0" w:color="auto"/>
                        <w:right w:val="none" w:sz="0" w:space="0" w:color="auto"/>
                      </w:divBdr>
                    </w:div>
                  </w:divsChild>
                </w:div>
                <w:div w:id="1547138425">
                  <w:marLeft w:val="0"/>
                  <w:marRight w:val="0"/>
                  <w:marTop w:val="0"/>
                  <w:marBottom w:val="0"/>
                  <w:divBdr>
                    <w:top w:val="none" w:sz="0" w:space="0" w:color="auto"/>
                    <w:left w:val="none" w:sz="0" w:space="0" w:color="auto"/>
                    <w:bottom w:val="none" w:sz="0" w:space="0" w:color="auto"/>
                    <w:right w:val="none" w:sz="0" w:space="0" w:color="auto"/>
                  </w:divBdr>
                  <w:divsChild>
                    <w:div w:id="353729944">
                      <w:marLeft w:val="0"/>
                      <w:marRight w:val="0"/>
                      <w:marTop w:val="0"/>
                      <w:marBottom w:val="0"/>
                      <w:divBdr>
                        <w:top w:val="none" w:sz="0" w:space="0" w:color="auto"/>
                        <w:left w:val="none" w:sz="0" w:space="0" w:color="auto"/>
                        <w:bottom w:val="none" w:sz="0" w:space="0" w:color="auto"/>
                        <w:right w:val="none" w:sz="0" w:space="0" w:color="auto"/>
                      </w:divBdr>
                    </w:div>
                    <w:div w:id="1557740498">
                      <w:marLeft w:val="0"/>
                      <w:marRight w:val="0"/>
                      <w:marTop w:val="0"/>
                      <w:marBottom w:val="0"/>
                      <w:divBdr>
                        <w:top w:val="none" w:sz="0" w:space="0" w:color="auto"/>
                        <w:left w:val="none" w:sz="0" w:space="0" w:color="auto"/>
                        <w:bottom w:val="none" w:sz="0" w:space="0" w:color="auto"/>
                        <w:right w:val="none" w:sz="0" w:space="0" w:color="auto"/>
                      </w:divBdr>
                    </w:div>
                  </w:divsChild>
                </w:div>
                <w:div w:id="1947545026">
                  <w:marLeft w:val="0"/>
                  <w:marRight w:val="0"/>
                  <w:marTop w:val="0"/>
                  <w:marBottom w:val="0"/>
                  <w:divBdr>
                    <w:top w:val="none" w:sz="0" w:space="0" w:color="auto"/>
                    <w:left w:val="none" w:sz="0" w:space="0" w:color="auto"/>
                    <w:bottom w:val="none" w:sz="0" w:space="0" w:color="auto"/>
                    <w:right w:val="none" w:sz="0" w:space="0" w:color="auto"/>
                  </w:divBdr>
                  <w:divsChild>
                    <w:div w:id="13118349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40753330">
          <w:marLeft w:val="0"/>
          <w:marRight w:val="0"/>
          <w:marTop w:val="0"/>
          <w:marBottom w:val="0"/>
          <w:divBdr>
            <w:top w:val="none" w:sz="0" w:space="0" w:color="auto"/>
            <w:left w:val="none" w:sz="0" w:space="0" w:color="auto"/>
            <w:bottom w:val="none" w:sz="0" w:space="0" w:color="auto"/>
            <w:right w:val="none" w:sz="0" w:space="0" w:color="auto"/>
          </w:divBdr>
          <w:divsChild>
            <w:div w:id="2138797268">
              <w:marLeft w:val="-75"/>
              <w:marRight w:val="0"/>
              <w:marTop w:val="30"/>
              <w:marBottom w:val="30"/>
              <w:divBdr>
                <w:top w:val="none" w:sz="0" w:space="0" w:color="auto"/>
                <w:left w:val="none" w:sz="0" w:space="0" w:color="auto"/>
                <w:bottom w:val="none" w:sz="0" w:space="0" w:color="auto"/>
                <w:right w:val="none" w:sz="0" w:space="0" w:color="auto"/>
              </w:divBdr>
              <w:divsChild>
                <w:div w:id="1126582">
                  <w:marLeft w:val="0"/>
                  <w:marRight w:val="0"/>
                  <w:marTop w:val="0"/>
                  <w:marBottom w:val="0"/>
                  <w:divBdr>
                    <w:top w:val="none" w:sz="0" w:space="0" w:color="auto"/>
                    <w:left w:val="none" w:sz="0" w:space="0" w:color="auto"/>
                    <w:bottom w:val="none" w:sz="0" w:space="0" w:color="auto"/>
                    <w:right w:val="none" w:sz="0" w:space="0" w:color="auto"/>
                  </w:divBdr>
                  <w:divsChild>
                    <w:div w:id="659771514">
                      <w:marLeft w:val="0"/>
                      <w:marRight w:val="0"/>
                      <w:marTop w:val="0"/>
                      <w:marBottom w:val="0"/>
                      <w:divBdr>
                        <w:top w:val="none" w:sz="0" w:space="0" w:color="auto"/>
                        <w:left w:val="none" w:sz="0" w:space="0" w:color="auto"/>
                        <w:bottom w:val="none" w:sz="0" w:space="0" w:color="auto"/>
                        <w:right w:val="none" w:sz="0" w:space="0" w:color="auto"/>
                      </w:divBdr>
                    </w:div>
                  </w:divsChild>
                </w:div>
                <w:div w:id="1215966711">
                  <w:marLeft w:val="0"/>
                  <w:marRight w:val="0"/>
                  <w:marTop w:val="0"/>
                  <w:marBottom w:val="0"/>
                  <w:divBdr>
                    <w:top w:val="none" w:sz="0" w:space="0" w:color="auto"/>
                    <w:left w:val="none" w:sz="0" w:space="0" w:color="auto"/>
                    <w:bottom w:val="none" w:sz="0" w:space="0" w:color="auto"/>
                    <w:right w:val="none" w:sz="0" w:space="0" w:color="auto"/>
                  </w:divBdr>
                  <w:divsChild>
                    <w:div w:id="18876379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59966078">
          <w:marLeft w:val="0"/>
          <w:marRight w:val="0"/>
          <w:marTop w:val="0"/>
          <w:marBottom w:val="0"/>
          <w:divBdr>
            <w:top w:val="none" w:sz="0" w:space="0" w:color="auto"/>
            <w:left w:val="none" w:sz="0" w:space="0" w:color="auto"/>
            <w:bottom w:val="none" w:sz="0" w:space="0" w:color="auto"/>
            <w:right w:val="none" w:sz="0" w:space="0" w:color="auto"/>
          </w:divBdr>
          <w:divsChild>
            <w:div w:id="126092139">
              <w:marLeft w:val="0"/>
              <w:marRight w:val="0"/>
              <w:marTop w:val="0"/>
              <w:marBottom w:val="0"/>
              <w:divBdr>
                <w:top w:val="none" w:sz="0" w:space="0" w:color="auto"/>
                <w:left w:val="none" w:sz="0" w:space="0" w:color="auto"/>
                <w:bottom w:val="none" w:sz="0" w:space="0" w:color="auto"/>
                <w:right w:val="none" w:sz="0" w:space="0" w:color="auto"/>
              </w:divBdr>
            </w:div>
            <w:div w:id="1313489708">
              <w:marLeft w:val="0"/>
              <w:marRight w:val="0"/>
              <w:marTop w:val="0"/>
              <w:marBottom w:val="0"/>
              <w:divBdr>
                <w:top w:val="none" w:sz="0" w:space="0" w:color="auto"/>
                <w:left w:val="none" w:sz="0" w:space="0" w:color="auto"/>
                <w:bottom w:val="none" w:sz="0" w:space="0" w:color="auto"/>
                <w:right w:val="none" w:sz="0" w:space="0" w:color="auto"/>
              </w:divBdr>
            </w:div>
            <w:div w:id="1527716189">
              <w:marLeft w:val="0"/>
              <w:marRight w:val="0"/>
              <w:marTop w:val="0"/>
              <w:marBottom w:val="0"/>
              <w:divBdr>
                <w:top w:val="none" w:sz="0" w:space="0" w:color="auto"/>
                <w:left w:val="none" w:sz="0" w:space="0" w:color="auto"/>
                <w:bottom w:val="none" w:sz="0" w:space="0" w:color="auto"/>
                <w:right w:val="none" w:sz="0" w:space="0" w:color="auto"/>
              </w:divBdr>
            </w:div>
            <w:div w:id="1605187796">
              <w:marLeft w:val="0"/>
              <w:marRight w:val="0"/>
              <w:marTop w:val="0"/>
              <w:marBottom w:val="0"/>
              <w:divBdr>
                <w:top w:val="none" w:sz="0" w:space="0" w:color="auto"/>
                <w:left w:val="none" w:sz="0" w:space="0" w:color="auto"/>
                <w:bottom w:val="none" w:sz="0" w:space="0" w:color="auto"/>
                <w:right w:val="none" w:sz="0" w:space="0" w:color="auto"/>
              </w:divBdr>
            </w:div>
            <w:div w:id="1709069180">
              <w:marLeft w:val="0"/>
              <w:marRight w:val="0"/>
              <w:marTop w:val="0"/>
              <w:marBottom w:val="0"/>
              <w:divBdr>
                <w:top w:val="none" w:sz="0" w:space="0" w:color="auto"/>
                <w:left w:val="none" w:sz="0" w:space="0" w:color="auto"/>
                <w:bottom w:val="none" w:sz="0" w:space="0" w:color="auto"/>
                <w:right w:val="none" w:sz="0" w:space="0" w:color="auto"/>
              </w:divBdr>
            </w:div>
            <w:div w:id="1709716977">
              <w:marLeft w:val="0"/>
              <w:marRight w:val="0"/>
              <w:marTop w:val="0"/>
              <w:marBottom w:val="0"/>
              <w:divBdr>
                <w:top w:val="none" w:sz="0" w:space="0" w:color="auto"/>
                <w:left w:val="none" w:sz="0" w:space="0" w:color="auto"/>
                <w:bottom w:val="none" w:sz="0" w:space="0" w:color="auto"/>
                <w:right w:val="none" w:sz="0" w:space="0" w:color="auto"/>
              </w:divBdr>
            </w:div>
            <w:div w:id="1943105851">
              <w:marLeft w:val="0"/>
              <w:marRight w:val="0"/>
              <w:marTop w:val="0"/>
              <w:marBottom w:val="0"/>
              <w:divBdr>
                <w:top w:val="none" w:sz="0" w:space="0" w:color="auto"/>
                <w:left w:val="none" w:sz="0" w:space="0" w:color="auto"/>
                <w:bottom w:val="none" w:sz="0" w:space="0" w:color="auto"/>
                <w:right w:val="none" w:sz="0" w:space="0" w:color="auto"/>
              </w:divBdr>
            </w:div>
          </w:divsChild>
        </w:div>
        <w:div w:id="1564637453">
          <w:marLeft w:val="0"/>
          <w:marRight w:val="0"/>
          <w:marTop w:val="0"/>
          <w:marBottom w:val="0"/>
          <w:divBdr>
            <w:top w:val="none" w:sz="0" w:space="0" w:color="auto"/>
            <w:left w:val="none" w:sz="0" w:space="0" w:color="auto"/>
            <w:bottom w:val="none" w:sz="0" w:space="0" w:color="auto"/>
            <w:right w:val="none" w:sz="0" w:space="0" w:color="auto"/>
          </w:divBdr>
        </w:div>
        <w:div w:id="2057775603">
          <w:marLeft w:val="0"/>
          <w:marRight w:val="0"/>
          <w:marTop w:val="0"/>
          <w:marBottom w:val="0"/>
          <w:divBdr>
            <w:top w:val="none" w:sz="0" w:space="0" w:color="auto"/>
            <w:left w:val="none" w:sz="0" w:space="0" w:color="auto"/>
            <w:bottom w:val="none" w:sz="0" w:space="0" w:color="auto"/>
            <w:right w:val="none" w:sz="0" w:space="0" w:color="auto"/>
          </w:divBdr>
        </w:div>
      </w:divsChild>
    </w:div>
    <w:div w:id="30541124">
      <w:bodyDiv w:val="1"/>
      <w:marLeft w:val="0"/>
      <w:marRight w:val="0"/>
      <w:marTop w:val="0"/>
      <w:marBottom w:val="0"/>
      <w:divBdr>
        <w:top w:val="none" w:sz="0" w:space="0" w:color="auto"/>
        <w:left w:val="none" w:sz="0" w:space="0" w:color="auto"/>
        <w:bottom w:val="none" w:sz="0" w:space="0" w:color="auto"/>
        <w:right w:val="none" w:sz="0" w:space="0" w:color="auto"/>
      </w:divBdr>
    </w:div>
    <w:div w:id="32000022">
      <w:bodyDiv w:val="1"/>
      <w:marLeft w:val="0"/>
      <w:marRight w:val="0"/>
      <w:marTop w:val="0"/>
      <w:marBottom w:val="0"/>
      <w:divBdr>
        <w:top w:val="none" w:sz="0" w:space="0" w:color="auto"/>
        <w:left w:val="none" w:sz="0" w:space="0" w:color="auto"/>
        <w:bottom w:val="none" w:sz="0" w:space="0" w:color="auto"/>
        <w:right w:val="none" w:sz="0" w:space="0" w:color="auto"/>
      </w:divBdr>
      <w:divsChild>
        <w:div w:id="150222858">
          <w:marLeft w:val="0"/>
          <w:marRight w:val="0"/>
          <w:marTop w:val="0"/>
          <w:marBottom w:val="0"/>
          <w:divBdr>
            <w:top w:val="none" w:sz="0" w:space="0" w:color="auto"/>
            <w:left w:val="none" w:sz="0" w:space="0" w:color="auto"/>
            <w:bottom w:val="none" w:sz="0" w:space="0" w:color="auto"/>
            <w:right w:val="none" w:sz="0" w:space="0" w:color="auto"/>
          </w:divBdr>
          <w:divsChild>
            <w:div w:id="2058779443">
              <w:marLeft w:val="-75"/>
              <w:marRight w:val="0"/>
              <w:marTop w:val="30"/>
              <w:marBottom w:val="30"/>
              <w:divBdr>
                <w:top w:val="none" w:sz="0" w:space="0" w:color="auto"/>
                <w:left w:val="none" w:sz="0" w:space="0" w:color="auto"/>
                <w:bottom w:val="none" w:sz="0" w:space="0" w:color="auto"/>
                <w:right w:val="none" w:sz="0" w:space="0" w:color="auto"/>
              </w:divBdr>
              <w:divsChild>
                <w:div w:id="148180534">
                  <w:marLeft w:val="0"/>
                  <w:marRight w:val="0"/>
                  <w:marTop w:val="0"/>
                  <w:marBottom w:val="0"/>
                  <w:divBdr>
                    <w:top w:val="none" w:sz="0" w:space="0" w:color="auto"/>
                    <w:left w:val="none" w:sz="0" w:space="0" w:color="auto"/>
                    <w:bottom w:val="none" w:sz="0" w:space="0" w:color="auto"/>
                    <w:right w:val="none" w:sz="0" w:space="0" w:color="auto"/>
                  </w:divBdr>
                  <w:divsChild>
                    <w:div w:id="5596995">
                      <w:marLeft w:val="0"/>
                      <w:marRight w:val="0"/>
                      <w:marTop w:val="0"/>
                      <w:marBottom w:val="0"/>
                      <w:divBdr>
                        <w:top w:val="none" w:sz="0" w:space="0" w:color="auto"/>
                        <w:left w:val="none" w:sz="0" w:space="0" w:color="auto"/>
                        <w:bottom w:val="none" w:sz="0" w:space="0" w:color="auto"/>
                        <w:right w:val="none" w:sz="0" w:space="0" w:color="auto"/>
                      </w:divBdr>
                    </w:div>
                    <w:div w:id="757214019">
                      <w:marLeft w:val="0"/>
                      <w:marRight w:val="0"/>
                      <w:marTop w:val="0"/>
                      <w:marBottom w:val="0"/>
                      <w:divBdr>
                        <w:top w:val="none" w:sz="0" w:space="0" w:color="auto"/>
                        <w:left w:val="none" w:sz="0" w:space="0" w:color="auto"/>
                        <w:bottom w:val="none" w:sz="0" w:space="0" w:color="auto"/>
                        <w:right w:val="none" w:sz="0" w:space="0" w:color="auto"/>
                      </w:divBdr>
                    </w:div>
                    <w:div w:id="1786653899">
                      <w:marLeft w:val="0"/>
                      <w:marRight w:val="0"/>
                      <w:marTop w:val="0"/>
                      <w:marBottom w:val="0"/>
                      <w:divBdr>
                        <w:top w:val="none" w:sz="0" w:space="0" w:color="auto"/>
                        <w:left w:val="none" w:sz="0" w:space="0" w:color="auto"/>
                        <w:bottom w:val="none" w:sz="0" w:space="0" w:color="auto"/>
                        <w:right w:val="none" w:sz="0" w:space="0" w:color="auto"/>
                      </w:divBdr>
                    </w:div>
                    <w:div w:id="1928686575">
                      <w:marLeft w:val="0"/>
                      <w:marRight w:val="0"/>
                      <w:marTop w:val="0"/>
                      <w:marBottom w:val="0"/>
                      <w:divBdr>
                        <w:top w:val="none" w:sz="0" w:space="0" w:color="auto"/>
                        <w:left w:val="none" w:sz="0" w:space="0" w:color="auto"/>
                        <w:bottom w:val="none" w:sz="0" w:space="0" w:color="auto"/>
                        <w:right w:val="none" w:sz="0" w:space="0" w:color="auto"/>
                      </w:divBdr>
                    </w:div>
                  </w:divsChild>
                </w:div>
                <w:div w:id="171070223">
                  <w:marLeft w:val="0"/>
                  <w:marRight w:val="0"/>
                  <w:marTop w:val="0"/>
                  <w:marBottom w:val="0"/>
                  <w:divBdr>
                    <w:top w:val="none" w:sz="0" w:space="0" w:color="auto"/>
                    <w:left w:val="none" w:sz="0" w:space="0" w:color="auto"/>
                    <w:bottom w:val="none" w:sz="0" w:space="0" w:color="auto"/>
                    <w:right w:val="none" w:sz="0" w:space="0" w:color="auto"/>
                  </w:divBdr>
                  <w:divsChild>
                    <w:div w:id="69739419">
                      <w:marLeft w:val="0"/>
                      <w:marRight w:val="0"/>
                      <w:marTop w:val="0"/>
                      <w:marBottom w:val="0"/>
                      <w:divBdr>
                        <w:top w:val="none" w:sz="0" w:space="0" w:color="auto"/>
                        <w:left w:val="none" w:sz="0" w:space="0" w:color="auto"/>
                        <w:bottom w:val="none" w:sz="0" w:space="0" w:color="auto"/>
                        <w:right w:val="none" w:sz="0" w:space="0" w:color="auto"/>
                      </w:divBdr>
                    </w:div>
                    <w:div w:id="144205304">
                      <w:marLeft w:val="0"/>
                      <w:marRight w:val="0"/>
                      <w:marTop w:val="0"/>
                      <w:marBottom w:val="0"/>
                      <w:divBdr>
                        <w:top w:val="none" w:sz="0" w:space="0" w:color="auto"/>
                        <w:left w:val="none" w:sz="0" w:space="0" w:color="auto"/>
                        <w:bottom w:val="none" w:sz="0" w:space="0" w:color="auto"/>
                        <w:right w:val="none" w:sz="0" w:space="0" w:color="auto"/>
                      </w:divBdr>
                    </w:div>
                    <w:div w:id="803621443">
                      <w:marLeft w:val="0"/>
                      <w:marRight w:val="0"/>
                      <w:marTop w:val="0"/>
                      <w:marBottom w:val="0"/>
                      <w:divBdr>
                        <w:top w:val="none" w:sz="0" w:space="0" w:color="auto"/>
                        <w:left w:val="none" w:sz="0" w:space="0" w:color="auto"/>
                        <w:bottom w:val="none" w:sz="0" w:space="0" w:color="auto"/>
                        <w:right w:val="none" w:sz="0" w:space="0" w:color="auto"/>
                      </w:divBdr>
                    </w:div>
                    <w:div w:id="849369444">
                      <w:marLeft w:val="0"/>
                      <w:marRight w:val="0"/>
                      <w:marTop w:val="0"/>
                      <w:marBottom w:val="0"/>
                      <w:divBdr>
                        <w:top w:val="none" w:sz="0" w:space="0" w:color="auto"/>
                        <w:left w:val="none" w:sz="0" w:space="0" w:color="auto"/>
                        <w:bottom w:val="none" w:sz="0" w:space="0" w:color="auto"/>
                        <w:right w:val="none" w:sz="0" w:space="0" w:color="auto"/>
                      </w:divBdr>
                    </w:div>
                    <w:div w:id="1089426359">
                      <w:marLeft w:val="0"/>
                      <w:marRight w:val="0"/>
                      <w:marTop w:val="0"/>
                      <w:marBottom w:val="0"/>
                      <w:divBdr>
                        <w:top w:val="none" w:sz="0" w:space="0" w:color="auto"/>
                        <w:left w:val="none" w:sz="0" w:space="0" w:color="auto"/>
                        <w:bottom w:val="none" w:sz="0" w:space="0" w:color="auto"/>
                        <w:right w:val="none" w:sz="0" w:space="0" w:color="auto"/>
                      </w:divBdr>
                    </w:div>
                    <w:div w:id="1099184010">
                      <w:marLeft w:val="0"/>
                      <w:marRight w:val="0"/>
                      <w:marTop w:val="0"/>
                      <w:marBottom w:val="0"/>
                      <w:divBdr>
                        <w:top w:val="none" w:sz="0" w:space="0" w:color="auto"/>
                        <w:left w:val="none" w:sz="0" w:space="0" w:color="auto"/>
                        <w:bottom w:val="none" w:sz="0" w:space="0" w:color="auto"/>
                        <w:right w:val="none" w:sz="0" w:space="0" w:color="auto"/>
                      </w:divBdr>
                    </w:div>
                  </w:divsChild>
                </w:div>
                <w:div w:id="874586224">
                  <w:marLeft w:val="0"/>
                  <w:marRight w:val="0"/>
                  <w:marTop w:val="0"/>
                  <w:marBottom w:val="0"/>
                  <w:divBdr>
                    <w:top w:val="none" w:sz="0" w:space="0" w:color="auto"/>
                    <w:left w:val="none" w:sz="0" w:space="0" w:color="auto"/>
                    <w:bottom w:val="none" w:sz="0" w:space="0" w:color="auto"/>
                    <w:right w:val="none" w:sz="0" w:space="0" w:color="auto"/>
                  </w:divBdr>
                  <w:divsChild>
                    <w:div w:id="2077387097">
                      <w:marLeft w:val="0"/>
                      <w:marRight w:val="0"/>
                      <w:marTop w:val="0"/>
                      <w:marBottom w:val="0"/>
                      <w:divBdr>
                        <w:top w:val="none" w:sz="0" w:space="0" w:color="auto"/>
                        <w:left w:val="none" w:sz="0" w:space="0" w:color="auto"/>
                        <w:bottom w:val="none" w:sz="0" w:space="0" w:color="auto"/>
                        <w:right w:val="none" w:sz="0" w:space="0" w:color="auto"/>
                      </w:divBdr>
                    </w:div>
                  </w:divsChild>
                </w:div>
                <w:div w:id="950015080">
                  <w:marLeft w:val="0"/>
                  <w:marRight w:val="0"/>
                  <w:marTop w:val="0"/>
                  <w:marBottom w:val="0"/>
                  <w:divBdr>
                    <w:top w:val="none" w:sz="0" w:space="0" w:color="auto"/>
                    <w:left w:val="none" w:sz="0" w:space="0" w:color="auto"/>
                    <w:bottom w:val="none" w:sz="0" w:space="0" w:color="auto"/>
                    <w:right w:val="none" w:sz="0" w:space="0" w:color="auto"/>
                  </w:divBdr>
                  <w:divsChild>
                    <w:div w:id="505368967">
                      <w:marLeft w:val="0"/>
                      <w:marRight w:val="0"/>
                      <w:marTop w:val="0"/>
                      <w:marBottom w:val="0"/>
                      <w:divBdr>
                        <w:top w:val="none" w:sz="0" w:space="0" w:color="auto"/>
                        <w:left w:val="none" w:sz="0" w:space="0" w:color="auto"/>
                        <w:bottom w:val="none" w:sz="0" w:space="0" w:color="auto"/>
                        <w:right w:val="none" w:sz="0" w:space="0" w:color="auto"/>
                      </w:divBdr>
                    </w:div>
                  </w:divsChild>
                </w:div>
                <w:div w:id="1019626798">
                  <w:marLeft w:val="0"/>
                  <w:marRight w:val="0"/>
                  <w:marTop w:val="0"/>
                  <w:marBottom w:val="0"/>
                  <w:divBdr>
                    <w:top w:val="none" w:sz="0" w:space="0" w:color="auto"/>
                    <w:left w:val="none" w:sz="0" w:space="0" w:color="auto"/>
                    <w:bottom w:val="none" w:sz="0" w:space="0" w:color="auto"/>
                    <w:right w:val="none" w:sz="0" w:space="0" w:color="auto"/>
                  </w:divBdr>
                  <w:divsChild>
                    <w:div w:id="537011057">
                      <w:marLeft w:val="0"/>
                      <w:marRight w:val="0"/>
                      <w:marTop w:val="0"/>
                      <w:marBottom w:val="0"/>
                      <w:divBdr>
                        <w:top w:val="none" w:sz="0" w:space="0" w:color="auto"/>
                        <w:left w:val="none" w:sz="0" w:space="0" w:color="auto"/>
                        <w:bottom w:val="none" w:sz="0" w:space="0" w:color="auto"/>
                        <w:right w:val="none" w:sz="0" w:space="0" w:color="auto"/>
                      </w:divBdr>
                    </w:div>
                    <w:div w:id="1545868828">
                      <w:marLeft w:val="0"/>
                      <w:marRight w:val="0"/>
                      <w:marTop w:val="0"/>
                      <w:marBottom w:val="0"/>
                      <w:divBdr>
                        <w:top w:val="none" w:sz="0" w:space="0" w:color="auto"/>
                        <w:left w:val="none" w:sz="0" w:space="0" w:color="auto"/>
                        <w:bottom w:val="none" w:sz="0" w:space="0" w:color="auto"/>
                        <w:right w:val="none" w:sz="0" w:space="0" w:color="auto"/>
                      </w:divBdr>
                    </w:div>
                    <w:div w:id="1779181061">
                      <w:marLeft w:val="0"/>
                      <w:marRight w:val="0"/>
                      <w:marTop w:val="0"/>
                      <w:marBottom w:val="0"/>
                      <w:divBdr>
                        <w:top w:val="none" w:sz="0" w:space="0" w:color="auto"/>
                        <w:left w:val="none" w:sz="0" w:space="0" w:color="auto"/>
                        <w:bottom w:val="none" w:sz="0" w:space="0" w:color="auto"/>
                        <w:right w:val="none" w:sz="0" w:space="0" w:color="auto"/>
                      </w:divBdr>
                    </w:div>
                  </w:divsChild>
                </w:div>
                <w:div w:id="1075861492">
                  <w:marLeft w:val="0"/>
                  <w:marRight w:val="0"/>
                  <w:marTop w:val="0"/>
                  <w:marBottom w:val="0"/>
                  <w:divBdr>
                    <w:top w:val="none" w:sz="0" w:space="0" w:color="auto"/>
                    <w:left w:val="none" w:sz="0" w:space="0" w:color="auto"/>
                    <w:bottom w:val="none" w:sz="0" w:space="0" w:color="auto"/>
                    <w:right w:val="none" w:sz="0" w:space="0" w:color="auto"/>
                  </w:divBdr>
                  <w:divsChild>
                    <w:div w:id="1905333915">
                      <w:marLeft w:val="0"/>
                      <w:marRight w:val="0"/>
                      <w:marTop w:val="0"/>
                      <w:marBottom w:val="0"/>
                      <w:divBdr>
                        <w:top w:val="none" w:sz="0" w:space="0" w:color="auto"/>
                        <w:left w:val="none" w:sz="0" w:space="0" w:color="auto"/>
                        <w:bottom w:val="none" w:sz="0" w:space="0" w:color="auto"/>
                        <w:right w:val="none" w:sz="0" w:space="0" w:color="auto"/>
                      </w:divBdr>
                    </w:div>
                  </w:divsChild>
                </w:div>
                <w:div w:id="1142310890">
                  <w:marLeft w:val="0"/>
                  <w:marRight w:val="0"/>
                  <w:marTop w:val="0"/>
                  <w:marBottom w:val="0"/>
                  <w:divBdr>
                    <w:top w:val="none" w:sz="0" w:space="0" w:color="auto"/>
                    <w:left w:val="none" w:sz="0" w:space="0" w:color="auto"/>
                    <w:bottom w:val="none" w:sz="0" w:space="0" w:color="auto"/>
                    <w:right w:val="none" w:sz="0" w:space="0" w:color="auto"/>
                  </w:divBdr>
                  <w:divsChild>
                    <w:div w:id="1664239836">
                      <w:marLeft w:val="0"/>
                      <w:marRight w:val="0"/>
                      <w:marTop w:val="0"/>
                      <w:marBottom w:val="0"/>
                      <w:divBdr>
                        <w:top w:val="none" w:sz="0" w:space="0" w:color="auto"/>
                        <w:left w:val="none" w:sz="0" w:space="0" w:color="auto"/>
                        <w:bottom w:val="none" w:sz="0" w:space="0" w:color="auto"/>
                        <w:right w:val="none" w:sz="0" w:space="0" w:color="auto"/>
                      </w:divBdr>
                    </w:div>
                  </w:divsChild>
                </w:div>
                <w:div w:id="1680304149">
                  <w:marLeft w:val="0"/>
                  <w:marRight w:val="0"/>
                  <w:marTop w:val="0"/>
                  <w:marBottom w:val="0"/>
                  <w:divBdr>
                    <w:top w:val="none" w:sz="0" w:space="0" w:color="auto"/>
                    <w:left w:val="none" w:sz="0" w:space="0" w:color="auto"/>
                    <w:bottom w:val="none" w:sz="0" w:space="0" w:color="auto"/>
                    <w:right w:val="none" w:sz="0" w:space="0" w:color="auto"/>
                  </w:divBdr>
                  <w:divsChild>
                    <w:div w:id="1878543461">
                      <w:marLeft w:val="0"/>
                      <w:marRight w:val="0"/>
                      <w:marTop w:val="0"/>
                      <w:marBottom w:val="0"/>
                      <w:divBdr>
                        <w:top w:val="none" w:sz="0" w:space="0" w:color="auto"/>
                        <w:left w:val="none" w:sz="0" w:space="0" w:color="auto"/>
                        <w:bottom w:val="none" w:sz="0" w:space="0" w:color="auto"/>
                        <w:right w:val="none" w:sz="0" w:space="0" w:color="auto"/>
                      </w:divBdr>
                    </w:div>
                  </w:divsChild>
                </w:div>
                <w:div w:id="1821076547">
                  <w:marLeft w:val="0"/>
                  <w:marRight w:val="0"/>
                  <w:marTop w:val="0"/>
                  <w:marBottom w:val="0"/>
                  <w:divBdr>
                    <w:top w:val="none" w:sz="0" w:space="0" w:color="auto"/>
                    <w:left w:val="none" w:sz="0" w:space="0" w:color="auto"/>
                    <w:bottom w:val="none" w:sz="0" w:space="0" w:color="auto"/>
                    <w:right w:val="none" w:sz="0" w:space="0" w:color="auto"/>
                  </w:divBdr>
                  <w:divsChild>
                    <w:div w:id="778451796">
                      <w:marLeft w:val="0"/>
                      <w:marRight w:val="0"/>
                      <w:marTop w:val="0"/>
                      <w:marBottom w:val="0"/>
                      <w:divBdr>
                        <w:top w:val="none" w:sz="0" w:space="0" w:color="auto"/>
                        <w:left w:val="none" w:sz="0" w:space="0" w:color="auto"/>
                        <w:bottom w:val="none" w:sz="0" w:space="0" w:color="auto"/>
                        <w:right w:val="none" w:sz="0" w:space="0" w:color="auto"/>
                      </w:divBdr>
                    </w:div>
                    <w:div w:id="2108033631">
                      <w:marLeft w:val="0"/>
                      <w:marRight w:val="0"/>
                      <w:marTop w:val="0"/>
                      <w:marBottom w:val="0"/>
                      <w:divBdr>
                        <w:top w:val="none" w:sz="0" w:space="0" w:color="auto"/>
                        <w:left w:val="none" w:sz="0" w:space="0" w:color="auto"/>
                        <w:bottom w:val="none" w:sz="0" w:space="0" w:color="auto"/>
                        <w:right w:val="none" w:sz="0" w:space="0" w:color="auto"/>
                      </w:divBdr>
                    </w:div>
                  </w:divsChild>
                </w:div>
                <w:div w:id="1856652893">
                  <w:marLeft w:val="0"/>
                  <w:marRight w:val="0"/>
                  <w:marTop w:val="0"/>
                  <w:marBottom w:val="0"/>
                  <w:divBdr>
                    <w:top w:val="none" w:sz="0" w:space="0" w:color="auto"/>
                    <w:left w:val="none" w:sz="0" w:space="0" w:color="auto"/>
                    <w:bottom w:val="none" w:sz="0" w:space="0" w:color="auto"/>
                    <w:right w:val="none" w:sz="0" w:space="0" w:color="auto"/>
                  </w:divBdr>
                  <w:divsChild>
                    <w:div w:id="395978946">
                      <w:marLeft w:val="0"/>
                      <w:marRight w:val="0"/>
                      <w:marTop w:val="0"/>
                      <w:marBottom w:val="0"/>
                      <w:divBdr>
                        <w:top w:val="none" w:sz="0" w:space="0" w:color="auto"/>
                        <w:left w:val="none" w:sz="0" w:space="0" w:color="auto"/>
                        <w:bottom w:val="none" w:sz="0" w:space="0" w:color="auto"/>
                        <w:right w:val="none" w:sz="0" w:space="0" w:color="auto"/>
                      </w:divBdr>
                    </w:div>
                    <w:div w:id="1095898791">
                      <w:marLeft w:val="0"/>
                      <w:marRight w:val="0"/>
                      <w:marTop w:val="0"/>
                      <w:marBottom w:val="0"/>
                      <w:divBdr>
                        <w:top w:val="none" w:sz="0" w:space="0" w:color="auto"/>
                        <w:left w:val="none" w:sz="0" w:space="0" w:color="auto"/>
                        <w:bottom w:val="none" w:sz="0" w:space="0" w:color="auto"/>
                        <w:right w:val="none" w:sz="0" w:space="0" w:color="auto"/>
                      </w:divBdr>
                    </w:div>
                    <w:div w:id="1724718839">
                      <w:marLeft w:val="0"/>
                      <w:marRight w:val="0"/>
                      <w:marTop w:val="0"/>
                      <w:marBottom w:val="0"/>
                      <w:divBdr>
                        <w:top w:val="none" w:sz="0" w:space="0" w:color="auto"/>
                        <w:left w:val="none" w:sz="0" w:space="0" w:color="auto"/>
                        <w:bottom w:val="none" w:sz="0" w:space="0" w:color="auto"/>
                        <w:right w:val="none" w:sz="0" w:space="0" w:color="auto"/>
                      </w:divBdr>
                    </w:div>
                    <w:div w:id="1770468794">
                      <w:marLeft w:val="0"/>
                      <w:marRight w:val="0"/>
                      <w:marTop w:val="0"/>
                      <w:marBottom w:val="0"/>
                      <w:divBdr>
                        <w:top w:val="none" w:sz="0" w:space="0" w:color="auto"/>
                        <w:left w:val="none" w:sz="0" w:space="0" w:color="auto"/>
                        <w:bottom w:val="none" w:sz="0" w:space="0" w:color="auto"/>
                        <w:right w:val="none" w:sz="0" w:space="0" w:color="auto"/>
                      </w:divBdr>
                    </w:div>
                  </w:divsChild>
                </w:div>
                <w:div w:id="1932740788">
                  <w:marLeft w:val="0"/>
                  <w:marRight w:val="0"/>
                  <w:marTop w:val="0"/>
                  <w:marBottom w:val="0"/>
                  <w:divBdr>
                    <w:top w:val="none" w:sz="0" w:space="0" w:color="auto"/>
                    <w:left w:val="none" w:sz="0" w:space="0" w:color="auto"/>
                    <w:bottom w:val="none" w:sz="0" w:space="0" w:color="auto"/>
                    <w:right w:val="none" w:sz="0" w:space="0" w:color="auto"/>
                  </w:divBdr>
                  <w:divsChild>
                    <w:div w:id="1785228782">
                      <w:marLeft w:val="0"/>
                      <w:marRight w:val="0"/>
                      <w:marTop w:val="0"/>
                      <w:marBottom w:val="0"/>
                      <w:divBdr>
                        <w:top w:val="none" w:sz="0" w:space="0" w:color="auto"/>
                        <w:left w:val="none" w:sz="0" w:space="0" w:color="auto"/>
                        <w:bottom w:val="none" w:sz="0" w:space="0" w:color="auto"/>
                        <w:right w:val="none" w:sz="0" w:space="0" w:color="auto"/>
                      </w:divBdr>
                    </w:div>
                  </w:divsChild>
                </w:div>
                <w:div w:id="2050493500">
                  <w:marLeft w:val="0"/>
                  <w:marRight w:val="0"/>
                  <w:marTop w:val="0"/>
                  <w:marBottom w:val="0"/>
                  <w:divBdr>
                    <w:top w:val="none" w:sz="0" w:space="0" w:color="auto"/>
                    <w:left w:val="none" w:sz="0" w:space="0" w:color="auto"/>
                    <w:bottom w:val="none" w:sz="0" w:space="0" w:color="auto"/>
                    <w:right w:val="none" w:sz="0" w:space="0" w:color="auto"/>
                  </w:divBdr>
                  <w:divsChild>
                    <w:div w:id="19873230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53449488">
          <w:marLeft w:val="0"/>
          <w:marRight w:val="0"/>
          <w:marTop w:val="0"/>
          <w:marBottom w:val="0"/>
          <w:divBdr>
            <w:top w:val="none" w:sz="0" w:space="0" w:color="auto"/>
            <w:left w:val="none" w:sz="0" w:space="0" w:color="auto"/>
            <w:bottom w:val="none" w:sz="0" w:space="0" w:color="auto"/>
            <w:right w:val="none" w:sz="0" w:space="0" w:color="auto"/>
          </w:divBdr>
          <w:divsChild>
            <w:div w:id="634024536">
              <w:marLeft w:val="0"/>
              <w:marRight w:val="0"/>
              <w:marTop w:val="0"/>
              <w:marBottom w:val="0"/>
              <w:divBdr>
                <w:top w:val="none" w:sz="0" w:space="0" w:color="auto"/>
                <w:left w:val="none" w:sz="0" w:space="0" w:color="auto"/>
                <w:bottom w:val="none" w:sz="0" w:space="0" w:color="auto"/>
                <w:right w:val="none" w:sz="0" w:space="0" w:color="auto"/>
              </w:divBdr>
            </w:div>
            <w:div w:id="841167245">
              <w:marLeft w:val="0"/>
              <w:marRight w:val="0"/>
              <w:marTop w:val="0"/>
              <w:marBottom w:val="0"/>
              <w:divBdr>
                <w:top w:val="none" w:sz="0" w:space="0" w:color="auto"/>
                <w:left w:val="none" w:sz="0" w:space="0" w:color="auto"/>
                <w:bottom w:val="none" w:sz="0" w:space="0" w:color="auto"/>
                <w:right w:val="none" w:sz="0" w:space="0" w:color="auto"/>
              </w:divBdr>
            </w:div>
            <w:div w:id="866480383">
              <w:marLeft w:val="0"/>
              <w:marRight w:val="0"/>
              <w:marTop w:val="0"/>
              <w:marBottom w:val="0"/>
              <w:divBdr>
                <w:top w:val="none" w:sz="0" w:space="0" w:color="auto"/>
                <w:left w:val="none" w:sz="0" w:space="0" w:color="auto"/>
                <w:bottom w:val="none" w:sz="0" w:space="0" w:color="auto"/>
                <w:right w:val="none" w:sz="0" w:space="0" w:color="auto"/>
              </w:divBdr>
            </w:div>
            <w:div w:id="1109197744">
              <w:marLeft w:val="0"/>
              <w:marRight w:val="0"/>
              <w:marTop w:val="0"/>
              <w:marBottom w:val="0"/>
              <w:divBdr>
                <w:top w:val="none" w:sz="0" w:space="0" w:color="auto"/>
                <w:left w:val="none" w:sz="0" w:space="0" w:color="auto"/>
                <w:bottom w:val="none" w:sz="0" w:space="0" w:color="auto"/>
                <w:right w:val="none" w:sz="0" w:space="0" w:color="auto"/>
              </w:divBdr>
            </w:div>
            <w:div w:id="1302729514">
              <w:marLeft w:val="0"/>
              <w:marRight w:val="0"/>
              <w:marTop w:val="0"/>
              <w:marBottom w:val="0"/>
              <w:divBdr>
                <w:top w:val="none" w:sz="0" w:space="0" w:color="auto"/>
                <w:left w:val="none" w:sz="0" w:space="0" w:color="auto"/>
                <w:bottom w:val="none" w:sz="0" w:space="0" w:color="auto"/>
                <w:right w:val="none" w:sz="0" w:space="0" w:color="auto"/>
              </w:divBdr>
            </w:div>
            <w:div w:id="1426262338">
              <w:marLeft w:val="0"/>
              <w:marRight w:val="0"/>
              <w:marTop w:val="0"/>
              <w:marBottom w:val="0"/>
              <w:divBdr>
                <w:top w:val="none" w:sz="0" w:space="0" w:color="auto"/>
                <w:left w:val="none" w:sz="0" w:space="0" w:color="auto"/>
                <w:bottom w:val="none" w:sz="0" w:space="0" w:color="auto"/>
                <w:right w:val="none" w:sz="0" w:space="0" w:color="auto"/>
              </w:divBdr>
            </w:div>
            <w:div w:id="1864588617">
              <w:marLeft w:val="0"/>
              <w:marRight w:val="0"/>
              <w:marTop w:val="0"/>
              <w:marBottom w:val="0"/>
              <w:divBdr>
                <w:top w:val="none" w:sz="0" w:space="0" w:color="auto"/>
                <w:left w:val="none" w:sz="0" w:space="0" w:color="auto"/>
                <w:bottom w:val="none" w:sz="0" w:space="0" w:color="auto"/>
                <w:right w:val="none" w:sz="0" w:space="0" w:color="auto"/>
              </w:divBdr>
            </w:div>
          </w:divsChild>
        </w:div>
        <w:div w:id="1581521882">
          <w:marLeft w:val="0"/>
          <w:marRight w:val="0"/>
          <w:marTop w:val="0"/>
          <w:marBottom w:val="0"/>
          <w:divBdr>
            <w:top w:val="none" w:sz="0" w:space="0" w:color="auto"/>
            <w:left w:val="none" w:sz="0" w:space="0" w:color="auto"/>
            <w:bottom w:val="none" w:sz="0" w:space="0" w:color="auto"/>
            <w:right w:val="none" w:sz="0" w:space="0" w:color="auto"/>
          </w:divBdr>
        </w:div>
        <w:div w:id="1599023453">
          <w:marLeft w:val="0"/>
          <w:marRight w:val="0"/>
          <w:marTop w:val="0"/>
          <w:marBottom w:val="0"/>
          <w:divBdr>
            <w:top w:val="none" w:sz="0" w:space="0" w:color="auto"/>
            <w:left w:val="none" w:sz="0" w:space="0" w:color="auto"/>
            <w:bottom w:val="none" w:sz="0" w:space="0" w:color="auto"/>
            <w:right w:val="none" w:sz="0" w:space="0" w:color="auto"/>
          </w:divBdr>
          <w:divsChild>
            <w:div w:id="86117422">
              <w:marLeft w:val="-75"/>
              <w:marRight w:val="0"/>
              <w:marTop w:val="30"/>
              <w:marBottom w:val="30"/>
              <w:divBdr>
                <w:top w:val="none" w:sz="0" w:space="0" w:color="auto"/>
                <w:left w:val="none" w:sz="0" w:space="0" w:color="auto"/>
                <w:bottom w:val="none" w:sz="0" w:space="0" w:color="auto"/>
                <w:right w:val="none" w:sz="0" w:space="0" w:color="auto"/>
              </w:divBdr>
              <w:divsChild>
                <w:div w:id="1619994996">
                  <w:marLeft w:val="0"/>
                  <w:marRight w:val="0"/>
                  <w:marTop w:val="0"/>
                  <w:marBottom w:val="0"/>
                  <w:divBdr>
                    <w:top w:val="none" w:sz="0" w:space="0" w:color="auto"/>
                    <w:left w:val="none" w:sz="0" w:space="0" w:color="auto"/>
                    <w:bottom w:val="none" w:sz="0" w:space="0" w:color="auto"/>
                    <w:right w:val="none" w:sz="0" w:space="0" w:color="auto"/>
                  </w:divBdr>
                  <w:divsChild>
                    <w:div w:id="1299339186">
                      <w:marLeft w:val="0"/>
                      <w:marRight w:val="0"/>
                      <w:marTop w:val="0"/>
                      <w:marBottom w:val="0"/>
                      <w:divBdr>
                        <w:top w:val="none" w:sz="0" w:space="0" w:color="auto"/>
                        <w:left w:val="none" w:sz="0" w:space="0" w:color="auto"/>
                        <w:bottom w:val="none" w:sz="0" w:space="0" w:color="auto"/>
                        <w:right w:val="none" w:sz="0" w:space="0" w:color="auto"/>
                      </w:divBdr>
                    </w:div>
                  </w:divsChild>
                </w:div>
                <w:div w:id="1878738069">
                  <w:marLeft w:val="0"/>
                  <w:marRight w:val="0"/>
                  <w:marTop w:val="0"/>
                  <w:marBottom w:val="0"/>
                  <w:divBdr>
                    <w:top w:val="none" w:sz="0" w:space="0" w:color="auto"/>
                    <w:left w:val="none" w:sz="0" w:space="0" w:color="auto"/>
                    <w:bottom w:val="none" w:sz="0" w:space="0" w:color="auto"/>
                    <w:right w:val="none" w:sz="0" w:space="0" w:color="auto"/>
                  </w:divBdr>
                  <w:divsChild>
                    <w:div w:id="15980571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60991636">
          <w:marLeft w:val="0"/>
          <w:marRight w:val="0"/>
          <w:marTop w:val="0"/>
          <w:marBottom w:val="0"/>
          <w:divBdr>
            <w:top w:val="none" w:sz="0" w:space="0" w:color="auto"/>
            <w:left w:val="none" w:sz="0" w:space="0" w:color="auto"/>
            <w:bottom w:val="none" w:sz="0" w:space="0" w:color="auto"/>
            <w:right w:val="none" w:sz="0" w:space="0" w:color="auto"/>
          </w:divBdr>
        </w:div>
      </w:divsChild>
    </w:div>
    <w:div w:id="36047117">
      <w:bodyDiv w:val="1"/>
      <w:marLeft w:val="0"/>
      <w:marRight w:val="0"/>
      <w:marTop w:val="0"/>
      <w:marBottom w:val="0"/>
      <w:divBdr>
        <w:top w:val="none" w:sz="0" w:space="0" w:color="auto"/>
        <w:left w:val="none" w:sz="0" w:space="0" w:color="auto"/>
        <w:bottom w:val="none" w:sz="0" w:space="0" w:color="auto"/>
        <w:right w:val="none" w:sz="0" w:space="0" w:color="auto"/>
      </w:divBdr>
    </w:div>
    <w:div w:id="42099503">
      <w:bodyDiv w:val="1"/>
      <w:marLeft w:val="0"/>
      <w:marRight w:val="0"/>
      <w:marTop w:val="0"/>
      <w:marBottom w:val="0"/>
      <w:divBdr>
        <w:top w:val="none" w:sz="0" w:space="0" w:color="auto"/>
        <w:left w:val="none" w:sz="0" w:space="0" w:color="auto"/>
        <w:bottom w:val="none" w:sz="0" w:space="0" w:color="auto"/>
        <w:right w:val="none" w:sz="0" w:space="0" w:color="auto"/>
      </w:divBdr>
    </w:div>
    <w:div w:id="57480722">
      <w:bodyDiv w:val="1"/>
      <w:marLeft w:val="0"/>
      <w:marRight w:val="0"/>
      <w:marTop w:val="0"/>
      <w:marBottom w:val="0"/>
      <w:divBdr>
        <w:top w:val="none" w:sz="0" w:space="0" w:color="auto"/>
        <w:left w:val="none" w:sz="0" w:space="0" w:color="auto"/>
        <w:bottom w:val="none" w:sz="0" w:space="0" w:color="auto"/>
        <w:right w:val="none" w:sz="0" w:space="0" w:color="auto"/>
      </w:divBdr>
    </w:div>
    <w:div w:id="58746818">
      <w:bodyDiv w:val="1"/>
      <w:marLeft w:val="0"/>
      <w:marRight w:val="0"/>
      <w:marTop w:val="0"/>
      <w:marBottom w:val="0"/>
      <w:divBdr>
        <w:top w:val="none" w:sz="0" w:space="0" w:color="auto"/>
        <w:left w:val="none" w:sz="0" w:space="0" w:color="auto"/>
        <w:bottom w:val="none" w:sz="0" w:space="0" w:color="auto"/>
        <w:right w:val="none" w:sz="0" w:space="0" w:color="auto"/>
      </w:divBdr>
    </w:div>
    <w:div w:id="74060159">
      <w:bodyDiv w:val="1"/>
      <w:marLeft w:val="0"/>
      <w:marRight w:val="0"/>
      <w:marTop w:val="0"/>
      <w:marBottom w:val="0"/>
      <w:divBdr>
        <w:top w:val="none" w:sz="0" w:space="0" w:color="auto"/>
        <w:left w:val="none" w:sz="0" w:space="0" w:color="auto"/>
        <w:bottom w:val="none" w:sz="0" w:space="0" w:color="auto"/>
        <w:right w:val="none" w:sz="0" w:space="0" w:color="auto"/>
      </w:divBdr>
    </w:div>
    <w:div w:id="78411212">
      <w:bodyDiv w:val="1"/>
      <w:marLeft w:val="0"/>
      <w:marRight w:val="0"/>
      <w:marTop w:val="0"/>
      <w:marBottom w:val="0"/>
      <w:divBdr>
        <w:top w:val="none" w:sz="0" w:space="0" w:color="auto"/>
        <w:left w:val="none" w:sz="0" w:space="0" w:color="auto"/>
        <w:bottom w:val="none" w:sz="0" w:space="0" w:color="auto"/>
        <w:right w:val="none" w:sz="0" w:space="0" w:color="auto"/>
      </w:divBdr>
    </w:div>
    <w:div w:id="78600944">
      <w:bodyDiv w:val="1"/>
      <w:marLeft w:val="0"/>
      <w:marRight w:val="0"/>
      <w:marTop w:val="0"/>
      <w:marBottom w:val="0"/>
      <w:divBdr>
        <w:top w:val="none" w:sz="0" w:space="0" w:color="auto"/>
        <w:left w:val="none" w:sz="0" w:space="0" w:color="auto"/>
        <w:bottom w:val="none" w:sz="0" w:space="0" w:color="auto"/>
        <w:right w:val="none" w:sz="0" w:space="0" w:color="auto"/>
      </w:divBdr>
    </w:div>
    <w:div w:id="85198372">
      <w:bodyDiv w:val="1"/>
      <w:marLeft w:val="0"/>
      <w:marRight w:val="0"/>
      <w:marTop w:val="0"/>
      <w:marBottom w:val="0"/>
      <w:divBdr>
        <w:top w:val="none" w:sz="0" w:space="0" w:color="auto"/>
        <w:left w:val="none" w:sz="0" w:space="0" w:color="auto"/>
        <w:bottom w:val="none" w:sz="0" w:space="0" w:color="auto"/>
        <w:right w:val="none" w:sz="0" w:space="0" w:color="auto"/>
      </w:divBdr>
    </w:div>
    <w:div w:id="89278199">
      <w:bodyDiv w:val="1"/>
      <w:marLeft w:val="0"/>
      <w:marRight w:val="0"/>
      <w:marTop w:val="0"/>
      <w:marBottom w:val="0"/>
      <w:divBdr>
        <w:top w:val="none" w:sz="0" w:space="0" w:color="auto"/>
        <w:left w:val="none" w:sz="0" w:space="0" w:color="auto"/>
        <w:bottom w:val="none" w:sz="0" w:space="0" w:color="auto"/>
        <w:right w:val="none" w:sz="0" w:space="0" w:color="auto"/>
      </w:divBdr>
    </w:div>
    <w:div w:id="90592260">
      <w:bodyDiv w:val="1"/>
      <w:marLeft w:val="0"/>
      <w:marRight w:val="0"/>
      <w:marTop w:val="0"/>
      <w:marBottom w:val="0"/>
      <w:divBdr>
        <w:top w:val="none" w:sz="0" w:space="0" w:color="auto"/>
        <w:left w:val="none" w:sz="0" w:space="0" w:color="auto"/>
        <w:bottom w:val="none" w:sz="0" w:space="0" w:color="auto"/>
        <w:right w:val="none" w:sz="0" w:space="0" w:color="auto"/>
      </w:divBdr>
    </w:div>
    <w:div w:id="94175793">
      <w:bodyDiv w:val="1"/>
      <w:marLeft w:val="0"/>
      <w:marRight w:val="0"/>
      <w:marTop w:val="0"/>
      <w:marBottom w:val="0"/>
      <w:divBdr>
        <w:top w:val="none" w:sz="0" w:space="0" w:color="auto"/>
        <w:left w:val="none" w:sz="0" w:space="0" w:color="auto"/>
        <w:bottom w:val="none" w:sz="0" w:space="0" w:color="auto"/>
        <w:right w:val="none" w:sz="0" w:space="0" w:color="auto"/>
      </w:divBdr>
    </w:div>
    <w:div w:id="96681575">
      <w:bodyDiv w:val="1"/>
      <w:marLeft w:val="0"/>
      <w:marRight w:val="0"/>
      <w:marTop w:val="0"/>
      <w:marBottom w:val="0"/>
      <w:divBdr>
        <w:top w:val="none" w:sz="0" w:space="0" w:color="auto"/>
        <w:left w:val="none" w:sz="0" w:space="0" w:color="auto"/>
        <w:bottom w:val="none" w:sz="0" w:space="0" w:color="auto"/>
        <w:right w:val="none" w:sz="0" w:space="0" w:color="auto"/>
      </w:divBdr>
    </w:div>
    <w:div w:id="108015613">
      <w:bodyDiv w:val="1"/>
      <w:marLeft w:val="0"/>
      <w:marRight w:val="0"/>
      <w:marTop w:val="0"/>
      <w:marBottom w:val="0"/>
      <w:divBdr>
        <w:top w:val="none" w:sz="0" w:space="0" w:color="auto"/>
        <w:left w:val="none" w:sz="0" w:space="0" w:color="auto"/>
        <w:bottom w:val="none" w:sz="0" w:space="0" w:color="auto"/>
        <w:right w:val="none" w:sz="0" w:space="0" w:color="auto"/>
      </w:divBdr>
    </w:div>
    <w:div w:id="108744037">
      <w:bodyDiv w:val="1"/>
      <w:marLeft w:val="0"/>
      <w:marRight w:val="0"/>
      <w:marTop w:val="0"/>
      <w:marBottom w:val="0"/>
      <w:divBdr>
        <w:top w:val="none" w:sz="0" w:space="0" w:color="auto"/>
        <w:left w:val="none" w:sz="0" w:space="0" w:color="auto"/>
        <w:bottom w:val="none" w:sz="0" w:space="0" w:color="auto"/>
        <w:right w:val="none" w:sz="0" w:space="0" w:color="auto"/>
      </w:divBdr>
    </w:div>
    <w:div w:id="117384669">
      <w:bodyDiv w:val="1"/>
      <w:marLeft w:val="0"/>
      <w:marRight w:val="0"/>
      <w:marTop w:val="0"/>
      <w:marBottom w:val="0"/>
      <w:divBdr>
        <w:top w:val="none" w:sz="0" w:space="0" w:color="auto"/>
        <w:left w:val="none" w:sz="0" w:space="0" w:color="auto"/>
        <w:bottom w:val="none" w:sz="0" w:space="0" w:color="auto"/>
        <w:right w:val="none" w:sz="0" w:space="0" w:color="auto"/>
      </w:divBdr>
    </w:div>
    <w:div w:id="117726749">
      <w:bodyDiv w:val="1"/>
      <w:marLeft w:val="0"/>
      <w:marRight w:val="0"/>
      <w:marTop w:val="0"/>
      <w:marBottom w:val="0"/>
      <w:divBdr>
        <w:top w:val="none" w:sz="0" w:space="0" w:color="auto"/>
        <w:left w:val="none" w:sz="0" w:space="0" w:color="auto"/>
        <w:bottom w:val="none" w:sz="0" w:space="0" w:color="auto"/>
        <w:right w:val="none" w:sz="0" w:space="0" w:color="auto"/>
      </w:divBdr>
      <w:divsChild>
        <w:div w:id="1487697407">
          <w:marLeft w:val="0"/>
          <w:marRight w:val="0"/>
          <w:marTop w:val="0"/>
          <w:marBottom w:val="0"/>
          <w:divBdr>
            <w:top w:val="none" w:sz="0" w:space="0" w:color="auto"/>
            <w:left w:val="none" w:sz="0" w:space="0" w:color="auto"/>
            <w:bottom w:val="none" w:sz="0" w:space="0" w:color="auto"/>
            <w:right w:val="none" w:sz="0" w:space="0" w:color="auto"/>
          </w:divBdr>
        </w:div>
        <w:div w:id="1670475353">
          <w:marLeft w:val="0"/>
          <w:marRight w:val="0"/>
          <w:marTop w:val="0"/>
          <w:marBottom w:val="0"/>
          <w:divBdr>
            <w:top w:val="none" w:sz="0" w:space="0" w:color="auto"/>
            <w:left w:val="none" w:sz="0" w:space="0" w:color="auto"/>
            <w:bottom w:val="none" w:sz="0" w:space="0" w:color="auto"/>
            <w:right w:val="none" w:sz="0" w:space="0" w:color="auto"/>
          </w:divBdr>
        </w:div>
      </w:divsChild>
    </w:div>
    <w:div w:id="122580303">
      <w:bodyDiv w:val="1"/>
      <w:marLeft w:val="0"/>
      <w:marRight w:val="0"/>
      <w:marTop w:val="0"/>
      <w:marBottom w:val="0"/>
      <w:divBdr>
        <w:top w:val="none" w:sz="0" w:space="0" w:color="auto"/>
        <w:left w:val="none" w:sz="0" w:space="0" w:color="auto"/>
        <w:bottom w:val="none" w:sz="0" w:space="0" w:color="auto"/>
        <w:right w:val="none" w:sz="0" w:space="0" w:color="auto"/>
      </w:divBdr>
      <w:divsChild>
        <w:div w:id="1545143126">
          <w:marLeft w:val="0"/>
          <w:marRight w:val="0"/>
          <w:marTop w:val="0"/>
          <w:marBottom w:val="0"/>
          <w:divBdr>
            <w:top w:val="none" w:sz="0" w:space="0" w:color="auto"/>
            <w:left w:val="none" w:sz="0" w:space="0" w:color="auto"/>
            <w:bottom w:val="none" w:sz="0" w:space="0" w:color="auto"/>
            <w:right w:val="none" w:sz="0" w:space="0" w:color="auto"/>
          </w:divBdr>
          <w:divsChild>
            <w:div w:id="17474539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5977166">
      <w:bodyDiv w:val="1"/>
      <w:marLeft w:val="0"/>
      <w:marRight w:val="0"/>
      <w:marTop w:val="0"/>
      <w:marBottom w:val="0"/>
      <w:divBdr>
        <w:top w:val="none" w:sz="0" w:space="0" w:color="auto"/>
        <w:left w:val="none" w:sz="0" w:space="0" w:color="auto"/>
        <w:bottom w:val="none" w:sz="0" w:space="0" w:color="auto"/>
        <w:right w:val="none" w:sz="0" w:space="0" w:color="auto"/>
      </w:divBdr>
    </w:div>
    <w:div w:id="136072908">
      <w:bodyDiv w:val="1"/>
      <w:marLeft w:val="0"/>
      <w:marRight w:val="0"/>
      <w:marTop w:val="0"/>
      <w:marBottom w:val="0"/>
      <w:divBdr>
        <w:top w:val="none" w:sz="0" w:space="0" w:color="auto"/>
        <w:left w:val="none" w:sz="0" w:space="0" w:color="auto"/>
        <w:bottom w:val="none" w:sz="0" w:space="0" w:color="auto"/>
        <w:right w:val="none" w:sz="0" w:space="0" w:color="auto"/>
      </w:divBdr>
    </w:div>
    <w:div w:id="139732110">
      <w:bodyDiv w:val="1"/>
      <w:marLeft w:val="0"/>
      <w:marRight w:val="0"/>
      <w:marTop w:val="0"/>
      <w:marBottom w:val="0"/>
      <w:divBdr>
        <w:top w:val="none" w:sz="0" w:space="0" w:color="auto"/>
        <w:left w:val="none" w:sz="0" w:space="0" w:color="auto"/>
        <w:bottom w:val="none" w:sz="0" w:space="0" w:color="auto"/>
        <w:right w:val="none" w:sz="0" w:space="0" w:color="auto"/>
      </w:divBdr>
    </w:div>
    <w:div w:id="159664789">
      <w:bodyDiv w:val="1"/>
      <w:marLeft w:val="0"/>
      <w:marRight w:val="0"/>
      <w:marTop w:val="0"/>
      <w:marBottom w:val="0"/>
      <w:divBdr>
        <w:top w:val="none" w:sz="0" w:space="0" w:color="auto"/>
        <w:left w:val="none" w:sz="0" w:space="0" w:color="auto"/>
        <w:bottom w:val="none" w:sz="0" w:space="0" w:color="auto"/>
        <w:right w:val="none" w:sz="0" w:space="0" w:color="auto"/>
      </w:divBdr>
    </w:div>
    <w:div w:id="161511097">
      <w:bodyDiv w:val="1"/>
      <w:marLeft w:val="0"/>
      <w:marRight w:val="0"/>
      <w:marTop w:val="0"/>
      <w:marBottom w:val="0"/>
      <w:divBdr>
        <w:top w:val="none" w:sz="0" w:space="0" w:color="auto"/>
        <w:left w:val="none" w:sz="0" w:space="0" w:color="auto"/>
        <w:bottom w:val="none" w:sz="0" w:space="0" w:color="auto"/>
        <w:right w:val="none" w:sz="0" w:space="0" w:color="auto"/>
      </w:divBdr>
    </w:div>
    <w:div w:id="187106196">
      <w:bodyDiv w:val="1"/>
      <w:marLeft w:val="0"/>
      <w:marRight w:val="0"/>
      <w:marTop w:val="0"/>
      <w:marBottom w:val="0"/>
      <w:divBdr>
        <w:top w:val="none" w:sz="0" w:space="0" w:color="auto"/>
        <w:left w:val="none" w:sz="0" w:space="0" w:color="auto"/>
        <w:bottom w:val="none" w:sz="0" w:space="0" w:color="auto"/>
        <w:right w:val="none" w:sz="0" w:space="0" w:color="auto"/>
      </w:divBdr>
    </w:div>
    <w:div w:id="193541526">
      <w:bodyDiv w:val="1"/>
      <w:marLeft w:val="0"/>
      <w:marRight w:val="0"/>
      <w:marTop w:val="0"/>
      <w:marBottom w:val="0"/>
      <w:divBdr>
        <w:top w:val="none" w:sz="0" w:space="0" w:color="auto"/>
        <w:left w:val="none" w:sz="0" w:space="0" w:color="auto"/>
        <w:bottom w:val="none" w:sz="0" w:space="0" w:color="auto"/>
        <w:right w:val="none" w:sz="0" w:space="0" w:color="auto"/>
      </w:divBdr>
    </w:div>
    <w:div w:id="207422605">
      <w:bodyDiv w:val="1"/>
      <w:marLeft w:val="0"/>
      <w:marRight w:val="0"/>
      <w:marTop w:val="0"/>
      <w:marBottom w:val="0"/>
      <w:divBdr>
        <w:top w:val="none" w:sz="0" w:space="0" w:color="auto"/>
        <w:left w:val="none" w:sz="0" w:space="0" w:color="auto"/>
        <w:bottom w:val="none" w:sz="0" w:space="0" w:color="auto"/>
        <w:right w:val="none" w:sz="0" w:space="0" w:color="auto"/>
      </w:divBdr>
    </w:div>
    <w:div w:id="214969992">
      <w:bodyDiv w:val="1"/>
      <w:marLeft w:val="0"/>
      <w:marRight w:val="0"/>
      <w:marTop w:val="0"/>
      <w:marBottom w:val="0"/>
      <w:divBdr>
        <w:top w:val="none" w:sz="0" w:space="0" w:color="auto"/>
        <w:left w:val="none" w:sz="0" w:space="0" w:color="auto"/>
        <w:bottom w:val="none" w:sz="0" w:space="0" w:color="auto"/>
        <w:right w:val="none" w:sz="0" w:space="0" w:color="auto"/>
      </w:divBdr>
    </w:div>
    <w:div w:id="218782887">
      <w:bodyDiv w:val="1"/>
      <w:marLeft w:val="0"/>
      <w:marRight w:val="0"/>
      <w:marTop w:val="0"/>
      <w:marBottom w:val="0"/>
      <w:divBdr>
        <w:top w:val="none" w:sz="0" w:space="0" w:color="auto"/>
        <w:left w:val="none" w:sz="0" w:space="0" w:color="auto"/>
        <w:bottom w:val="none" w:sz="0" w:space="0" w:color="auto"/>
        <w:right w:val="none" w:sz="0" w:space="0" w:color="auto"/>
      </w:divBdr>
    </w:div>
    <w:div w:id="222327493">
      <w:bodyDiv w:val="1"/>
      <w:marLeft w:val="0"/>
      <w:marRight w:val="0"/>
      <w:marTop w:val="0"/>
      <w:marBottom w:val="0"/>
      <w:divBdr>
        <w:top w:val="none" w:sz="0" w:space="0" w:color="auto"/>
        <w:left w:val="none" w:sz="0" w:space="0" w:color="auto"/>
        <w:bottom w:val="none" w:sz="0" w:space="0" w:color="auto"/>
        <w:right w:val="none" w:sz="0" w:space="0" w:color="auto"/>
      </w:divBdr>
    </w:div>
    <w:div w:id="238637449">
      <w:bodyDiv w:val="1"/>
      <w:marLeft w:val="0"/>
      <w:marRight w:val="0"/>
      <w:marTop w:val="0"/>
      <w:marBottom w:val="0"/>
      <w:divBdr>
        <w:top w:val="none" w:sz="0" w:space="0" w:color="auto"/>
        <w:left w:val="none" w:sz="0" w:space="0" w:color="auto"/>
        <w:bottom w:val="none" w:sz="0" w:space="0" w:color="auto"/>
        <w:right w:val="none" w:sz="0" w:space="0" w:color="auto"/>
      </w:divBdr>
    </w:div>
    <w:div w:id="246231687">
      <w:bodyDiv w:val="1"/>
      <w:marLeft w:val="0"/>
      <w:marRight w:val="0"/>
      <w:marTop w:val="0"/>
      <w:marBottom w:val="0"/>
      <w:divBdr>
        <w:top w:val="none" w:sz="0" w:space="0" w:color="auto"/>
        <w:left w:val="none" w:sz="0" w:space="0" w:color="auto"/>
        <w:bottom w:val="none" w:sz="0" w:space="0" w:color="auto"/>
        <w:right w:val="none" w:sz="0" w:space="0" w:color="auto"/>
      </w:divBdr>
      <w:divsChild>
        <w:div w:id="451482514">
          <w:marLeft w:val="0"/>
          <w:marRight w:val="0"/>
          <w:marTop w:val="0"/>
          <w:marBottom w:val="0"/>
          <w:divBdr>
            <w:top w:val="none" w:sz="0" w:space="0" w:color="auto"/>
            <w:left w:val="none" w:sz="0" w:space="0" w:color="auto"/>
            <w:bottom w:val="none" w:sz="0" w:space="0" w:color="auto"/>
            <w:right w:val="none" w:sz="0" w:space="0" w:color="auto"/>
          </w:divBdr>
        </w:div>
        <w:div w:id="712192536">
          <w:marLeft w:val="0"/>
          <w:marRight w:val="0"/>
          <w:marTop w:val="0"/>
          <w:marBottom w:val="0"/>
          <w:divBdr>
            <w:top w:val="none" w:sz="0" w:space="0" w:color="auto"/>
            <w:left w:val="none" w:sz="0" w:space="0" w:color="auto"/>
            <w:bottom w:val="none" w:sz="0" w:space="0" w:color="auto"/>
            <w:right w:val="none" w:sz="0" w:space="0" w:color="auto"/>
          </w:divBdr>
        </w:div>
        <w:div w:id="1457065363">
          <w:marLeft w:val="0"/>
          <w:marRight w:val="0"/>
          <w:marTop w:val="0"/>
          <w:marBottom w:val="0"/>
          <w:divBdr>
            <w:top w:val="none" w:sz="0" w:space="0" w:color="auto"/>
            <w:left w:val="none" w:sz="0" w:space="0" w:color="auto"/>
            <w:bottom w:val="none" w:sz="0" w:space="0" w:color="auto"/>
            <w:right w:val="none" w:sz="0" w:space="0" w:color="auto"/>
          </w:divBdr>
        </w:div>
        <w:div w:id="1768305274">
          <w:marLeft w:val="0"/>
          <w:marRight w:val="0"/>
          <w:marTop w:val="0"/>
          <w:marBottom w:val="0"/>
          <w:divBdr>
            <w:top w:val="none" w:sz="0" w:space="0" w:color="auto"/>
            <w:left w:val="none" w:sz="0" w:space="0" w:color="auto"/>
            <w:bottom w:val="none" w:sz="0" w:space="0" w:color="auto"/>
            <w:right w:val="none" w:sz="0" w:space="0" w:color="auto"/>
          </w:divBdr>
        </w:div>
      </w:divsChild>
    </w:div>
    <w:div w:id="247928466">
      <w:bodyDiv w:val="1"/>
      <w:marLeft w:val="0"/>
      <w:marRight w:val="0"/>
      <w:marTop w:val="0"/>
      <w:marBottom w:val="0"/>
      <w:divBdr>
        <w:top w:val="none" w:sz="0" w:space="0" w:color="auto"/>
        <w:left w:val="none" w:sz="0" w:space="0" w:color="auto"/>
        <w:bottom w:val="none" w:sz="0" w:space="0" w:color="auto"/>
        <w:right w:val="none" w:sz="0" w:space="0" w:color="auto"/>
      </w:divBdr>
    </w:div>
    <w:div w:id="249970762">
      <w:bodyDiv w:val="1"/>
      <w:marLeft w:val="0"/>
      <w:marRight w:val="0"/>
      <w:marTop w:val="0"/>
      <w:marBottom w:val="0"/>
      <w:divBdr>
        <w:top w:val="none" w:sz="0" w:space="0" w:color="auto"/>
        <w:left w:val="none" w:sz="0" w:space="0" w:color="auto"/>
        <w:bottom w:val="none" w:sz="0" w:space="0" w:color="auto"/>
        <w:right w:val="none" w:sz="0" w:space="0" w:color="auto"/>
      </w:divBdr>
    </w:div>
    <w:div w:id="254560090">
      <w:bodyDiv w:val="1"/>
      <w:marLeft w:val="0"/>
      <w:marRight w:val="0"/>
      <w:marTop w:val="0"/>
      <w:marBottom w:val="0"/>
      <w:divBdr>
        <w:top w:val="none" w:sz="0" w:space="0" w:color="auto"/>
        <w:left w:val="none" w:sz="0" w:space="0" w:color="auto"/>
        <w:bottom w:val="none" w:sz="0" w:space="0" w:color="auto"/>
        <w:right w:val="none" w:sz="0" w:space="0" w:color="auto"/>
      </w:divBdr>
    </w:div>
    <w:div w:id="259530189">
      <w:bodyDiv w:val="1"/>
      <w:marLeft w:val="0"/>
      <w:marRight w:val="0"/>
      <w:marTop w:val="0"/>
      <w:marBottom w:val="0"/>
      <w:divBdr>
        <w:top w:val="none" w:sz="0" w:space="0" w:color="auto"/>
        <w:left w:val="none" w:sz="0" w:space="0" w:color="auto"/>
        <w:bottom w:val="none" w:sz="0" w:space="0" w:color="auto"/>
        <w:right w:val="none" w:sz="0" w:space="0" w:color="auto"/>
      </w:divBdr>
    </w:div>
    <w:div w:id="267390458">
      <w:bodyDiv w:val="1"/>
      <w:marLeft w:val="0"/>
      <w:marRight w:val="0"/>
      <w:marTop w:val="0"/>
      <w:marBottom w:val="0"/>
      <w:divBdr>
        <w:top w:val="none" w:sz="0" w:space="0" w:color="auto"/>
        <w:left w:val="none" w:sz="0" w:space="0" w:color="auto"/>
        <w:bottom w:val="none" w:sz="0" w:space="0" w:color="auto"/>
        <w:right w:val="none" w:sz="0" w:space="0" w:color="auto"/>
      </w:divBdr>
      <w:divsChild>
        <w:div w:id="484009914">
          <w:marLeft w:val="0"/>
          <w:marRight w:val="0"/>
          <w:marTop w:val="0"/>
          <w:marBottom w:val="0"/>
          <w:divBdr>
            <w:top w:val="none" w:sz="0" w:space="0" w:color="auto"/>
            <w:left w:val="none" w:sz="0" w:space="0" w:color="auto"/>
            <w:bottom w:val="none" w:sz="0" w:space="0" w:color="auto"/>
            <w:right w:val="none" w:sz="0" w:space="0" w:color="auto"/>
          </w:divBdr>
          <w:divsChild>
            <w:div w:id="1677926970">
              <w:marLeft w:val="0"/>
              <w:marRight w:val="0"/>
              <w:marTop w:val="30"/>
              <w:marBottom w:val="30"/>
              <w:divBdr>
                <w:top w:val="none" w:sz="0" w:space="0" w:color="auto"/>
                <w:left w:val="none" w:sz="0" w:space="0" w:color="auto"/>
                <w:bottom w:val="none" w:sz="0" w:space="0" w:color="auto"/>
                <w:right w:val="none" w:sz="0" w:space="0" w:color="auto"/>
              </w:divBdr>
              <w:divsChild>
                <w:div w:id="416753733">
                  <w:marLeft w:val="0"/>
                  <w:marRight w:val="0"/>
                  <w:marTop w:val="0"/>
                  <w:marBottom w:val="0"/>
                  <w:divBdr>
                    <w:top w:val="none" w:sz="0" w:space="0" w:color="auto"/>
                    <w:left w:val="none" w:sz="0" w:space="0" w:color="auto"/>
                    <w:bottom w:val="none" w:sz="0" w:space="0" w:color="auto"/>
                    <w:right w:val="none" w:sz="0" w:space="0" w:color="auto"/>
                  </w:divBdr>
                  <w:divsChild>
                    <w:div w:id="2024045981">
                      <w:marLeft w:val="0"/>
                      <w:marRight w:val="0"/>
                      <w:marTop w:val="0"/>
                      <w:marBottom w:val="0"/>
                      <w:divBdr>
                        <w:top w:val="none" w:sz="0" w:space="0" w:color="auto"/>
                        <w:left w:val="none" w:sz="0" w:space="0" w:color="auto"/>
                        <w:bottom w:val="none" w:sz="0" w:space="0" w:color="auto"/>
                        <w:right w:val="none" w:sz="0" w:space="0" w:color="auto"/>
                      </w:divBdr>
                    </w:div>
                  </w:divsChild>
                </w:div>
                <w:div w:id="1519082272">
                  <w:marLeft w:val="0"/>
                  <w:marRight w:val="0"/>
                  <w:marTop w:val="0"/>
                  <w:marBottom w:val="0"/>
                  <w:divBdr>
                    <w:top w:val="none" w:sz="0" w:space="0" w:color="auto"/>
                    <w:left w:val="none" w:sz="0" w:space="0" w:color="auto"/>
                    <w:bottom w:val="none" w:sz="0" w:space="0" w:color="auto"/>
                    <w:right w:val="none" w:sz="0" w:space="0" w:color="auto"/>
                  </w:divBdr>
                  <w:divsChild>
                    <w:div w:id="3854907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17821307">
          <w:marLeft w:val="0"/>
          <w:marRight w:val="0"/>
          <w:marTop w:val="0"/>
          <w:marBottom w:val="0"/>
          <w:divBdr>
            <w:top w:val="none" w:sz="0" w:space="0" w:color="auto"/>
            <w:left w:val="none" w:sz="0" w:space="0" w:color="auto"/>
            <w:bottom w:val="none" w:sz="0" w:space="0" w:color="auto"/>
            <w:right w:val="none" w:sz="0" w:space="0" w:color="auto"/>
          </w:divBdr>
        </w:div>
        <w:div w:id="788360586">
          <w:marLeft w:val="0"/>
          <w:marRight w:val="0"/>
          <w:marTop w:val="0"/>
          <w:marBottom w:val="0"/>
          <w:divBdr>
            <w:top w:val="none" w:sz="0" w:space="0" w:color="auto"/>
            <w:left w:val="none" w:sz="0" w:space="0" w:color="auto"/>
            <w:bottom w:val="none" w:sz="0" w:space="0" w:color="auto"/>
            <w:right w:val="none" w:sz="0" w:space="0" w:color="auto"/>
          </w:divBdr>
          <w:divsChild>
            <w:div w:id="1635911231">
              <w:marLeft w:val="0"/>
              <w:marRight w:val="0"/>
              <w:marTop w:val="30"/>
              <w:marBottom w:val="30"/>
              <w:divBdr>
                <w:top w:val="none" w:sz="0" w:space="0" w:color="auto"/>
                <w:left w:val="none" w:sz="0" w:space="0" w:color="auto"/>
                <w:bottom w:val="none" w:sz="0" w:space="0" w:color="auto"/>
                <w:right w:val="none" w:sz="0" w:space="0" w:color="auto"/>
              </w:divBdr>
              <w:divsChild>
                <w:div w:id="183784411">
                  <w:marLeft w:val="0"/>
                  <w:marRight w:val="0"/>
                  <w:marTop w:val="0"/>
                  <w:marBottom w:val="0"/>
                  <w:divBdr>
                    <w:top w:val="none" w:sz="0" w:space="0" w:color="auto"/>
                    <w:left w:val="none" w:sz="0" w:space="0" w:color="auto"/>
                    <w:bottom w:val="none" w:sz="0" w:space="0" w:color="auto"/>
                    <w:right w:val="none" w:sz="0" w:space="0" w:color="auto"/>
                  </w:divBdr>
                  <w:divsChild>
                    <w:div w:id="768044467">
                      <w:marLeft w:val="0"/>
                      <w:marRight w:val="0"/>
                      <w:marTop w:val="0"/>
                      <w:marBottom w:val="0"/>
                      <w:divBdr>
                        <w:top w:val="none" w:sz="0" w:space="0" w:color="auto"/>
                        <w:left w:val="none" w:sz="0" w:space="0" w:color="auto"/>
                        <w:bottom w:val="none" w:sz="0" w:space="0" w:color="auto"/>
                        <w:right w:val="none" w:sz="0" w:space="0" w:color="auto"/>
                      </w:divBdr>
                    </w:div>
                  </w:divsChild>
                </w:div>
                <w:div w:id="260141808">
                  <w:marLeft w:val="0"/>
                  <w:marRight w:val="0"/>
                  <w:marTop w:val="0"/>
                  <w:marBottom w:val="0"/>
                  <w:divBdr>
                    <w:top w:val="none" w:sz="0" w:space="0" w:color="auto"/>
                    <w:left w:val="none" w:sz="0" w:space="0" w:color="auto"/>
                    <w:bottom w:val="none" w:sz="0" w:space="0" w:color="auto"/>
                    <w:right w:val="none" w:sz="0" w:space="0" w:color="auto"/>
                  </w:divBdr>
                  <w:divsChild>
                    <w:div w:id="1923638269">
                      <w:marLeft w:val="0"/>
                      <w:marRight w:val="0"/>
                      <w:marTop w:val="0"/>
                      <w:marBottom w:val="0"/>
                      <w:divBdr>
                        <w:top w:val="none" w:sz="0" w:space="0" w:color="auto"/>
                        <w:left w:val="none" w:sz="0" w:space="0" w:color="auto"/>
                        <w:bottom w:val="none" w:sz="0" w:space="0" w:color="auto"/>
                        <w:right w:val="none" w:sz="0" w:space="0" w:color="auto"/>
                      </w:divBdr>
                    </w:div>
                  </w:divsChild>
                </w:div>
                <w:div w:id="690033335">
                  <w:marLeft w:val="0"/>
                  <w:marRight w:val="0"/>
                  <w:marTop w:val="0"/>
                  <w:marBottom w:val="0"/>
                  <w:divBdr>
                    <w:top w:val="none" w:sz="0" w:space="0" w:color="auto"/>
                    <w:left w:val="none" w:sz="0" w:space="0" w:color="auto"/>
                    <w:bottom w:val="none" w:sz="0" w:space="0" w:color="auto"/>
                    <w:right w:val="none" w:sz="0" w:space="0" w:color="auto"/>
                  </w:divBdr>
                  <w:divsChild>
                    <w:div w:id="585386070">
                      <w:marLeft w:val="0"/>
                      <w:marRight w:val="0"/>
                      <w:marTop w:val="0"/>
                      <w:marBottom w:val="0"/>
                      <w:divBdr>
                        <w:top w:val="none" w:sz="0" w:space="0" w:color="auto"/>
                        <w:left w:val="none" w:sz="0" w:space="0" w:color="auto"/>
                        <w:bottom w:val="none" w:sz="0" w:space="0" w:color="auto"/>
                        <w:right w:val="none" w:sz="0" w:space="0" w:color="auto"/>
                      </w:divBdr>
                    </w:div>
                  </w:divsChild>
                </w:div>
                <w:div w:id="1157263868">
                  <w:marLeft w:val="0"/>
                  <w:marRight w:val="0"/>
                  <w:marTop w:val="0"/>
                  <w:marBottom w:val="0"/>
                  <w:divBdr>
                    <w:top w:val="none" w:sz="0" w:space="0" w:color="auto"/>
                    <w:left w:val="none" w:sz="0" w:space="0" w:color="auto"/>
                    <w:bottom w:val="none" w:sz="0" w:space="0" w:color="auto"/>
                    <w:right w:val="none" w:sz="0" w:space="0" w:color="auto"/>
                  </w:divBdr>
                  <w:divsChild>
                    <w:div w:id="89663322">
                      <w:marLeft w:val="0"/>
                      <w:marRight w:val="0"/>
                      <w:marTop w:val="0"/>
                      <w:marBottom w:val="0"/>
                      <w:divBdr>
                        <w:top w:val="none" w:sz="0" w:space="0" w:color="auto"/>
                        <w:left w:val="none" w:sz="0" w:space="0" w:color="auto"/>
                        <w:bottom w:val="none" w:sz="0" w:space="0" w:color="auto"/>
                        <w:right w:val="none" w:sz="0" w:space="0" w:color="auto"/>
                      </w:divBdr>
                    </w:div>
                  </w:divsChild>
                </w:div>
                <w:div w:id="1191266186">
                  <w:marLeft w:val="0"/>
                  <w:marRight w:val="0"/>
                  <w:marTop w:val="0"/>
                  <w:marBottom w:val="0"/>
                  <w:divBdr>
                    <w:top w:val="none" w:sz="0" w:space="0" w:color="auto"/>
                    <w:left w:val="none" w:sz="0" w:space="0" w:color="auto"/>
                    <w:bottom w:val="none" w:sz="0" w:space="0" w:color="auto"/>
                    <w:right w:val="none" w:sz="0" w:space="0" w:color="auto"/>
                  </w:divBdr>
                  <w:divsChild>
                    <w:div w:id="2101025522">
                      <w:marLeft w:val="0"/>
                      <w:marRight w:val="0"/>
                      <w:marTop w:val="0"/>
                      <w:marBottom w:val="0"/>
                      <w:divBdr>
                        <w:top w:val="none" w:sz="0" w:space="0" w:color="auto"/>
                        <w:left w:val="none" w:sz="0" w:space="0" w:color="auto"/>
                        <w:bottom w:val="none" w:sz="0" w:space="0" w:color="auto"/>
                        <w:right w:val="none" w:sz="0" w:space="0" w:color="auto"/>
                      </w:divBdr>
                    </w:div>
                  </w:divsChild>
                </w:div>
                <w:div w:id="1277449363">
                  <w:marLeft w:val="0"/>
                  <w:marRight w:val="0"/>
                  <w:marTop w:val="0"/>
                  <w:marBottom w:val="0"/>
                  <w:divBdr>
                    <w:top w:val="none" w:sz="0" w:space="0" w:color="auto"/>
                    <w:left w:val="none" w:sz="0" w:space="0" w:color="auto"/>
                    <w:bottom w:val="none" w:sz="0" w:space="0" w:color="auto"/>
                    <w:right w:val="none" w:sz="0" w:space="0" w:color="auto"/>
                  </w:divBdr>
                  <w:divsChild>
                    <w:div w:id="1646085510">
                      <w:marLeft w:val="0"/>
                      <w:marRight w:val="0"/>
                      <w:marTop w:val="0"/>
                      <w:marBottom w:val="0"/>
                      <w:divBdr>
                        <w:top w:val="none" w:sz="0" w:space="0" w:color="auto"/>
                        <w:left w:val="none" w:sz="0" w:space="0" w:color="auto"/>
                        <w:bottom w:val="none" w:sz="0" w:space="0" w:color="auto"/>
                        <w:right w:val="none" w:sz="0" w:space="0" w:color="auto"/>
                      </w:divBdr>
                    </w:div>
                  </w:divsChild>
                </w:div>
                <w:div w:id="1883786744">
                  <w:marLeft w:val="0"/>
                  <w:marRight w:val="0"/>
                  <w:marTop w:val="0"/>
                  <w:marBottom w:val="0"/>
                  <w:divBdr>
                    <w:top w:val="none" w:sz="0" w:space="0" w:color="auto"/>
                    <w:left w:val="none" w:sz="0" w:space="0" w:color="auto"/>
                    <w:bottom w:val="none" w:sz="0" w:space="0" w:color="auto"/>
                    <w:right w:val="none" w:sz="0" w:space="0" w:color="auto"/>
                  </w:divBdr>
                  <w:divsChild>
                    <w:div w:id="171842438">
                      <w:marLeft w:val="0"/>
                      <w:marRight w:val="0"/>
                      <w:marTop w:val="0"/>
                      <w:marBottom w:val="0"/>
                      <w:divBdr>
                        <w:top w:val="none" w:sz="0" w:space="0" w:color="auto"/>
                        <w:left w:val="none" w:sz="0" w:space="0" w:color="auto"/>
                        <w:bottom w:val="none" w:sz="0" w:space="0" w:color="auto"/>
                        <w:right w:val="none" w:sz="0" w:space="0" w:color="auto"/>
                      </w:divBdr>
                    </w:div>
                  </w:divsChild>
                </w:div>
                <w:div w:id="2070300646">
                  <w:marLeft w:val="0"/>
                  <w:marRight w:val="0"/>
                  <w:marTop w:val="0"/>
                  <w:marBottom w:val="0"/>
                  <w:divBdr>
                    <w:top w:val="none" w:sz="0" w:space="0" w:color="auto"/>
                    <w:left w:val="none" w:sz="0" w:space="0" w:color="auto"/>
                    <w:bottom w:val="none" w:sz="0" w:space="0" w:color="auto"/>
                    <w:right w:val="none" w:sz="0" w:space="0" w:color="auto"/>
                  </w:divBdr>
                  <w:divsChild>
                    <w:div w:id="705375712">
                      <w:marLeft w:val="0"/>
                      <w:marRight w:val="0"/>
                      <w:marTop w:val="0"/>
                      <w:marBottom w:val="0"/>
                      <w:divBdr>
                        <w:top w:val="none" w:sz="0" w:space="0" w:color="auto"/>
                        <w:left w:val="none" w:sz="0" w:space="0" w:color="auto"/>
                        <w:bottom w:val="none" w:sz="0" w:space="0" w:color="auto"/>
                        <w:right w:val="none" w:sz="0" w:space="0" w:color="auto"/>
                      </w:divBdr>
                    </w:div>
                  </w:divsChild>
                </w:div>
                <w:div w:id="2120484121">
                  <w:marLeft w:val="0"/>
                  <w:marRight w:val="0"/>
                  <w:marTop w:val="0"/>
                  <w:marBottom w:val="0"/>
                  <w:divBdr>
                    <w:top w:val="none" w:sz="0" w:space="0" w:color="auto"/>
                    <w:left w:val="none" w:sz="0" w:space="0" w:color="auto"/>
                    <w:bottom w:val="none" w:sz="0" w:space="0" w:color="auto"/>
                    <w:right w:val="none" w:sz="0" w:space="0" w:color="auto"/>
                  </w:divBdr>
                  <w:divsChild>
                    <w:div w:id="8370396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24459388">
          <w:marLeft w:val="0"/>
          <w:marRight w:val="0"/>
          <w:marTop w:val="0"/>
          <w:marBottom w:val="0"/>
          <w:divBdr>
            <w:top w:val="none" w:sz="0" w:space="0" w:color="auto"/>
            <w:left w:val="none" w:sz="0" w:space="0" w:color="auto"/>
            <w:bottom w:val="none" w:sz="0" w:space="0" w:color="auto"/>
            <w:right w:val="none" w:sz="0" w:space="0" w:color="auto"/>
          </w:divBdr>
          <w:divsChild>
            <w:div w:id="180439570">
              <w:marLeft w:val="0"/>
              <w:marRight w:val="0"/>
              <w:marTop w:val="30"/>
              <w:marBottom w:val="30"/>
              <w:divBdr>
                <w:top w:val="none" w:sz="0" w:space="0" w:color="auto"/>
                <w:left w:val="none" w:sz="0" w:space="0" w:color="auto"/>
                <w:bottom w:val="none" w:sz="0" w:space="0" w:color="auto"/>
                <w:right w:val="none" w:sz="0" w:space="0" w:color="auto"/>
              </w:divBdr>
              <w:divsChild>
                <w:div w:id="739522119">
                  <w:marLeft w:val="0"/>
                  <w:marRight w:val="0"/>
                  <w:marTop w:val="0"/>
                  <w:marBottom w:val="0"/>
                  <w:divBdr>
                    <w:top w:val="none" w:sz="0" w:space="0" w:color="auto"/>
                    <w:left w:val="none" w:sz="0" w:space="0" w:color="auto"/>
                    <w:bottom w:val="none" w:sz="0" w:space="0" w:color="auto"/>
                    <w:right w:val="none" w:sz="0" w:space="0" w:color="auto"/>
                  </w:divBdr>
                  <w:divsChild>
                    <w:div w:id="1280452238">
                      <w:marLeft w:val="0"/>
                      <w:marRight w:val="0"/>
                      <w:marTop w:val="0"/>
                      <w:marBottom w:val="0"/>
                      <w:divBdr>
                        <w:top w:val="none" w:sz="0" w:space="0" w:color="auto"/>
                        <w:left w:val="none" w:sz="0" w:space="0" w:color="auto"/>
                        <w:bottom w:val="none" w:sz="0" w:space="0" w:color="auto"/>
                        <w:right w:val="none" w:sz="0" w:space="0" w:color="auto"/>
                      </w:divBdr>
                    </w:div>
                  </w:divsChild>
                </w:div>
                <w:div w:id="835146246">
                  <w:marLeft w:val="0"/>
                  <w:marRight w:val="0"/>
                  <w:marTop w:val="0"/>
                  <w:marBottom w:val="0"/>
                  <w:divBdr>
                    <w:top w:val="none" w:sz="0" w:space="0" w:color="auto"/>
                    <w:left w:val="none" w:sz="0" w:space="0" w:color="auto"/>
                    <w:bottom w:val="none" w:sz="0" w:space="0" w:color="auto"/>
                    <w:right w:val="none" w:sz="0" w:space="0" w:color="auto"/>
                  </w:divBdr>
                  <w:divsChild>
                    <w:div w:id="1259296178">
                      <w:marLeft w:val="0"/>
                      <w:marRight w:val="0"/>
                      <w:marTop w:val="0"/>
                      <w:marBottom w:val="0"/>
                      <w:divBdr>
                        <w:top w:val="none" w:sz="0" w:space="0" w:color="auto"/>
                        <w:left w:val="none" w:sz="0" w:space="0" w:color="auto"/>
                        <w:bottom w:val="none" w:sz="0" w:space="0" w:color="auto"/>
                        <w:right w:val="none" w:sz="0" w:space="0" w:color="auto"/>
                      </w:divBdr>
                    </w:div>
                  </w:divsChild>
                </w:div>
                <w:div w:id="872961354">
                  <w:marLeft w:val="0"/>
                  <w:marRight w:val="0"/>
                  <w:marTop w:val="0"/>
                  <w:marBottom w:val="0"/>
                  <w:divBdr>
                    <w:top w:val="none" w:sz="0" w:space="0" w:color="auto"/>
                    <w:left w:val="none" w:sz="0" w:space="0" w:color="auto"/>
                    <w:bottom w:val="none" w:sz="0" w:space="0" w:color="auto"/>
                    <w:right w:val="none" w:sz="0" w:space="0" w:color="auto"/>
                  </w:divBdr>
                  <w:divsChild>
                    <w:div w:id="2018189559">
                      <w:marLeft w:val="0"/>
                      <w:marRight w:val="0"/>
                      <w:marTop w:val="0"/>
                      <w:marBottom w:val="0"/>
                      <w:divBdr>
                        <w:top w:val="none" w:sz="0" w:space="0" w:color="auto"/>
                        <w:left w:val="none" w:sz="0" w:space="0" w:color="auto"/>
                        <w:bottom w:val="none" w:sz="0" w:space="0" w:color="auto"/>
                        <w:right w:val="none" w:sz="0" w:space="0" w:color="auto"/>
                      </w:divBdr>
                    </w:div>
                  </w:divsChild>
                </w:div>
                <w:div w:id="1136989138">
                  <w:marLeft w:val="0"/>
                  <w:marRight w:val="0"/>
                  <w:marTop w:val="0"/>
                  <w:marBottom w:val="0"/>
                  <w:divBdr>
                    <w:top w:val="none" w:sz="0" w:space="0" w:color="auto"/>
                    <w:left w:val="none" w:sz="0" w:space="0" w:color="auto"/>
                    <w:bottom w:val="none" w:sz="0" w:space="0" w:color="auto"/>
                    <w:right w:val="none" w:sz="0" w:space="0" w:color="auto"/>
                  </w:divBdr>
                  <w:divsChild>
                    <w:div w:id="1174220174">
                      <w:marLeft w:val="0"/>
                      <w:marRight w:val="0"/>
                      <w:marTop w:val="0"/>
                      <w:marBottom w:val="0"/>
                      <w:divBdr>
                        <w:top w:val="none" w:sz="0" w:space="0" w:color="auto"/>
                        <w:left w:val="none" w:sz="0" w:space="0" w:color="auto"/>
                        <w:bottom w:val="none" w:sz="0" w:space="0" w:color="auto"/>
                        <w:right w:val="none" w:sz="0" w:space="0" w:color="auto"/>
                      </w:divBdr>
                    </w:div>
                  </w:divsChild>
                </w:div>
                <w:div w:id="1741126493">
                  <w:marLeft w:val="0"/>
                  <w:marRight w:val="0"/>
                  <w:marTop w:val="0"/>
                  <w:marBottom w:val="0"/>
                  <w:divBdr>
                    <w:top w:val="none" w:sz="0" w:space="0" w:color="auto"/>
                    <w:left w:val="none" w:sz="0" w:space="0" w:color="auto"/>
                    <w:bottom w:val="none" w:sz="0" w:space="0" w:color="auto"/>
                    <w:right w:val="none" w:sz="0" w:space="0" w:color="auto"/>
                  </w:divBdr>
                  <w:divsChild>
                    <w:div w:id="14049120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36135151">
          <w:marLeft w:val="0"/>
          <w:marRight w:val="0"/>
          <w:marTop w:val="0"/>
          <w:marBottom w:val="0"/>
          <w:divBdr>
            <w:top w:val="none" w:sz="0" w:space="0" w:color="auto"/>
            <w:left w:val="none" w:sz="0" w:space="0" w:color="auto"/>
            <w:bottom w:val="none" w:sz="0" w:space="0" w:color="auto"/>
            <w:right w:val="none" w:sz="0" w:space="0" w:color="auto"/>
          </w:divBdr>
        </w:div>
        <w:div w:id="1271551143">
          <w:marLeft w:val="0"/>
          <w:marRight w:val="0"/>
          <w:marTop w:val="0"/>
          <w:marBottom w:val="0"/>
          <w:divBdr>
            <w:top w:val="none" w:sz="0" w:space="0" w:color="auto"/>
            <w:left w:val="none" w:sz="0" w:space="0" w:color="auto"/>
            <w:bottom w:val="none" w:sz="0" w:space="0" w:color="auto"/>
            <w:right w:val="none" w:sz="0" w:space="0" w:color="auto"/>
          </w:divBdr>
        </w:div>
        <w:div w:id="1507934976">
          <w:marLeft w:val="0"/>
          <w:marRight w:val="0"/>
          <w:marTop w:val="0"/>
          <w:marBottom w:val="0"/>
          <w:divBdr>
            <w:top w:val="none" w:sz="0" w:space="0" w:color="auto"/>
            <w:left w:val="none" w:sz="0" w:space="0" w:color="auto"/>
            <w:bottom w:val="none" w:sz="0" w:space="0" w:color="auto"/>
            <w:right w:val="none" w:sz="0" w:space="0" w:color="auto"/>
          </w:divBdr>
          <w:divsChild>
            <w:div w:id="583492354">
              <w:marLeft w:val="0"/>
              <w:marRight w:val="0"/>
              <w:marTop w:val="30"/>
              <w:marBottom w:val="30"/>
              <w:divBdr>
                <w:top w:val="none" w:sz="0" w:space="0" w:color="auto"/>
                <w:left w:val="none" w:sz="0" w:space="0" w:color="auto"/>
                <w:bottom w:val="none" w:sz="0" w:space="0" w:color="auto"/>
                <w:right w:val="none" w:sz="0" w:space="0" w:color="auto"/>
              </w:divBdr>
              <w:divsChild>
                <w:div w:id="181016951">
                  <w:marLeft w:val="0"/>
                  <w:marRight w:val="0"/>
                  <w:marTop w:val="0"/>
                  <w:marBottom w:val="0"/>
                  <w:divBdr>
                    <w:top w:val="none" w:sz="0" w:space="0" w:color="auto"/>
                    <w:left w:val="none" w:sz="0" w:space="0" w:color="auto"/>
                    <w:bottom w:val="none" w:sz="0" w:space="0" w:color="auto"/>
                    <w:right w:val="none" w:sz="0" w:space="0" w:color="auto"/>
                  </w:divBdr>
                  <w:divsChild>
                    <w:div w:id="1675104461">
                      <w:marLeft w:val="0"/>
                      <w:marRight w:val="0"/>
                      <w:marTop w:val="0"/>
                      <w:marBottom w:val="0"/>
                      <w:divBdr>
                        <w:top w:val="none" w:sz="0" w:space="0" w:color="auto"/>
                        <w:left w:val="none" w:sz="0" w:space="0" w:color="auto"/>
                        <w:bottom w:val="none" w:sz="0" w:space="0" w:color="auto"/>
                        <w:right w:val="none" w:sz="0" w:space="0" w:color="auto"/>
                      </w:divBdr>
                    </w:div>
                  </w:divsChild>
                </w:div>
                <w:div w:id="401879713">
                  <w:marLeft w:val="0"/>
                  <w:marRight w:val="0"/>
                  <w:marTop w:val="0"/>
                  <w:marBottom w:val="0"/>
                  <w:divBdr>
                    <w:top w:val="none" w:sz="0" w:space="0" w:color="auto"/>
                    <w:left w:val="none" w:sz="0" w:space="0" w:color="auto"/>
                    <w:bottom w:val="none" w:sz="0" w:space="0" w:color="auto"/>
                    <w:right w:val="none" w:sz="0" w:space="0" w:color="auto"/>
                  </w:divBdr>
                  <w:divsChild>
                    <w:div w:id="324207213">
                      <w:marLeft w:val="0"/>
                      <w:marRight w:val="0"/>
                      <w:marTop w:val="0"/>
                      <w:marBottom w:val="0"/>
                      <w:divBdr>
                        <w:top w:val="none" w:sz="0" w:space="0" w:color="auto"/>
                        <w:left w:val="none" w:sz="0" w:space="0" w:color="auto"/>
                        <w:bottom w:val="none" w:sz="0" w:space="0" w:color="auto"/>
                        <w:right w:val="none" w:sz="0" w:space="0" w:color="auto"/>
                      </w:divBdr>
                    </w:div>
                  </w:divsChild>
                </w:div>
                <w:div w:id="525367869">
                  <w:marLeft w:val="0"/>
                  <w:marRight w:val="0"/>
                  <w:marTop w:val="0"/>
                  <w:marBottom w:val="0"/>
                  <w:divBdr>
                    <w:top w:val="none" w:sz="0" w:space="0" w:color="auto"/>
                    <w:left w:val="none" w:sz="0" w:space="0" w:color="auto"/>
                    <w:bottom w:val="none" w:sz="0" w:space="0" w:color="auto"/>
                    <w:right w:val="none" w:sz="0" w:space="0" w:color="auto"/>
                  </w:divBdr>
                  <w:divsChild>
                    <w:div w:id="1712269242">
                      <w:marLeft w:val="0"/>
                      <w:marRight w:val="0"/>
                      <w:marTop w:val="0"/>
                      <w:marBottom w:val="0"/>
                      <w:divBdr>
                        <w:top w:val="none" w:sz="0" w:space="0" w:color="auto"/>
                        <w:left w:val="none" w:sz="0" w:space="0" w:color="auto"/>
                        <w:bottom w:val="none" w:sz="0" w:space="0" w:color="auto"/>
                        <w:right w:val="none" w:sz="0" w:space="0" w:color="auto"/>
                      </w:divBdr>
                    </w:div>
                  </w:divsChild>
                </w:div>
                <w:div w:id="571356780">
                  <w:marLeft w:val="0"/>
                  <w:marRight w:val="0"/>
                  <w:marTop w:val="0"/>
                  <w:marBottom w:val="0"/>
                  <w:divBdr>
                    <w:top w:val="none" w:sz="0" w:space="0" w:color="auto"/>
                    <w:left w:val="none" w:sz="0" w:space="0" w:color="auto"/>
                    <w:bottom w:val="none" w:sz="0" w:space="0" w:color="auto"/>
                    <w:right w:val="none" w:sz="0" w:space="0" w:color="auto"/>
                  </w:divBdr>
                  <w:divsChild>
                    <w:div w:id="2002006837">
                      <w:marLeft w:val="0"/>
                      <w:marRight w:val="0"/>
                      <w:marTop w:val="0"/>
                      <w:marBottom w:val="0"/>
                      <w:divBdr>
                        <w:top w:val="none" w:sz="0" w:space="0" w:color="auto"/>
                        <w:left w:val="none" w:sz="0" w:space="0" w:color="auto"/>
                        <w:bottom w:val="none" w:sz="0" w:space="0" w:color="auto"/>
                        <w:right w:val="none" w:sz="0" w:space="0" w:color="auto"/>
                      </w:divBdr>
                    </w:div>
                  </w:divsChild>
                </w:div>
                <w:div w:id="584539370">
                  <w:marLeft w:val="0"/>
                  <w:marRight w:val="0"/>
                  <w:marTop w:val="0"/>
                  <w:marBottom w:val="0"/>
                  <w:divBdr>
                    <w:top w:val="none" w:sz="0" w:space="0" w:color="auto"/>
                    <w:left w:val="none" w:sz="0" w:space="0" w:color="auto"/>
                    <w:bottom w:val="none" w:sz="0" w:space="0" w:color="auto"/>
                    <w:right w:val="none" w:sz="0" w:space="0" w:color="auto"/>
                  </w:divBdr>
                  <w:divsChild>
                    <w:div w:id="919100753">
                      <w:marLeft w:val="0"/>
                      <w:marRight w:val="0"/>
                      <w:marTop w:val="0"/>
                      <w:marBottom w:val="0"/>
                      <w:divBdr>
                        <w:top w:val="none" w:sz="0" w:space="0" w:color="auto"/>
                        <w:left w:val="none" w:sz="0" w:space="0" w:color="auto"/>
                        <w:bottom w:val="none" w:sz="0" w:space="0" w:color="auto"/>
                        <w:right w:val="none" w:sz="0" w:space="0" w:color="auto"/>
                      </w:divBdr>
                    </w:div>
                  </w:divsChild>
                </w:div>
                <w:div w:id="888884235">
                  <w:marLeft w:val="0"/>
                  <w:marRight w:val="0"/>
                  <w:marTop w:val="0"/>
                  <w:marBottom w:val="0"/>
                  <w:divBdr>
                    <w:top w:val="none" w:sz="0" w:space="0" w:color="auto"/>
                    <w:left w:val="none" w:sz="0" w:space="0" w:color="auto"/>
                    <w:bottom w:val="none" w:sz="0" w:space="0" w:color="auto"/>
                    <w:right w:val="none" w:sz="0" w:space="0" w:color="auto"/>
                  </w:divBdr>
                  <w:divsChild>
                    <w:div w:id="662394003">
                      <w:marLeft w:val="0"/>
                      <w:marRight w:val="0"/>
                      <w:marTop w:val="0"/>
                      <w:marBottom w:val="0"/>
                      <w:divBdr>
                        <w:top w:val="none" w:sz="0" w:space="0" w:color="auto"/>
                        <w:left w:val="none" w:sz="0" w:space="0" w:color="auto"/>
                        <w:bottom w:val="none" w:sz="0" w:space="0" w:color="auto"/>
                        <w:right w:val="none" w:sz="0" w:space="0" w:color="auto"/>
                      </w:divBdr>
                    </w:div>
                  </w:divsChild>
                </w:div>
                <w:div w:id="1045445794">
                  <w:marLeft w:val="0"/>
                  <w:marRight w:val="0"/>
                  <w:marTop w:val="0"/>
                  <w:marBottom w:val="0"/>
                  <w:divBdr>
                    <w:top w:val="none" w:sz="0" w:space="0" w:color="auto"/>
                    <w:left w:val="none" w:sz="0" w:space="0" w:color="auto"/>
                    <w:bottom w:val="none" w:sz="0" w:space="0" w:color="auto"/>
                    <w:right w:val="none" w:sz="0" w:space="0" w:color="auto"/>
                  </w:divBdr>
                  <w:divsChild>
                    <w:div w:id="1385064974">
                      <w:marLeft w:val="0"/>
                      <w:marRight w:val="0"/>
                      <w:marTop w:val="0"/>
                      <w:marBottom w:val="0"/>
                      <w:divBdr>
                        <w:top w:val="none" w:sz="0" w:space="0" w:color="auto"/>
                        <w:left w:val="none" w:sz="0" w:space="0" w:color="auto"/>
                        <w:bottom w:val="none" w:sz="0" w:space="0" w:color="auto"/>
                        <w:right w:val="none" w:sz="0" w:space="0" w:color="auto"/>
                      </w:divBdr>
                    </w:div>
                  </w:divsChild>
                </w:div>
                <w:div w:id="1275862437">
                  <w:marLeft w:val="0"/>
                  <w:marRight w:val="0"/>
                  <w:marTop w:val="0"/>
                  <w:marBottom w:val="0"/>
                  <w:divBdr>
                    <w:top w:val="none" w:sz="0" w:space="0" w:color="auto"/>
                    <w:left w:val="none" w:sz="0" w:space="0" w:color="auto"/>
                    <w:bottom w:val="none" w:sz="0" w:space="0" w:color="auto"/>
                    <w:right w:val="none" w:sz="0" w:space="0" w:color="auto"/>
                  </w:divBdr>
                  <w:divsChild>
                    <w:div w:id="2113696468">
                      <w:marLeft w:val="0"/>
                      <w:marRight w:val="0"/>
                      <w:marTop w:val="0"/>
                      <w:marBottom w:val="0"/>
                      <w:divBdr>
                        <w:top w:val="none" w:sz="0" w:space="0" w:color="auto"/>
                        <w:left w:val="none" w:sz="0" w:space="0" w:color="auto"/>
                        <w:bottom w:val="none" w:sz="0" w:space="0" w:color="auto"/>
                        <w:right w:val="none" w:sz="0" w:space="0" w:color="auto"/>
                      </w:divBdr>
                    </w:div>
                  </w:divsChild>
                </w:div>
                <w:div w:id="1355884086">
                  <w:marLeft w:val="0"/>
                  <w:marRight w:val="0"/>
                  <w:marTop w:val="0"/>
                  <w:marBottom w:val="0"/>
                  <w:divBdr>
                    <w:top w:val="none" w:sz="0" w:space="0" w:color="auto"/>
                    <w:left w:val="none" w:sz="0" w:space="0" w:color="auto"/>
                    <w:bottom w:val="none" w:sz="0" w:space="0" w:color="auto"/>
                    <w:right w:val="none" w:sz="0" w:space="0" w:color="auto"/>
                  </w:divBdr>
                  <w:divsChild>
                    <w:div w:id="735906435">
                      <w:marLeft w:val="0"/>
                      <w:marRight w:val="0"/>
                      <w:marTop w:val="0"/>
                      <w:marBottom w:val="0"/>
                      <w:divBdr>
                        <w:top w:val="none" w:sz="0" w:space="0" w:color="auto"/>
                        <w:left w:val="none" w:sz="0" w:space="0" w:color="auto"/>
                        <w:bottom w:val="none" w:sz="0" w:space="0" w:color="auto"/>
                        <w:right w:val="none" w:sz="0" w:space="0" w:color="auto"/>
                      </w:divBdr>
                    </w:div>
                  </w:divsChild>
                </w:div>
                <w:div w:id="1463886671">
                  <w:marLeft w:val="0"/>
                  <w:marRight w:val="0"/>
                  <w:marTop w:val="0"/>
                  <w:marBottom w:val="0"/>
                  <w:divBdr>
                    <w:top w:val="none" w:sz="0" w:space="0" w:color="auto"/>
                    <w:left w:val="none" w:sz="0" w:space="0" w:color="auto"/>
                    <w:bottom w:val="none" w:sz="0" w:space="0" w:color="auto"/>
                    <w:right w:val="none" w:sz="0" w:space="0" w:color="auto"/>
                  </w:divBdr>
                  <w:divsChild>
                    <w:div w:id="1461992431">
                      <w:marLeft w:val="0"/>
                      <w:marRight w:val="0"/>
                      <w:marTop w:val="0"/>
                      <w:marBottom w:val="0"/>
                      <w:divBdr>
                        <w:top w:val="none" w:sz="0" w:space="0" w:color="auto"/>
                        <w:left w:val="none" w:sz="0" w:space="0" w:color="auto"/>
                        <w:bottom w:val="none" w:sz="0" w:space="0" w:color="auto"/>
                        <w:right w:val="none" w:sz="0" w:space="0" w:color="auto"/>
                      </w:divBdr>
                    </w:div>
                  </w:divsChild>
                </w:div>
                <w:div w:id="1502114174">
                  <w:marLeft w:val="0"/>
                  <w:marRight w:val="0"/>
                  <w:marTop w:val="0"/>
                  <w:marBottom w:val="0"/>
                  <w:divBdr>
                    <w:top w:val="none" w:sz="0" w:space="0" w:color="auto"/>
                    <w:left w:val="none" w:sz="0" w:space="0" w:color="auto"/>
                    <w:bottom w:val="none" w:sz="0" w:space="0" w:color="auto"/>
                    <w:right w:val="none" w:sz="0" w:space="0" w:color="auto"/>
                  </w:divBdr>
                  <w:divsChild>
                    <w:div w:id="2045523680">
                      <w:marLeft w:val="0"/>
                      <w:marRight w:val="0"/>
                      <w:marTop w:val="0"/>
                      <w:marBottom w:val="0"/>
                      <w:divBdr>
                        <w:top w:val="none" w:sz="0" w:space="0" w:color="auto"/>
                        <w:left w:val="none" w:sz="0" w:space="0" w:color="auto"/>
                        <w:bottom w:val="none" w:sz="0" w:space="0" w:color="auto"/>
                        <w:right w:val="none" w:sz="0" w:space="0" w:color="auto"/>
                      </w:divBdr>
                    </w:div>
                  </w:divsChild>
                </w:div>
                <w:div w:id="1521973990">
                  <w:marLeft w:val="0"/>
                  <w:marRight w:val="0"/>
                  <w:marTop w:val="0"/>
                  <w:marBottom w:val="0"/>
                  <w:divBdr>
                    <w:top w:val="none" w:sz="0" w:space="0" w:color="auto"/>
                    <w:left w:val="none" w:sz="0" w:space="0" w:color="auto"/>
                    <w:bottom w:val="none" w:sz="0" w:space="0" w:color="auto"/>
                    <w:right w:val="none" w:sz="0" w:space="0" w:color="auto"/>
                  </w:divBdr>
                  <w:divsChild>
                    <w:div w:id="318074179">
                      <w:marLeft w:val="0"/>
                      <w:marRight w:val="0"/>
                      <w:marTop w:val="0"/>
                      <w:marBottom w:val="0"/>
                      <w:divBdr>
                        <w:top w:val="none" w:sz="0" w:space="0" w:color="auto"/>
                        <w:left w:val="none" w:sz="0" w:space="0" w:color="auto"/>
                        <w:bottom w:val="none" w:sz="0" w:space="0" w:color="auto"/>
                        <w:right w:val="none" w:sz="0" w:space="0" w:color="auto"/>
                      </w:divBdr>
                    </w:div>
                  </w:divsChild>
                </w:div>
                <w:div w:id="2030569935">
                  <w:marLeft w:val="0"/>
                  <w:marRight w:val="0"/>
                  <w:marTop w:val="0"/>
                  <w:marBottom w:val="0"/>
                  <w:divBdr>
                    <w:top w:val="none" w:sz="0" w:space="0" w:color="auto"/>
                    <w:left w:val="none" w:sz="0" w:space="0" w:color="auto"/>
                    <w:bottom w:val="none" w:sz="0" w:space="0" w:color="auto"/>
                    <w:right w:val="none" w:sz="0" w:space="0" w:color="auto"/>
                  </w:divBdr>
                  <w:divsChild>
                    <w:div w:id="13215434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00333295">
          <w:marLeft w:val="0"/>
          <w:marRight w:val="0"/>
          <w:marTop w:val="0"/>
          <w:marBottom w:val="0"/>
          <w:divBdr>
            <w:top w:val="none" w:sz="0" w:space="0" w:color="auto"/>
            <w:left w:val="none" w:sz="0" w:space="0" w:color="auto"/>
            <w:bottom w:val="none" w:sz="0" w:space="0" w:color="auto"/>
            <w:right w:val="none" w:sz="0" w:space="0" w:color="auto"/>
          </w:divBdr>
        </w:div>
        <w:div w:id="1620795910">
          <w:marLeft w:val="0"/>
          <w:marRight w:val="0"/>
          <w:marTop w:val="0"/>
          <w:marBottom w:val="0"/>
          <w:divBdr>
            <w:top w:val="none" w:sz="0" w:space="0" w:color="auto"/>
            <w:left w:val="none" w:sz="0" w:space="0" w:color="auto"/>
            <w:bottom w:val="none" w:sz="0" w:space="0" w:color="auto"/>
            <w:right w:val="none" w:sz="0" w:space="0" w:color="auto"/>
          </w:divBdr>
        </w:div>
        <w:div w:id="1658613358">
          <w:marLeft w:val="0"/>
          <w:marRight w:val="0"/>
          <w:marTop w:val="0"/>
          <w:marBottom w:val="0"/>
          <w:divBdr>
            <w:top w:val="none" w:sz="0" w:space="0" w:color="auto"/>
            <w:left w:val="none" w:sz="0" w:space="0" w:color="auto"/>
            <w:bottom w:val="none" w:sz="0" w:space="0" w:color="auto"/>
            <w:right w:val="none" w:sz="0" w:space="0" w:color="auto"/>
          </w:divBdr>
          <w:divsChild>
            <w:div w:id="1327711966">
              <w:marLeft w:val="0"/>
              <w:marRight w:val="0"/>
              <w:marTop w:val="30"/>
              <w:marBottom w:val="30"/>
              <w:divBdr>
                <w:top w:val="none" w:sz="0" w:space="0" w:color="auto"/>
                <w:left w:val="none" w:sz="0" w:space="0" w:color="auto"/>
                <w:bottom w:val="none" w:sz="0" w:space="0" w:color="auto"/>
                <w:right w:val="none" w:sz="0" w:space="0" w:color="auto"/>
              </w:divBdr>
              <w:divsChild>
                <w:div w:id="860629547">
                  <w:marLeft w:val="0"/>
                  <w:marRight w:val="0"/>
                  <w:marTop w:val="0"/>
                  <w:marBottom w:val="0"/>
                  <w:divBdr>
                    <w:top w:val="none" w:sz="0" w:space="0" w:color="auto"/>
                    <w:left w:val="none" w:sz="0" w:space="0" w:color="auto"/>
                    <w:bottom w:val="none" w:sz="0" w:space="0" w:color="auto"/>
                    <w:right w:val="none" w:sz="0" w:space="0" w:color="auto"/>
                  </w:divBdr>
                  <w:divsChild>
                    <w:div w:id="1629362162">
                      <w:marLeft w:val="0"/>
                      <w:marRight w:val="0"/>
                      <w:marTop w:val="0"/>
                      <w:marBottom w:val="0"/>
                      <w:divBdr>
                        <w:top w:val="none" w:sz="0" w:space="0" w:color="auto"/>
                        <w:left w:val="none" w:sz="0" w:space="0" w:color="auto"/>
                        <w:bottom w:val="none" w:sz="0" w:space="0" w:color="auto"/>
                        <w:right w:val="none" w:sz="0" w:space="0" w:color="auto"/>
                      </w:divBdr>
                    </w:div>
                  </w:divsChild>
                </w:div>
                <w:div w:id="1111700526">
                  <w:marLeft w:val="0"/>
                  <w:marRight w:val="0"/>
                  <w:marTop w:val="0"/>
                  <w:marBottom w:val="0"/>
                  <w:divBdr>
                    <w:top w:val="none" w:sz="0" w:space="0" w:color="auto"/>
                    <w:left w:val="none" w:sz="0" w:space="0" w:color="auto"/>
                    <w:bottom w:val="none" w:sz="0" w:space="0" w:color="auto"/>
                    <w:right w:val="none" w:sz="0" w:space="0" w:color="auto"/>
                  </w:divBdr>
                  <w:divsChild>
                    <w:div w:id="1477071492">
                      <w:marLeft w:val="0"/>
                      <w:marRight w:val="0"/>
                      <w:marTop w:val="0"/>
                      <w:marBottom w:val="0"/>
                      <w:divBdr>
                        <w:top w:val="none" w:sz="0" w:space="0" w:color="auto"/>
                        <w:left w:val="none" w:sz="0" w:space="0" w:color="auto"/>
                        <w:bottom w:val="none" w:sz="0" w:space="0" w:color="auto"/>
                        <w:right w:val="none" w:sz="0" w:space="0" w:color="auto"/>
                      </w:divBdr>
                    </w:div>
                  </w:divsChild>
                </w:div>
                <w:div w:id="1692098696">
                  <w:marLeft w:val="0"/>
                  <w:marRight w:val="0"/>
                  <w:marTop w:val="0"/>
                  <w:marBottom w:val="0"/>
                  <w:divBdr>
                    <w:top w:val="none" w:sz="0" w:space="0" w:color="auto"/>
                    <w:left w:val="none" w:sz="0" w:space="0" w:color="auto"/>
                    <w:bottom w:val="none" w:sz="0" w:space="0" w:color="auto"/>
                    <w:right w:val="none" w:sz="0" w:space="0" w:color="auto"/>
                  </w:divBdr>
                  <w:divsChild>
                    <w:div w:id="18488599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72627538">
          <w:marLeft w:val="0"/>
          <w:marRight w:val="0"/>
          <w:marTop w:val="0"/>
          <w:marBottom w:val="0"/>
          <w:divBdr>
            <w:top w:val="none" w:sz="0" w:space="0" w:color="auto"/>
            <w:left w:val="none" w:sz="0" w:space="0" w:color="auto"/>
            <w:bottom w:val="none" w:sz="0" w:space="0" w:color="auto"/>
            <w:right w:val="none" w:sz="0" w:space="0" w:color="auto"/>
          </w:divBdr>
          <w:divsChild>
            <w:div w:id="756244649">
              <w:marLeft w:val="0"/>
              <w:marRight w:val="0"/>
              <w:marTop w:val="30"/>
              <w:marBottom w:val="30"/>
              <w:divBdr>
                <w:top w:val="none" w:sz="0" w:space="0" w:color="auto"/>
                <w:left w:val="none" w:sz="0" w:space="0" w:color="auto"/>
                <w:bottom w:val="none" w:sz="0" w:space="0" w:color="auto"/>
                <w:right w:val="none" w:sz="0" w:space="0" w:color="auto"/>
              </w:divBdr>
              <w:divsChild>
                <w:div w:id="14353025">
                  <w:marLeft w:val="0"/>
                  <w:marRight w:val="0"/>
                  <w:marTop w:val="0"/>
                  <w:marBottom w:val="0"/>
                  <w:divBdr>
                    <w:top w:val="none" w:sz="0" w:space="0" w:color="auto"/>
                    <w:left w:val="none" w:sz="0" w:space="0" w:color="auto"/>
                    <w:bottom w:val="none" w:sz="0" w:space="0" w:color="auto"/>
                    <w:right w:val="none" w:sz="0" w:space="0" w:color="auto"/>
                  </w:divBdr>
                  <w:divsChild>
                    <w:div w:id="511644897">
                      <w:marLeft w:val="0"/>
                      <w:marRight w:val="0"/>
                      <w:marTop w:val="0"/>
                      <w:marBottom w:val="0"/>
                      <w:divBdr>
                        <w:top w:val="none" w:sz="0" w:space="0" w:color="auto"/>
                        <w:left w:val="none" w:sz="0" w:space="0" w:color="auto"/>
                        <w:bottom w:val="none" w:sz="0" w:space="0" w:color="auto"/>
                        <w:right w:val="none" w:sz="0" w:space="0" w:color="auto"/>
                      </w:divBdr>
                    </w:div>
                  </w:divsChild>
                </w:div>
                <w:div w:id="173764889">
                  <w:marLeft w:val="0"/>
                  <w:marRight w:val="0"/>
                  <w:marTop w:val="0"/>
                  <w:marBottom w:val="0"/>
                  <w:divBdr>
                    <w:top w:val="none" w:sz="0" w:space="0" w:color="auto"/>
                    <w:left w:val="none" w:sz="0" w:space="0" w:color="auto"/>
                    <w:bottom w:val="none" w:sz="0" w:space="0" w:color="auto"/>
                    <w:right w:val="none" w:sz="0" w:space="0" w:color="auto"/>
                  </w:divBdr>
                  <w:divsChild>
                    <w:div w:id="1392540130">
                      <w:marLeft w:val="0"/>
                      <w:marRight w:val="0"/>
                      <w:marTop w:val="0"/>
                      <w:marBottom w:val="0"/>
                      <w:divBdr>
                        <w:top w:val="none" w:sz="0" w:space="0" w:color="auto"/>
                        <w:left w:val="none" w:sz="0" w:space="0" w:color="auto"/>
                        <w:bottom w:val="none" w:sz="0" w:space="0" w:color="auto"/>
                        <w:right w:val="none" w:sz="0" w:space="0" w:color="auto"/>
                      </w:divBdr>
                    </w:div>
                  </w:divsChild>
                </w:div>
                <w:div w:id="488130783">
                  <w:marLeft w:val="0"/>
                  <w:marRight w:val="0"/>
                  <w:marTop w:val="0"/>
                  <w:marBottom w:val="0"/>
                  <w:divBdr>
                    <w:top w:val="none" w:sz="0" w:space="0" w:color="auto"/>
                    <w:left w:val="none" w:sz="0" w:space="0" w:color="auto"/>
                    <w:bottom w:val="none" w:sz="0" w:space="0" w:color="auto"/>
                    <w:right w:val="none" w:sz="0" w:space="0" w:color="auto"/>
                  </w:divBdr>
                  <w:divsChild>
                    <w:div w:id="2076009213">
                      <w:marLeft w:val="0"/>
                      <w:marRight w:val="0"/>
                      <w:marTop w:val="0"/>
                      <w:marBottom w:val="0"/>
                      <w:divBdr>
                        <w:top w:val="none" w:sz="0" w:space="0" w:color="auto"/>
                        <w:left w:val="none" w:sz="0" w:space="0" w:color="auto"/>
                        <w:bottom w:val="none" w:sz="0" w:space="0" w:color="auto"/>
                        <w:right w:val="none" w:sz="0" w:space="0" w:color="auto"/>
                      </w:divBdr>
                    </w:div>
                  </w:divsChild>
                </w:div>
                <w:div w:id="951277971">
                  <w:marLeft w:val="0"/>
                  <w:marRight w:val="0"/>
                  <w:marTop w:val="0"/>
                  <w:marBottom w:val="0"/>
                  <w:divBdr>
                    <w:top w:val="none" w:sz="0" w:space="0" w:color="auto"/>
                    <w:left w:val="none" w:sz="0" w:space="0" w:color="auto"/>
                    <w:bottom w:val="none" w:sz="0" w:space="0" w:color="auto"/>
                    <w:right w:val="none" w:sz="0" w:space="0" w:color="auto"/>
                  </w:divBdr>
                  <w:divsChild>
                    <w:div w:id="1800880354">
                      <w:marLeft w:val="0"/>
                      <w:marRight w:val="0"/>
                      <w:marTop w:val="0"/>
                      <w:marBottom w:val="0"/>
                      <w:divBdr>
                        <w:top w:val="none" w:sz="0" w:space="0" w:color="auto"/>
                        <w:left w:val="none" w:sz="0" w:space="0" w:color="auto"/>
                        <w:bottom w:val="none" w:sz="0" w:space="0" w:color="auto"/>
                        <w:right w:val="none" w:sz="0" w:space="0" w:color="auto"/>
                      </w:divBdr>
                    </w:div>
                  </w:divsChild>
                </w:div>
                <w:div w:id="1801219502">
                  <w:marLeft w:val="0"/>
                  <w:marRight w:val="0"/>
                  <w:marTop w:val="0"/>
                  <w:marBottom w:val="0"/>
                  <w:divBdr>
                    <w:top w:val="none" w:sz="0" w:space="0" w:color="auto"/>
                    <w:left w:val="none" w:sz="0" w:space="0" w:color="auto"/>
                    <w:bottom w:val="none" w:sz="0" w:space="0" w:color="auto"/>
                    <w:right w:val="none" w:sz="0" w:space="0" w:color="auto"/>
                  </w:divBdr>
                  <w:divsChild>
                    <w:div w:id="1308822238">
                      <w:marLeft w:val="0"/>
                      <w:marRight w:val="0"/>
                      <w:marTop w:val="0"/>
                      <w:marBottom w:val="0"/>
                      <w:divBdr>
                        <w:top w:val="none" w:sz="0" w:space="0" w:color="auto"/>
                        <w:left w:val="none" w:sz="0" w:space="0" w:color="auto"/>
                        <w:bottom w:val="none" w:sz="0" w:space="0" w:color="auto"/>
                        <w:right w:val="none" w:sz="0" w:space="0" w:color="auto"/>
                      </w:divBdr>
                    </w:div>
                    <w:div w:id="19725955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44917035">
          <w:marLeft w:val="0"/>
          <w:marRight w:val="0"/>
          <w:marTop w:val="0"/>
          <w:marBottom w:val="0"/>
          <w:divBdr>
            <w:top w:val="none" w:sz="0" w:space="0" w:color="auto"/>
            <w:left w:val="none" w:sz="0" w:space="0" w:color="auto"/>
            <w:bottom w:val="none" w:sz="0" w:space="0" w:color="auto"/>
            <w:right w:val="none" w:sz="0" w:space="0" w:color="auto"/>
          </w:divBdr>
        </w:div>
        <w:div w:id="2097902905">
          <w:marLeft w:val="0"/>
          <w:marRight w:val="0"/>
          <w:marTop w:val="0"/>
          <w:marBottom w:val="0"/>
          <w:divBdr>
            <w:top w:val="none" w:sz="0" w:space="0" w:color="auto"/>
            <w:left w:val="none" w:sz="0" w:space="0" w:color="auto"/>
            <w:bottom w:val="none" w:sz="0" w:space="0" w:color="auto"/>
            <w:right w:val="none" w:sz="0" w:space="0" w:color="auto"/>
          </w:divBdr>
        </w:div>
      </w:divsChild>
    </w:div>
    <w:div w:id="280768750">
      <w:bodyDiv w:val="1"/>
      <w:marLeft w:val="0"/>
      <w:marRight w:val="0"/>
      <w:marTop w:val="0"/>
      <w:marBottom w:val="0"/>
      <w:divBdr>
        <w:top w:val="none" w:sz="0" w:space="0" w:color="auto"/>
        <w:left w:val="none" w:sz="0" w:space="0" w:color="auto"/>
        <w:bottom w:val="none" w:sz="0" w:space="0" w:color="auto"/>
        <w:right w:val="none" w:sz="0" w:space="0" w:color="auto"/>
      </w:divBdr>
    </w:div>
    <w:div w:id="299698864">
      <w:bodyDiv w:val="1"/>
      <w:marLeft w:val="0"/>
      <w:marRight w:val="0"/>
      <w:marTop w:val="0"/>
      <w:marBottom w:val="0"/>
      <w:divBdr>
        <w:top w:val="none" w:sz="0" w:space="0" w:color="auto"/>
        <w:left w:val="none" w:sz="0" w:space="0" w:color="auto"/>
        <w:bottom w:val="none" w:sz="0" w:space="0" w:color="auto"/>
        <w:right w:val="none" w:sz="0" w:space="0" w:color="auto"/>
      </w:divBdr>
    </w:div>
    <w:div w:id="324356460">
      <w:bodyDiv w:val="1"/>
      <w:marLeft w:val="0"/>
      <w:marRight w:val="0"/>
      <w:marTop w:val="0"/>
      <w:marBottom w:val="0"/>
      <w:divBdr>
        <w:top w:val="none" w:sz="0" w:space="0" w:color="auto"/>
        <w:left w:val="none" w:sz="0" w:space="0" w:color="auto"/>
        <w:bottom w:val="none" w:sz="0" w:space="0" w:color="auto"/>
        <w:right w:val="none" w:sz="0" w:space="0" w:color="auto"/>
      </w:divBdr>
    </w:div>
    <w:div w:id="333651920">
      <w:bodyDiv w:val="1"/>
      <w:marLeft w:val="0"/>
      <w:marRight w:val="0"/>
      <w:marTop w:val="0"/>
      <w:marBottom w:val="0"/>
      <w:divBdr>
        <w:top w:val="none" w:sz="0" w:space="0" w:color="auto"/>
        <w:left w:val="none" w:sz="0" w:space="0" w:color="auto"/>
        <w:bottom w:val="none" w:sz="0" w:space="0" w:color="auto"/>
        <w:right w:val="none" w:sz="0" w:space="0" w:color="auto"/>
      </w:divBdr>
      <w:divsChild>
        <w:div w:id="1120538149">
          <w:marLeft w:val="0"/>
          <w:marRight w:val="0"/>
          <w:marTop w:val="0"/>
          <w:marBottom w:val="0"/>
          <w:divBdr>
            <w:top w:val="none" w:sz="0" w:space="0" w:color="auto"/>
            <w:left w:val="none" w:sz="0" w:space="0" w:color="auto"/>
            <w:bottom w:val="none" w:sz="0" w:space="0" w:color="auto"/>
            <w:right w:val="none" w:sz="0" w:space="0" w:color="auto"/>
          </w:divBdr>
        </w:div>
      </w:divsChild>
    </w:div>
    <w:div w:id="334960987">
      <w:bodyDiv w:val="1"/>
      <w:marLeft w:val="0"/>
      <w:marRight w:val="0"/>
      <w:marTop w:val="0"/>
      <w:marBottom w:val="0"/>
      <w:divBdr>
        <w:top w:val="none" w:sz="0" w:space="0" w:color="auto"/>
        <w:left w:val="none" w:sz="0" w:space="0" w:color="auto"/>
        <w:bottom w:val="none" w:sz="0" w:space="0" w:color="auto"/>
        <w:right w:val="none" w:sz="0" w:space="0" w:color="auto"/>
      </w:divBdr>
    </w:div>
    <w:div w:id="337121107">
      <w:bodyDiv w:val="1"/>
      <w:marLeft w:val="0"/>
      <w:marRight w:val="0"/>
      <w:marTop w:val="0"/>
      <w:marBottom w:val="0"/>
      <w:divBdr>
        <w:top w:val="none" w:sz="0" w:space="0" w:color="auto"/>
        <w:left w:val="none" w:sz="0" w:space="0" w:color="auto"/>
        <w:bottom w:val="none" w:sz="0" w:space="0" w:color="auto"/>
        <w:right w:val="none" w:sz="0" w:space="0" w:color="auto"/>
      </w:divBdr>
    </w:div>
    <w:div w:id="346030140">
      <w:bodyDiv w:val="1"/>
      <w:marLeft w:val="0"/>
      <w:marRight w:val="0"/>
      <w:marTop w:val="0"/>
      <w:marBottom w:val="0"/>
      <w:divBdr>
        <w:top w:val="none" w:sz="0" w:space="0" w:color="auto"/>
        <w:left w:val="none" w:sz="0" w:space="0" w:color="auto"/>
        <w:bottom w:val="none" w:sz="0" w:space="0" w:color="auto"/>
        <w:right w:val="none" w:sz="0" w:space="0" w:color="auto"/>
      </w:divBdr>
    </w:div>
    <w:div w:id="368338395">
      <w:bodyDiv w:val="1"/>
      <w:marLeft w:val="0"/>
      <w:marRight w:val="0"/>
      <w:marTop w:val="0"/>
      <w:marBottom w:val="0"/>
      <w:divBdr>
        <w:top w:val="none" w:sz="0" w:space="0" w:color="auto"/>
        <w:left w:val="none" w:sz="0" w:space="0" w:color="auto"/>
        <w:bottom w:val="none" w:sz="0" w:space="0" w:color="auto"/>
        <w:right w:val="none" w:sz="0" w:space="0" w:color="auto"/>
      </w:divBdr>
    </w:div>
    <w:div w:id="374623545">
      <w:bodyDiv w:val="1"/>
      <w:marLeft w:val="0"/>
      <w:marRight w:val="0"/>
      <w:marTop w:val="0"/>
      <w:marBottom w:val="0"/>
      <w:divBdr>
        <w:top w:val="none" w:sz="0" w:space="0" w:color="auto"/>
        <w:left w:val="none" w:sz="0" w:space="0" w:color="auto"/>
        <w:bottom w:val="none" w:sz="0" w:space="0" w:color="auto"/>
        <w:right w:val="none" w:sz="0" w:space="0" w:color="auto"/>
      </w:divBdr>
    </w:div>
    <w:div w:id="379061901">
      <w:bodyDiv w:val="1"/>
      <w:marLeft w:val="0"/>
      <w:marRight w:val="0"/>
      <w:marTop w:val="0"/>
      <w:marBottom w:val="0"/>
      <w:divBdr>
        <w:top w:val="none" w:sz="0" w:space="0" w:color="auto"/>
        <w:left w:val="none" w:sz="0" w:space="0" w:color="auto"/>
        <w:bottom w:val="none" w:sz="0" w:space="0" w:color="auto"/>
        <w:right w:val="none" w:sz="0" w:space="0" w:color="auto"/>
      </w:divBdr>
      <w:divsChild>
        <w:div w:id="1593009803">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379944094">
      <w:bodyDiv w:val="1"/>
      <w:marLeft w:val="0"/>
      <w:marRight w:val="0"/>
      <w:marTop w:val="0"/>
      <w:marBottom w:val="0"/>
      <w:divBdr>
        <w:top w:val="none" w:sz="0" w:space="0" w:color="auto"/>
        <w:left w:val="none" w:sz="0" w:space="0" w:color="auto"/>
        <w:bottom w:val="none" w:sz="0" w:space="0" w:color="auto"/>
        <w:right w:val="none" w:sz="0" w:space="0" w:color="auto"/>
      </w:divBdr>
    </w:div>
    <w:div w:id="380325013">
      <w:bodyDiv w:val="1"/>
      <w:marLeft w:val="0"/>
      <w:marRight w:val="0"/>
      <w:marTop w:val="0"/>
      <w:marBottom w:val="0"/>
      <w:divBdr>
        <w:top w:val="none" w:sz="0" w:space="0" w:color="auto"/>
        <w:left w:val="none" w:sz="0" w:space="0" w:color="auto"/>
        <w:bottom w:val="none" w:sz="0" w:space="0" w:color="auto"/>
        <w:right w:val="none" w:sz="0" w:space="0" w:color="auto"/>
      </w:divBdr>
      <w:divsChild>
        <w:div w:id="1038698818">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380981672">
      <w:bodyDiv w:val="1"/>
      <w:marLeft w:val="0"/>
      <w:marRight w:val="0"/>
      <w:marTop w:val="0"/>
      <w:marBottom w:val="0"/>
      <w:divBdr>
        <w:top w:val="none" w:sz="0" w:space="0" w:color="auto"/>
        <w:left w:val="none" w:sz="0" w:space="0" w:color="auto"/>
        <w:bottom w:val="none" w:sz="0" w:space="0" w:color="auto"/>
        <w:right w:val="none" w:sz="0" w:space="0" w:color="auto"/>
      </w:divBdr>
    </w:div>
    <w:div w:id="392242039">
      <w:bodyDiv w:val="1"/>
      <w:marLeft w:val="0"/>
      <w:marRight w:val="0"/>
      <w:marTop w:val="0"/>
      <w:marBottom w:val="0"/>
      <w:divBdr>
        <w:top w:val="none" w:sz="0" w:space="0" w:color="auto"/>
        <w:left w:val="none" w:sz="0" w:space="0" w:color="auto"/>
        <w:bottom w:val="none" w:sz="0" w:space="0" w:color="auto"/>
        <w:right w:val="none" w:sz="0" w:space="0" w:color="auto"/>
      </w:divBdr>
    </w:div>
    <w:div w:id="393967783">
      <w:bodyDiv w:val="1"/>
      <w:marLeft w:val="0"/>
      <w:marRight w:val="0"/>
      <w:marTop w:val="0"/>
      <w:marBottom w:val="0"/>
      <w:divBdr>
        <w:top w:val="none" w:sz="0" w:space="0" w:color="auto"/>
        <w:left w:val="none" w:sz="0" w:space="0" w:color="auto"/>
        <w:bottom w:val="none" w:sz="0" w:space="0" w:color="auto"/>
        <w:right w:val="none" w:sz="0" w:space="0" w:color="auto"/>
      </w:divBdr>
    </w:div>
    <w:div w:id="395981294">
      <w:bodyDiv w:val="1"/>
      <w:marLeft w:val="0"/>
      <w:marRight w:val="0"/>
      <w:marTop w:val="0"/>
      <w:marBottom w:val="0"/>
      <w:divBdr>
        <w:top w:val="none" w:sz="0" w:space="0" w:color="auto"/>
        <w:left w:val="none" w:sz="0" w:space="0" w:color="auto"/>
        <w:bottom w:val="none" w:sz="0" w:space="0" w:color="auto"/>
        <w:right w:val="none" w:sz="0" w:space="0" w:color="auto"/>
      </w:divBdr>
    </w:div>
    <w:div w:id="403988269">
      <w:bodyDiv w:val="1"/>
      <w:marLeft w:val="0"/>
      <w:marRight w:val="0"/>
      <w:marTop w:val="0"/>
      <w:marBottom w:val="0"/>
      <w:divBdr>
        <w:top w:val="none" w:sz="0" w:space="0" w:color="auto"/>
        <w:left w:val="none" w:sz="0" w:space="0" w:color="auto"/>
        <w:bottom w:val="none" w:sz="0" w:space="0" w:color="auto"/>
        <w:right w:val="none" w:sz="0" w:space="0" w:color="auto"/>
      </w:divBdr>
    </w:div>
    <w:div w:id="404374951">
      <w:bodyDiv w:val="1"/>
      <w:marLeft w:val="0"/>
      <w:marRight w:val="0"/>
      <w:marTop w:val="0"/>
      <w:marBottom w:val="0"/>
      <w:divBdr>
        <w:top w:val="none" w:sz="0" w:space="0" w:color="auto"/>
        <w:left w:val="none" w:sz="0" w:space="0" w:color="auto"/>
        <w:bottom w:val="none" w:sz="0" w:space="0" w:color="auto"/>
        <w:right w:val="none" w:sz="0" w:space="0" w:color="auto"/>
      </w:divBdr>
    </w:div>
    <w:div w:id="413867465">
      <w:bodyDiv w:val="1"/>
      <w:marLeft w:val="0"/>
      <w:marRight w:val="0"/>
      <w:marTop w:val="0"/>
      <w:marBottom w:val="0"/>
      <w:divBdr>
        <w:top w:val="none" w:sz="0" w:space="0" w:color="auto"/>
        <w:left w:val="none" w:sz="0" w:space="0" w:color="auto"/>
        <w:bottom w:val="none" w:sz="0" w:space="0" w:color="auto"/>
        <w:right w:val="none" w:sz="0" w:space="0" w:color="auto"/>
      </w:divBdr>
    </w:div>
    <w:div w:id="420376343">
      <w:bodyDiv w:val="1"/>
      <w:marLeft w:val="0"/>
      <w:marRight w:val="0"/>
      <w:marTop w:val="0"/>
      <w:marBottom w:val="0"/>
      <w:divBdr>
        <w:top w:val="none" w:sz="0" w:space="0" w:color="auto"/>
        <w:left w:val="none" w:sz="0" w:space="0" w:color="auto"/>
        <w:bottom w:val="none" w:sz="0" w:space="0" w:color="auto"/>
        <w:right w:val="none" w:sz="0" w:space="0" w:color="auto"/>
      </w:divBdr>
    </w:div>
    <w:div w:id="423763378">
      <w:bodyDiv w:val="1"/>
      <w:marLeft w:val="0"/>
      <w:marRight w:val="0"/>
      <w:marTop w:val="0"/>
      <w:marBottom w:val="0"/>
      <w:divBdr>
        <w:top w:val="none" w:sz="0" w:space="0" w:color="auto"/>
        <w:left w:val="none" w:sz="0" w:space="0" w:color="auto"/>
        <w:bottom w:val="none" w:sz="0" w:space="0" w:color="auto"/>
        <w:right w:val="none" w:sz="0" w:space="0" w:color="auto"/>
      </w:divBdr>
    </w:div>
    <w:div w:id="427194246">
      <w:bodyDiv w:val="1"/>
      <w:marLeft w:val="0"/>
      <w:marRight w:val="0"/>
      <w:marTop w:val="0"/>
      <w:marBottom w:val="0"/>
      <w:divBdr>
        <w:top w:val="none" w:sz="0" w:space="0" w:color="auto"/>
        <w:left w:val="none" w:sz="0" w:space="0" w:color="auto"/>
        <w:bottom w:val="none" w:sz="0" w:space="0" w:color="auto"/>
        <w:right w:val="none" w:sz="0" w:space="0" w:color="auto"/>
      </w:divBdr>
      <w:divsChild>
        <w:div w:id="1727338772">
          <w:marLeft w:val="0"/>
          <w:marRight w:val="0"/>
          <w:marTop w:val="0"/>
          <w:marBottom w:val="0"/>
          <w:divBdr>
            <w:top w:val="none" w:sz="0" w:space="0" w:color="auto"/>
            <w:left w:val="none" w:sz="0" w:space="0" w:color="auto"/>
            <w:bottom w:val="none" w:sz="0" w:space="0" w:color="auto"/>
            <w:right w:val="none" w:sz="0" w:space="0" w:color="auto"/>
          </w:divBdr>
          <w:divsChild>
            <w:div w:id="3813713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27582645">
      <w:bodyDiv w:val="1"/>
      <w:marLeft w:val="0"/>
      <w:marRight w:val="0"/>
      <w:marTop w:val="0"/>
      <w:marBottom w:val="0"/>
      <w:divBdr>
        <w:top w:val="none" w:sz="0" w:space="0" w:color="auto"/>
        <w:left w:val="none" w:sz="0" w:space="0" w:color="auto"/>
        <w:bottom w:val="none" w:sz="0" w:space="0" w:color="auto"/>
        <w:right w:val="none" w:sz="0" w:space="0" w:color="auto"/>
      </w:divBdr>
    </w:div>
    <w:div w:id="432748203">
      <w:bodyDiv w:val="1"/>
      <w:marLeft w:val="0"/>
      <w:marRight w:val="0"/>
      <w:marTop w:val="0"/>
      <w:marBottom w:val="0"/>
      <w:divBdr>
        <w:top w:val="none" w:sz="0" w:space="0" w:color="auto"/>
        <w:left w:val="none" w:sz="0" w:space="0" w:color="auto"/>
        <w:bottom w:val="none" w:sz="0" w:space="0" w:color="auto"/>
        <w:right w:val="none" w:sz="0" w:space="0" w:color="auto"/>
      </w:divBdr>
      <w:divsChild>
        <w:div w:id="80299600">
          <w:marLeft w:val="0"/>
          <w:marRight w:val="0"/>
          <w:marTop w:val="0"/>
          <w:marBottom w:val="0"/>
          <w:divBdr>
            <w:top w:val="none" w:sz="0" w:space="0" w:color="auto"/>
            <w:left w:val="none" w:sz="0" w:space="0" w:color="auto"/>
            <w:bottom w:val="none" w:sz="0" w:space="0" w:color="auto"/>
            <w:right w:val="none" w:sz="0" w:space="0" w:color="auto"/>
          </w:divBdr>
          <w:divsChild>
            <w:div w:id="18007601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35559205">
      <w:bodyDiv w:val="1"/>
      <w:marLeft w:val="0"/>
      <w:marRight w:val="0"/>
      <w:marTop w:val="0"/>
      <w:marBottom w:val="0"/>
      <w:divBdr>
        <w:top w:val="none" w:sz="0" w:space="0" w:color="auto"/>
        <w:left w:val="none" w:sz="0" w:space="0" w:color="auto"/>
        <w:bottom w:val="none" w:sz="0" w:space="0" w:color="auto"/>
        <w:right w:val="none" w:sz="0" w:space="0" w:color="auto"/>
      </w:divBdr>
    </w:div>
    <w:div w:id="436215132">
      <w:bodyDiv w:val="1"/>
      <w:marLeft w:val="0"/>
      <w:marRight w:val="0"/>
      <w:marTop w:val="0"/>
      <w:marBottom w:val="0"/>
      <w:divBdr>
        <w:top w:val="none" w:sz="0" w:space="0" w:color="auto"/>
        <w:left w:val="none" w:sz="0" w:space="0" w:color="auto"/>
        <w:bottom w:val="none" w:sz="0" w:space="0" w:color="auto"/>
        <w:right w:val="none" w:sz="0" w:space="0" w:color="auto"/>
      </w:divBdr>
      <w:divsChild>
        <w:div w:id="263225313">
          <w:marLeft w:val="0"/>
          <w:marRight w:val="0"/>
          <w:marTop w:val="0"/>
          <w:marBottom w:val="0"/>
          <w:divBdr>
            <w:top w:val="none" w:sz="0" w:space="0" w:color="auto"/>
            <w:left w:val="none" w:sz="0" w:space="0" w:color="auto"/>
            <w:bottom w:val="none" w:sz="0" w:space="0" w:color="auto"/>
            <w:right w:val="none" w:sz="0" w:space="0" w:color="auto"/>
          </w:divBdr>
        </w:div>
        <w:div w:id="870649657">
          <w:marLeft w:val="0"/>
          <w:marRight w:val="0"/>
          <w:marTop w:val="0"/>
          <w:marBottom w:val="0"/>
          <w:divBdr>
            <w:top w:val="none" w:sz="0" w:space="0" w:color="auto"/>
            <w:left w:val="none" w:sz="0" w:space="0" w:color="auto"/>
            <w:bottom w:val="none" w:sz="0" w:space="0" w:color="auto"/>
            <w:right w:val="none" w:sz="0" w:space="0" w:color="auto"/>
          </w:divBdr>
        </w:div>
      </w:divsChild>
    </w:div>
    <w:div w:id="438721654">
      <w:bodyDiv w:val="1"/>
      <w:marLeft w:val="0"/>
      <w:marRight w:val="0"/>
      <w:marTop w:val="0"/>
      <w:marBottom w:val="0"/>
      <w:divBdr>
        <w:top w:val="none" w:sz="0" w:space="0" w:color="auto"/>
        <w:left w:val="none" w:sz="0" w:space="0" w:color="auto"/>
        <w:bottom w:val="none" w:sz="0" w:space="0" w:color="auto"/>
        <w:right w:val="none" w:sz="0" w:space="0" w:color="auto"/>
      </w:divBdr>
      <w:divsChild>
        <w:div w:id="308705312">
          <w:marLeft w:val="0"/>
          <w:marRight w:val="0"/>
          <w:marTop w:val="0"/>
          <w:marBottom w:val="0"/>
          <w:divBdr>
            <w:top w:val="none" w:sz="0" w:space="0" w:color="auto"/>
            <w:left w:val="none" w:sz="0" w:space="0" w:color="auto"/>
            <w:bottom w:val="none" w:sz="0" w:space="0" w:color="auto"/>
            <w:right w:val="none" w:sz="0" w:space="0" w:color="auto"/>
          </w:divBdr>
        </w:div>
        <w:div w:id="328868897">
          <w:marLeft w:val="0"/>
          <w:marRight w:val="0"/>
          <w:marTop w:val="0"/>
          <w:marBottom w:val="0"/>
          <w:divBdr>
            <w:top w:val="none" w:sz="0" w:space="0" w:color="auto"/>
            <w:left w:val="none" w:sz="0" w:space="0" w:color="auto"/>
            <w:bottom w:val="none" w:sz="0" w:space="0" w:color="auto"/>
            <w:right w:val="none" w:sz="0" w:space="0" w:color="auto"/>
          </w:divBdr>
        </w:div>
      </w:divsChild>
    </w:div>
    <w:div w:id="440998614">
      <w:bodyDiv w:val="1"/>
      <w:marLeft w:val="0"/>
      <w:marRight w:val="0"/>
      <w:marTop w:val="0"/>
      <w:marBottom w:val="0"/>
      <w:divBdr>
        <w:top w:val="none" w:sz="0" w:space="0" w:color="auto"/>
        <w:left w:val="none" w:sz="0" w:space="0" w:color="auto"/>
        <w:bottom w:val="none" w:sz="0" w:space="0" w:color="auto"/>
        <w:right w:val="none" w:sz="0" w:space="0" w:color="auto"/>
      </w:divBdr>
      <w:divsChild>
        <w:div w:id="586961554">
          <w:marLeft w:val="0"/>
          <w:marRight w:val="0"/>
          <w:marTop w:val="0"/>
          <w:marBottom w:val="0"/>
          <w:divBdr>
            <w:top w:val="none" w:sz="0" w:space="0" w:color="auto"/>
            <w:left w:val="none" w:sz="0" w:space="0" w:color="auto"/>
            <w:bottom w:val="none" w:sz="0" w:space="0" w:color="auto"/>
            <w:right w:val="none" w:sz="0" w:space="0" w:color="auto"/>
          </w:divBdr>
        </w:div>
      </w:divsChild>
    </w:div>
    <w:div w:id="451242201">
      <w:bodyDiv w:val="1"/>
      <w:marLeft w:val="0"/>
      <w:marRight w:val="0"/>
      <w:marTop w:val="0"/>
      <w:marBottom w:val="0"/>
      <w:divBdr>
        <w:top w:val="none" w:sz="0" w:space="0" w:color="auto"/>
        <w:left w:val="none" w:sz="0" w:space="0" w:color="auto"/>
        <w:bottom w:val="none" w:sz="0" w:space="0" w:color="auto"/>
        <w:right w:val="none" w:sz="0" w:space="0" w:color="auto"/>
      </w:divBdr>
    </w:div>
    <w:div w:id="457071488">
      <w:bodyDiv w:val="1"/>
      <w:marLeft w:val="0"/>
      <w:marRight w:val="0"/>
      <w:marTop w:val="0"/>
      <w:marBottom w:val="0"/>
      <w:divBdr>
        <w:top w:val="none" w:sz="0" w:space="0" w:color="auto"/>
        <w:left w:val="none" w:sz="0" w:space="0" w:color="auto"/>
        <w:bottom w:val="none" w:sz="0" w:space="0" w:color="auto"/>
        <w:right w:val="none" w:sz="0" w:space="0" w:color="auto"/>
      </w:divBdr>
    </w:div>
    <w:div w:id="459306673">
      <w:bodyDiv w:val="1"/>
      <w:marLeft w:val="0"/>
      <w:marRight w:val="0"/>
      <w:marTop w:val="0"/>
      <w:marBottom w:val="0"/>
      <w:divBdr>
        <w:top w:val="none" w:sz="0" w:space="0" w:color="auto"/>
        <w:left w:val="none" w:sz="0" w:space="0" w:color="auto"/>
        <w:bottom w:val="none" w:sz="0" w:space="0" w:color="auto"/>
        <w:right w:val="none" w:sz="0" w:space="0" w:color="auto"/>
      </w:divBdr>
    </w:div>
    <w:div w:id="460343870">
      <w:bodyDiv w:val="1"/>
      <w:marLeft w:val="0"/>
      <w:marRight w:val="0"/>
      <w:marTop w:val="0"/>
      <w:marBottom w:val="0"/>
      <w:divBdr>
        <w:top w:val="none" w:sz="0" w:space="0" w:color="auto"/>
        <w:left w:val="none" w:sz="0" w:space="0" w:color="auto"/>
        <w:bottom w:val="none" w:sz="0" w:space="0" w:color="auto"/>
        <w:right w:val="none" w:sz="0" w:space="0" w:color="auto"/>
      </w:divBdr>
    </w:div>
    <w:div w:id="486437732">
      <w:bodyDiv w:val="1"/>
      <w:marLeft w:val="0"/>
      <w:marRight w:val="0"/>
      <w:marTop w:val="0"/>
      <w:marBottom w:val="0"/>
      <w:divBdr>
        <w:top w:val="none" w:sz="0" w:space="0" w:color="auto"/>
        <w:left w:val="none" w:sz="0" w:space="0" w:color="auto"/>
        <w:bottom w:val="none" w:sz="0" w:space="0" w:color="auto"/>
        <w:right w:val="none" w:sz="0" w:space="0" w:color="auto"/>
      </w:divBdr>
    </w:div>
    <w:div w:id="493884365">
      <w:bodyDiv w:val="1"/>
      <w:marLeft w:val="0"/>
      <w:marRight w:val="0"/>
      <w:marTop w:val="0"/>
      <w:marBottom w:val="0"/>
      <w:divBdr>
        <w:top w:val="none" w:sz="0" w:space="0" w:color="auto"/>
        <w:left w:val="none" w:sz="0" w:space="0" w:color="auto"/>
        <w:bottom w:val="none" w:sz="0" w:space="0" w:color="auto"/>
        <w:right w:val="none" w:sz="0" w:space="0" w:color="auto"/>
      </w:divBdr>
    </w:div>
    <w:div w:id="510921332">
      <w:bodyDiv w:val="1"/>
      <w:marLeft w:val="0"/>
      <w:marRight w:val="0"/>
      <w:marTop w:val="0"/>
      <w:marBottom w:val="0"/>
      <w:divBdr>
        <w:top w:val="none" w:sz="0" w:space="0" w:color="auto"/>
        <w:left w:val="none" w:sz="0" w:space="0" w:color="auto"/>
        <w:bottom w:val="none" w:sz="0" w:space="0" w:color="auto"/>
        <w:right w:val="none" w:sz="0" w:space="0" w:color="auto"/>
      </w:divBdr>
    </w:div>
    <w:div w:id="524369077">
      <w:bodyDiv w:val="1"/>
      <w:marLeft w:val="0"/>
      <w:marRight w:val="0"/>
      <w:marTop w:val="0"/>
      <w:marBottom w:val="0"/>
      <w:divBdr>
        <w:top w:val="none" w:sz="0" w:space="0" w:color="auto"/>
        <w:left w:val="none" w:sz="0" w:space="0" w:color="auto"/>
        <w:bottom w:val="none" w:sz="0" w:space="0" w:color="auto"/>
        <w:right w:val="none" w:sz="0" w:space="0" w:color="auto"/>
      </w:divBdr>
    </w:div>
    <w:div w:id="528033825">
      <w:bodyDiv w:val="1"/>
      <w:marLeft w:val="0"/>
      <w:marRight w:val="0"/>
      <w:marTop w:val="0"/>
      <w:marBottom w:val="0"/>
      <w:divBdr>
        <w:top w:val="none" w:sz="0" w:space="0" w:color="auto"/>
        <w:left w:val="none" w:sz="0" w:space="0" w:color="auto"/>
        <w:bottom w:val="none" w:sz="0" w:space="0" w:color="auto"/>
        <w:right w:val="none" w:sz="0" w:space="0" w:color="auto"/>
      </w:divBdr>
    </w:div>
    <w:div w:id="530071732">
      <w:bodyDiv w:val="1"/>
      <w:marLeft w:val="0"/>
      <w:marRight w:val="0"/>
      <w:marTop w:val="0"/>
      <w:marBottom w:val="0"/>
      <w:divBdr>
        <w:top w:val="none" w:sz="0" w:space="0" w:color="auto"/>
        <w:left w:val="none" w:sz="0" w:space="0" w:color="auto"/>
        <w:bottom w:val="none" w:sz="0" w:space="0" w:color="auto"/>
        <w:right w:val="none" w:sz="0" w:space="0" w:color="auto"/>
      </w:divBdr>
    </w:div>
    <w:div w:id="536508507">
      <w:bodyDiv w:val="1"/>
      <w:marLeft w:val="0"/>
      <w:marRight w:val="0"/>
      <w:marTop w:val="0"/>
      <w:marBottom w:val="0"/>
      <w:divBdr>
        <w:top w:val="none" w:sz="0" w:space="0" w:color="auto"/>
        <w:left w:val="none" w:sz="0" w:space="0" w:color="auto"/>
        <w:bottom w:val="none" w:sz="0" w:space="0" w:color="auto"/>
        <w:right w:val="none" w:sz="0" w:space="0" w:color="auto"/>
      </w:divBdr>
    </w:div>
    <w:div w:id="550846050">
      <w:bodyDiv w:val="1"/>
      <w:marLeft w:val="0"/>
      <w:marRight w:val="0"/>
      <w:marTop w:val="0"/>
      <w:marBottom w:val="0"/>
      <w:divBdr>
        <w:top w:val="none" w:sz="0" w:space="0" w:color="auto"/>
        <w:left w:val="none" w:sz="0" w:space="0" w:color="auto"/>
        <w:bottom w:val="none" w:sz="0" w:space="0" w:color="auto"/>
        <w:right w:val="none" w:sz="0" w:space="0" w:color="auto"/>
      </w:divBdr>
    </w:div>
    <w:div w:id="552153228">
      <w:bodyDiv w:val="1"/>
      <w:marLeft w:val="0"/>
      <w:marRight w:val="0"/>
      <w:marTop w:val="0"/>
      <w:marBottom w:val="0"/>
      <w:divBdr>
        <w:top w:val="none" w:sz="0" w:space="0" w:color="auto"/>
        <w:left w:val="none" w:sz="0" w:space="0" w:color="auto"/>
        <w:bottom w:val="none" w:sz="0" w:space="0" w:color="auto"/>
        <w:right w:val="none" w:sz="0" w:space="0" w:color="auto"/>
      </w:divBdr>
    </w:div>
    <w:div w:id="563027085">
      <w:bodyDiv w:val="1"/>
      <w:marLeft w:val="0"/>
      <w:marRight w:val="0"/>
      <w:marTop w:val="0"/>
      <w:marBottom w:val="0"/>
      <w:divBdr>
        <w:top w:val="none" w:sz="0" w:space="0" w:color="auto"/>
        <w:left w:val="none" w:sz="0" w:space="0" w:color="auto"/>
        <w:bottom w:val="none" w:sz="0" w:space="0" w:color="auto"/>
        <w:right w:val="none" w:sz="0" w:space="0" w:color="auto"/>
      </w:divBdr>
    </w:div>
    <w:div w:id="583152150">
      <w:bodyDiv w:val="1"/>
      <w:marLeft w:val="0"/>
      <w:marRight w:val="0"/>
      <w:marTop w:val="0"/>
      <w:marBottom w:val="0"/>
      <w:divBdr>
        <w:top w:val="none" w:sz="0" w:space="0" w:color="auto"/>
        <w:left w:val="none" w:sz="0" w:space="0" w:color="auto"/>
        <w:bottom w:val="none" w:sz="0" w:space="0" w:color="auto"/>
        <w:right w:val="none" w:sz="0" w:space="0" w:color="auto"/>
      </w:divBdr>
      <w:divsChild>
        <w:div w:id="999306188">
          <w:marLeft w:val="0"/>
          <w:marRight w:val="0"/>
          <w:marTop w:val="0"/>
          <w:marBottom w:val="0"/>
          <w:divBdr>
            <w:top w:val="none" w:sz="0" w:space="0" w:color="auto"/>
            <w:left w:val="none" w:sz="0" w:space="0" w:color="auto"/>
            <w:bottom w:val="none" w:sz="0" w:space="0" w:color="auto"/>
            <w:right w:val="none" w:sz="0" w:space="0" w:color="auto"/>
          </w:divBdr>
          <w:divsChild>
            <w:div w:id="20036605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83493891">
      <w:bodyDiv w:val="1"/>
      <w:marLeft w:val="0"/>
      <w:marRight w:val="0"/>
      <w:marTop w:val="0"/>
      <w:marBottom w:val="0"/>
      <w:divBdr>
        <w:top w:val="none" w:sz="0" w:space="0" w:color="auto"/>
        <w:left w:val="none" w:sz="0" w:space="0" w:color="auto"/>
        <w:bottom w:val="none" w:sz="0" w:space="0" w:color="auto"/>
        <w:right w:val="none" w:sz="0" w:space="0" w:color="auto"/>
      </w:divBdr>
    </w:div>
    <w:div w:id="586231227">
      <w:bodyDiv w:val="1"/>
      <w:marLeft w:val="0"/>
      <w:marRight w:val="0"/>
      <w:marTop w:val="0"/>
      <w:marBottom w:val="0"/>
      <w:divBdr>
        <w:top w:val="none" w:sz="0" w:space="0" w:color="auto"/>
        <w:left w:val="none" w:sz="0" w:space="0" w:color="auto"/>
        <w:bottom w:val="none" w:sz="0" w:space="0" w:color="auto"/>
        <w:right w:val="none" w:sz="0" w:space="0" w:color="auto"/>
      </w:divBdr>
    </w:div>
    <w:div w:id="588201502">
      <w:bodyDiv w:val="1"/>
      <w:marLeft w:val="0"/>
      <w:marRight w:val="0"/>
      <w:marTop w:val="0"/>
      <w:marBottom w:val="0"/>
      <w:divBdr>
        <w:top w:val="none" w:sz="0" w:space="0" w:color="auto"/>
        <w:left w:val="none" w:sz="0" w:space="0" w:color="auto"/>
        <w:bottom w:val="none" w:sz="0" w:space="0" w:color="auto"/>
        <w:right w:val="none" w:sz="0" w:space="0" w:color="auto"/>
      </w:divBdr>
    </w:div>
    <w:div w:id="589200940">
      <w:bodyDiv w:val="1"/>
      <w:marLeft w:val="0"/>
      <w:marRight w:val="0"/>
      <w:marTop w:val="0"/>
      <w:marBottom w:val="0"/>
      <w:divBdr>
        <w:top w:val="none" w:sz="0" w:space="0" w:color="auto"/>
        <w:left w:val="none" w:sz="0" w:space="0" w:color="auto"/>
        <w:bottom w:val="none" w:sz="0" w:space="0" w:color="auto"/>
        <w:right w:val="none" w:sz="0" w:space="0" w:color="auto"/>
      </w:divBdr>
    </w:div>
    <w:div w:id="591861236">
      <w:bodyDiv w:val="1"/>
      <w:marLeft w:val="0"/>
      <w:marRight w:val="0"/>
      <w:marTop w:val="0"/>
      <w:marBottom w:val="0"/>
      <w:divBdr>
        <w:top w:val="none" w:sz="0" w:space="0" w:color="auto"/>
        <w:left w:val="none" w:sz="0" w:space="0" w:color="auto"/>
        <w:bottom w:val="none" w:sz="0" w:space="0" w:color="auto"/>
        <w:right w:val="none" w:sz="0" w:space="0" w:color="auto"/>
      </w:divBdr>
    </w:div>
    <w:div w:id="616760398">
      <w:bodyDiv w:val="1"/>
      <w:marLeft w:val="0"/>
      <w:marRight w:val="0"/>
      <w:marTop w:val="0"/>
      <w:marBottom w:val="0"/>
      <w:divBdr>
        <w:top w:val="none" w:sz="0" w:space="0" w:color="auto"/>
        <w:left w:val="none" w:sz="0" w:space="0" w:color="auto"/>
        <w:bottom w:val="none" w:sz="0" w:space="0" w:color="auto"/>
        <w:right w:val="none" w:sz="0" w:space="0" w:color="auto"/>
      </w:divBdr>
    </w:div>
    <w:div w:id="621349103">
      <w:bodyDiv w:val="1"/>
      <w:marLeft w:val="0"/>
      <w:marRight w:val="0"/>
      <w:marTop w:val="0"/>
      <w:marBottom w:val="0"/>
      <w:divBdr>
        <w:top w:val="none" w:sz="0" w:space="0" w:color="auto"/>
        <w:left w:val="none" w:sz="0" w:space="0" w:color="auto"/>
        <w:bottom w:val="none" w:sz="0" w:space="0" w:color="auto"/>
        <w:right w:val="none" w:sz="0" w:space="0" w:color="auto"/>
      </w:divBdr>
    </w:div>
    <w:div w:id="622463565">
      <w:bodyDiv w:val="1"/>
      <w:marLeft w:val="0"/>
      <w:marRight w:val="0"/>
      <w:marTop w:val="0"/>
      <w:marBottom w:val="0"/>
      <w:divBdr>
        <w:top w:val="none" w:sz="0" w:space="0" w:color="auto"/>
        <w:left w:val="none" w:sz="0" w:space="0" w:color="auto"/>
        <w:bottom w:val="none" w:sz="0" w:space="0" w:color="auto"/>
        <w:right w:val="none" w:sz="0" w:space="0" w:color="auto"/>
      </w:divBdr>
    </w:div>
    <w:div w:id="633486534">
      <w:bodyDiv w:val="1"/>
      <w:marLeft w:val="0"/>
      <w:marRight w:val="0"/>
      <w:marTop w:val="0"/>
      <w:marBottom w:val="0"/>
      <w:divBdr>
        <w:top w:val="none" w:sz="0" w:space="0" w:color="auto"/>
        <w:left w:val="none" w:sz="0" w:space="0" w:color="auto"/>
        <w:bottom w:val="none" w:sz="0" w:space="0" w:color="auto"/>
        <w:right w:val="none" w:sz="0" w:space="0" w:color="auto"/>
      </w:divBdr>
    </w:div>
    <w:div w:id="651643999">
      <w:bodyDiv w:val="1"/>
      <w:marLeft w:val="0"/>
      <w:marRight w:val="0"/>
      <w:marTop w:val="0"/>
      <w:marBottom w:val="0"/>
      <w:divBdr>
        <w:top w:val="none" w:sz="0" w:space="0" w:color="auto"/>
        <w:left w:val="none" w:sz="0" w:space="0" w:color="auto"/>
        <w:bottom w:val="none" w:sz="0" w:space="0" w:color="auto"/>
        <w:right w:val="none" w:sz="0" w:space="0" w:color="auto"/>
      </w:divBdr>
    </w:div>
    <w:div w:id="666250510">
      <w:bodyDiv w:val="1"/>
      <w:marLeft w:val="0"/>
      <w:marRight w:val="0"/>
      <w:marTop w:val="0"/>
      <w:marBottom w:val="0"/>
      <w:divBdr>
        <w:top w:val="none" w:sz="0" w:space="0" w:color="auto"/>
        <w:left w:val="none" w:sz="0" w:space="0" w:color="auto"/>
        <w:bottom w:val="none" w:sz="0" w:space="0" w:color="auto"/>
        <w:right w:val="none" w:sz="0" w:space="0" w:color="auto"/>
      </w:divBdr>
    </w:div>
    <w:div w:id="668800599">
      <w:bodyDiv w:val="1"/>
      <w:marLeft w:val="0"/>
      <w:marRight w:val="0"/>
      <w:marTop w:val="0"/>
      <w:marBottom w:val="0"/>
      <w:divBdr>
        <w:top w:val="none" w:sz="0" w:space="0" w:color="auto"/>
        <w:left w:val="none" w:sz="0" w:space="0" w:color="auto"/>
        <w:bottom w:val="none" w:sz="0" w:space="0" w:color="auto"/>
        <w:right w:val="none" w:sz="0" w:space="0" w:color="auto"/>
      </w:divBdr>
    </w:div>
    <w:div w:id="670446166">
      <w:bodyDiv w:val="1"/>
      <w:marLeft w:val="0"/>
      <w:marRight w:val="0"/>
      <w:marTop w:val="0"/>
      <w:marBottom w:val="0"/>
      <w:divBdr>
        <w:top w:val="none" w:sz="0" w:space="0" w:color="auto"/>
        <w:left w:val="none" w:sz="0" w:space="0" w:color="auto"/>
        <w:bottom w:val="none" w:sz="0" w:space="0" w:color="auto"/>
        <w:right w:val="none" w:sz="0" w:space="0" w:color="auto"/>
      </w:divBdr>
    </w:div>
    <w:div w:id="673069624">
      <w:bodyDiv w:val="1"/>
      <w:marLeft w:val="0"/>
      <w:marRight w:val="0"/>
      <w:marTop w:val="0"/>
      <w:marBottom w:val="0"/>
      <w:divBdr>
        <w:top w:val="none" w:sz="0" w:space="0" w:color="auto"/>
        <w:left w:val="none" w:sz="0" w:space="0" w:color="auto"/>
        <w:bottom w:val="none" w:sz="0" w:space="0" w:color="auto"/>
        <w:right w:val="none" w:sz="0" w:space="0" w:color="auto"/>
      </w:divBdr>
      <w:divsChild>
        <w:div w:id="708648053">
          <w:marLeft w:val="0"/>
          <w:marRight w:val="0"/>
          <w:marTop w:val="0"/>
          <w:marBottom w:val="0"/>
          <w:divBdr>
            <w:top w:val="none" w:sz="0" w:space="0" w:color="auto"/>
            <w:left w:val="none" w:sz="0" w:space="0" w:color="auto"/>
            <w:bottom w:val="none" w:sz="0" w:space="0" w:color="auto"/>
            <w:right w:val="none" w:sz="0" w:space="0" w:color="auto"/>
          </w:divBdr>
        </w:div>
        <w:div w:id="995034480">
          <w:marLeft w:val="0"/>
          <w:marRight w:val="0"/>
          <w:marTop w:val="0"/>
          <w:marBottom w:val="0"/>
          <w:divBdr>
            <w:top w:val="none" w:sz="0" w:space="0" w:color="auto"/>
            <w:left w:val="none" w:sz="0" w:space="0" w:color="auto"/>
            <w:bottom w:val="none" w:sz="0" w:space="0" w:color="auto"/>
            <w:right w:val="none" w:sz="0" w:space="0" w:color="auto"/>
          </w:divBdr>
        </w:div>
      </w:divsChild>
    </w:div>
    <w:div w:id="679621709">
      <w:bodyDiv w:val="1"/>
      <w:marLeft w:val="0"/>
      <w:marRight w:val="0"/>
      <w:marTop w:val="0"/>
      <w:marBottom w:val="0"/>
      <w:divBdr>
        <w:top w:val="none" w:sz="0" w:space="0" w:color="auto"/>
        <w:left w:val="none" w:sz="0" w:space="0" w:color="auto"/>
        <w:bottom w:val="none" w:sz="0" w:space="0" w:color="auto"/>
        <w:right w:val="none" w:sz="0" w:space="0" w:color="auto"/>
      </w:divBdr>
    </w:div>
    <w:div w:id="681589632">
      <w:bodyDiv w:val="1"/>
      <w:marLeft w:val="0"/>
      <w:marRight w:val="0"/>
      <w:marTop w:val="0"/>
      <w:marBottom w:val="0"/>
      <w:divBdr>
        <w:top w:val="none" w:sz="0" w:space="0" w:color="auto"/>
        <w:left w:val="none" w:sz="0" w:space="0" w:color="auto"/>
        <w:bottom w:val="none" w:sz="0" w:space="0" w:color="auto"/>
        <w:right w:val="none" w:sz="0" w:space="0" w:color="auto"/>
      </w:divBdr>
    </w:div>
    <w:div w:id="694428894">
      <w:bodyDiv w:val="1"/>
      <w:marLeft w:val="0"/>
      <w:marRight w:val="0"/>
      <w:marTop w:val="0"/>
      <w:marBottom w:val="0"/>
      <w:divBdr>
        <w:top w:val="none" w:sz="0" w:space="0" w:color="auto"/>
        <w:left w:val="none" w:sz="0" w:space="0" w:color="auto"/>
        <w:bottom w:val="none" w:sz="0" w:space="0" w:color="auto"/>
        <w:right w:val="none" w:sz="0" w:space="0" w:color="auto"/>
      </w:divBdr>
    </w:div>
    <w:div w:id="695037913">
      <w:bodyDiv w:val="1"/>
      <w:marLeft w:val="0"/>
      <w:marRight w:val="0"/>
      <w:marTop w:val="0"/>
      <w:marBottom w:val="0"/>
      <w:divBdr>
        <w:top w:val="none" w:sz="0" w:space="0" w:color="auto"/>
        <w:left w:val="none" w:sz="0" w:space="0" w:color="auto"/>
        <w:bottom w:val="none" w:sz="0" w:space="0" w:color="auto"/>
        <w:right w:val="none" w:sz="0" w:space="0" w:color="auto"/>
      </w:divBdr>
    </w:div>
    <w:div w:id="703675058">
      <w:bodyDiv w:val="1"/>
      <w:marLeft w:val="0"/>
      <w:marRight w:val="0"/>
      <w:marTop w:val="0"/>
      <w:marBottom w:val="0"/>
      <w:divBdr>
        <w:top w:val="none" w:sz="0" w:space="0" w:color="auto"/>
        <w:left w:val="none" w:sz="0" w:space="0" w:color="auto"/>
        <w:bottom w:val="none" w:sz="0" w:space="0" w:color="auto"/>
        <w:right w:val="none" w:sz="0" w:space="0" w:color="auto"/>
      </w:divBdr>
    </w:div>
    <w:div w:id="708729484">
      <w:bodyDiv w:val="1"/>
      <w:marLeft w:val="0"/>
      <w:marRight w:val="0"/>
      <w:marTop w:val="0"/>
      <w:marBottom w:val="0"/>
      <w:divBdr>
        <w:top w:val="none" w:sz="0" w:space="0" w:color="auto"/>
        <w:left w:val="none" w:sz="0" w:space="0" w:color="auto"/>
        <w:bottom w:val="none" w:sz="0" w:space="0" w:color="auto"/>
        <w:right w:val="none" w:sz="0" w:space="0" w:color="auto"/>
      </w:divBdr>
    </w:div>
    <w:div w:id="715858029">
      <w:bodyDiv w:val="1"/>
      <w:marLeft w:val="0"/>
      <w:marRight w:val="0"/>
      <w:marTop w:val="0"/>
      <w:marBottom w:val="0"/>
      <w:divBdr>
        <w:top w:val="none" w:sz="0" w:space="0" w:color="auto"/>
        <w:left w:val="none" w:sz="0" w:space="0" w:color="auto"/>
        <w:bottom w:val="none" w:sz="0" w:space="0" w:color="auto"/>
        <w:right w:val="none" w:sz="0" w:space="0" w:color="auto"/>
      </w:divBdr>
    </w:div>
    <w:div w:id="717318600">
      <w:bodyDiv w:val="1"/>
      <w:marLeft w:val="0"/>
      <w:marRight w:val="0"/>
      <w:marTop w:val="0"/>
      <w:marBottom w:val="0"/>
      <w:divBdr>
        <w:top w:val="none" w:sz="0" w:space="0" w:color="auto"/>
        <w:left w:val="none" w:sz="0" w:space="0" w:color="auto"/>
        <w:bottom w:val="none" w:sz="0" w:space="0" w:color="auto"/>
        <w:right w:val="none" w:sz="0" w:space="0" w:color="auto"/>
      </w:divBdr>
    </w:div>
    <w:div w:id="728265536">
      <w:bodyDiv w:val="1"/>
      <w:marLeft w:val="0"/>
      <w:marRight w:val="0"/>
      <w:marTop w:val="0"/>
      <w:marBottom w:val="0"/>
      <w:divBdr>
        <w:top w:val="none" w:sz="0" w:space="0" w:color="auto"/>
        <w:left w:val="none" w:sz="0" w:space="0" w:color="auto"/>
        <w:bottom w:val="none" w:sz="0" w:space="0" w:color="auto"/>
        <w:right w:val="none" w:sz="0" w:space="0" w:color="auto"/>
      </w:divBdr>
    </w:div>
    <w:div w:id="730890030">
      <w:bodyDiv w:val="1"/>
      <w:marLeft w:val="0"/>
      <w:marRight w:val="0"/>
      <w:marTop w:val="0"/>
      <w:marBottom w:val="0"/>
      <w:divBdr>
        <w:top w:val="none" w:sz="0" w:space="0" w:color="auto"/>
        <w:left w:val="none" w:sz="0" w:space="0" w:color="auto"/>
        <w:bottom w:val="none" w:sz="0" w:space="0" w:color="auto"/>
        <w:right w:val="none" w:sz="0" w:space="0" w:color="auto"/>
      </w:divBdr>
      <w:divsChild>
        <w:div w:id="636640127">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739325615">
      <w:bodyDiv w:val="1"/>
      <w:marLeft w:val="0"/>
      <w:marRight w:val="0"/>
      <w:marTop w:val="0"/>
      <w:marBottom w:val="0"/>
      <w:divBdr>
        <w:top w:val="none" w:sz="0" w:space="0" w:color="auto"/>
        <w:left w:val="none" w:sz="0" w:space="0" w:color="auto"/>
        <w:bottom w:val="none" w:sz="0" w:space="0" w:color="auto"/>
        <w:right w:val="none" w:sz="0" w:space="0" w:color="auto"/>
      </w:divBdr>
    </w:div>
    <w:div w:id="740366639">
      <w:bodyDiv w:val="1"/>
      <w:marLeft w:val="0"/>
      <w:marRight w:val="0"/>
      <w:marTop w:val="0"/>
      <w:marBottom w:val="0"/>
      <w:divBdr>
        <w:top w:val="none" w:sz="0" w:space="0" w:color="auto"/>
        <w:left w:val="none" w:sz="0" w:space="0" w:color="auto"/>
        <w:bottom w:val="none" w:sz="0" w:space="0" w:color="auto"/>
        <w:right w:val="none" w:sz="0" w:space="0" w:color="auto"/>
      </w:divBdr>
    </w:div>
    <w:div w:id="748621584">
      <w:bodyDiv w:val="1"/>
      <w:marLeft w:val="0"/>
      <w:marRight w:val="0"/>
      <w:marTop w:val="0"/>
      <w:marBottom w:val="0"/>
      <w:divBdr>
        <w:top w:val="none" w:sz="0" w:space="0" w:color="auto"/>
        <w:left w:val="none" w:sz="0" w:space="0" w:color="auto"/>
        <w:bottom w:val="none" w:sz="0" w:space="0" w:color="auto"/>
        <w:right w:val="none" w:sz="0" w:space="0" w:color="auto"/>
      </w:divBdr>
    </w:div>
    <w:div w:id="748698419">
      <w:bodyDiv w:val="1"/>
      <w:marLeft w:val="0"/>
      <w:marRight w:val="0"/>
      <w:marTop w:val="0"/>
      <w:marBottom w:val="0"/>
      <w:divBdr>
        <w:top w:val="none" w:sz="0" w:space="0" w:color="auto"/>
        <w:left w:val="none" w:sz="0" w:space="0" w:color="auto"/>
        <w:bottom w:val="none" w:sz="0" w:space="0" w:color="auto"/>
        <w:right w:val="none" w:sz="0" w:space="0" w:color="auto"/>
      </w:divBdr>
      <w:divsChild>
        <w:div w:id="265815045">
          <w:marLeft w:val="0"/>
          <w:marRight w:val="0"/>
          <w:marTop w:val="0"/>
          <w:marBottom w:val="0"/>
          <w:divBdr>
            <w:top w:val="none" w:sz="0" w:space="0" w:color="auto"/>
            <w:left w:val="none" w:sz="0" w:space="0" w:color="auto"/>
            <w:bottom w:val="none" w:sz="0" w:space="0" w:color="auto"/>
            <w:right w:val="none" w:sz="0" w:space="0" w:color="auto"/>
          </w:divBdr>
        </w:div>
        <w:div w:id="841048065">
          <w:marLeft w:val="0"/>
          <w:marRight w:val="0"/>
          <w:marTop w:val="0"/>
          <w:marBottom w:val="0"/>
          <w:divBdr>
            <w:top w:val="none" w:sz="0" w:space="0" w:color="auto"/>
            <w:left w:val="none" w:sz="0" w:space="0" w:color="auto"/>
            <w:bottom w:val="none" w:sz="0" w:space="0" w:color="auto"/>
            <w:right w:val="none" w:sz="0" w:space="0" w:color="auto"/>
          </w:divBdr>
        </w:div>
      </w:divsChild>
    </w:div>
    <w:div w:id="754009778">
      <w:bodyDiv w:val="1"/>
      <w:marLeft w:val="0"/>
      <w:marRight w:val="0"/>
      <w:marTop w:val="0"/>
      <w:marBottom w:val="0"/>
      <w:divBdr>
        <w:top w:val="none" w:sz="0" w:space="0" w:color="auto"/>
        <w:left w:val="none" w:sz="0" w:space="0" w:color="auto"/>
        <w:bottom w:val="none" w:sz="0" w:space="0" w:color="auto"/>
        <w:right w:val="none" w:sz="0" w:space="0" w:color="auto"/>
      </w:divBdr>
    </w:div>
    <w:div w:id="756249394">
      <w:bodyDiv w:val="1"/>
      <w:marLeft w:val="0"/>
      <w:marRight w:val="0"/>
      <w:marTop w:val="0"/>
      <w:marBottom w:val="0"/>
      <w:divBdr>
        <w:top w:val="none" w:sz="0" w:space="0" w:color="auto"/>
        <w:left w:val="none" w:sz="0" w:space="0" w:color="auto"/>
        <w:bottom w:val="none" w:sz="0" w:space="0" w:color="auto"/>
        <w:right w:val="none" w:sz="0" w:space="0" w:color="auto"/>
      </w:divBdr>
    </w:div>
    <w:div w:id="776366439">
      <w:bodyDiv w:val="1"/>
      <w:marLeft w:val="0"/>
      <w:marRight w:val="0"/>
      <w:marTop w:val="0"/>
      <w:marBottom w:val="0"/>
      <w:divBdr>
        <w:top w:val="none" w:sz="0" w:space="0" w:color="auto"/>
        <w:left w:val="none" w:sz="0" w:space="0" w:color="auto"/>
        <w:bottom w:val="none" w:sz="0" w:space="0" w:color="auto"/>
        <w:right w:val="none" w:sz="0" w:space="0" w:color="auto"/>
      </w:divBdr>
      <w:divsChild>
        <w:div w:id="93599218">
          <w:marLeft w:val="0"/>
          <w:marRight w:val="0"/>
          <w:marTop w:val="0"/>
          <w:marBottom w:val="0"/>
          <w:divBdr>
            <w:top w:val="none" w:sz="0" w:space="0" w:color="auto"/>
            <w:left w:val="none" w:sz="0" w:space="0" w:color="auto"/>
            <w:bottom w:val="none" w:sz="0" w:space="0" w:color="auto"/>
            <w:right w:val="none" w:sz="0" w:space="0" w:color="auto"/>
          </w:divBdr>
        </w:div>
        <w:div w:id="118568450">
          <w:marLeft w:val="0"/>
          <w:marRight w:val="0"/>
          <w:marTop w:val="0"/>
          <w:marBottom w:val="0"/>
          <w:divBdr>
            <w:top w:val="none" w:sz="0" w:space="0" w:color="auto"/>
            <w:left w:val="none" w:sz="0" w:space="0" w:color="auto"/>
            <w:bottom w:val="none" w:sz="0" w:space="0" w:color="auto"/>
            <w:right w:val="none" w:sz="0" w:space="0" w:color="auto"/>
          </w:divBdr>
        </w:div>
      </w:divsChild>
    </w:div>
    <w:div w:id="780027659">
      <w:bodyDiv w:val="1"/>
      <w:marLeft w:val="0"/>
      <w:marRight w:val="0"/>
      <w:marTop w:val="0"/>
      <w:marBottom w:val="0"/>
      <w:divBdr>
        <w:top w:val="none" w:sz="0" w:space="0" w:color="auto"/>
        <w:left w:val="none" w:sz="0" w:space="0" w:color="auto"/>
        <w:bottom w:val="none" w:sz="0" w:space="0" w:color="auto"/>
        <w:right w:val="none" w:sz="0" w:space="0" w:color="auto"/>
      </w:divBdr>
    </w:div>
    <w:div w:id="784270890">
      <w:bodyDiv w:val="1"/>
      <w:marLeft w:val="0"/>
      <w:marRight w:val="0"/>
      <w:marTop w:val="0"/>
      <w:marBottom w:val="0"/>
      <w:divBdr>
        <w:top w:val="none" w:sz="0" w:space="0" w:color="auto"/>
        <w:left w:val="none" w:sz="0" w:space="0" w:color="auto"/>
        <w:bottom w:val="none" w:sz="0" w:space="0" w:color="auto"/>
        <w:right w:val="none" w:sz="0" w:space="0" w:color="auto"/>
      </w:divBdr>
    </w:div>
    <w:div w:id="795562509">
      <w:bodyDiv w:val="1"/>
      <w:marLeft w:val="0"/>
      <w:marRight w:val="0"/>
      <w:marTop w:val="0"/>
      <w:marBottom w:val="0"/>
      <w:divBdr>
        <w:top w:val="none" w:sz="0" w:space="0" w:color="auto"/>
        <w:left w:val="none" w:sz="0" w:space="0" w:color="auto"/>
        <w:bottom w:val="none" w:sz="0" w:space="0" w:color="auto"/>
        <w:right w:val="none" w:sz="0" w:space="0" w:color="auto"/>
      </w:divBdr>
    </w:div>
    <w:div w:id="798688610">
      <w:bodyDiv w:val="1"/>
      <w:marLeft w:val="0"/>
      <w:marRight w:val="0"/>
      <w:marTop w:val="0"/>
      <w:marBottom w:val="0"/>
      <w:divBdr>
        <w:top w:val="none" w:sz="0" w:space="0" w:color="auto"/>
        <w:left w:val="none" w:sz="0" w:space="0" w:color="auto"/>
        <w:bottom w:val="none" w:sz="0" w:space="0" w:color="auto"/>
        <w:right w:val="none" w:sz="0" w:space="0" w:color="auto"/>
      </w:divBdr>
    </w:div>
    <w:div w:id="808743169">
      <w:bodyDiv w:val="1"/>
      <w:marLeft w:val="0"/>
      <w:marRight w:val="0"/>
      <w:marTop w:val="0"/>
      <w:marBottom w:val="0"/>
      <w:divBdr>
        <w:top w:val="none" w:sz="0" w:space="0" w:color="auto"/>
        <w:left w:val="none" w:sz="0" w:space="0" w:color="auto"/>
        <w:bottom w:val="none" w:sz="0" w:space="0" w:color="auto"/>
        <w:right w:val="none" w:sz="0" w:space="0" w:color="auto"/>
      </w:divBdr>
    </w:div>
    <w:div w:id="816268581">
      <w:bodyDiv w:val="1"/>
      <w:marLeft w:val="0"/>
      <w:marRight w:val="0"/>
      <w:marTop w:val="0"/>
      <w:marBottom w:val="0"/>
      <w:divBdr>
        <w:top w:val="none" w:sz="0" w:space="0" w:color="auto"/>
        <w:left w:val="none" w:sz="0" w:space="0" w:color="auto"/>
        <w:bottom w:val="none" w:sz="0" w:space="0" w:color="auto"/>
        <w:right w:val="none" w:sz="0" w:space="0" w:color="auto"/>
      </w:divBdr>
    </w:div>
    <w:div w:id="821116005">
      <w:bodyDiv w:val="1"/>
      <w:marLeft w:val="0"/>
      <w:marRight w:val="0"/>
      <w:marTop w:val="0"/>
      <w:marBottom w:val="0"/>
      <w:divBdr>
        <w:top w:val="none" w:sz="0" w:space="0" w:color="auto"/>
        <w:left w:val="none" w:sz="0" w:space="0" w:color="auto"/>
        <w:bottom w:val="none" w:sz="0" w:space="0" w:color="auto"/>
        <w:right w:val="none" w:sz="0" w:space="0" w:color="auto"/>
      </w:divBdr>
    </w:div>
    <w:div w:id="824736453">
      <w:bodyDiv w:val="1"/>
      <w:marLeft w:val="0"/>
      <w:marRight w:val="0"/>
      <w:marTop w:val="0"/>
      <w:marBottom w:val="0"/>
      <w:divBdr>
        <w:top w:val="none" w:sz="0" w:space="0" w:color="auto"/>
        <w:left w:val="none" w:sz="0" w:space="0" w:color="auto"/>
        <w:bottom w:val="none" w:sz="0" w:space="0" w:color="auto"/>
        <w:right w:val="none" w:sz="0" w:space="0" w:color="auto"/>
      </w:divBdr>
    </w:div>
    <w:div w:id="830609315">
      <w:bodyDiv w:val="1"/>
      <w:marLeft w:val="0"/>
      <w:marRight w:val="0"/>
      <w:marTop w:val="0"/>
      <w:marBottom w:val="0"/>
      <w:divBdr>
        <w:top w:val="none" w:sz="0" w:space="0" w:color="auto"/>
        <w:left w:val="none" w:sz="0" w:space="0" w:color="auto"/>
        <w:bottom w:val="none" w:sz="0" w:space="0" w:color="auto"/>
        <w:right w:val="none" w:sz="0" w:space="0" w:color="auto"/>
      </w:divBdr>
      <w:divsChild>
        <w:div w:id="124155050">
          <w:marLeft w:val="0"/>
          <w:marRight w:val="0"/>
          <w:marTop w:val="0"/>
          <w:marBottom w:val="0"/>
          <w:divBdr>
            <w:top w:val="none" w:sz="0" w:space="0" w:color="auto"/>
            <w:left w:val="none" w:sz="0" w:space="0" w:color="auto"/>
            <w:bottom w:val="none" w:sz="0" w:space="0" w:color="auto"/>
            <w:right w:val="none" w:sz="0" w:space="0" w:color="auto"/>
          </w:divBdr>
        </w:div>
        <w:div w:id="679309657">
          <w:marLeft w:val="0"/>
          <w:marRight w:val="0"/>
          <w:marTop w:val="0"/>
          <w:marBottom w:val="0"/>
          <w:divBdr>
            <w:top w:val="none" w:sz="0" w:space="0" w:color="auto"/>
            <w:left w:val="none" w:sz="0" w:space="0" w:color="auto"/>
            <w:bottom w:val="none" w:sz="0" w:space="0" w:color="auto"/>
            <w:right w:val="none" w:sz="0" w:space="0" w:color="auto"/>
          </w:divBdr>
        </w:div>
        <w:div w:id="963273289">
          <w:marLeft w:val="0"/>
          <w:marRight w:val="0"/>
          <w:marTop w:val="0"/>
          <w:marBottom w:val="0"/>
          <w:divBdr>
            <w:top w:val="none" w:sz="0" w:space="0" w:color="auto"/>
            <w:left w:val="none" w:sz="0" w:space="0" w:color="auto"/>
            <w:bottom w:val="none" w:sz="0" w:space="0" w:color="auto"/>
            <w:right w:val="none" w:sz="0" w:space="0" w:color="auto"/>
          </w:divBdr>
        </w:div>
      </w:divsChild>
    </w:div>
    <w:div w:id="841355684">
      <w:bodyDiv w:val="1"/>
      <w:marLeft w:val="0"/>
      <w:marRight w:val="0"/>
      <w:marTop w:val="0"/>
      <w:marBottom w:val="0"/>
      <w:divBdr>
        <w:top w:val="none" w:sz="0" w:space="0" w:color="auto"/>
        <w:left w:val="none" w:sz="0" w:space="0" w:color="auto"/>
        <w:bottom w:val="none" w:sz="0" w:space="0" w:color="auto"/>
        <w:right w:val="none" w:sz="0" w:space="0" w:color="auto"/>
      </w:divBdr>
    </w:div>
    <w:div w:id="853418813">
      <w:bodyDiv w:val="1"/>
      <w:marLeft w:val="0"/>
      <w:marRight w:val="0"/>
      <w:marTop w:val="0"/>
      <w:marBottom w:val="0"/>
      <w:divBdr>
        <w:top w:val="none" w:sz="0" w:space="0" w:color="auto"/>
        <w:left w:val="none" w:sz="0" w:space="0" w:color="auto"/>
        <w:bottom w:val="none" w:sz="0" w:space="0" w:color="auto"/>
        <w:right w:val="none" w:sz="0" w:space="0" w:color="auto"/>
      </w:divBdr>
    </w:div>
    <w:div w:id="854416642">
      <w:bodyDiv w:val="1"/>
      <w:marLeft w:val="0"/>
      <w:marRight w:val="0"/>
      <w:marTop w:val="0"/>
      <w:marBottom w:val="0"/>
      <w:divBdr>
        <w:top w:val="none" w:sz="0" w:space="0" w:color="auto"/>
        <w:left w:val="none" w:sz="0" w:space="0" w:color="auto"/>
        <w:bottom w:val="none" w:sz="0" w:space="0" w:color="auto"/>
        <w:right w:val="none" w:sz="0" w:space="0" w:color="auto"/>
      </w:divBdr>
    </w:div>
    <w:div w:id="857281856">
      <w:bodyDiv w:val="1"/>
      <w:marLeft w:val="0"/>
      <w:marRight w:val="0"/>
      <w:marTop w:val="0"/>
      <w:marBottom w:val="0"/>
      <w:divBdr>
        <w:top w:val="none" w:sz="0" w:space="0" w:color="auto"/>
        <w:left w:val="none" w:sz="0" w:space="0" w:color="auto"/>
        <w:bottom w:val="none" w:sz="0" w:space="0" w:color="auto"/>
        <w:right w:val="none" w:sz="0" w:space="0" w:color="auto"/>
      </w:divBdr>
    </w:div>
    <w:div w:id="859466854">
      <w:bodyDiv w:val="1"/>
      <w:marLeft w:val="0"/>
      <w:marRight w:val="0"/>
      <w:marTop w:val="0"/>
      <w:marBottom w:val="0"/>
      <w:divBdr>
        <w:top w:val="none" w:sz="0" w:space="0" w:color="auto"/>
        <w:left w:val="none" w:sz="0" w:space="0" w:color="auto"/>
        <w:bottom w:val="none" w:sz="0" w:space="0" w:color="auto"/>
        <w:right w:val="none" w:sz="0" w:space="0" w:color="auto"/>
      </w:divBdr>
    </w:div>
    <w:div w:id="863518098">
      <w:bodyDiv w:val="1"/>
      <w:marLeft w:val="0"/>
      <w:marRight w:val="0"/>
      <w:marTop w:val="0"/>
      <w:marBottom w:val="0"/>
      <w:divBdr>
        <w:top w:val="none" w:sz="0" w:space="0" w:color="auto"/>
        <w:left w:val="none" w:sz="0" w:space="0" w:color="auto"/>
        <w:bottom w:val="none" w:sz="0" w:space="0" w:color="auto"/>
        <w:right w:val="none" w:sz="0" w:space="0" w:color="auto"/>
      </w:divBdr>
    </w:div>
    <w:div w:id="863902022">
      <w:bodyDiv w:val="1"/>
      <w:marLeft w:val="0"/>
      <w:marRight w:val="0"/>
      <w:marTop w:val="0"/>
      <w:marBottom w:val="0"/>
      <w:divBdr>
        <w:top w:val="none" w:sz="0" w:space="0" w:color="auto"/>
        <w:left w:val="none" w:sz="0" w:space="0" w:color="auto"/>
        <w:bottom w:val="none" w:sz="0" w:space="0" w:color="auto"/>
        <w:right w:val="none" w:sz="0" w:space="0" w:color="auto"/>
      </w:divBdr>
    </w:div>
    <w:div w:id="866257851">
      <w:bodyDiv w:val="1"/>
      <w:marLeft w:val="0"/>
      <w:marRight w:val="0"/>
      <w:marTop w:val="0"/>
      <w:marBottom w:val="0"/>
      <w:divBdr>
        <w:top w:val="none" w:sz="0" w:space="0" w:color="auto"/>
        <w:left w:val="none" w:sz="0" w:space="0" w:color="auto"/>
        <w:bottom w:val="none" w:sz="0" w:space="0" w:color="auto"/>
        <w:right w:val="none" w:sz="0" w:space="0" w:color="auto"/>
      </w:divBdr>
    </w:div>
    <w:div w:id="867643658">
      <w:bodyDiv w:val="1"/>
      <w:marLeft w:val="0"/>
      <w:marRight w:val="0"/>
      <w:marTop w:val="0"/>
      <w:marBottom w:val="0"/>
      <w:divBdr>
        <w:top w:val="none" w:sz="0" w:space="0" w:color="auto"/>
        <w:left w:val="none" w:sz="0" w:space="0" w:color="auto"/>
        <w:bottom w:val="none" w:sz="0" w:space="0" w:color="auto"/>
        <w:right w:val="none" w:sz="0" w:space="0" w:color="auto"/>
      </w:divBdr>
    </w:div>
    <w:div w:id="885987906">
      <w:bodyDiv w:val="1"/>
      <w:marLeft w:val="0"/>
      <w:marRight w:val="0"/>
      <w:marTop w:val="0"/>
      <w:marBottom w:val="0"/>
      <w:divBdr>
        <w:top w:val="none" w:sz="0" w:space="0" w:color="auto"/>
        <w:left w:val="none" w:sz="0" w:space="0" w:color="auto"/>
        <w:bottom w:val="none" w:sz="0" w:space="0" w:color="auto"/>
        <w:right w:val="none" w:sz="0" w:space="0" w:color="auto"/>
      </w:divBdr>
    </w:div>
    <w:div w:id="889730056">
      <w:bodyDiv w:val="1"/>
      <w:marLeft w:val="0"/>
      <w:marRight w:val="0"/>
      <w:marTop w:val="0"/>
      <w:marBottom w:val="0"/>
      <w:divBdr>
        <w:top w:val="none" w:sz="0" w:space="0" w:color="auto"/>
        <w:left w:val="none" w:sz="0" w:space="0" w:color="auto"/>
        <w:bottom w:val="none" w:sz="0" w:space="0" w:color="auto"/>
        <w:right w:val="none" w:sz="0" w:space="0" w:color="auto"/>
      </w:divBdr>
    </w:div>
    <w:div w:id="892811295">
      <w:bodyDiv w:val="1"/>
      <w:marLeft w:val="0"/>
      <w:marRight w:val="0"/>
      <w:marTop w:val="0"/>
      <w:marBottom w:val="0"/>
      <w:divBdr>
        <w:top w:val="none" w:sz="0" w:space="0" w:color="auto"/>
        <w:left w:val="none" w:sz="0" w:space="0" w:color="auto"/>
        <w:bottom w:val="none" w:sz="0" w:space="0" w:color="auto"/>
        <w:right w:val="none" w:sz="0" w:space="0" w:color="auto"/>
      </w:divBdr>
      <w:divsChild>
        <w:div w:id="687294071">
          <w:marLeft w:val="0"/>
          <w:marRight w:val="0"/>
          <w:marTop w:val="0"/>
          <w:marBottom w:val="0"/>
          <w:divBdr>
            <w:top w:val="none" w:sz="0" w:space="0" w:color="auto"/>
            <w:left w:val="none" w:sz="0" w:space="0" w:color="auto"/>
            <w:bottom w:val="none" w:sz="0" w:space="0" w:color="auto"/>
            <w:right w:val="none" w:sz="0" w:space="0" w:color="auto"/>
          </w:divBdr>
        </w:div>
        <w:div w:id="1340622234">
          <w:marLeft w:val="0"/>
          <w:marRight w:val="0"/>
          <w:marTop w:val="0"/>
          <w:marBottom w:val="0"/>
          <w:divBdr>
            <w:top w:val="none" w:sz="0" w:space="0" w:color="auto"/>
            <w:left w:val="none" w:sz="0" w:space="0" w:color="auto"/>
            <w:bottom w:val="none" w:sz="0" w:space="0" w:color="auto"/>
            <w:right w:val="none" w:sz="0" w:space="0" w:color="auto"/>
          </w:divBdr>
        </w:div>
      </w:divsChild>
    </w:div>
    <w:div w:id="896627132">
      <w:bodyDiv w:val="1"/>
      <w:marLeft w:val="0"/>
      <w:marRight w:val="0"/>
      <w:marTop w:val="0"/>
      <w:marBottom w:val="0"/>
      <w:divBdr>
        <w:top w:val="none" w:sz="0" w:space="0" w:color="auto"/>
        <w:left w:val="none" w:sz="0" w:space="0" w:color="auto"/>
        <w:bottom w:val="none" w:sz="0" w:space="0" w:color="auto"/>
        <w:right w:val="none" w:sz="0" w:space="0" w:color="auto"/>
      </w:divBdr>
    </w:div>
    <w:div w:id="905338666">
      <w:bodyDiv w:val="1"/>
      <w:marLeft w:val="0"/>
      <w:marRight w:val="0"/>
      <w:marTop w:val="0"/>
      <w:marBottom w:val="0"/>
      <w:divBdr>
        <w:top w:val="none" w:sz="0" w:space="0" w:color="auto"/>
        <w:left w:val="none" w:sz="0" w:space="0" w:color="auto"/>
        <w:bottom w:val="none" w:sz="0" w:space="0" w:color="auto"/>
        <w:right w:val="none" w:sz="0" w:space="0" w:color="auto"/>
      </w:divBdr>
    </w:div>
    <w:div w:id="917977011">
      <w:bodyDiv w:val="1"/>
      <w:marLeft w:val="0"/>
      <w:marRight w:val="0"/>
      <w:marTop w:val="0"/>
      <w:marBottom w:val="0"/>
      <w:divBdr>
        <w:top w:val="none" w:sz="0" w:space="0" w:color="auto"/>
        <w:left w:val="none" w:sz="0" w:space="0" w:color="auto"/>
        <w:bottom w:val="none" w:sz="0" w:space="0" w:color="auto"/>
        <w:right w:val="none" w:sz="0" w:space="0" w:color="auto"/>
      </w:divBdr>
    </w:div>
    <w:div w:id="926959889">
      <w:bodyDiv w:val="1"/>
      <w:marLeft w:val="0"/>
      <w:marRight w:val="0"/>
      <w:marTop w:val="0"/>
      <w:marBottom w:val="0"/>
      <w:divBdr>
        <w:top w:val="none" w:sz="0" w:space="0" w:color="auto"/>
        <w:left w:val="none" w:sz="0" w:space="0" w:color="auto"/>
        <w:bottom w:val="none" w:sz="0" w:space="0" w:color="auto"/>
        <w:right w:val="none" w:sz="0" w:space="0" w:color="auto"/>
      </w:divBdr>
      <w:divsChild>
        <w:div w:id="335378879">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936979649">
      <w:bodyDiv w:val="1"/>
      <w:marLeft w:val="0"/>
      <w:marRight w:val="0"/>
      <w:marTop w:val="0"/>
      <w:marBottom w:val="0"/>
      <w:divBdr>
        <w:top w:val="none" w:sz="0" w:space="0" w:color="auto"/>
        <w:left w:val="none" w:sz="0" w:space="0" w:color="auto"/>
        <w:bottom w:val="none" w:sz="0" w:space="0" w:color="auto"/>
        <w:right w:val="none" w:sz="0" w:space="0" w:color="auto"/>
      </w:divBdr>
    </w:div>
    <w:div w:id="940722182">
      <w:bodyDiv w:val="1"/>
      <w:marLeft w:val="0"/>
      <w:marRight w:val="0"/>
      <w:marTop w:val="0"/>
      <w:marBottom w:val="0"/>
      <w:divBdr>
        <w:top w:val="none" w:sz="0" w:space="0" w:color="auto"/>
        <w:left w:val="none" w:sz="0" w:space="0" w:color="auto"/>
        <w:bottom w:val="none" w:sz="0" w:space="0" w:color="auto"/>
        <w:right w:val="none" w:sz="0" w:space="0" w:color="auto"/>
      </w:divBdr>
    </w:div>
    <w:div w:id="945500474">
      <w:bodyDiv w:val="1"/>
      <w:marLeft w:val="0"/>
      <w:marRight w:val="0"/>
      <w:marTop w:val="0"/>
      <w:marBottom w:val="0"/>
      <w:divBdr>
        <w:top w:val="none" w:sz="0" w:space="0" w:color="auto"/>
        <w:left w:val="none" w:sz="0" w:space="0" w:color="auto"/>
        <w:bottom w:val="none" w:sz="0" w:space="0" w:color="auto"/>
        <w:right w:val="none" w:sz="0" w:space="0" w:color="auto"/>
      </w:divBdr>
    </w:div>
    <w:div w:id="948197471">
      <w:bodyDiv w:val="1"/>
      <w:marLeft w:val="0"/>
      <w:marRight w:val="0"/>
      <w:marTop w:val="0"/>
      <w:marBottom w:val="0"/>
      <w:divBdr>
        <w:top w:val="none" w:sz="0" w:space="0" w:color="auto"/>
        <w:left w:val="none" w:sz="0" w:space="0" w:color="auto"/>
        <w:bottom w:val="none" w:sz="0" w:space="0" w:color="auto"/>
        <w:right w:val="none" w:sz="0" w:space="0" w:color="auto"/>
      </w:divBdr>
      <w:divsChild>
        <w:div w:id="808478533">
          <w:marLeft w:val="0"/>
          <w:marRight w:val="0"/>
          <w:marTop w:val="0"/>
          <w:marBottom w:val="0"/>
          <w:divBdr>
            <w:top w:val="none" w:sz="0" w:space="0" w:color="auto"/>
            <w:left w:val="none" w:sz="0" w:space="0" w:color="auto"/>
            <w:bottom w:val="none" w:sz="0" w:space="0" w:color="auto"/>
            <w:right w:val="none" w:sz="0" w:space="0" w:color="auto"/>
          </w:divBdr>
        </w:div>
        <w:div w:id="853883726">
          <w:marLeft w:val="0"/>
          <w:marRight w:val="0"/>
          <w:marTop w:val="0"/>
          <w:marBottom w:val="0"/>
          <w:divBdr>
            <w:top w:val="none" w:sz="0" w:space="0" w:color="auto"/>
            <w:left w:val="none" w:sz="0" w:space="0" w:color="auto"/>
            <w:bottom w:val="none" w:sz="0" w:space="0" w:color="auto"/>
            <w:right w:val="none" w:sz="0" w:space="0" w:color="auto"/>
          </w:divBdr>
        </w:div>
        <w:div w:id="946931557">
          <w:marLeft w:val="0"/>
          <w:marRight w:val="0"/>
          <w:marTop w:val="0"/>
          <w:marBottom w:val="0"/>
          <w:divBdr>
            <w:top w:val="none" w:sz="0" w:space="0" w:color="auto"/>
            <w:left w:val="none" w:sz="0" w:space="0" w:color="auto"/>
            <w:bottom w:val="none" w:sz="0" w:space="0" w:color="auto"/>
            <w:right w:val="none" w:sz="0" w:space="0" w:color="auto"/>
          </w:divBdr>
        </w:div>
        <w:div w:id="1155485902">
          <w:marLeft w:val="0"/>
          <w:marRight w:val="0"/>
          <w:marTop w:val="0"/>
          <w:marBottom w:val="0"/>
          <w:divBdr>
            <w:top w:val="none" w:sz="0" w:space="0" w:color="auto"/>
            <w:left w:val="none" w:sz="0" w:space="0" w:color="auto"/>
            <w:bottom w:val="none" w:sz="0" w:space="0" w:color="auto"/>
            <w:right w:val="none" w:sz="0" w:space="0" w:color="auto"/>
          </w:divBdr>
        </w:div>
      </w:divsChild>
    </w:div>
    <w:div w:id="950822476">
      <w:bodyDiv w:val="1"/>
      <w:marLeft w:val="0"/>
      <w:marRight w:val="0"/>
      <w:marTop w:val="0"/>
      <w:marBottom w:val="0"/>
      <w:divBdr>
        <w:top w:val="none" w:sz="0" w:space="0" w:color="auto"/>
        <w:left w:val="none" w:sz="0" w:space="0" w:color="auto"/>
        <w:bottom w:val="none" w:sz="0" w:space="0" w:color="auto"/>
        <w:right w:val="none" w:sz="0" w:space="0" w:color="auto"/>
      </w:divBdr>
    </w:div>
    <w:div w:id="962271900">
      <w:bodyDiv w:val="1"/>
      <w:marLeft w:val="0"/>
      <w:marRight w:val="0"/>
      <w:marTop w:val="0"/>
      <w:marBottom w:val="0"/>
      <w:divBdr>
        <w:top w:val="none" w:sz="0" w:space="0" w:color="auto"/>
        <w:left w:val="none" w:sz="0" w:space="0" w:color="auto"/>
        <w:bottom w:val="none" w:sz="0" w:space="0" w:color="auto"/>
        <w:right w:val="none" w:sz="0" w:space="0" w:color="auto"/>
      </w:divBdr>
    </w:div>
    <w:div w:id="969939793">
      <w:bodyDiv w:val="1"/>
      <w:marLeft w:val="0"/>
      <w:marRight w:val="0"/>
      <w:marTop w:val="0"/>
      <w:marBottom w:val="0"/>
      <w:divBdr>
        <w:top w:val="none" w:sz="0" w:space="0" w:color="auto"/>
        <w:left w:val="none" w:sz="0" w:space="0" w:color="auto"/>
        <w:bottom w:val="none" w:sz="0" w:space="0" w:color="auto"/>
        <w:right w:val="none" w:sz="0" w:space="0" w:color="auto"/>
      </w:divBdr>
    </w:div>
    <w:div w:id="970020006">
      <w:bodyDiv w:val="1"/>
      <w:marLeft w:val="0"/>
      <w:marRight w:val="0"/>
      <w:marTop w:val="0"/>
      <w:marBottom w:val="0"/>
      <w:divBdr>
        <w:top w:val="none" w:sz="0" w:space="0" w:color="auto"/>
        <w:left w:val="none" w:sz="0" w:space="0" w:color="auto"/>
        <w:bottom w:val="none" w:sz="0" w:space="0" w:color="auto"/>
        <w:right w:val="none" w:sz="0" w:space="0" w:color="auto"/>
      </w:divBdr>
    </w:div>
    <w:div w:id="971207887">
      <w:bodyDiv w:val="1"/>
      <w:marLeft w:val="0"/>
      <w:marRight w:val="0"/>
      <w:marTop w:val="0"/>
      <w:marBottom w:val="0"/>
      <w:divBdr>
        <w:top w:val="none" w:sz="0" w:space="0" w:color="auto"/>
        <w:left w:val="none" w:sz="0" w:space="0" w:color="auto"/>
        <w:bottom w:val="none" w:sz="0" w:space="0" w:color="auto"/>
        <w:right w:val="none" w:sz="0" w:space="0" w:color="auto"/>
      </w:divBdr>
    </w:div>
    <w:div w:id="974914245">
      <w:bodyDiv w:val="1"/>
      <w:marLeft w:val="0"/>
      <w:marRight w:val="0"/>
      <w:marTop w:val="0"/>
      <w:marBottom w:val="0"/>
      <w:divBdr>
        <w:top w:val="none" w:sz="0" w:space="0" w:color="auto"/>
        <w:left w:val="none" w:sz="0" w:space="0" w:color="auto"/>
        <w:bottom w:val="none" w:sz="0" w:space="0" w:color="auto"/>
        <w:right w:val="none" w:sz="0" w:space="0" w:color="auto"/>
      </w:divBdr>
      <w:divsChild>
        <w:div w:id="1179126277">
          <w:marLeft w:val="0"/>
          <w:marRight w:val="0"/>
          <w:marTop w:val="0"/>
          <w:marBottom w:val="0"/>
          <w:divBdr>
            <w:top w:val="none" w:sz="0" w:space="0" w:color="auto"/>
            <w:left w:val="none" w:sz="0" w:space="0" w:color="auto"/>
            <w:bottom w:val="none" w:sz="0" w:space="0" w:color="auto"/>
            <w:right w:val="none" w:sz="0" w:space="0" w:color="auto"/>
          </w:divBdr>
        </w:div>
        <w:div w:id="1378241302">
          <w:marLeft w:val="0"/>
          <w:marRight w:val="0"/>
          <w:marTop w:val="0"/>
          <w:marBottom w:val="0"/>
          <w:divBdr>
            <w:top w:val="none" w:sz="0" w:space="0" w:color="auto"/>
            <w:left w:val="none" w:sz="0" w:space="0" w:color="auto"/>
            <w:bottom w:val="none" w:sz="0" w:space="0" w:color="auto"/>
            <w:right w:val="none" w:sz="0" w:space="0" w:color="auto"/>
          </w:divBdr>
        </w:div>
        <w:div w:id="1981378653">
          <w:marLeft w:val="0"/>
          <w:marRight w:val="0"/>
          <w:marTop w:val="0"/>
          <w:marBottom w:val="0"/>
          <w:divBdr>
            <w:top w:val="none" w:sz="0" w:space="0" w:color="auto"/>
            <w:left w:val="none" w:sz="0" w:space="0" w:color="auto"/>
            <w:bottom w:val="none" w:sz="0" w:space="0" w:color="auto"/>
            <w:right w:val="none" w:sz="0" w:space="0" w:color="auto"/>
          </w:divBdr>
        </w:div>
      </w:divsChild>
    </w:div>
    <w:div w:id="978800614">
      <w:bodyDiv w:val="1"/>
      <w:marLeft w:val="0"/>
      <w:marRight w:val="0"/>
      <w:marTop w:val="0"/>
      <w:marBottom w:val="0"/>
      <w:divBdr>
        <w:top w:val="none" w:sz="0" w:space="0" w:color="auto"/>
        <w:left w:val="none" w:sz="0" w:space="0" w:color="auto"/>
        <w:bottom w:val="none" w:sz="0" w:space="0" w:color="auto"/>
        <w:right w:val="none" w:sz="0" w:space="0" w:color="auto"/>
      </w:divBdr>
    </w:div>
    <w:div w:id="980815799">
      <w:bodyDiv w:val="1"/>
      <w:marLeft w:val="0"/>
      <w:marRight w:val="0"/>
      <w:marTop w:val="0"/>
      <w:marBottom w:val="0"/>
      <w:divBdr>
        <w:top w:val="none" w:sz="0" w:space="0" w:color="auto"/>
        <w:left w:val="none" w:sz="0" w:space="0" w:color="auto"/>
        <w:bottom w:val="none" w:sz="0" w:space="0" w:color="auto"/>
        <w:right w:val="none" w:sz="0" w:space="0" w:color="auto"/>
      </w:divBdr>
    </w:div>
    <w:div w:id="987127457">
      <w:bodyDiv w:val="1"/>
      <w:marLeft w:val="0"/>
      <w:marRight w:val="0"/>
      <w:marTop w:val="0"/>
      <w:marBottom w:val="0"/>
      <w:divBdr>
        <w:top w:val="none" w:sz="0" w:space="0" w:color="auto"/>
        <w:left w:val="none" w:sz="0" w:space="0" w:color="auto"/>
        <w:bottom w:val="none" w:sz="0" w:space="0" w:color="auto"/>
        <w:right w:val="none" w:sz="0" w:space="0" w:color="auto"/>
      </w:divBdr>
    </w:div>
    <w:div w:id="1003826457">
      <w:bodyDiv w:val="1"/>
      <w:marLeft w:val="0"/>
      <w:marRight w:val="0"/>
      <w:marTop w:val="0"/>
      <w:marBottom w:val="0"/>
      <w:divBdr>
        <w:top w:val="none" w:sz="0" w:space="0" w:color="auto"/>
        <w:left w:val="none" w:sz="0" w:space="0" w:color="auto"/>
        <w:bottom w:val="none" w:sz="0" w:space="0" w:color="auto"/>
        <w:right w:val="none" w:sz="0" w:space="0" w:color="auto"/>
      </w:divBdr>
    </w:div>
    <w:div w:id="1012220650">
      <w:bodyDiv w:val="1"/>
      <w:marLeft w:val="0"/>
      <w:marRight w:val="0"/>
      <w:marTop w:val="0"/>
      <w:marBottom w:val="0"/>
      <w:divBdr>
        <w:top w:val="none" w:sz="0" w:space="0" w:color="auto"/>
        <w:left w:val="none" w:sz="0" w:space="0" w:color="auto"/>
        <w:bottom w:val="none" w:sz="0" w:space="0" w:color="auto"/>
        <w:right w:val="none" w:sz="0" w:space="0" w:color="auto"/>
      </w:divBdr>
    </w:div>
    <w:div w:id="1013410017">
      <w:bodyDiv w:val="1"/>
      <w:marLeft w:val="0"/>
      <w:marRight w:val="0"/>
      <w:marTop w:val="0"/>
      <w:marBottom w:val="0"/>
      <w:divBdr>
        <w:top w:val="none" w:sz="0" w:space="0" w:color="auto"/>
        <w:left w:val="none" w:sz="0" w:space="0" w:color="auto"/>
        <w:bottom w:val="none" w:sz="0" w:space="0" w:color="auto"/>
        <w:right w:val="none" w:sz="0" w:space="0" w:color="auto"/>
      </w:divBdr>
    </w:div>
    <w:div w:id="1014721694">
      <w:bodyDiv w:val="1"/>
      <w:marLeft w:val="0"/>
      <w:marRight w:val="0"/>
      <w:marTop w:val="0"/>
      <w:marBottom w:val="0"/>
      <w:divBdr>
        <w:top w:val="none" w:sz="0" w:space="0" w:color="auto"/>
        <w:left w:val="none" w:sz="0" w:space="0" w:color="auto"/>
        <w:bottom w:val="none" w:sz="0" w:space="0" w:color="auto"/>
        <w:right w:val="none" w:sz="0" w:space="0" w:color="auto"/>
      </w:divBdr>
    </w:div>
    <w:div w:id="1018506554">
      <w:bodyDiv w:val="1"/>
      <w:marLeft w:val="0"/>
      <w:marRight w:val="0"/>
      <w:marTop w:val="0"/>
      <w:marBottom w:val="0"/>
      <w:divBdr>
        <w:top w:val="none" w:sz="0" w:space="0" w:color="auto"/>
        <w:left w:val="none" w:sz="0" w:space="0" w:color="auto"/>
        <w:bottom w:val="none" w:sz="0" w:space="0" w:color="auto"/>
        <w:right w:val="none" w:sz="0" w:space="0" w:color="auto"/>
      </w:divBdr>
    </w:div>
    <w:div w:id="1022510184">
      <w:bodyDiv w:val="1"/>
      <w:marLeft w:val="0"/>
      <w:marRight w:val="0"/>
      <w:marTop w:val="0"/>
      <w:marBottom w:val="0"/>
      <w:divBdr>
        <w:top w:val="none" w:sz="0" w:space="0" w:color="auto"/>
        <w:left w:val="none" w:sz="0" w:space="0" w:color="auto"/>
        <w:bottom w:val="none" w:sz="0" w:space="0" w:color="auto"/>
        <w:right w:val="none" w:sz="0" w:space="0" w:color="auto"/>
      </w:divBdr>
    </w:div>
    <w:div w:id="1029405134">
      <w:bodyDiv w:val="1"/>
      <w:marLeft w:val="0"/>
      <w:marRight w:val="0"/>
      <w:marTop w:val="0"/>
      <w:marBottom w:val="0"/>
      <w:divBdr>
        <w:top w:val="none" w:sz="0" w:space="0" w:color="auto"/>
        <w:left w:val="none" w:sz="0" w:space="0" w:color="auto"/>
        <w:bottom w:val="none" w:sz="0" w:space="0" w:color="auto"/>
        <w:right w:val="none" w:sz="0" w:space="0" w:color="auto"/>
      </w:divBdr>
    </w:div>
    <w:div w:id="1032615525">
      <w:bodyDiv w:val="1"/>
      <w:marLeft w:val="0"/>
      <w:marRight w:val="0"/>
      <w:marTop w:val="0"/>
      <w:marBottom w:val="0"/>
      <w:divBdr>
        <w:top w:val="none" w:sz="0" w:space="0" w:color="auto"/>
        <w:left w:val="none" w:sz="0" w:space="0" w:color="auto"/>
        <w:bottom w:val="none" w:sz="0" w:space="0" w:color="auto"/>
        <w:right w:val="none" w:sz="0" w:space="0" w:color="auto"/>
      </w:divBdr>
    </w:div>
    <w:div w:id="1036731852">
      <w:bodyDiv w:val="1"/>
      <w:marLeft w:val="0"/>
      <w:marRight w:val="0"/>
      <w:marTop w:val="0"/>
      <w:marBottom w:val="0"/>
      <w:divBdr>
        <w:top w:val="none" w:sz="0" w:space="0" w:color="auto"/>
        <w:left w:val="none" w:sz="0" w:space="0" w:color="auto"/>
        <w:bottom w:val="none" w:sz="0" w:space="0" w:color="auto"/>
        <w:right w:val="none" w:sz="0" w:space="0" w:color="auto"/>
      </w:divBdr>
    </w:div>
    <w:div w:id="1037003263">
      <w:bodyDiv w:val="1"/>
      <w:marLeft w:val="0"/>
      <w:marRight w:val="0"/>
      <w:marTop w:val="0"/>
      <w:marBottom w:val="0"/>
      <w:divBdr>
        <w:top w:val="none" w:sz="0" w:space="0" w:color="auto"/>
        <w:left w:val="none" w:sz="0" w:space="0" w:color="auto"/>
        <w:bottom w:val="none" w:sz="0" w:space="0" w:color="auto"/>
        <w:right w:val="none" w:sz="0" w:space="0" w:color="auto"/>
      </w:divBdr>
    </w:div>
    <w:div w:id="1039865263">
      <w:bodyDiv w:val="1"/>
      <w:marLeft w:val="0"/>
      <w:marRight w:val="0"/>
      <w:marTop w:val="0"/>
      <w:marBottom w:val="0"/>
      <w:divBdr>
        <w:top w:val="none" w:sz="0" w:space="0" w:color="auto"/>
        <w:left w:val="none" w:sz="0" w:space="0" w:color="auto"/>
        <w:bottom w:val="none" w:sz="0" w:space="0" w:color="auto"/>
        <w:right w:val="none" w:sz="0" w:space="0" w:color="auto"/>
      </w:divBdr>
    </w:div>
    <w:div w:id="1048653421">
      <w:bodyDiv w:val="1"/>
      <w:marLeft w:val="0"/>
      <w:marRight w:val="0"/>
      <w:marTop w:val="0"/>
      <w:marBottom w:val="0"/>
      <w:divBdr>
        <w:top w:val="none" w:sz="0" w:space="0" w:color="auto"/>
        <w:left w:val="none" w:sz="0" w:space="0" w:color="auto"/>
        <w:bottom w:val="none" w:sz="0" w:space="0" w:color="auto"/>
        <w:right w:val="none" w:sz="0" w:space="0" w:color="auto"/>
      </w:divBdr>
    </w:div>
    <w:div w:id="1053044091">
      <w:bodyDiv w:val="1"/>
      <w:marLeft w:val="0"/>
      <w:marRight w:val="0"/>
      <w:marTop w:val="0"/>
      <w:marBottom w:val="0"/>
      <w:divBdr>
        <w:top w:val="none" w:sz="0" w:space="0" w:color="auto"/>
        <w:left w:val="none" w:sz="0" w:space="0" w:color="auto"/>
        <w:bottom w:val="none" w:sz="0" w:space="0" w:color="auto"/>
        <w:right w:val="none" w:sz="0" w:space="0" w:color="auto"/>
      </w:divBdr>
      <w:divsChild>
        <w:div w:id="2074346624">
          <w:marLeft w:val="0"/>
          <w:marRight w:val="0"/>
          <w:marTop w:val="0"/>
          <w:marBottom w:val="0"/>
          <w:divBdr>
            <w:top w:val="none" w:sz="0" w:space="0" w:color="auto"/>
            <w:left w:val="none" w:sz="0" w:space="0" w:color="auto"/>
            <w:bottom w:val="none" w:sz="0" w:space="0" w:color="auto"/>
            <w:right w:val="none" w:sz="0" w:space="0" w:color="auto"/>
          </w:divBdr>
          <w:divsChild>
            <w:div w:id="516613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68310004">
      <w:bodyDiv w:val="1"/>
      <w:marLeft w:val="0"/>
      <w:marRight w:val="0"/>
      <w:marTop w:val="0"/>
      <w:marBottom w:val="0"/>
      <w:divBdr>
        <w:top w:val="none" w:sz="0" w:space="0" w:color="auto"/>
        <w:left w:val="none" w:sz="0" w:space="0" w:color="auto"/>
        <w:bottom w:val="none" w:sz="0" w:space="0" w:color="auto"/>
        <w:right w:val="none" w:sz="0" w:space="0" w:color="auto"/>
      </w:divBdr>
    </w:div>
    <w:div w:id="1070343830">
      <w:bodyDiv w:val="1"/>
      <w:marLeft w:val="0"/>
      <w:marRight w:val="0"/>
      <w:marTop w:val="0"/>
      <w:marBottom w:val="0"/>
      <w:divBdr>
        <w:top w:val="none" w:sz="0" w:space="0" w:color="auto"/>
        <w:left w:val="none" w:sz="0" w:space="0" w:color="auto"/>
        <w:bottom w:val="none" w:sz="0" w:space="0" w:color="auto"/>
        <w:right w:val="none" w:sz="0" w:space="0" w:color="auto"/>
      </w:divBdr>
      <w:divsChild>
        <w:div w:id="1357273017">
          <w:marLeft w:val="0"/>
          <w:marRight w:val="0"/>
          <w:marTop w:val="0"/>
          <w:marBottom w:val="0"/>
          <w:divBdr>
            <w:top w:val="none" w:sz="0" w:space="0" w:color="auto"/>
            <w:left w:val="none" w:sz="0" w:space="0" w:color="auto"/>
            <w:bottom w:val="none" w:sz="0" w:space="0" w:color="auto"/>
            <w:right w:val="none" w:sz="0" w:space="0" w:color="auto"/>
          </w:divBdr>
        </w:div>
        <w:div w:id="1643080373">
          <w:marLeft w:val="0"/>
          <w:marRight w:val="0"/>
          <w:marTop w:val="0"/>
          <w:marBottom w:val="0"/>
          <w:divBdr>
            <w:top w:val="none" w:sz="0" w:space="0" w:color="auto"/>
            <w:left w:val="none" w:sz="0" w:space="0" w:color="auto"/>
            <w:bottom w:val="none" w:sz="0" w:space="0" w:color="auto"/>
            <w:right w:val="none" w:sz="0" w:space="0" w:color="auto"/>
          </w:divBdr>
        </w:div>
        <w:div w:id="1675499163">
          <w:marLeft w:val="0"/>
          <w:marRight w:val="0"/>
          <w:marTop w:val="0"/>
          <w:marBottom w:val="0"/>
          <w:divBdr>
            <w:top w:val="none" w:sz="0" w:space="0" w:color="auto"/>
            <w:left w:val="none" w:sz="0" w:space="0" w:color="auto"/>
            <w:bottom w:val="none" w:sz="0" w:space="0" w:color="auto"/>
            <w:right w:val="none" w:sz="0" w:space="0" w:color="auto"/>
          </w:divBdr>
        </w:div>
      </w:divsChild>
    </w:div>
    <w:div w:id="1074401686">
      <w:bodyDiv w:val="1"/>
      <w:marLeft w:val="0"/>
      <w:marRight w:val="0"/>
      <w:marTop w:val="0"/>
      <w:marBottom w:val="0"/>
      <w:divBdr>
        <w:top w:val="none" w:sz="0" w:space="0" w:color="auto"/>
        <w:left w:val="none" w:sz="0" w:space="0" w:color="auto"/>
        <w:bottom w:val="none" w:sz="0" w:space="0" w:color="auto"/>
        <w:right w:val="none" w:sz="0" w:space="0" w:color="auto"/>
      </w:divBdr>
    </w:div>
    <w:div w:id="1074476314">
      <w:bodyDiv w:val="1"/>
      <w:marLeft w:val="0"/>
      <w:marRight w:val="0"/>
      <w:marTop w:val="0"/>
      <w:marBottom w:val="0"/>
      <w:divBdr>
        <w:top w:val="none" w:sz="0" w:space="0" w:color="auto"/>
        <w:left w:val="none" w:sz="0" w:space="0" w:color="auto"/>
        <w:bottom w:val="none" w:sz="0" w:space="0" w:color="auto"/>
        <w:right w:val="none" w:sz="0" w:space="0" w:color="auto"/>
      </w:divBdr>
    </w:div>
    <w:div w:id="1083183248">
      <w:bodyDiv w:val="1"/>
      <w:marLeft w:val="0"/>
      <w:marRight w:val="0"/>
      <w:marTop w:val="0"/>
      <w:marBottom w:val="0"/>
      <w:divBdr>
        <w:top w:val="none" w:sz="0" w:space="0" w:color="auto"/>
        <w:left w:val="none" w:sz="0" w:space="0" w:color="auto"/>
        <w:bottom w:val="none" w:sz="0" w:space="0" w:color="auto"/>
        <w:right w:val="none" w:sz="0" w:space="0" w:color="auto"/>
      </w:divBdr>
    </w:div>
    <w:div w:id="1115103592">
      <w:bodyDiv w:val="1"/>
      <w:marLeft w:val="0"/>
      <w:marRight w:val="0"/>
      <w:marTop w:val="0"/>
      <w:marBottom w:val="0"/>
      <w:divBdr>
        <w:top w:val="none" w:sz="0" w:space="0" w:color="auto"/>
        <w:left w:val="none" w:sz="0" w:space="0" w:color="auto"/>
        <w:bottom w:val="none" w:sz="0" w:space="0" w:color="auto"/>
        <w:right w:val="none" w:sz="0" w:space="0" w:color="auto"/>
      </w:divBdr>
    </w:div>
    <w:div w:id="1121263010">
      <w:bodyDiv w:val="1"/>
      <w:marLeft w:val="0"/>
      <w:marRight w:val="0"/>
      <w:marTop w:val="0"/>
      <w:marBottom w:val="0"/>
      <w:divBdr>
        <w:top w:val="none" w:sz="0" w:space="0" w:color="auto"/>
        <w:left w:val="none" w:sz="0" w:space="0" w:color="auto"/>
        <w:bottom w:val="none" w:sz="0" w:space="0" w:color="auto"/>
        <w:right w:val="none" w:sz="0" w:space="0" w:color="auto"/>
      </w:divBdr>
    </w:div>
    <w:div w:id="1127243012">
      <w:bodyDiv w:val="1"/>
      <w:marLeft w:val="0"/>
      <w:marRight w:val="0"/>
      <w:marTop w:val="0"/>
      <w:marBottom w:val="0"/>
      <w:divBdr>
        <w:top w:val="none" w:sz="0" w:space="0" w:color="auto"/>
        <w:left w:val="none" w:sz="0" w:space="0" w:color="auto"/>
        <w:bottom w:val="none" w:sz="0" w:space="0" w:color="auto"/>
        <w:right w:val="none" w:sz="0" w:space="0" w:color="auto"/>
      </w:divBdr>
    </w:div>
    <w:div w:id="1131555041">
      <w:bodyDiv w:val="1"/>
      <w:marLeft w:val="0"/>
      <w:marRight w:val="0"/>
      <w:marTop w:val="0"/>
      <w:marBottom w:val="0"/>
      <w:divBdr>
        <w:top w:val="none" w:sz="0" w:space="0" w:color="auto"/>
        <w:left w:val="none" w:sz="0" w:space="0" w:color="auto"/>
        <w:bottom w:val="none" w:sz="0" w:space="0" w:color="auto"/>
        <w:right w:val="none" w:sz="0" w:space="0" w:color="auto"/>
      </w:divBdr>
    </w:div>
    <w:div w:id="1135953180">
      <w:bodyDiv w:val="1"/>
      <w:marLeft w:val="0"/>
      <w:marRight w:val="0"/>
      <w:marTop w:val="0"/>
      <w:marBottom w:val="0"/>
      <w:divBdr>
        <w:top w:val="none" w:sz="0" w:space="0" w:color="auto"/>
        <w:left w:val="none" w:sz="0" w:space="0" w:color="auto"/>
        <w:bottom w:val="none" w:sz="0" w:space="0" w:color="auto"/>
        <w:right w:val="none" w:sz="0" w:space="0" w:color="auto"/>
      </w:divBdr>
      <w:divsChild>
        <w:div w:id="1276595878">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152328348">
      <w:bodyDiv w:val="1"/>
      <w:marLeft w:val="0"/>
      <w:marRight w:val="0"/>
      <w:marTop w:val="0"/>
      <w:marBottom w:val="0"/>
      <w:divBdr>
        <w:top w:val="none" w:sz="0" w:space="0" w:color="auto"/>
        <w:left w:val="none" w:sz="0" w:space="0" w:color="auto"/>
        <w:bottom w:val="none" w:sz="0" w:space="0" w:color="auto"/>
        <w:right w:val="none" w:sz="0" w:space="0" w:color="auto"/>
      </w:divBdr>
    </w:div>
    <w:div w:id="1153641323">
      <w:bodyDiv w:val="1"/>
      <w:marLeft w:val="0"/>
      <w:marRight w:val="0"/>
      <w:marTop w:val="0"/>
      <w:marBottom w:val="0"/>
      <w:divBdr>
        <w:top w:val="none" w:sz="0" w:space="0" w:color="auto"/>
        <w:left w:val="none" w:sz="0" w:space="0" w:color="auto"/>
        <w:bottom w:val="none" w:sz="0" w:space="0" w:color="auto"/>
        <w:right w:val="none" w:sz="0" w:space="0" w:color="auto"/>
      </w:divBdr>
    </w:div>
    <w:div w:id="1162703092">
      <w:bodyDiv w:val="1"/>
      <w:marLeft w:val="0"/>
      <w:marRight w:val="0"/>
      <w:marTop w:val="0"/>
      <w:marBottom w:val="0"/>
      <w:divBdr>
        <w:top w:val="none" w:sz="0" w:space="0" w:color="auto"/>
        <w:left w:val="none" w:sz="0" w:space="0" w:color="auto"/>
        <w:bottom w:val="none" w:sz="0" w:space="0" w:color="auto"/>
        <w:right w:val="none" w:sz="0" w:space="0" w:color="auto"/>
      </w:divBdr>
    </w:div>
    <w:div w:id="1168789824">
      <w:bodyDiv w:val="1"/>
      <w:marLeft w:val="0"/>
      <w:marRight w:val="0"/>
      <w:marTop w:val="0"/>
      <w:marBottom w:val="0"/>
      <w:divBdr>
        <w:top w:val="none" w:sz="0" w:space="0" w:color="auto"/>
        <w:left w:val="none" w:sz="0" w:space="0" w:color="auto"/>
        <w:bottom w:val="none" w:sz="0" w:space="0" w:color="auto"/>
        <w:right w:val="none" w:sz="0" w:space="0" w:color="auto"/>
      </w:divBdr>
    </w:div>
    <w:div w:id="1170096437">
      <w:bodyDiv w:val="1"/>
      <w:marLeft w:val="0"/>
      <w:marRight w:val="0"/>
      <w:marTop w:val="0"/>
      <w:marBottom w:val="0"/>
      <w:divBdr>
        <w:top w:val="none" w:sz="0" w:space="0" w:color="auto"/>
        <w:left w:val="none" w:sz="0" w:space="0" w:color="auto"/>
        <w:bottom w:val="none" w:sz="0" w:space="0" w:color="auto"/>
        <w:right w:val="none" w:sz="0" w:space="0" w:color="auto"/>
      </w:divBdr>
      <w:divsChild>
        <w:div w:id="74743256">
          <w:marLeft w:val="0"/>
          <w:marRight w:val="0"/>
          <w:marTop w:val="0"/>
          <w:marBottom w:val="0"/>
          <w:divBdr>
            <w:top w:val="none" w:sz="0" w:space="0" w:color="auto"/>
            <w:left w:val="none" w:sz="0" w:space="0" w:color="auto"/>
            <w:bottom w:val="none" w:sz="0" w:space="0" w:color="auto"/>
            <w:right w:val="none" w:sz="0" w:space="0" w:color="auto"/>
          </w:divBdr>
        </w:div>
        <w:div w:id="115948740">
          <w:marLeft w:val="0"/>
          <w:marRight w:val="0"/>
          <w:marTop w:val="0"/>
          <w:marBottom w:val="0"/>
          <w:divBdr>
            <w:top w:val="none" w:sz="0" w:space="0" w:color="auto"/>
            <w:left w:val="none" w:sz="0" w:space="0" w:color="auto"/>
            <w:bottom w:val="none" w:sz="0" w:space="0" w:color="auto"/>
            <w:right w:val="none" w:sz="0" w:space="0" w:color="auto"/>
          </w:divBdr>
          <w:divsChild>
            <w:div w:id="313729420">
              <w:marLeft w:val="0"/>
              <w:marRight w:val="0"/>
              <w:marTop w:val="30"/>
              <w:marBottom w:val="30"/>
              <w:divBdr>
                <w:top w:val="none" w:sz="0" w:space="0" w:color="auto"/>
                <w:left w:val="none" w:sz="0" w:space="0" w:color="auto"/>
                <w:bottom w:val="none" w:sz="0" w:space="0" w:color="auto"/>
                <w:right w:val="none" w:sz="0" w:space="0" w:color="auto"/>
              </w:divBdr>
              <w:divsChild>
                <w:div w:id="276001">
                  <w:marLeft w:val="0"/>
                  <w:marRight w:val="0"/>
                  <w:marTop w:val="0"/>
                  <w:marBottom w:val="0"/>
                  <w:divBdr>
                    <w:top w:val="none" w:sz="0" w:space="0" w:color="auto"/>
                    <w:left w:val="none" w:sz="0" w:space="0" w:color="auto"/>
                    <w:bottom w:val="none" w:sz="0" w:space="0" w:color="auto"/>
                    <w:right w:val="none" w:sz="0" w:space="0" w:color="auto"/>
                  </w:divBdr>
                  <w:divsChild>
                    <w:div w:id="2053115858">
                      <w:marLeft w:val="0"/>
                      <w:marRight w:val="0"/>
                      <w:marTop w:val="0"/>
                      <w:marBottom w:val="0"/>
                      <w:divBdr>
                        <w:top w:val="none" w:sz="0" w:space="0" w:color="auto"/>
                        <w:left w:val="none" w:sz="0" w:space="0" w:color="auto"/>
                        <w:bottom w:val="none" w:sz="0" w:space="0" w:color="auto"/>
                        <w:right w:val="none" w:sz="0" w:space="0" w:color="auto"/>
                      </w:divBdr>
                    </w:div>
                  </w:divsChild>
                </w:div>
                <w:div w:id="66732414">
                  <w:marLeft w:val="0"/>
                  <w:marRight w:val="0"/>
                  <w:marTop w:val="0"/>
                  <w:marBottom w:val="0"/>
                  <w:divBdr>
                    <w:top w:val="none" w:sz="0" w:space="0" w:color="auto"/>
                    <w:left w:val="none" w:sz="0" w:space="0" w:color="auto"/>
                    <w:bottom w:val="none" w:sz="0" w:space="0" w:color="auto"/>
                    <w:right w:val="none" w:sz="0" w:space="0" w:color="auto"/>
                  </w:divBdr>
                  <w:divsChild>
                    <w:div w:id="160508778">
                      <w:marLeft w:val="0"/>
                      <w:marRight w:val="0"/>
                      <w:marTop w:val="0"/>
                      <w:marBottom w:val="0"/>
                      <w:divBdr>
                        <w:top w:val="none" w:sz="0" w:space="0" w:color="auto"/>
                        <w:left w:val="none" w:sz="0" w:space="0" w:color="auto"/>
                        <w:bottom w:val="none" w:sz="0" w:space="0" w:color="auto"/>
                        <w:right w:val="none" w:sz="0" w:space="0" w:color="auto"/>
                      </w:divBdr>
                    </w:div>
                  </w:divsChild>
                </w:div>
                <w:div w:id="356346210">
                  <w:marLeft w:val="0"/>
                  <w:marRight w:val="0"/>
                  <w:marTop w:val="0"/>
                  <w:marBottom w:val="0"/>
                  <w:divBdr>
                    <w:top w:val="none" w:sz="0" w:space="0" w:color="auto"/>
                    <w:left w:val="none" w:sz="0" w:space="0" w:color="auto"/>
                    <w:bottom w:val="none" w:sz="0" w:space="0" w:color="auto"/>
                    <w:right w:val="none" w:sz="0" w:space="0" w:color="auto"/>
                  </w:divBdr>
                  <w:divsChild>
                    <w:div w:id="2079939517">
                      <w:marLeft w:val="0"/>
                      <w:marRight w:val="0"/>
                      <w:marTop w:val="0"/>
                      <w:marBottom w:val="0"/>
                      <w:divBdr>
                        <w:top w:val="none" w:sz="0" w:space="0" w:color="auto"/>
                        <w:left w:val="none" w:sz="0" w:space="0" w:color="auto"/>
                        <w:bottom w:val="none" w:sz="0" w:space="0" w:color="auto"/>
                        <w:right w:val="none" w:sz="0" w:space="0" w:color="auto"/>
                      </w:divBdr>
                    </w:div>
                  </w:divsChild>
                </w:div>
                <w:div w:id="784541726">
                  <w:marLeft w:val="0"/>
                  <w:marRight w:val="0"/>
                  <w:marTop w:val="0"/>
                  <w:marBottom w:val="0"/>
                  <w:divBdr>
                    <w:top w:val="none" w:sz="0" w:space="0" w:color="auto"/>
                    <w:left w:val="none" w:sz="0" w:space="0" w:color="auto"/>
                    <w:bottom w:val="none" w:sz="0" w:space="0" w:color="auto"/>
                    <w:right w:val="none" w:sz="0" w:space="0" w:color="auto"/>
                  </w:divBdr>
                  <w:divsChild>
                    <w:div w:id="1678730705">
                      <w:marLeft w:val="0"/>
                      <w:marRight w:val="0"/>
                      <w:marTop w:val="0"/>
                      <w:marBottom w:val="0"/>
                      <w:divBdr>
                        <w:top w:val="none" w:sz="0" w:space="0" w:color="auto"/>
                        <w:left w:val="none" w:sz="0" w:space="0" w:color="auto"/>
                        <w:bottom w:val="none" w:sz="0" w:space="0" w:color="auto"/>
                        <w:right w:val="none" w:sz="0" w:space="0" w:color="auto"/>
                      </w:divBdr>
                    </w:div>
                  </w:divsChild>
                </w:div>
                <w:div w:id="882059713">
                  <w:marLeft w:val="0"/>
                  <w:marRight w:val="0"/>
                  <w:marTop w:val="0"/>
                  <w:marBottom w:val="0"/>
                  <w:divBdr>
                    <w:top w:val="none" w:sz="0" w:space="0" w:color="auto"/>
                    <w:left w:val="none" w:sz="0" w:space="0" w:color="auto"/>
                    <w:bottom w:val="none" w:sz="0" w:space="0" w:color="auto"/>
                    <w:right w:val="none" w:sz="0" w:space="0" w:color="auto"/>
                  </w:divBdr>
                  <w:divsChild>
                    <w:div w:id="915162965">
                      <w:marLeft w:val="0"/>
                      <w:marRight w:val="0"/>
                      <w:marTop w:val="0"/>
                      <w:marBottom w:val="0"/>
                      <w:divBdr>
                        <w:top w:val="none" w:sz="0" w:space="0" w:color="auto"/>
                        <w:left w:val="none" w:sz="0" w:space="0" w:color="auto"/>
                        <w:bottom w:val="none" w:sz="0" w:space="0" w:color="auto"/>
                        <w:right w:val="none" w:sz="0" w:space="0" w:color="auto"/>
                      </w:divBdr>
                    </w:div>
                  </w:divsChild>
                </w:div>
                <w:div w:id="1760834887">
                  <w:marLeft w:val="0"/>
                  <w:marRight w:val="0"/>
                  <w:marTop w:val="0"/>
                  <w:marBottom w:val="0"/>
                  <w:divBdr>
                    <w:top w:val="none" w:sz="0" w:space="0" w:color="auto"/>
                    <w:left w:val="none" w:sz="0" w:space="0" w:color="auto"/>
                    <w:bottom w:val="none" w:sz="0" w:space="0" w:color="auto"/>
                    <w:right w:val="none" w:sz="0" w:space="0" w:color="auto"/>
                  </w:divBdr>
                  <w:divsChild>
                    <w:div w:id="1865360773">
                      <w:marLeft w:val="0"/>
                      <w:marRight w:val="0"/>
                      <w:marTop w:val="0"/>
                      <w:marBottom w:val="0"/>
                      <w:divBdr>
                        <w:top w:val="none" w:sz="0" w:space="0" w:color="auto"/>
                        <w:left w:val="none" w:sz="0" w:space="0" w:color="auto"/>
                        <w:bottom w:val="none" w:sz="0" w:space="0" w:color="auto"/>
                        <w:right w:val="none" w:sz="0" w:space="0" w:color="auto"/>
                      </w:divBdr>
                    </w:div>
                  </w:divsChild>
                </w:div>
                <w:div w:id="1763843355">
                  <w:marLeft w:val="0"/>
                  <w:marRight w:val="0"/>
                  <w:marTop w:val="0"/>
                  <w:marBottom w:val="0"/>
                  <w:divBdr>
                    <w:top w:val="none" w:sz="0" w:space="0" w:color="auto"/>
                    <w:left w:val="none" w:sz="0" w:space="0" w:color="auto"/>
                    <w:bottom w:val="none" w:sz="0" w:space="0" w:color="auto"/>
                    <w:right w:val="none" w:sz="0" w:space="0" w:color="auto"/>
                  </w:divBdr>
                  <w:divsChild>
                    <w:div w:id="586378100">
                      <w:marLeft w:val="0"/>
                      <w:marRight w:val="0"/>
                      <w:marTop w:val="0"/>
                      <w:marBottom w:val="0"/>
                      <w:divBdr>
                        <w:top w:val="none" w:sz="0" w:space="0" w:color="auto"/>
                        <w:left w:val="none" w:sz="0" w:space="0" w:color="auto"/>
                        <w:bottom w:val="none" w:sz="0" w:space="0" w:color="auto"/>
                        <w:right w:val="none" w:sz="0" w:space="0" w:color="auto"/>
                      </w:divBdr>
                    </w:div>
                  </w:divsChild>
                </w:div>
                <w:div w:id="1875801699">
                  <w:marLeft w:val="0"/>
                  <w:marRight w:val="0"/>
                  <w:marTop w:val="0"/>
                  <w:marBottom w:val="0"/>
                  <w:divBdr>
                    <w:top w:val="none" w:sz="0" w:space="0" w:color="auto"/>
                    <w:left w:val="none" w:sz="0" w:space="0" w:color="auto"/>
                    <w:bottom w:val="none" w:sz="0" w:space="0" w:color="auto"/>
                    <w:right w:val="none" w:sz="0" w:space="0" w:color="auto"/>
                  </w:divBdr>
                  <w:divsChild>
                    <w:div w:id="513688290">
                      <w:marLeft w:val="0"/>
                      <w:marRight w:val="0"/>
                      <w:marTop w:val="0"/>
                      <w:marBottom w:val="0"/>
                      <w:divBdr>
                        <w:top w:val="none" w:sz="0" w:space="0" w:color="auto"/>
                        <w:left w:val="none" w:sz="0" w:space="0" w:color="auto"/>
                        <w:bottom w:val="none" w:sz="0" w:space="0" w:color="auto"/>
                        <w:right w:val="none" w:sz="0" w:space="0" w:color="auto"/>
                      </w:divBdr>
                    </w:div>
                  </w:divsChild>
                </w:div>
                <w:div w:id="1968924204">
                  <w:marLeft w:val="0"/>
                  <w:marRight w:val="0"/>
                  <w:marTop w:val="0"/>
                  <w:marBottom w:val="0"/>
                  <w:divBdr>
                    <w:top w:val="none" w:sz="0" w:space="0" w:color="auto"/>
                    <w:left w:val="none" w:sz="0" w:space="0" w:color="auto"/>
                    <w:bottom w:val="none" w:sz="0" w:space="0" w:color="auto"/>
                    <w:right w:val="none" w:sz="0" w:space="0" w:color="auto"/>
                  </w:divBdr>
                  <w:divsChild>
                    <w:div w:id="2361318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15326645">
          <w:marLeft w:val="0"/>
          <w:marRight w:val="0"/>
          <w:marTop w:val="0"/>
          <w:marBottom w:val="0"/>
          <w:divBdr>
            <w:top w:val="none" w:sz="0" w:space="0" w:color="auto"/>
            <w:left w:val="none" w:sz="0" w:space="0" w:color="auto"/>
            <w:bottom w:val="none" w:sz="0" w:space="0" w:color="auto"/>
            <w:right w:val="none" w:sz="0" w:space="0" w:color="auto"/>
          </w:divBdr>
        </w:div>
        <w:div w:id="539048275">
          <w:marLeft w:val="0"/>
          <w:marRight w:val="0"/>
          <w:marTop w:val="0"/>
          <w:marBottom w:val="0"/>
          <w:divBdr>
            <w:top w:val="none" w:sz="0" w:space="0" w:color="auto"/>
            <w:left w:val="none" w:sz="0" w:space="0" w:color="auto"/>
            <w:bottom w:val="none" w:sz="0" w:space="0" w:color="auto"/>
            <w:right w:val="none" w:sz="0" w:space="0" w:color="auto"/>
          </w:divBdr>
          <w:divsChild>
            <w:div w:id="1126849496">
              <w:marLeft w:val="0"/>
              <w:marRight w:val="0"/>
              <w:marTop w:val="30"/>
              <w:marBottom w:val="30"/>
              <w:divBdr>
                <w:top w:val="none" w:sz="0" w:space="0" w:color="auto"/>
                <w:left w:val="none" w:sz="0" w:space="0" w:color="auto"/>
                <w:bottom w:val="none" w:sz="0" w:space="0" w:color="auto"/>
                <w:right w:val="none" w:sz="0" w:space="0" w:color="auto"/>
              </w:divBdr>
              <w:divsChild>
                <w:div w:id="625817708">
                  <w:marLeft w:val="0"/>
                  <w:marRight w:val="0"/>
                  <w:marTop w:val="0"/>
                  <w:marBottom w:val="0"/>
                  <w:divBdr>
                    <w:top w:val="none" w:sz="0" w:space="0" w:color="auto"/>
                    <w:left w:val="none" w:sz="0" w:space="0" w:color="auto"/>
                    <w:bottom w:val="none" w:sz="0" w:space="0" w:color="auto"/>
                    <w:right w:val="none" w:sz="0" w:space="0" w:color="auto"/>
                  </w:divBdr>
                  <w:divsChild>
                    <w:div w:id="77530173">
                      <w:marLeft w:val="0"/>
                      <w:marRight w:val="0"/>
                      <w:marTop w:val="0"/>
                      <w:marBottom w:val="0"/>
                      <w:divBdr>
                        <w:top w:val="none" w:sz="0" w:space="0" w:color="auto"/>
                        <w:left w:val="none" w:sz="0" w:space="0" w:color="auto"/>
                        <w:bottom w:val="none" w:sz="0" w:space="0" w:color="auto"/>
                        <w:right w:val="none" w:sz="0" w:space="0" w:color="auto"/>
                      </w:divBdr>
                    </w:div>
                  </w:divsChild>
                </w:div>
                <w:div w:id="695891004">
                  <w:marLeft w:val="0"/>
                  <w:marRight w:val="0"/>
                  <w:marTop w:val="0"/>
                  <w:marBottom w:val="0"/>
                  <w:divBdr>
                    <w:top w:val="none" w:sz="0" w:space="0" w:color="auto"/>
                    <w:left w:val="none" w:sz="0" w:space="0" w:color="auto"/>
                    <w:bottom w:val="none" w:sz="0" w:space="0" w:color="auto"/>
                    <w:right w:val="none" w:sz="0" w:space="0" w:color="auto"/>
                  </w:divBdr>
                  <w:divsChild>
                    <w:div w:id="549221258">
                      <w:marLeft w:val="0"/>
                      <w:marRight w:val="0"/>
                      <w:marTop w:val="0"/>
                      <w:marBottom w:val="0"/>
                      <w:divBdr>
                        <w:top w:val="none" w:sz="0" w:space="0" w:color="auto"/>
                        <w:left w:val="none" w:sz="0" w:space="0" w:color="auto"/>
                        <w:bottom w:val="none" w:sz="0" w:space="0" w:color="auto"/>
                        <w:right w:val="none" w:sz="0" w:space="0" w:color="auto"/>
                      </w:divBdr>
                    </w:div>
                  </w:divsChild>
                </w:div>
                <w:div w:id="1065104264">
                  <w:marLeft w:val="0"/>
                  <w:marRight w:val="0"/>
                  <w:marTop w:val="0"/>
                  <w:marBottom w:val="0"/>
                  <w:divBdr>
                    <w:top w:val="none" w:sz="0" w:space="0" w:color="auto"/>
                    <w:left w:val="none" w:sz="0" w:space="0" w:color="auto"/>
                    <w:bottom w:val="none" w:sz="0" w:space="0" w:color="auto"/>
                    <w:right w:val="none" w:sz="0" w:space="0" w:color="auto"/>
                  </w:divBdr>
                  <w:divsChild>
                    <w:div w:id="2264545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10115248">
          <w:marLeft w:val="0"/>
          <w:marRight w:val="0"/>
          <w:marTop w:val="0"/>
          <w:marBottom w:val="0"/>
          <w:divBdr>
            <w:top w:val="none" w:sz="0" w:space="0" w:color="auto"/>
            <w:left w:val="none" w:sz="0" w:space="0" w:color="auto"/>
            <w:bottom w:val="none" w:sz="0" w:space="0" w:color="auto"/>
            <w:right w:val="none" w:sz="0" w:space="0" w:color="auto"/>
          </w:divBdr>
        </w:div>
        <w:div w:id="728499601">
          <w:marLeft w:val="0"/>
          <w:marRight w:val="0"/>
          <w:marTop w:val="0"/>
          <w:marBottom w:val="0"/>
          <w:divBdr>
            <w:top w:val="none" w:sz="0" w:space="0" w:color="auto"/>
            <w:left w:val="none" w:sz="0" w:space="0" w:color="auto"/>
            <w:bottom w:val="none" w:sz="0" w:space="0" w:color="auto"/>
            <w:right w:val="none" w:sz="0" w:space="0" w:color="auto"/>
          </w:divBdr>
        </w:div>
        <w:div w:id="862085665">
          <w:marLeft w:val="0"/>
          <w:marRight w:val="0"/>
          <w:marTop w:val="0"/>
          <w:marBottom w:val="0"/>
          <w:divBdr>
            <w:top w:val="none" w:sz="0" w:space="0" w:color="auto"/>
            <w:left w:val="none" w:sz="0" w:space="0" w:color="auto"/>
            <w:bottom w:val="none" w:sz="0" w:space="0" w:color="auto"/>
            <w:right w:val="none" w:sz="0" w:space="0" w:color="auto"/>
          </w:divBdr>
        </w:div>
        <w:div w:id="1222595106">
          <w:marLeft w:val="0"/>
          <w:marRight w:val="0"/>
          <w:marTop w:val="0"/>
          <w:marBottom w:val="0"/>
          <w:divBdr>
            <w:top w:val="none" w:sz="0" w:space="0" w:color="auto"/>
            <w:left w:val="none" w:sz="0" w:space="0" w:color="auto"/>
            <w:bottom w:val="none" w:sz="0" w:space="0" w:color="auto"/>
            <w:right w:val="none" w:sz="0" w:space="0" w:color="auto"/>
          </w:divBdr>
          <w:divsChild>
            <w:div w:id="1337272498">
              <w:marLeft w:val="0"/>
              <w:marRight w:val="0"/>
              <w:marTop w:val="30"/>
              <w:marBottom w:val="30"/>
              <w:divBdr>
                <w:top w:val="none" w:sz="0" w:space="0" w:color="auto"/>
                <w:left w:val="none" w:sz="0" w:space="0" w:color="auto"/>
                <w:bottom w:val="none" w:sz="0" w:space="0" w:color="auto"/>
                <w:right w:val="none" w:sz="0" w:space="0" w:color="auto"/>
              </w:divBdr>
              <w:divsChild>
                <w:div w:id="1317224208">
                  <w:marLeft w:val="0"/>
                  <w:marRight w:val="0"/>
                  <w:marTop w:val="0"/>
                  <w:marBottom w:val="0"/>
                  <w:divBdr>
                    <w:top w:val="none" w:sz="0" w:space="0" w:color="auto"/>
                    <w:left w:val="none" w:sz="0" w:space="0" w:color="auto"/>
                    <w:bottom w:val="none" w:sz="0" w:space="0" w:color="auto"/>
                    <w:right w:val="none" w:sz="0" w:space="0" w:color="auto"/>
                  </w:divBdr>
                  <w:divsChild>
                    <w:div w:id="1897619818">
                      <w:marLeft w:val="0"/>
                      <w:marRight w:val="0"/>
                      <w:marTop w:val="0"/>
                      <w:marBottom w:val="0"/>
                      <w:divBdr>
                        <w:top w:val="none" w:sz="0" w:space="0" w:color="auto"/>
                        <w:left w:val="none" w:sz="0" w:space="0" w:color="auto"/>
                        <w:bottom w:val="none" w:sz="0" w:space="0" w:color="auto"/>
                        <w:right w:val="none" w:sz="0" w:space="0" w:color="auto"/>
                      </w:divBdr>
                    </w:div>
                  </w:divsChild>
                </w:div>
                <w:div w:id="1696418943">
                  <w:marLeft w:val="0"/>
                  <w:marRight w:val="0"/>
                  <w:marTop w:val="0"/>
                  <w:marBottom w:val="0"/>
                  <w:divBdr>
                    <w:top w:val="none" w:sz="0" w:space="0" w:color="auto"/>
                    <w:left w:val="none" w:sz="0" w:space="0" w:color="auto"/>
                    <w:bottom w:val="none" w:sz="0" w:space="0" w:color="auto"/>
                    <w:right w:val="none" w:sz="0" w:space="0" w:color="auto"/>
                  </w:divBdr>
                  <w:divsChild>
                    <w:div w:id="15017735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34049952">
          <w:marLeft w:val="0"/>
          <w:marRight w:val="0"/>
          <w:marTop w:val="0"/>
          <w:marBottom w:val="0"/>
          <w:divBdr>
            <w:top w:val="none" w:sz="0" w:space="0" w:color="auto"/>
            <w:left w:val="none" w:sz="0" w:space="0" w:color="auto"/>
            <w:bottom w:val="none" w:sz="0" w:space="0" w:color="auto"/>
            <w:right w:val="none" w:sz="0" w:space="0" w:color="auto"/>
          </w:divBdr>
          <w:divsChild>
            <w:div w:id="959147094">
              <w:marLeft w:val="0"/>
              <w:marRight w:val="0"/>
              <w:marTop w:val="30"/>
              <w:marBottom w:val="30"/>
              <w:divBdr>
                <w:top w:val="none" w:sz="0" w:space="0" w:color="auto"/>
                <w:left w:val="none" w:sz="0" w:space="0" w:color="auto"/>
                <w:bottom w:val="none" w:sz="0" w:space="0" w:color="auto"/>
                <w:right w:val="none" w:sz="0" w:space="0" w:color="auto"/>
              </w:divBdr>
              <w:divsChild>
                <w:div w:id="552694072">
                  <w:marLeft w:val="0"/>
                  <w:marRight w:val="0"/>
                  <w:marTop w:val="0"/>
                  <w:marBottom w:val="0"/>
                  <w:divBdr>
                    <w:top w:val="none" w:sz="0" w:space="0" w:color="auto"/>
                    <w:left w:val="none" w:sz="0" w:space="0" w:color="auto"/>
                    <w:bottom w:val="none" w:sz="0" w:space="0" w:color="auto"/>
                    <w:right w:val="none" w:sz="0" w:space="0" w:color="auto"/>
                  </w:divBdr>
                  <w:divsChild>
                    <w:div w:id="1852598507">
                      <w:marLeft w:val="0"/>
                      <w:marRight w:val="0"/>
                      <w:marTop w:val="0"/>
                      <w:marBottom w:val="0"/>
                      <w:divBdr>
                        <w:top w:val="none" w:sz="0" w:space="0" w:color="auto"/>
                        <w:left w:val="none" w:sz="0" w:space="0" w:color="auto"/>
                        <w:bottom w:val="none" w:sz="0" w:space="0" w:color="auto"/>
                        <w:right w:val="none" w:sz="0" w:space="0" w:color="auto"/>
                      </w:divBdr>
                    </w:div>
                  </w:divsChild>
                </w:div>
                <w:div w:id="816068963">
                  <w:marLeft w:val="0"/>
                  <w:marRight w:val="0"/>
                  <w:marTop w:val="0"/>
                  <w:marBottom w:val="0"/>
                  <w:divBdr>
                    <w:top w:val="none" w:sz="0" w:space="0" w:color="auto"/>
                    <w:left w:val="none" w:sz="0" w:space="0" w:color="auto"/>
                    <w:bottom w:val="none" w:sz="0" w:space="0" w:color="auto"/>
                    <w:right w:val="none" w:sz="0" w:space="0" w:color="auto"/>
                  </w:divBdr>
                  <w:divsChild>
                    <w:div w:id="564994919">
                      <w:marLeft w:val="0"/>
                      <w:marRight w:val="0"/>
                      <w:marTop w:val="0"/>
                      <w:marBottom w:val="0"/>
                      <w:divBdr>
                        <w:top w:val="none" w:sz="0" w:space="0" w:color="auto"/>
                        <w:left w:val="none" w:sz="0" w:space="0" w:color="auto"/>
                        <w:bottom w:val="none" w:sz="0" w:space="0" w:color="auto"/>
                        <w:right w:val="none" w:sz="0" w:space="0" w:color="auto"/>
                      </w:divBdr>
                    </w:div>
                  </w:divsChild>
                </w:div>
                <w:div w:id="1754667251">
                  <w:marLeft w:val="0"/>
                  <w:marRight w:val="0"/>
                  <w:marTop w:val="0"/>
                  <w:marBottom w:val="0"/>
                  <w:divBdr>
                    <w:top w:val="none" w:sz="0" w:space="0" w:color="auto"/>
                    <w:left w:val="none" w:sz="0" w:space="0" w:color="auto"/>
                    <w:bottom w:val="none" w:sz="0" w:space="0" w:color="auto"/>
                    <w:right w:val="none" w:sz="0" w:space="0" w:color="auto"/>
                  </w:divBdr>
                  <w:divsChild>
                    <w:div w:id="1416515886">
                      <w:marLeft w:val="0"/>
                      <w:marRight w:val="0"/>
                      <w:marTop w:val="0"/>
                      <w:marBottom w:val="0"/>
                      <w:divBdr>
                        <w:top w:val="none" w:sz="0" w:space="0" w:color="auto"/>
                        <w:left w:val="none" w:sz="0" w:space="0" w:color="auto"/>
                        <w:bottom w:val="none" w:sz="0" w:space="0" w:color="auto"/>
                        <w:right w:val="none" w:sz="0" w:space="0" w:color="auto"/>
                      </w:divBdr>
                    </w:div>
                  </w:divsChild>
                </w:div>
                <w:div w:id="1814827142">
                  <w:marLeft w:val="0"/>
                  <w:marRight w:val="0"/>
                  <w:marTop w:val="0"/>
                  <w:marBottom w:val="0"/>
                  <w:divBdr>
                    <w:top w:val="none" w:sz="0" w:space="0" w:color="auto"/>
                    <w:left w:val="none" w:sz="0" w:space="0" w:color="auto"/>
                    <w:bottom w:val="none" w:sz="0" w:space="0" w:color="auto"/>
                    <w:right w:val="none" w:sz="0" w:space="0" w:color="auto"/>
                  </w:divBdr>
                  <w:divsChild>
                    <w:div w:id="1235894760">
                      <w:marLeft w:val="0"/>
                      <w:marRight w:val="0"/>
                      <w:marTop w:val="0"/>
                      <w:marBottom w:val="0"/>
                      <w:divBdr>
                        <w:top w:val="none" w:sz="0" w:space="0" w:color="auto"/>
                        <w:left w:val="none" w:sz="0" w:space="0" w:color="auto"/>
                        <w:bottom w:val="none" w:sz="0" w:space="0" w:color="auto"/>
                        <w:right w:val="none" w:sz="0" w:space="0" w:color="auto"/>
                      </w:divBdr>
                    </w:div>
                  </w:divsChild>
                </w:div>
                <w:div w:id="2140806662">
                  <w:marLeft w:val="0"/>
                  <w:marRight w:val="0"/>
                  <w:marTop w:val="0"/>
                  <w:marBottom w:val="0"/>
                  <w:divBdr>
                    <w:top w:val="none" w:sz="0" w:space="0" w:color="auto"/>
                    <w:left w:val="none" w:sz="0" w:space="0" w:color="auto"/>
                    <w:bottom w:val="none" w:sz="0" w:space="0" w:color="auto"/>
                    <w:right w:val="none" w:sz="0" w:space="0" w:color="auto"/>
                  </w:divBdr>
                  <w:divsChild>
                    <w:div w:id="7350836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95739277">
          <w:marLeft w:val="0"/>
          <w:marRight w:val="0"/>
          <w:marTop w:val="0"/>
          <w:marBottom w:val="0"/>
          <w:divBdr>
            <w:top w:val="none" w:sz="0" w:space="0" w:color="auto"/>
            <w:left w:val="none" w:sz="0" w:space="0" w:color="auto"/>
            <w:bottom w:val="none" w:sz="0" w:space="0" w:color="auto"/>
            <w:right w:val="none" w:sz="0" w:space="0" w:color="auto"/>
          </w:divBdr>
        </w:div>
        <w:div w:id="1425346859">
          <w:marLeft w:val="0"/>
          <w:marRight w:val="0"/>
          <w:marTop w:val="0"/>
          <w:marBottom w:val="0"/>
          <w:divBdr>
            <w:top w:val="none" w:sz="0" w:space="0" w:color="auto"/>
            <w:left w:val="none" w:sz="0" w:space="0" w:color="auto"/>
            <w:bottom w:val="none" w:sz="0" w:space="0" w:color="auto"/>
            <w:right w:val="none" w:sz="0" w:space="0" w:color="auto"/>
          </w:divBdr>
          <w:divsChild>
            <w:div w:id="994801461">
              <w:marLeft w:val="0"/>
              <w:marRight w:val="0"/>
              <w:marTop w:val="30"/>
              <w:marBottom w:val="30"/>
              <w:divBdr>
                <w:top w:val="none" w:sz="0" w:space="0" w:color="auto"/>
                <w:left w:val="none" w:sz="0" w:space="0" w:color="auto"/>
                <w:bottom w:val="none" w:sz="0" w:space="0" w:color="auto"/>
                <w:right w:val="none" w:sz="0" w:space="0" w:color="auto"/>
              </w:divBdr>
              <w:divsChild>
                <w:div w:id="253590017">
                  <w:marLeft w:val="0"/>
                  <w:marRight w:val="0"/>
                  <w:marTop w:val="0"/>
                  <w:marBottom w:val="0"/>
                  <w:divBdr>
                    <w:top w:val="none" w:sz="0" w:space="0" w:color="auto"/>
                    <w:left w:val="none" w:sz="0" w:space="0" w:color="auto"/>
                    <w:bottom w:val="none" w:sz="0" w:space="0" w:color="auto"/>
                    <w:right w:val="none" w:sz="0" w:space="0" w:color="auto"/>
                  </w:divBdr>
                  <w:divsChild>
                    <w:div w:id="1925339743">
                      <w:marLeft w:val="0"/>
                      <w:marRight w:val="0"/>
                      <w:marTop w:val="0"/>
                      <w:marBottom w:val="0"/>
                      <w:divBdr>
                        <w:top w:val="none" w:sz="0" w:space="0" w:color="auto"/>
                        <w:left w:val="none" w:sz="0" w:space="0" w:color="auto"/>
                        <w:bottom w:val="none" w:sz="0" w:space="0" w:color="auto"/>
                        <w:right w:val="none" w:sz="0" w:space="0" w:color="auto"/>
                      </w:divBdr>
                    </w:div>
                  </w:divsChild>
                </w:div>
                <w:div w:id="332226128">
                  <w:marLeft w:val="0"/>
                  <w:marRight w:val="0"/>
                  <w:marTop w:val="0"/>
                  <w:marBottom w:val="0"/>
                  <w:divBdr>
                    <w:top w:val="none" w:sz="0" w:space="0" w:color="auto"/>
                    <w:left w:val="none" w:sz="0" w:space="0" w:color="auto"/>
                    <w:bottom w:val="none" w:sz="0" w:space="0" w:color="auto"/>
                    <w:right w:val="none" w:sz="0" w:space="0" w:color="auto"/>
                  </w:divBdr>
                  <w:divsChild>
                    <w:div w:id="1950894289">
                      <w:marLeft w:val="0"/>
                      <w:marRight w:val="0"/>
                      <w:marTop w:val="0"/>
                      <w:marBottom w:val="0"/>
                      <w:divBdr>
                        <w:top w:val="none" w:sz="0" w:space="0" w:color="auto"/>
                        <w:left w:val="none" w:sz="0" w:space="0" w:color="auto"/>
                        <w:bottom w:val="none" w:sz="0" w:space="0" w:color="auto"/>
                        <w:right w:val="none" w:sz="0" w:space="0" w:color="auto"/>
                      </w:divBdr>
                    </w:div>
                  </w:divsChild>
                </w:div>
                <w:div w:id="474687671">
                  <w:marLeft w:val="0"/>
                  <w:marRight w:val="0"/>
                  <w:marTop w:val="0"/>
                  <w:marBottom w:val="0"/>
                  <w:divBdr>
                    <w:top w:val="none" w:sz="0" w:space="0" w:color="auto"/>
                    <w:left w:val="none" w:sz="0" w:space="0" w:color="auto"/>
                    <w:bottom w:val="none" w:sz="0" w:space="0" w:color="auto"/>
                    <w:right w:val="none" w:sz="0" w:space="0" w:color="auto"/>
                  </w:divBdr>
                  <w:divsChild>
                    <w:div w:id="1177233982">
                      <w:marLeft w:val="0"/>
                      <w:marRight w:val="0"/>
                      <w:marTop w:val="0"/>
                      <w:marBottom w:val="0"/>
                      <w:divBdr>
                        <w:top w:val="none" w:sz="0" w:space="0" w:color="auto"/>
                        <w:left w:val="none" w:sz="0" w:space="0" w:color="auto"/>
                        <w:bottom w:val="none" w:sz="0" w:space="0" w:color="auto"/>
                        <w:right w:val="none" w:sz="0" w:space="0" w:color="auto"/>
                      </w:divBdr>
                    </w:div>
                  </w:divsChild>
                </w:div>
                <w:div w:id="484784524">
                  <w:marLeft w:val="0"/>
                  <w:marRight w:val="0"/>
                  <w:marTop w:val="0"/>
                  <w:marBottom w:val="0"/>
                  <w:divBdr>
                    <w:top w:val="none" w:sz="0" w:space="0" w:color="auto"/>
                    <w:left w:val="none" w:sz="0" w:space="0" w:color="auto"/>
                    <w:bottom w:val="none" w:sz="0" w:space="0" w:color="auto"/>
                    <w:right w:val="none" w:sz="0" w:space="0" w:color="auto"/>
                  </w:divBdr>
                  <w:divsChild>
                    <w:div w:id="710425611">
                      <w:marLeft w:val="0"/>
                      <w:marRight w:val="0"/>
                      <w:marTop w:val="0"/>
                      <w:marBottom w:val="0"/>
                      <w:divBdr>
                        <w:top w:val="none" w:sz="0" w:space="0" w:color="auto"/>
                        <w:left w:val="none" w:sz="0" w:space="0" w:color="auto"/>
                        <w:bottom w:val="none" w:sz="0" w:space="0" w:color="auto"/>
                        <w:right w:val="none" w:sz="0" w:space="0" w:color="auto"/>
                      </w:divBdr>
                    </w:div>
                  </w:divsChild>
                </w:div>
                <w:div w:id="585185440">
                  <w:marLeft w:val="0"/>
                  <w:marRight w:val="0"/>
                  <w:marTop w:val="0"/>
                  <w:marBottom w:val="0"/>
                  <w:divBdr>
                    <w:top w:val="none" w:sz="0" w:space="0" w:color="auto"/>
                    <w:left w:val="none" w:sz="0" w:space="0" w:color="auto"/>
                    <w:bottom w:val="none" w:sz="0" w:space="0" w:color="auto"/>
                    <w:right w:val="none" w:sz="0" w:space="0" w:color="auto"/>
                  </w:divBdr>
                  <w:divsChild>
                    <w:div w:id="1557858626">
                      <w:marLeft w:val="0"/>
                      <w:marRight w:val="0"/>
                      <w:marTop w:val="0"/>
                      <w:marBottom w:val="0"/>
                      <w:divBdr>
                        <w:top w:val="none" w:sz="0" w:space="0" w:color="auto"/>
                        <w:left w:val="none" w:sz="0" w:space="0" w:color="auto"/>
                        <w:bottom w:val="none" w:sz="0" w:space="0" w:color="auto"/>
                        <w:right w:val="none" w:sz="0" w:space="0" w:color="auto"/>
                      </w:divBdr>
                    </w:div>
                  </w:divsChild>
                </w:div>
                <w:div w:id="609899614">
                  <w:marLeft w:val="0"/>
                  <w:marRight w:val="0"/>
                  <w:marTop w:val="0"/>
                  <w:marBottom w:val="0"/>
                  <w:divBdr>
                    <w:top w:val="none" w:sz="0" w:space="0" w:color="auto"/>
                    <w:left w:val="none" w:sz="0" w:space="0" w:color="auto"/>
                    <w:bottom w:val="none" w:sz="0" w:space="0" w:color="auto"/>
                    <w:right w:val="none" w:sz="0" w:space="0" w:color="auto"/>
                  </w:divBdr>
                  <w:divsChild>
                    <w:div w:id="879245200">
                      <w:marLeft w:val="0"/>
                      <w:marRight w:val="0"/>
                      <w:marTop w:val="0"/>
                      <w:marBottom w:val="0"/>
                      <w:divBdr>
                        <w:top w:val="none" w:sz="0" w:space="0" w:color="auto"/>
                        <w:left w:val="none" w:sz="0" w:space="0" w:color="auto"/>
                        <w:bottom w:val="none" w:sz="0" w:space="0" w:color="auto"/>
                        <w:right w:val="none" w:sz="0" w:space="0" w:color="auto"/>
                      </w:divBdr>
                    </w:div>
                  </w:divsChild>
                </w:div>
                <w:div w:id="930510207">
                  <w:marLeft w:val="0"/>
                  <w:marRight w:val="0"/>
                  <w:marTop w:val="0"/>
                  <w:marBottom w:val="0"/>
                  <w:divBdr>
                    <w:top w:val="none" w:sz="0" w:space="0" w:color="auto"/>
                    <w:left w:val="none" w:sz="0" w:space="0" w:color="auto"/>
                    <w:bottom w:val="none" w:sz="0" w:space="0" w:color="auto"/>
                    <w:right w:val="none" w:sz="0" w:space="0" w:color="auto"/>
                  </w:divBdr>
                  <w:divsChild>
                    <w:div w:id="711731765">
                      <w:marLeft w:val="0"/>
                      <w:marRight w:val="0"/>
                      <w:marTop w:val="0"/>
                      <w:marBottom w:val="0"/>
                      <w:divBdr>
                        <w:top w:val="none" w:sz="0" w:space="0" w:color="auto"/>
                        <w:left w:val="none" w:sz="0" w:space="0" w:color="auto"/>
                        <w:bottom w:val="none" w:sz="0" w:space="0" w:color="auto"/>
                        <w:right w:val="none" w:sz="0" w:space="0" w:color="auto"/>
                      </w:divBdr>
                    </w:div>
                  </w:divsChild>
                </w:div>
                <w:div w:id="1348673214">
                  <w:marLeft w:val="0"/>
                  <w:marRight w:val="0"/>
                  <w:marTop w:val="0"/>
                  <w:marBottom w:val="0"/>
                  <w:divBdr>
                    <w:top w:val="none" w:sz="0" w:space="0" w:color="auto"/>
                    <w:left w:val="none" w:sz="0" w:space="0" w:color="auto"/>
                    <w:bottom w:val="none" w:sz="0" w:space="0" w:color="auto"/>
                    <w:right w:val="none" w:sz="0" w:space="0" w:color="auto"/>
                  </w:divBdr>
                  <w:divsChild>
                    <w:div w:id="1059596189">
                      <w:marLeft w:val="0"/>
                      <w:marRight w:val="0"/>
                      <w:marTop w:val="0"/>
                      <w:marBottom w:val="0"/>
                      <w:divBdr>
                        <w:top w:val="none" w:sz="0" w:space="0" w:color="auto"/>
                        <w:left w:val="none" w:sz="0" w:space="0" w:color="auto"/>
                        <w:bottom w:val="none" w:sz="0" w:space="0" w:color="auto"/>
                        <w:right w:val="none" w:sz="0" w:space="0" w:color="auto"/>
                      </w:divBdr>
                    </w:div>
                  </w:divsChild>
                </w:div>
                <w:div w:id="1376466153">
                  <w:marLeft w:val="0"/>
                  <w:marRight w:val="0"/>
                  <w:marTop w:val="0"/>
                  <w:marBottom w:val="0"/>
                  <w:divBdr>
                    <w:top w:val="none" w:sz="0" w:space="0" w:color="auto"/>
                    <w:left w:val="none" w:sz="0" w:space="0" w:color="auto"/>
                    <w:bottom w:val="none" w:sz="0" w:space="0" w:color="auto"/>
                    <w:right w:val="none" w:sz="0" w:space="0" w:color="auto"/>
                  </w:divBdr>
                  <w:divsChild>
                    <w:div w:id="582495184">
                      <w:marLeft w:val="0"/>
                      <w:marRight w:val="0"/>
                      <w:marTop w:val="0"/>
                      <w:marBottom w:val="0"/>
                      <w:divBdr>
                        <w:top w:val="none" w:sz="0" w:space="0" w:color="auto"/>
                        <w:left w:val="none" w:sz="0" w:space="0" w:color="auto"/>
                        <w:bottom w:val="none" w:sz="0" w:space="0" w:color="auto"/>
                        <w:right w:val="none" w:sz="0" w:space="0" w:color="auto"/>
                      </w:divBdr>
                    </w:div>
                  </w:divsChild>
                </w:div>
                <w:div w:id="1497184224">
                  <w:marLeft w:val="0"/>
                  <w:marRight w:val="0"/>
                  <w:marTop w:val="0"/>
                  <w:marBottom w:val="0"/>
                  <w:divBdr>
                    <w:top w:val="none" w:sz="0" w:space="0" w:color="auto"/>
                    <w:left w:val="none" w:sz="0" w:space="0" w:color="auto"/>
                    <w:bottom w:val="none" w:sz="0" w:space="0" w:color="auto"/>
                    <w:right w:val="none" w:sz="0" w:space="0" w:color="auto"/>
                  </w:divBdr>
                  <w:divsChild>
                    <w:div w:id="2036417089">
                      <w:marLeft w:val="0"/>
                      <w:marRight w:val="0"/>
                      <w:marTop w:val="0"/>
                      <w:marBottom w:val="0"/>
                      <w:divBdr>
                        <w:top w:val="none" w:sz="0" w:space="0" w:color="auto"/>
                        <w:left w:val="none" w:sz="0" w:space="0" w:color="auto"/>
                        <w:bottom w:val="none" w:sz="0" w:space="0" w:color="auto"/>
                        <w:right w:val="none" w:sz="0" w:space="0" w:color="auto"/>
                      </w:divBdr>
                    </w:div>
                  </w:divsChild>
                </w:div>
                <w:div w:id="1685862811">
                  <w:marLeft w:val="0"/>
                  <w:marRight w:val="0"/>
                  <w:marTop w:val="0"/>
                  <w:marBottom w:val="0"/>
                  <w:divBdr>
                    <w:top w:val="none" w:sz="0" w:space="0" w:color="auto"/>
                    <w:left w:val="none" w:sz="0" w:space="0" w:color="auto"/>
                    <w:bottom w:val="none" w:sz="0" w:space="0" w:color="auto"/>
                    <w:right w:val="none" w:sz="0" w:space="0" w:color="auto"/>
                  </w:divBdr>
                  <w:divsChild>
                    <w:div w:id="1993489081">
                      <w:marLeft w:val="0"/>
                      <w:marRight w:val="0"/>
                      <w:marTop w:val="0"/>
                      <w:marBottom w:val="0"/>
                      <w:divBdr>
                        <w:top w:val="none" w:sz="0" w:space="0" w:color="auto"/>
                        <w:left w:val="none" w:sz="0" w:space="0" w:color="auto"/>
                        <w:bottom w:val="none" w:sz="0" w:space="0" w:color="auto"/>
                        <w:right w:val="none" w:sz="0" w:space="0" w:color="auto"/>
                      </w:divBdr>
                    </w:div>
                  </w:divsChild>
                </w:div>
                <w:div w:id="1752266462">
                  <w:marLeft w:val="0"/>
                  <w:marRight w:val="0"/>
                  <w:marTop w:val="0"/>
                  <w:marBottom w:val="0"/>
                  <w:divBdr>
                    <w:top w:val="none" w:sz="0" w:space="0" w:color="auto"/>
                    <w:left w:val="none" w:sz="0" w:space="0" w:color="auto"/>
                    <w:bottom w:val="none" w:sz="0" w:space="0" w:color="auto"/>
                    <w:right w:val="none" w:sz="0" w:space="0" w:color="auto"/>
                  </w:divBdr>
                  <w:divsChild>
                    <w:div w:id="1912157897">
                      <w:marLeft w:val="0"/>
                      <w:marRight w:val="0"/>
                      <w:marTop w:val="0"/>
                      <w:marBottom w:val="0"/>
                      <w:divBdr>
                        <w:top w:val="none" w:sz="0" w:space="0" w:color="auto"/>
                        <w:left w:val="none" w:sz="0" w:space="0" w:color="auto"/>
                        <w:bottom w:val="none" w:sz="0" w:space="0" w:color="auto"/>
                        <w:right w:val="none" w:sz="0" w:space="0" w:color="auto"/>
                      </w:divBdr>
                    </w:div>
                  </w:divsChild>
                </w:div>
                <w:div w:id="2103060921">
                  <w:marLeft w:val="0"/>
                  <w:marRight w:val="0"/>
                  <w:marTop w:val="0"/>
                  <w:marBottom w:val="0"/>
                  <w:divBdr>
                    <w:top w:val="none" w:sz="0" w:space="0" w:color="auto"/>
                    <w:left w:val="none" w:sz="0" w:space="0" w:color="auto"/>
                    <w:bottom w:val="none" w:sz="0" w:space="0" w:color="auto"/>
                    <w:right w:val="none" w:sz="0" w:space="0" w:color="auto"/>
                  </w:divBdr>
                  <w:divsChild>
                    <w:div w:id="4368279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72512531">
          <w:marLeft w:val="0"/>
          <w:marRight w:val="0"/>
          <w:marTop w:val="0"/>
          <w:marBottom w:val="0"/>
          <w:divBdr>
            <w:top w:val="none" w:sz="0" w:space="0" w:color="auto"/>
            <w:left w:val="none" w:sz="0" w:space="0" w:color="auto"/>
            <w:bottom w:val="none" w:sz="0" w:space="0" w:color="auto"/>
            <w:right w:val="none" w:sz="0" w:space="0" w:color="auto"/>
          </w:divBdr>
          <w:divsChild>
            <w:div w:id="878274203">
              <w:marLeft w:val="0"/>
              <w:marRight w:val="0"/>
              <w:marTop w:val="30"/>
              <w:marBottom w:val="30"/>
              <w:divBdr>
                <w:top w:val="none" w:sz="0" w:space="0" w:color="auto"/>
                <w:left w:val="none" w:sz="0" w:space="0" w:color="auto"/>
                <w:bottom w:val="none" w:sz="0" w:space="0" w:color="auto"/>
                <w:right w:val="none" w:sz="0" w:space="0" w:color="auto"/>
              </w:divBdr>
              <w:divsChild>
                <w:div w:id="355077844">
                  <w:marLeft w:val="0"/>
                  <w:marRight w:val="0"/>
                  <w:marTop w:val="0"/>
                  <w:marBottom w:val="0"/>
                  <w:divBdr>
                    <w:top w:val="none" w:sz="0" w:space="0" w:color="auto"/>
                    <w:left w:val="none" w:sz="0" w:space="0" w:color="auto"/>
                    <w:bottom w:val="none" w:sz="0" w:space="0" w:color="auto"/>
                    <w:right w:val="none" w:sz="0" w:space="0" w:color="auto"/>
                  </w:divBdr>
                  <w:divsChild>
                    <w:div w:id="538131434">
                      <w:marLeft w:val="0"/>
                      <w:marRight w:val="0"/>
                      <w:marTop w:val="0"/>
                      <w:marBottom w:val="0"/>
                      <w:divBdr>
                        <w:top w:val="none" w:sz="0" w:space="0" w:color="auto"/>
                        <w:left w:val="none" w:sz="0" w:space="0" w:color="auto"/>
                        <w:bottom w:val="none" w:sz="0" w:space="0" w:color="auto"/>
                        <w:right w:val="none" w:sz="0" w:space="0" w:color="auto"/>
                      </w:divBdr>
                    </w:div>
                  </w:divsChild>
                </w:div>
                <w:div w:id="382218374">
                  <w:marLeft w:val="0"/>
                  <w:marRight w:val="0"/>
                  <w:marTop w:val="0"/>
                  <w:marBottom w:val="0"/>
                  <w:divBdr>
                    <w:top w:val="none" w:sz="0" w:space="0" w:color="auto"/>
                    <w:left w:val="none" w:sz="0" w:space="0" w:color="auto"/>
                    <w:bottom w:val="none" w:sz="0" w:space="0" w:color="auto"/>
                    <w:right w:val="none" w:sz="0" w:space="0" w:color="auto"/>
                  </w:divBdr>
                  <w:divsChild>
                    <w:div w:id="1109199980">
                      <w:marLeft w:val="0"/>
                      <w:marRight w:val="0"/>
                      <w:marTop w:val="0"/>
                      <w:marBottom w:val="0"/>
                      <w:divBdr>
                        <w:top w:val="none" w:sz="0" w:space="0" w:color="auto"/>
                        <w:left w:val="none" w:sz="0" w:space="0" w:color="auto"/>
                        <w:bottom w:val="none" w:sz="0" w:space="0" w:color="auto"/>
                        <w:right w:val="none" w:sz="0" w:space="0" w:color="auto"/>
                      </w:divBdr>
                    </w:div>
                    <w:div w:id="1772553538">
                      <w:marLeft w:val="0"/>
                      <w:marRight w:val="0"/>
                      <w:marTop w:val="0"/>
                      <w:marBottom w:val="0"/>
                      <w:divBdr>
                        <w:top w:val="none" w:sz="0" w:space="0" w:color="auto"/>
                        <w:left w:val="none" w:sz="0" w:space="0" w:color="auto"/>
                        <w:bottom w:val="none" w:sz="0" w:space="0" w:color="auto"/>
                        <w:right w:val="none" w:sz="0" w:space="0" w:color="auto"/>
                      </w:divBdr>
                    </w:div>
                  </w:divsChild>
                </w:div>
                <w:div w:id="444084008">
                  <w:marLeft w:val="0"/>
                  <w:marRight w:val="0"/>
                  <w:marTop w:val="0"/>
                  <w:marBottom w:val="0"/>
                  <w:divBdr>
                    <w:top w:val="none" w:sz="0" w:space="0" w:color="auto"/>
                    <w:left w:val="none" w:sz="0" w:space="0" w:color="auto"/>
                    <w:bottom w:val="none" w:sz="0" w:space="0" w:color="auto"/>
                    <w:right w:val="none" w:sz="0" w:space="0" w:color="auto"/>
                  </w:divBdr>
                  <w:divsChild>
                    <w:div w:id="420878885">
                      <w:marLeft w:val="0"/>
                      <w:marRight w:val="0"/>
                      <w:marTop w:val="0"/>
                      <w:marBottom w:val="0"/>
                      <w:divBdr>
                        <w:top w:val="none" w:sz="0" w:space="0" w:color="auto"/>
                        <w:left w:val="none" w:sz="0" w:space="0" w:color="auto"/>
                        <w:bottom w:val="none" w:sz="0" w:space="0" w:color="auto"/>
                        <w:right w:val="none" w:sz="0" w:space="0" w:color="auto"/>
                      </w:divBdr>
                    </w:div>
                  </w:divsChild>
                </w:div>
                <w:div w:id="842478118">
                  <w:marLeft w:val="0"/>
                  <w:marRight w:val="0"/>
                  <w:marTop w:val="0"/>
                  <w:marBottom w:val="0"/>
                  <w:divBdr>
                    <w:top w:val="none" w:sz="0" w:space="0" w:color="auto"/>
                    <w:left w:val="none" w:sz="0" w:space="0" w:color="auto"/>
                    <w:bottom w:val="none" w:sz="0" w:space="0" w:color="auto"/>
                    <w:right w:val="none" w:sz="0" w:space="0" w:color="auto"/>
                  </w:divBdr>
                  <w:divsChild>
                    <w:div w:id="845511536">
                      <w:marLeft w:val="0"/>
                      <w:marRight w:val="0"/>
                      <w:marTop w:val="0"/>
                      <w:marBottom w:val="0"/>
                      <w:divBdr>
                        <w:top w:val="none" w:sz="0" w:space="0" w:color="auto"/>
                        <w:left w:val="none" w:sz="0" w:space="0" w:color="auto"/>
                        <w:bottom w:val="none" w:sz="0" w:space="0" w:color="auto"/>
                        <w:right w:val="none" w:sz="0" w:space="0" w:color="auto"/>
                      </w:divBdr>
                    </w:div>
                  </w:divsChild>
                </w:div>
                <w:div w:id="1126583795">
                  <w:marLeft w:val="0"/>
                  <w:marRight w:val="0"/>
                  <w:marTop w:val="0"/>
                  <w:marBottom w:val="0"/>
                  <w:divBdr>
                    <w:top w:val="none" w:sz="0" w:space="0" w:color="auto"/>
                    <w:left w:val="none" w:sz="0" w:space="0" w:color="auto"/>
                    <w:bottom w:val="none" w:sz="0" w:space="0" w:color="auto"/>
                    <w:right w:val="none" w:sz="0" w:space="0" w:color="auto"/>
                  </w:divBdr>
                  <w:divsChild>
                    <w:div w:id="17033621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99762395">
          <w:marLeft w:val="0"/>
          <w:marRight w:val="0"/>
          <w:marTop w:val="0"/>
          <w:marBottom w:val="0"/>
          <w:divBdr>
            <w:top w:val="none" w:sz="0" w:space="0" w:color="auto"/>
            <w:left w:val="none" w:sz="0" w:space="0" w:color="auto"/>
            <w:bottom w:val="none" w:sz="0" w:space="0" w:color="auto"/>
            <w:right w:val="none" w:sz="0" w:space="0" w:color="auto"/>
          </w:divBdr>
        </w:div>
      </w:divsChild>
    </w:div>
    <w:div w:id="1182739351">
      <w:bodyDiv w:val="1"/>
      <w:marLeft w:val="0"/>
      <w:marRight w:val="0"/>
      <w:marTop w:val="0"/>
      <w:marBottom w:val="0"/>
      <w:divBdr>
        <w:top w:val="none" w:sz="0" w:space="0" w:color="auto"/>
        <w:left w:val="none" w:sz="0" w:space="0" w:color="auto"/>
        <w:bottom w:val="none" w:sz="0" w:space="0" w:color="auto"/>
        <w:right w:val="none" w:sz="0" w:space="0" w:color="auto"/>
      </w:divBdr>
    </w:div>
    <w:div w:id="1188368233">
      <w:bodyDiv w:val="1"/>
      <w:marLeft w:val="0"/>
      <w:marRight w:val="0"/>
      <w:marTop w:val="0"/>
      <w:marBottom w:val="0"/>
      <w:divBdr>
        <w:top w:val="none" w:sz="0" w:space="0" w:color="auto"/>
        <w:left w:val="none" w:sz="0" w:space="0" w:color="auto"/>
        <w:bottom w:val="none" w:sz="0" w:space="0" w:color="auto"/>
        <w:right w:val="none" w:sz="0" w:space="0" w:color="auto"/>
      </w:divBdr>
    </w:div>
    <w:div w:id="1192721130">
      <w:bodyDiv w:val="1"/>
      <w:marLeft w:val="0"/>
      <w:marRight w:val="0"/>
      <w:marTop w:val="0"/>
      <w:marBottom w:val="0"/>
      <w:divBdr>
        <w:top w:val="none" w:sz="0" w:space="0" w:color="auto"/>
        <w:left w:val="none" w:sz="0" w:space="0" w:color="auto"/>
        <w:bottom w:val="none" w:sz="0" w:space="0" w:color="auto"/>
        <w:right w:val="none" w:sz="0" w:space="0" w:color="auto"/>
      </w:divBdr>
    </w:div>
    <w:div w:id="1212763038">
      <w:bodyDiv w:val="1"/>
      <w:marLeft w:val="0"/>
      <w:marRight w:val="0"/>
      <w:marTop w:val="0"/>
      <w:marBottom w:val="0"/>
      <w:divBdr>
        <w:top w:val="none" w:sz="0" w:space="0" w:color="auto"/>
        <w:left w:val="none" w:sz="0" w:space="0" w:color="auto"/>
        <w:bottom w:val="none" w:sz="0" w:space="0" w:color="auto"/>
        <w:right w:val="none" w:sz="0" w:space="0" w:color="auto"/>
      </w:divBdr>
    </w:div>
    <w:div w:id="1219126849">
      <w:bodyDiv w:val="1"/>
      <w:marLeft w:val="0"/>
      <w:marRight w:val="0"/>
      <w:marTop w:val="0"/>
      <w:marBottom w:val="0"/>
      <w:divBdr>
        <w:top w:val="none" w:sz="0" w:space="0" w:color="auto"/>
        <w:left w:val="none" w:sz="0" w:space="0" w:color="auto"/>
        <w:bottom w:val="none" w:sz="0" w:space="0" w:color="auto"/>
        <w:right w:val="none" w:sz="0" w:space="0" w:color="auto"/>
      </w:divBdr>
    </w:div>
    <w:div w:id="1219240755">
      <w:bodyDiv w:val="1"/>
      <w:marLeft w:val="0"/>
      <w:marRight w:val="0"/>
      <w:marTop w:val="0"/>
      <w:marBottom w:val="0"/>
      <w:divBdr>
        <w:top w:val="none" w:sz="0" w:space="0" w:color="auto"/>
        <w:left w:val="none" w:sz="0" w:space="0" w:color="auto"/>
        <w:bottom w:val="none" w:sz="0" w:space="0" w:color="auto"/>
        <w:right w:val="none" w:sz="0" w:space="0" w:color="auto"/>
      </w:divBdr>
    </w:div>
    <w:div w:id="1229267060">
      <w:bodyDiv w:val="1"/>
      <w:marLeft w:val="0"/>
      <w:marRight w:val="0"/>
      <w:marTop w:val="0"/>
      <w:marBottom w:val="0"/>
      <w:divBdr>
        <w:top w:val="none" w:sz="0" w:space="0" w:color="auto"/>
        <w:left w:val="none" w:sz="0" w:space="0" w:color="auto"/>
        <w:bottom w:val="none" w:sz="0" w:space="0" w:color="auto"/>
        <w:right w:val="none" w:sz="0" w:space="0" w:color="auto"/>
      </w:divBdr>
    </w:div>
    <w:div w:id="1239754437">
      <w:bodyDiv w:val="1"/>
      <w:marLeft w:val="0"/>
      <w:marRight w:val="0"/>
      <w:marTop w:val="0"/>
      <w:marBottom w:val="0"/>
      <w:divBdr>
        <w:top w:val="none" w:sz="0" w:space="0" w:color="auto"/>
        <w:left w:val="none" w:sz="0" w:space="0" w:color="auto"/>
        <w:bottom w:val="none" w:sz="0" w:space="0" w:color="auto"/>
        <w:right w:val="none" w:sz="0" w:space="0" w:color="auto"/>
      </w:divBdr>
    </w:div>
    <w:div w:id="1241058188">
      <w:bodyDiv w:val="1"/>
      <w:marLeft w:val="0"/>
      <w:marRight w:val="0"/>
      <w:marTop w:val="0"/>
      <w:marBottom w:val="0"/>
      <w:divBdr>
        <w:top w:val="none" w:sz="0" w:space="0" w:color="auto"/>
        <w:left w:val="none" w:sz="0" w:space="0" w:color="auto"/>
        <w:bottom w:val="none" w:sz="0" w:space="0" w:color="auto"/>
        <w:right w:val="none" w:sz="0" w:space="0" w:color="auto"/>
      </w:divBdr>
    </w:div>
    <w:div w:id="1241452602">
      <w:bodyDiv w:val="1"/>
      <w:marLeft w:val="0"/>
      <w:marRight w:val="0"/>
      <w:marTop w:val="0"/>
      <w:marBottom w:val="0"/>
      <w:divBdr>
        <w:top w:val="none" w:sz="0" w:space="0" w:color="auto"/>
        <w:left w:val="none" w:sz="0" w:space="0" w:color="auto"/>
        <w:bottom w:val="none" w:sz="0" w:space="0" w:color="auto"/>
        <w:right w:val="none" w:sz="0" w:space="0" w:color="auto"/>
      </w:divBdr>
    </w:div>
    <w:div w:id="1253389799">
      <w:bodyDiv w:val="1"/>
      <w:marLeft w:val="0"/>
      <w:marRight w:val="0"/>
      <w:marTop w:val="0"/>
      <w:marBottom w:val="0"/>
      <w:divBdr>
        <w:top w:val="none" w:sz="0" w:space="0" w:color="auto"/>
        <w:left w:val="none" w:sz="0" w:space="0" w:color="auto"/>
        <w:bottom w:val="none" w:sz="0" w:space="0" w:color="auto"/>
        <w:right w:val="none" w:sz="0" w:space="0" w:color="auto"/>
      </w:divBdr>
    </w:div>
    <w:div w:id="1266383416">
      <w:bodyDiv w:val="1"/>
      <w:marLeft w:val="0"/>
      <w:marRight w:val="0"/>
      <w:marTop w:val="0"/>
      <w:marBottom w:val="0"/>
      <w:divBdr>
        <w:top w:val="none" w:sz="0" w:space="0" w:color="auto"/>
        <w:left w:val="none" w:sz="0" w:space="0" w:color="auto"/>
        <w:bottom w:val="none" w:sz="0" w:space="0" w:color="auto"/>
        <w:right w:val="none" w:sz="0" w:space="0" w:color="auto"/>
      </w:divBdr>
      <w:divsChild>
        <w:div w:id="1058481146">
          <w:marLeft w:val="0"/>
          <w:marRight w:val="0"/>
          <w:marTop w:val="0"/>
          <w:marBottom w:val="0"/>
          <w:divBdr>
            <w:top w:val="none" w:sz="0" w:space="0" w:color="auto"/>
            <w:left w:val="none" w:sz="0" w:space="0" w:color="auto"/>
            <w:bottom w:val="none" w:sz="0" w:space="0" w:color="auto"/>
            <w:right w:val="none" w:sz="0" w:space="0" w:color="auto"/>
          </w:divBdr>
          <w:divsChild>
            <w:div w:id="1308709422">
              <w:marLeft w:val="-75"/>
              <w:marRight w:val="0"/>
              <w:marTop w:val="30"/>
              <w:marBottom w:val="30"/>
              <w:divBdr>
                <w:top w:val="none" w:sz="0" w:space="0" w:color="auto"/>
                <w:left w:val="none" w:sz="0" w:space="0" w:color="auto"/>
                <w:bottom w:val="none" w:sz="0" w:space="0" w:color="auto"/>
                <w:right w:val="none" w:sz="0" w:space="0" w:color="auto"/>
              </w:divBdr>
              <w:divsChild>
                <w:div w:id="40636495">
                  <w:marLeft w:val="0"/>
                  <w:marRight w:val="0"/>
                  <w:marTop w:val="0"/>
                  <w:marBottom w:val="0"/>
                  <w:divBdr>
                    <w:top w:val="none" w:sz="0" w:space="0" w:color="auto"/>
                    <w:left w:val="none" w:sz="0" w:space="0" w:color="auto"/>
                    <w:bottom w:val="none" w:sz="0" w:space="0" w:color="auto"/>
                    <w:right w:val="none" w:sz="0" w:space="0" w:color="auto"/>
                  </w:divBdr>
                  <w:divsChild>
                    <w:div w:id="1956937480">
                      <w:marLeft w:val="0"/>
                      <w:marRight w:val="0"/>
                      <w:marTop w:val="0"/>
                      <w:marBottom w:val="0"/>
                      <w:divBdr>
                        <w:top w:val="none" w:sz="0" w:space="0" w:color="auto"/>
                        <w:left w:val="none" w:sz="0" w:space="0" w:color="auto"/>
                        <w:bottom w:val="none" w:sz="0" w:space="0" w:color="auto"/>
                        <w:right w:val="none" w:sz="0" w:space="0" w:color="auto"/>
                      </w:divBdr>
                    </w:div>
                  </w:divsChild>
                </w:div>
                <w:div w:id="99490063">
                  <w:marLeft w:val="0"/>
                  <w:marRight w:val="0"/>
                  <w:marTop w:val="0"/>
                  <w:marBottom w:val="0"/>
                  <w:divBdr>
                    <w:top w:val="none" w:sz="0" w:space="0" w:color="auto"/>
                    <w:left w:val="none" w:sz="0" w:space="0" w:color="auto"/>
                    <w:bottom w:val="none" w:sz="0" w:space="0" w:color="auto"/>
                    <w:right w:val="none" w:sz="0" w:space="0" w:color="auto"/>
                  </w:divBdr>
                  <w:divsChild>
                    <w:div w:id="1209687597">
                      <w:marLeft w:val="0"/>
                      <w:marRight w:val="0"/>
                      <w:marTop w:val="0"/>
                      <w:marBottom w:val="0"/>
                      <w:divBdr>
                        <w:top w:val="none" w:sz="0" w:space="0" w:color="auto"/>
                        <w:left w:val="none" w:sz="0" w:space="0" w:color="auto"/>
                        <w:bottom w:val="none" w:sz="0" w:space="0" w:color="auto"/>
                        <w:right w:val="none" w:sz="0" w:space="0" w:color="auto"/>
                      </w:divBdr>
                    </w:div>
                  </w:divsChild>
                </w:div>
                <w:div w:id="688720774">
                  <w:marLeft w:val="0"/>
                  <w:marRight w:val="0"/>
                  <w:marTop w:val="0"/>
                  <w:marBottom w:val="0"/>
                  <w:divBdr>
                    <w:top w:val="none" w:sz="0" w:space="0" w:color="auto"/>
                    <w:left w:val="none" w:sz="0" w:space="0" w:color="auto"/>
                    <w:bottom w:val="none" w:sz="0" w:space="0" w:color="auto"/>
                    <w:right w:val="none" w:sz="0" w:space="0" w:color="auto"/>
                  </w:divBdr>
                  <w:divsChild>
                    <w:div w:id="777674449">
                      <w:marLeft w:val="0"/>
                      <w:marRight w:val="0"/>
                      <w:marTop w:val="0"/>
                      <w:marBottom w:val="0"/>
                      <w:divBdr>
                        <w:top w:val="none" w:sz="0" w:space="0" w:color="auto"/>
                        <w:left w:val="none" w:sz="0" w:space="0" w:color="auto"/>
                        <w:bottom w:val="none" w:sz="0" w:space="0" w:color="auto"/>
                        <w:right w:val="none" w:sz="0" w:space="0" w:color="auto"/>
                      </w:divBdr>
                    </w:div>
                    <w:div w:id="1120998930">
                      <w:marLeft w:val="0"/>
                      <w:marRight w:val="0"/>
                      <w:marTop w:val="0"/>
                      <w:marBottom w:val="0"/>
                      <w:divBdr>
                        <w:top w:val="none" w:sz="0" w:space="0" w:color="auto"/>
                        <w:left w:val="none" w:sz="0" w:space="0" w:color="auto"/>
                        <w:bottom w:val="none" w:sz="0" w:space="0" w:color="auto"/>
                        <w:right w:val="none" w:sz="0" w:space="0" w:color="auto"/>
                      </w:divBdr>
                    </w:div>
                    <w:div w:id="1515340251">
                      <w:marLeft w:val="0"/>
                      <w:marRight w:val="0"/>
                      <w:marTop w:val="0"/>
                      <w:marBottom w:val="0"/>
                      <w:divBdr>
                        <w:top w:val="none" w:sz="0" w:space="0" w:color="auto"/>
                        <w:left w:val="none" w:sz="0" w:space="0" w:color="auto"/>
                        <w:bottom w:val="none" w:sz="0" w:space="0" w:color="auto"/>
                        <w:right w:val="none" w:sz="0" w:space="0" w:color="auto"/>
                      </w:divBdr>
                    </w:div>
                    <w:div w:id="1905337606">
                      <w:marLeft w:val="0"/>
                      <w:marRight w:val="0"/>
                      <w:marTop w:val="0"/>
                      <w:marBottom w:val="0"/>
                      <w:divBdr>
                        <w:top w:val="none" w:sz="0" w:space="0" w:color="auto"/>
                        <w:left w:val="none" w:sz="0" w:space="0" w:color="auto"/>
                        <w:bottom w:val="none" w:sz="0" w:space="0" w:color="auto"/>
                        <w:right w:val="none" w:sz="0" w:space="0" w:color="auto"/>
                      </w:divBdr>
                    </w:div>
                  </w:divsChild>
                </w:div>
                <w:div w:id="689180132">
                  <w:marLeft w:val="0"/>
                  <w:marRight w:val="0"/>
                  <w:marTop w:val="0"/>
                  <w:marBottom w:val="0"/>
                  <w:divBdr>
                    <w:top w:val="none" w:sz="0" w:space="0" w:color="auto"/>
                    <w:left w:val="none" w:sz="0" w:space="0" w:color="auto"/>
                    <w:bottom w:val="none" w:sz="0" w:space="0" w:color="auto"/>
                    <w:right w:val="none" w:sz="0" w:space="0" w:color="auto"/>
                  </w:divBdr>
                  <w:divsChild>
                    <w:div w:id="89012789">
                      <w:marLeft w:val="0"/>
                      <w:marRight w:val="0"/>
                      <w:marTop w:val="0"/>
                      <w:marBottom w:val="0"/>
                      <w:divBdr>
                        <w:top w:val="none" w:sz="0" w:space="0" w:color="auto"/>
                        <w:left w:val="none" w:sz="0" w:space="0" w:color="auto"/>
                        <w:bottom w:val="none" w:sz="0" w:space="0" w:color="auto"/>
                        <w:right w:val="none" w:sz="0" w:space="0" w:color="auto"/>
                      </w:divBdr>
                    </w:div>
                  </w:divsChild>
                </w:div>
                <w:div w:id="694160229">
                  <w:marLeft w:val="0"/>
                  <w:marRight w:val="0"/>
                  <w:marTop w:val="0"/>
                  <w:marBottom w:val="0"/>
                  <w:divBdr>
                    <w:top w:val="none" w:sz="0" w:space="0" w:color="auto"/>
                    <w:left w:val="none" w:sz="0" w:space="0" w:color="auto"/>
                    <w:bottom w:val="none" w:sz="0" w:space="0" w:color="auto"/>
                    <w:right w:val="none" w:sz="0" w:space="0" w:color="auto"/>
                  </w:divBdr>
                  <w:divsChild>
                    <w:div w:id="234168487">
                      <w:marLeft w:val="0"/>
                      <w:marRight w:val="0"/>
                      <w:marTop w:val="0"/>
                      <w:marBottom w:val="0"/>
                      <w:divBdr>
                        <w:top w:val="none" w:sz="0" w:space="0" w:color="auto"/>
                        <w:left w:val="none" w:sz="0" w:space="0" w:color="auto"/>
                        <w:bottom w:val="none" w:sz="0" w:space="0" w:color="auto"/>
                        <w:right w:val="none" w:sz="0" w:space="0" w:color="auto"/>
                      </w:divBdr>
                    </w:div>
                  </w:divsChild>
                </w:div>
                <w:div w:id="1036615262">
                  <w:marLeft w:val="0"/>
                  <w:marRight w:val="0"/>
                  <w:marTop w:val="0"/>
                  <w:marBottom w:val="0"/>
                  <w:divBdr>
                    <w:top w:val="none" w:sz="0" w:space="0" w:color="auto"/>
                    <w:left w:val="none" w:sz="0" w:space="0" w:color="auto"/>
                    <w:bottom w:val="none" w:sz="0" w:space="0" w:color="auto"/>
                    <w:right w:val="none" w:sz="0" w:space="0" w:color="auto"/>
                  </w:divBdr>
                  <w:divsChild>
                    <w:div w:id="1141463978">
                      <w:marLeft w:val="0"/>
                      <w:marRight w:val="0"/>
                      <w:marTop w:val="0"/>
                      <w:marBottom w:val="0"/>
                      <w:divBdr>
                        <w:top w:val="none" w:sz="0" w:space="0" w:color="auto"/>
                        <w:left w:val="none" w:sz="0" w:space="0" w:color="auto"/>
                        <w:bottom w:val="none" w:sz="0" w:space="0" w:color="auto"/>
                        <w:right w:val="none" w:sz="0" w:space="0" w:color="auto"/>
                      </w:divBdr>
                    </w:div>
                  </w:divsChild>
                </w:div>
                <w:div w:id="1441026864">
                  <w:marLeft w:val="0"/>
                  <w:marRight w:val="0"/>
                  <w:marTop w:val="0"/>
                  <w:marBottom w:val="0"/>
                  <w:divBdr>
                    <w:top w:val="none" w:sz="0" w:space="0" w:color="auto"/>
                    <w:left w:val="none" w:sz="0" w:space="0" w:color="auto"/>
                    <w:bottom w:val="none" w:sz="0" w:space="0" w:color="auto"/>
                    <w:right w:val="none" w:sz="0" w:space="0" w:color="auto"/>
                  </w:divBdr>
                  <w:divsChild>
                    <w:div w:id="116148025">
                      <w:marLeft w:val="0"/>
                      <w:marRight w:val="0"/>
                      <w:marTop w:val="0"/>
                      <w:marBottom w:val="0"/>
                      <w:divBdr>
                        <w:top w:val="none" w:sz="0" w:space="0" w:color="auto"/>
                        <w:left w:val="none" w:sz="0" w:space="0" w:color="auto"/>
                        <w:bottom w:val="none" w:sz="0" w:space="0" w:color="auto"/>
                        <w:right w:val="none" w:sz="0" w:space="0" w:color="auto"/>
                      </w:divBdr>
                    </w:div>
                    <w:div w:id="804541627">
                      <w:marLeft w:val="0"/>
                      <w:marRight w:val="0"/>
                      <w:marTop w:val="0"/>
                      <w:marBottom w:val="0"/>
                      <w:divBdr>
                        <w:top w:val="none" w:sz="0" w:space="0" w:color="auto"/>
                        <w:left w:val="none" w:sz="0" w:space="0" w:color="auto"/>
                        <w:bottom w:val="none" w:sz="0" w:space="0" w:color="auto"/>
                        <w:right w:val="none" w:sz="0" w:space="0" w:color="auto"/>
                      </w:divBdr>
                    </w:div>
                    <w:div w:id="1329677112">
                      <w:marLeft w:val="0"/>
                      <w:marRight w:val="0"/>
                      <w:marTop w:val="0"/>
                      <w:marBottom w:val="0"/>
                      <w:divBdr>
                        <w:top w:val="none" w:sz="0" w:space="0" w:color="auto"/>
                        <w:left w:val="none" w:sz="0" w:space="0" w:color="auto"/>
                        <w:bottom w:val="none" w:sz="0" w:space="0" w:color="auto"/>
                        <w:right w:val="none" w:sz="0" w:space="0" w:color="auto"/>
                      </w:divBdr>
                    </w:div>
                    <w:div w:id="1890994429">
                      <w:marLeft w:val="0"/>
                      <w:marRight w:val="0"/>
                      <w:marTop w:val="0"/>
                      <w:marBottom w:val="0"/>
                      <w:divBdr>
                        <w:top w:val="none" w:sz="0" w:space="0" w:color="auto"/>
                        <w:left w:val="none" w:sz="0" w:space="0" w:color="auto"/>
                        <w:bottom w:val="none" w:sz="0" w:space="0" w:color="auto"/>
                        <w:right w:val="none" w:sz="0" w:space="0" w:color="auto"/>
                      </w:divBdr>
                    </w:div>
                  </w:divsChild>
                </w:div>
                <w:div w:id="1445878206">
                  <w:marLeft w:val="0"/>
                  <w:marRight w:val="0"/>
                  <w:marTop w:val="0"/>
                  <w:marBottom w:val="0"/>
                  <w:divBdr>
                    <w:top w:val="none" w:sz="0" w:space="0" w:color="auto"/>
                    <w:left w:val="none" w:sz="0" w:space="0" w:color="auto"/>
                    <w:bottom w:val="none" w:sz="0" w:space="0" w:color="auto"/>
                    <w:right w:val="none" w:sz="0" w:space="0" w:color="auto"/>
                  </w:divBdr>
                  <w:divsChild>
                    <w:div w:id="1952198198">
                      <w:marLeft w:val="0"/>
                      <w:marRight w:val="0"/>
                      <w:marTop w:val="0"/>
                      <w:marBottom w:val="0"/>
                      <w:divBdr>
                        <w:top w:val="none" w:sz="0" w:space="0" w:color="auto"/>
                        <w:left w:val="none" w:sz="0" w:space="0" w:color="auto"/>
                        <w:bottom w:val="none" w:sz="0" w:space="0" w:color="auto"/>
                        <w:right w:val="none" w:sz="0" w:space="0" w:color="auto"/>
                      </w:divBdr>
                    </w:div>
                  </w:divsChild>
                </w:div>
                <w:div w:id="1726368265">
                  <w:marLeft w:val="0"/>
                  <w:marRight w:val="0"/>
                  <w:marTop w:val="0"/>
                  <w:marBottom w:val="0"/>
                  <w:divBdr>
                    <w:top w:val="none" w:sz="0" w:space="0" w:color="auto"/>
                    <w:left w:val="none" w:sz="0" w:space="0" w:color="auto"/>
                    <w:bottom w:val="none" w:sz="0" w:space="0" w:color="auto"/>
                    <w:right w:val="none" w:sz="0" w:space="0" w:color="auto"/>
                  </w:divBdr>
                  <w:divsChild>
                    <w:div w:id="140662882">
                      <w:marLeft w:val="0"/>
                      <w:marRight w:val="0"/>
                      <w:marTop w:val="0"/>
                      <w:marBottom w:val="0"/>
                      <w:divBdr>
                        <w:top w:val="none" w:sz="0" w:space="0" w:color="auto"/>
                        <w:left w:val="none" w:sz="0" w:space="0" w:color="auto"/>
                        <w:bottom w:val="none" w:sz="0" w:space="0" w:color="auto"/>
                        <w:right w:val="none" w:sz="0" w:space="0" w:color="auto"/>
                      </w:divBdr>
                    </w:div>
                    <w:div w:id="913928405">
                      <w:marLeft w:val="0"/>
                      <w:marRight w:val="0"/>
                      <w:marTop w:val="0"/>
                      <w:marBottom w:val="0"/>
                      <w:divBdr>
                        <w:top w:val="none" w:sz="0" w:space="0" w:color="auto"/>
                        <w:left w:val="none" w:sz="0" w:space="0" w:color="auto"/>
                        <w:bottom w:val="none" w:sz="0" w:space="0" w:color="auto"/>
                        <w:right w:val="none" w:sz="0" w:space="0" w:color="auto"/>
                      </w:divBdr>
                    </w:div>
                    <w:div w:id="969898326">
                      <w:marLeft w:val="0"/>
                      <w:marRight w:val="0"/>
                      <w:marTop w:val="0"/>
                      <w:marBottom w:val="0"/>
                      <w:divBdr>
                        <w:top w:val="none" w:sz="0" w:space="0" w:color="auto"/>
                        <w:left w:val="none" w:sz="0" w:space="0" w:color="auto"/>
                        <w:bottom w:val="none" w:sz="0" w:space="0" w:color="auto"/>
                        <w:right w:val="none" w:sz="0" w:space="0" w:color="auto"/>
                      </w:divBdr>
                    </w:div>
                    <w:div w:id="1736663547">
                      <w:marLeft w:val="0"/>
                      <w:marRight w:val="0"/>
                      <w:marTop w:val="0"/>
                      <w:marBottom w:val="0"/>
                      <w:divBdr>
                        <w:top w:val="none" w:sz="0" w:space="0" w:color="auto"/>
                        <w:left w:val="none" w:sz="0" w:space="0" w:color="auto"/>
                        <w:bottom w:val="none" w:sz="0" w:space="0" w:color="auto"/>
                        <w:right w:val="none" w:sz="0" w:space="0" w:color="auto"/>
                      </w:divBdr>
                    </w:div>
                    <w:div w:id="1878814557">
                      <w:marLeft w:val="0"/>
                      <w:marRight w:val="0"/>
                      <w:marTop w:val="0"/>
                      <w:marBottom w:val="0"/>
                      <w:divBdr>
                        <w:top w:val="none" w:sz="0" w:space="0" w:color="auto"/>
                        <w:left w:val="none" w:sz="0" w:space="0" w:color="auto"/>
                        <w:bottom w:val="none" w:sz="0" w:space="0" w:color="auto"/>
                        <w:right w:val="none" w:sz="0" w:space="0" w:color="auto"/>
                      </w:divBdr>
                    </w:div>
                    <w:div w:id="2025545937">
                      <w:marLeft w:val="0"/>
                      <w:marRight w:val="0"/>
                      <w:marTop w:val="0"/>
                      <w:marBottom w:val="0"/>
                      <w:divBdr>
                        <w:top w:val="none" w:sz="0" w:space="0" w:color="auto"/>
                        <w:left w:val="none" w:sz="0" w:space="0" w:color="auto"/>
                        <w:bottom w:val="none" w:sz="0" w:space="0" w:color="auto"/>
                        <w:right w:val="none" w:sz="0" w:space="0" w:color="auto"/>
                      </w:divBdr>
                    </w:div>
                  </w:divsChild>
                </w:div>
                <w:div w:id="1739207261">
                  <w:marLeft w:val="0"/>
                  <w:marRight w:val="0"/>
                  <w:marTop w:val="0"/>
                  <w:marBottom w:val="0"/>
                  <w:divBdr>
                    <w:top w:val="none" w:sz="0" w:space="0" w:color="auto"/>
                    <w:left w:val="none" w:sz="0" w:space="0" w:color="auto"/>
                    <w:bottom w:val="none" w:sz="0" w:space="0" w:color="auto"/>
                    <w:right w:val="none" w:sz="0" w:space="0" w:color="auto"/>
                  </w:divBdr>
                  <w:divsChild>
                    <w:div w:id="278070805">
                      <w:marLeft w:val="0"/>
                      <w:marRight w:val="0"/>
                      <w:marTop w:val="0"/>
                      <w:marBottom w:val="0"/>
                      <w:divBdr>
                        <w:top w:val="none" w:sz="0" w:space="0" w:color="auto"/>
                        <w:left w:val="none" w:sz="0" w:space="0" w:color="auto"/>
                        <w:bottom w:val="none" w:sz="0" w:space="0" w:color="auto"/>
                        <w:right w:val="none" w:sz="0" w:space="0" w:color="auto"/>
                      </w:divBdr>
                    </w:div>
                    <w:div w:id="1373648071">
                      <w:marLeft w:val="0"/>
                      <w:marRight w:val="0"/>
                      <w:marTop w:val="0"/>
                      <w:marBottom w:val="0"/>
                      <w:divBdr>
                        <w:top w:val="none" w:sz="0" w:space="0" w:color="auto"/>
                        <w:left w:val="none" w:sz="0" w:space="0" w:color="auto"/>
                        <w:bottom w:val="none" w:sz="0" w:space="0" w:color="auto"/>
                        <w:right w:val="none" w:sz="0" w:space="0" w:color="auto"/>
                      </w:divBdr>
                    </w:div>
                    <w:div w:id="1620338211">
                      <w:marLeft w:val="0"/>
                      <w:marRight w:val="0"/>
                      <w:marTop w:val="0"/>
                      <w:marBottom w:val="0"/>
                      <w:divBdr>
                        <w:top w:val="none" w:sz="0" w:space="0" w:color="auto"/>
                        <w:left w:val="none" w:sz="0" w:space="0" w:color="auto"/>
                        <w:bottom w:val="none" w:sz="0" w:space="0" w:color="auto"/>
                        <w:right w:val="none" w:sz="0" w:space="0" w:color="auto"/>
                      </w:divBdr>
                    </w:div>
                  </w:divsChild>
                </w:div>
                <w:div w:id="1775247647">
                  <w:marLeft w:val="0"/>
                  <w:marRight w:val="0"/>
                  <w:marTop w:val="0"/>
                  <w:marBottom w:val="0"/>
                  <w:divBdr>
                    <w:top w:val="none" w:sz="0" w:space="0" w:color="auto"/>
                    <w:left w:val="none" w:sz="0" w:space="0" w:color="auto"/>
                    <w:bottom w:val="none" w:sz="0" w:space="0" w:color="auto"/>
                    <w:right w:val="none" w:sz="0" w:space="0" w:color="auto"/>
                  </w:divBdr>
                  <w:divsChild>
                    <w:div w:id="1552840635">
                      <w:marLeft w:val="0"/>
                      <w:marRight w:val="0"/>
                      <w:marTop w:val="0"/>
                      <w:marBottom w:val="0"/>
                      <w:divBdr>
                        <w:top w:val="none" w:sz="0" w:space="0" w:color="auto"/>
                        <w:left w:val="none" w:sz="0" w:space="0" w:color="auto"/>
                        <w:bottom w:val="none" w:sz="0" w:space="0" w:color="auto"/>
                        <w:right w:val="none" w:sz="0" w:space="0" w:color="auto"/>
                      </w:divBdr>
                    </w:div>
                    <w:div w:id="2055888131">
                      <w:marLeft w:val="0"/>
                      <w:marRight w:val="0"/>
                      <w:marTop w:val="0"/>
                      <w:marBottom w:val="0"/>
                      <w:divBdr>
                        <w:top w:val="none" w:sz="0" w:space="0" w:color="auto"/>
                        <w:left w:val="none" w:sz="0" w:space="0" w:color="auto"/>
                        <w:bottom w:val="none" w:sz="0" w:space="0" w:color="auto"/>
                        <w:right w:val="none" w:sz="0" w:space="0" w:color="auto"/>
                      </w:divBdr>
                    </w:div>
                  </w:divsChild>
                </w:div>
                <w:div w:id="2088727451">
                  <w:marLeft w:val="0"/>
                  <w:marRight w:val="0"/>
                  <w:marTop w:val="0"/>
                  <w:marBottom w:val="0"/>
                  <w:divBdr>
                    <w:top w:val="none" w:sz="0" w:space="0" w:color="auto"/>
                    <w:left w:val="none" w:sz="0" w:space="0" w:color="auto"/>
                    <w:bottom w:val="none" w:sz="0" w:space="0" w:color="auto"/>
                    <w:right w:val="none" w:sz="0" w:space="0" w:color="auto"/>
                  </w:divBdr>
                  <w:divsChild>
                    <w:div w:id="19891662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87190759">
          <w:marLeft w:val="0"/>
          <w:marRight w:val="0"/>
          <w:marTop w:val="0"/>
          <w:marBottom w:val="0"/>
          <w:divBdr>
            <w:top w:val="none" w:sz="0" w:space="0" w:color="auto"/>
            <w:left w:val="none" w:sz="0" w:space="0" w:color="auto"/>
            <w:bottom w:val="none" w:sz="0" w:space="0" w:color="auto"/>
            <w:right w:val="none" w:sz="0" w:space="0" w:color="auto"/>
          </w:divBdr>
        </w:div>
        <w:div w:id="1198006475">
          <w:marLeft w:val="0"/>
          <w:marRight w:val="0"/>
          <w:marTop w:val="0"/>
          <w:marBottom w:val="0"/>
          <w:divBdr>
            <w:top w:val="none" w:sz="0" w:space="0" w:color="auto"/>
            <w:left w:val="none" w:sz="0" w:space="0" w:color="auto"/>
            <w:bottom w:val="none" w:sz="0" w:space="0" w:color="auto"/>
            <w:right w:val="none" w:sz="0" w:space="0" w:color="auto"/>
          </w:divBdr>
        </w:div>
        <w:div w:id="1838379268">
          <w:marLeft w:val="0"/>
          <w:marRight w:val="0"/>
          <w:marTop w:val="0"/>
          <w:marBottom w:val="0"/>
          <w:divBdr>
            <w:top w:val="none" w:sz="0" w:space="0" w:color="auto"/>
            <w:left w:val="none" w:sz="0" w:space="0" w:color="auto"/>
            <w:bottom w:val="none" w:sz="0" w:space="0" w:color="auto"/>
            <w:right w:val="none" w:sz="0" w:space="0" w:color="auto"/>
          </w:divBdr>
          <w:divsChild>
            <w:div w:id="646125756">
              <w:marLeft w:val="-75"/>
              <w:marRight w:val="0"/>
              <w:marTop w:val="30"/>
              <w:marBottom w:val="30"/>
              <w:divBdr>
                <w:top w:val="none" w:sz="0" w:space="0" w:color="auto"/>
                <w:left w:val="none" w:sz="0" w:space="0" w:color="auto"/>
                <w:bottom w:val="none" w:sz="0" w:space="0" w:color="auto"/>
                <w:right w:val="none" w:sz="0" w:space="0" w:color="auto"/>
              </w:divBdr>
              <w:divsChild>
                <w:div w:id="1227911633">
                  <w:marLeft w:val="0"/>
                  <w:marRight w:val="0"/>
                  <w:marTop w:val="0"/>
                  <w:marBottom w:val="0"/>
                  <w:divBdr>
                    <w:top w:val="none" w:sz="0" w:space="0" w:color="auto"/>
                    <w:left w:val="none" w:sz="0" w:space="0" w:color="auto"/>
                    <w:bottom w:val="none" w:sz="0" w:space="0" w:color="auto"/>
                    <w:right w:val="none" w:sz="0" w:space="0" w:color="auto"/>
                  </w:divBdr>
                  <w:divsChild>
                    <w:div w:id="1830246108">
                      <w:marLeft w:val="0"/>
                      <w:marRight w:val="0"/>
                      <w:marTop w:val="0"/>
                      <w:marBottom w:val="0"/>
                      <w:divBdr>
                        <w:top w:val="none" w:sz="0" w:space="0" w:color="auto"/>
                        <w:left w:val="none" w:sz="0" w:space="0" w:color="auto"/>
                        <w:bottom w:val="none" w:sz="0" w:space="0" w:color="auto"/>
                        <w:right w:val="none" w:sz="0" w:space="0" w:color="auto"/>
                      </w:divBdr>
                    </w:div>
                  </w:divsChild>
                </w:div>
                <w:div w:id="1515412740">
                  <w:marLeft w:val="0"/>
                  <w:marRight w:val="0"/>
                  <w:marTop w:val="0"/>
                  <w:marBottom w:val="0"/>
                  <w:divBdr>
                    <w:top w:val="none" w:sz="0" w:space="0" w:color="auto"/>
                    <w:left w:val="none" w:sz="0" w:space="0" w:color="auto"/>
                    <w:bottom w:val="none" w:sz="0" w:space="0" w:color="auto"/>
                    <w:right w:val="none" w:sz="0" w:space="0" w:color="auto"/>
                  </w:divBdr>
                  <w:divsChild>
                    <w:div w:id="7784484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26265076">
          <w:marLeft w:val="0"/>
          <w:marRight w:val="0"/>
          <w:marTop w:val="0"/>
          <w:marBottom w:val="0"/>
          <w:divBdr>
            <w:top w:val="none" w:sz="0" w:space="0" w:color="auto"/>
            <w:left w:val="none" w:sz="0" w:space="0" w:color="auto"/>
            <w:bottom w:val="none" w:sz="0" w:space="0" w:color="auto"/>
            <w:right w:val="none" w:sz="0" w:space="0" w:color="auto"/>
          </w:divBdr>
          <w:divsChild>
            <w:div w:id="1149327643">
              <w:marLeft w:val="0"/>
              <w:marRight w:val="0"/>
              <w:marTop w:val="0"/>
              <w:marBottom w:val="0"/>
              <w:divBdr>
                <w:top w:val="none" w:sz="0" w:space="0" w:color="auto"/>
                <w:left w:val="none" w:sz="0" w:space="0" w:color="auto"/>
                <w:bottom w:val="none" w:sz="0" w:space="0" w:color="auto"/>
                <w:right w:val="none" w:sz="0" w:space="0" w:color="auto"/>
              </w:divBdr>
            </w:div>
            <w:div w:id="1220018203">
              <w:marLeft w:val="0"/>
              <w:marRight w:val="0"/>
              <w:marTop w:val="0"/>
              <w:marBottom w:val="0"/>
              <w:divBdr>
                <w:top w:val="none" w:sz="0" w:space="0" w:color="auto"/>
                <w:left w:val="none" w:sz="0" w:space="0" w:color="auto"/>
                <w:bottom w:val="none" w:sz="0" w:space="0" w:color="auto"/>
                <w:right w:val="none" w:sz="0" w:space="0" w:color="auto"/>
              </w:divBdr>
            </w:div>
            <w:div w:id="1382943384">
              <w:marLeft w:val="0"/>
              <w:marRight w:val="0"/>
              <w:marTop w:val="0"/>
              <w:marBottom w:val="0"/>
              <w:divBdr>
                <w:top w:val="none" w:sz="0" w:space="0" w:color="auto"/>
                <w:left w:val="none" w:sz="0" w:space="0" w:color="auto"/>
                <w:bottom w:val="none" w:sz="0" w:space="0" w:color="auto"/>
                <w:right w:val="none" w:sz="0" w:space="0" w:color="auto"/>
              </w:divBdr>
            </w:div>
            <w:div w:id="1531605543">
              <w:marLeft w:val="0"/>
              <w:marRight w:val="0"/>
              <w:marTop w:val="0"/>
              <w:marBottom w:val="0"/>
              <w:divBdr>
                <w:top w:val="none" w:sz="0" w:space="0" w:color="auto"/>
                <w:left w:val="none" w:sz="0" w:space="0" w:color="auto"/>
                <w:bottom w:val="none" w:sz="0" w:space="0" w:color="auto"/>
                <w:right w:val="none" w:sz="0" w:space="0" w:color="auto"/>
              </w:divBdr>
            </w:div>
            <w:div w:id="1556089491">
              <w:marLeft w:val="0"/>
              <w:marRight w:val="0"/>
              <w:marTop w:val="0"/>
              <w:marBottom w:val="0"/>
              <w:divBdr>
                <w:top w:val="none" w:sz="0" w:space="0" w:color="auto"/>
                <w:left w:val="none" w:sz="0" w:space="0" w:color="auto"/>
                <w:bottom w:val="none" w:sz="0" w:space="0" w:color="auto"/>
                <w:right w:val="none" w:sz="0" w:space="0" w:color="auto"/>
              </w:divBdr>
            </w:div>
            <w:div w:id="1792898964">
              <w:marLeft w:val="0"/>
              <w:marRight w:val="0"/>
              <w:marTop w:val="0"/>
              <w:marBottom w:val="0"/>
              <w:divBdr>
                <w:top w:val="none" w:sz="0" w:space="0" w:color="auto"/>
                <w:left w:val="none" w:sz="0" w:space="0" w:color="auto"/>
                <w:bottom w:val="none" w:sz="0" w:space="0" w:color="auto"/>
                <w:right w:val="none" w:sz="0" w:space="0" w:color="auto"/>
              </w:divBdr>
            </w:div>
            <w:div w:id="18039599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67729684">
      <w:bodyDiv w:val="1"/>
      <w:marLeft w:val="0"/>
      <w:marRight w:val="0"/>
      <w:marTop w:val="0"/>
      <w:marBottom w:val="0"/>
      <w:divBdr>
        <w:top w:val="none" w:sz="0" w:space="0" w:color="auto"/>
        <w:left w:val="none" w:sz="0" w:space="0" w:color="auto"/>
        <w:bottom w:val="none" w:sz="0" w:space="0" w:color="auto"/>
        <w:right w:val="none" w:sz="0" w:space="0" w:color="auto"/>
      </w:divBdr>
    </w:div>
    <w:div w:id="1268349389">
      <w:bodyDiv w:val="1"/>
      <w:marLeft w:val="0"/>
      <w:marRight w:val="0"/>
      <w:marTop w:val="0"/>
      <w:marBottom w:val="0"/>
      <w:divBdr>
        <w:top w:val="none" w:sz="0" w:space="0" w:color="auto"/>
        <w:left w:val="none" w:sz="0" w:space="0" w:color="auto"/>
        <w:bottom w:val="none" w:sz="0" w:space="0" w:color="auto"/>
        <w:right w:val="none" w:sz="0" w:space="0" w:color="auto"/>
      </w:divBdr>
    </w:div>
    <w:div w:id="1274559151">
      <w:bodyDiv w:val="1"/>
      <w:marLeft w:val="0"/>
      <w:marRight w:val="0"/>
      <w:marTop w:val="0"/>
      <w:marBottom w:val="0"/>
      <w:divBdr>
        <w:top w:val="none" w:sz="0" w:space="0" w:color="auto"/>
        <w:left w:val="none" w:sz="0" w:space="0" w:color="auto"/>
        <w:bottom w:val="none" w:sz="0" w:space="0" w:color="auto"/>
        <w:right w:val="none" w:sz="0" w:space="0" w:color="auto"/>
      </w:divBdr>
    </w:div>
    <w:div w:id="1282883251">
      <w:bodyDiv w:val="1"/>
      <w:marLeft w:val="0"/>
      <w:marRight w:val="0"/>
      <w:marTop w:val="0"/>
      <w:marBottom w:val="0"/>
      <w:divBdr>
        <w:top w:val="none" w:sz="0" w:space="0" w:color="auto"/>
        <w:left w:val="none" w:sz="0" w:space="0" w:color="auto"/>
        <w:bottom w:val="none" w:sz="0" w:space="0" w:color="auto"/>
        <w:right w:val="none" w:sz="0" w:space="0" w:color="auto"/>
      </w:divBdr>
    </w:div>
    <w:div w:id="1291203926">
      <w:bodyDiv w:val="1"/>
      <w:marLeft w:val="0"/>
      <w:marRight w:val="0"/>
      <w:marTop w:val="0"/>
      <w:marBottom w:val="0"/>
      <w:divBdr>
        <w:top w:val="none" w:sz="0" w:space="0" w:color="auto"/>
        <w:left w:val="none" w:sz="0" w:space="0" w:color="auto"/>
        <w:bottom w:val="none" w:sz="0" w:space="0" w:color="auto"/>
        <w:right w:val="none" w:sz="0" w:space="0" w:color="auto"/>
      </w:divBdr>
      <w:divsChild>
        <w:div w:id="647320641">
          <w:marLeft w:val="0"/>
          <w:marRight w:val="0"/>
          <w:marTop w:val="0"/>
          <w:marBottom w:val="0"/>
          <w:divBdr>
            <w:top w:val="none" w:sz="0" w:space="0" w:color="auto"/>
            <w:left w:val="none" w:sz="0" w:space="0" w:color="auto"/>
            <w:bottom w:val="none" w:sz="0" w:space="0" w:color="auto"/>
            <w:right w:val="none" w:sz="0" w:space="0" w:color="auto"/>
          </w:divBdr>
          <w:divsChild>
            <w:div w:id="110832237">
              <w:marLeft w:val="0"/>
              <w:marRight w:val="0"/>
              <w:marTop w:val="0"/>
              <w:marBottom w:val="0"/>
              <w:divBdr>
                <w:top w:val="none" w:sz="0" w:space="0" w:color="auto"/>
                <w:left w:val="none" w:sz="0" w:space="0" w:color="auto"/>
                <w:bottom w:val="none" w:sz="0" w:space="0" w:color="auto"/>
                <w:right w:val="none" w:sz="0" w:space="0" w:color="auto"/>
              </w:divBdr>
            </w:div>
            <w:div w:id="871847151">
              <w:marLeft w:val="0"/>
              <w:marRight w:val="0"/>
              <w:marTop w:val="0"/>
              <w:marBottom w:val="0"/>
              <w:divBdr>
                <w:top w:val="none" w:sz="0" w:space="0" w:color="auto"/>
                <w:left w:val="none" w:sz="0" w:space="0" w:color="auto"/>
                <w:bottom w:val="none" w:sz="0" w:space="0" w:color="auto"/>
                <w:right w:val="none" w:sz="0" w:space="0" w:color="auto"/>
              </w:divBdr>
            </w:div>
            <w:div w:id="1445730049">
              <w:marLeft w:val="0"/>
              <w:marRight w:val="0"/>
              <w:marTop w:val="0"/>
              <w:marBottom w:val="0"/>
              <w:divBdr>
                <w:top w:val="none" w:sz="0" w:space="0" w:color="auto"/>
                <w:left w:val="none" w:sz="0" w:space="0" w:color="auto"/>
                <w:bottom w:val="none" w:sz="0" w:space="0" w:color="auto"/>
                <w:right w:val="none" w:sz="0" w:space="0" w:color="auto"/>
              </w:divBdr>
            </w:div>
            <w:div w:id="1903561510">
              <w:marLeft w:val="0"/>
              <w:marRight w:val="0"/>
              <w:marTop w:val="0"/>
              <w:marBottom w:val="0"/>
              <w:divBdr>
                <w:top w:val="none" w:sz="0" w:space="0" w:color="auto"/>
                <w:left w:val="none" w:sz="0" w:space="0" w:color="auto"/>
                <w:bottom w:val="none" w:sz="0" w:space="0" w:color="auto"/>
                <w:right w:val="none" w:sz="0" w:space="0" w:color="auto"/>
              </w:divBdr>
            </w:div>
            <w:div w:id="1986548858">
              <w:marLeft w:val="0"/>
              <w:marRight w:val="0"/>
              <w:marTop w:val="0"/>
              <w:marBottom w:val="0"/>
              <w:divBdr>
                <w:top w:val="none" w:sz="0" w:space="0" w:color="auto"/>
                <w:left w:val="none" w:sz="0" w:space="0" w:color="auto"/>
                <w:bottom w:val="none" w:sz="0" w:space="0" w:color="auto"/>
                <w:right w:val="none" w:sz="0" w:space="0" w:color="auto"/>
              </w:divBdr>
            </w:div>
            <w:div w:id="2023774831">
              <w:marLeft w:val="0"/>
              <w:marRight w:val="0"/>
              <w:marTop w:val="0"/>
              <w:marBottom w:val="0"/>
              <w:divBdr>
                <w:top w:val="none" w:sz="0" w:space="0" w:color="auto"/>
                <w:left w:val="none" w:sz="0" w:space="0" w:color="auto"/>
                <w:bottom w:val="none" w:sz="0" w:space="0" w:color="auto"/>
                <w:right w:val="none" w:sz="0" w:space="0" w:color="auto"/>
              </w:divBdr>
            </w:div>
            <w:div w:id="2120681497">
              <w:marLeft w:val="0"/>
              <w:marRight w:val="0"/>
              <w:marTop w:val="0"/>
              <w:marBottom w:val="0"/>
              <w:divBdr>
                <w:top w:val="none" w:sz="0" w:space="0" w:color="auto"/>
                <w:left w:val="none" w:sz="0" w:space="0" w:color="auto"/>
                <w:bottom w:val="none" w:sz="0" w:space="0" w:color="auto"/>
                <w:right w:val="none" w:sz="0" w:space="0" w:color="auto"/>
              </w:divBdr>
            </w:div>
          </w:divsChild>
        </w:div>
        <w:div w:id="687145387">
          <w:marLeft w:val="0"/>
          <w:marRight w:val="0"/>
          <w:marTop w:val="0"/>
          <w:marBottom w:val="0"/>
          <w:divBdr>
            <w:top w:val="none" w:sz="0" w:space="0" w:color="auto"/>
            <w:left w:val="none" w:sz="0" w:space="0" w:color="auto"/>
            <w:bottom w:val="none" w:sz="0" w:space="0" w:color="auto"/>
            <w:right w:val="none" w:sz="0" w:space="0" w:color="auto"/>
          </w:divBdr>
        </w:div>
        <w:div w:id="1315378550">
          <w:marLeft w:val="0"/>
          <w:marRight w:val="0"/>
          <w:marTop w:val="0"/>
          <w:marBottom w:val="0"/>
          <w:divBdr>
            <w:top w:val="none" w:sz="0" w:space="0" w:color="auto"/>
            <w:left w:val="none" w:sz="0" w:space="0" w:color="auto"/>
            <w:bottom w:val="none" w:sz="0" w:space="0" w:color="auto"/>
            <w:right w:val="none" w:sz="0" w:space="0" w:color="auto"/>
          </w:divBdr>
        </w:div>
        <w:div w:id="1780486600">
          <w:marLeft w:val="0"/>
          <w:marRight w:val="0"/>
          <w:marTop w:val="0"/>
          <w:marBottom w:val="0"/>
          <w:divBdr>
            <w:top w:val="none" w:sz="0" w:space="0" w:color="auto"/>
            <w:left w:val="none" w:sz="0" w:space="0" w:color="auto"/>
            <w:bottom w:val="none" w:sz="0" w:space="0" w:color="auto"/>
            <w:right w:val="none" w:sz="0" w:space="0" w:color="auto"/>
          </w:divBdr>
          <w:divsChild>
            <w:div w:id="1468619511">
              <w:marLeft w:val="-75"/>
              <w:marRight w:val="0"/>
              <w:marTop w:val="30"/>
              <w:marBottom w:val="30"/>
              <w:divBdr>
                <w:top w:val="none" w:sz="0" w:space="0" w:color="auto"/>
                <w:left w:val="none" w:sz="0" w:space="0" w:color="auto"/>
                <w:bottom w:val="none" w:sz="0" w:space="0" w:color="auto"/>
                <w:right w:val="none" w:sz="0" w:space="0" w:color="auto"/>
              </w:divBdr>
              <w:divsChild>
                <w:div w:id="32464589">
                  <w:marLeft w:val="0"/>
                  <w:marRight w:val="0"/>
                  <w:marTop w:val="0"/>
                  <w:marBottom w:val="0"/>
                  <w:divBdr>
                    <w:top w:val="none" w:sz="0" w:space="0" w:color="auto"/>
                    <w:left w:val="none" w:sz="0" w:space="0" w:color="auto"/>
                    <w:bottom w:val="none" w:sz="0" w:space="0" w:color="auto"/>
                    <w:right w:val="none" w:sz="0" w:space="0" w:color="auto"/>
                  </w:divBdr>
                  <w:divsChild>
                    <w:div w:id="1026062681">
                      <w:marLeft w:val="0"/>
                      <w:marRight w:val="0"/>
                      <w:marTop w:val="0"/>
                      <w:marBottom w:val="0"/>
                      <w:divBdr>
                        <w:top w:val="none" w:sz="0" w:space="0" w:color="auto"/>
                        <w:left w:val="none" w:sz="0" w:space="0" w:color="auto"/>
                        <w:bottom w:val="none" w:sz="0" w:space="0" w:color="auto"/>
                        <w:right w:val="none" w:sz="0" w:space="0" w:color="auto"/>
                      </w:divBdr>
                    </w:div>
                    <w:div w:id="1323005987">
                      <w:marLeft w:val="0"/>
                      <w:marRight w:val="0"/>
                      <w:marTop w:val="0"/>
                      <w:marBottom w:val="0"/>
                      <w:divBdr>
                        <w:top w:val="none" w:sz="0" w:space="0" w:color="auto"/>
                        <w:left w:val="none" w:sz="0" w:space="0" w:color="auto"/>
                        <w:bottom w:val="none" w:sz="0" w:space="0" w:color="auto"/>
                        <w:right w:val="none" w:sz="0" w:space="0" w:color="auto"/>
                      </w:divBdr>
                    </w:div>
                    <w:div w:id="1514758658">
                      <w:marLeft w:val="0"/>
                      <w:marRight w:val="0"/>
                      <w:marTop w:val="0"/>
                      <w:marBottom w:val="0"/>
                      <w:divBdr>
                        <w:top w:val="none" w:sz="0" w:space="0" w:color="auto"/>
                        <w:left w:val="none" w:sz="0" w:space="0" w:color="auto"/>
                        <w:bottom w:val="none" w:sz="0" w:space="0" w:color="auto"/>
                        <w:right w:val="none" w:sz="0" w:space="0" w:color="auto"/>
                      </w:divBdr>
                    </w:div>
                  </w:divsChild>
                </w:div>
                <w:div w:id="207953488">
                  <w:marLeft w:val="0"/>
                  <w:marRight w:val="0"/>
                  <w:marTop w:val="0"/>
                  <w:marBottom w:val="0"/>
                  <w:divBdr>
                    <w:top w:val="none" w:sz="0" w:space="0" w:color="auto"/>
                    <w:left w:val="none" w:sz="0" w:space="0" w:color="auto"/>
                    <w:bottom w:val="none" w:sz="0" w:space="0" w:color="auto"/>
                    <w:right w:val="none" w:sz="0" w:space="0" w:color="auto"/>
                  </w:divBdr>
                  <w:divsChild>
                    <w:div w:id="844438735">
                      <w:marLeft w:val="0"/>
                      <w:marRight w:val="0"/>
                      <w:marTop w:val="0"/>
                      <w:marBottom w:val="0"/>
                      <w:divBdr>
                        <w:top w:val="none" w:sz="0" w:space="0" w:color="auto"/>
                        <w:left w:val="none" w:sz="0" w:space="0" w:color="auto"/>
                        <w:bottom w:val="none" w:sz="0" w:space="0" w:color="auto"/>
                        <w:right w:val="none" w:sz="0" w:space="0" w:color="auto"/>
                      </w:divBdr>
                    </w:div>
                    <w:div w:id="1315794158">
                      <w:marLeft w:val="0"/>
                      <w:marRight w:val="0"/>
                      <w:marTop w:val="0"/>
                      <w:marBottom w:val="0"/>
                      <w:divBdr>
                        <w:top w:val="none" w:sz="0" w:space="0" w:color="auto"/>
                        <w:left w:val="none" w:sz="0" w:space="0" w:color="auto"/>
                        <w:bottom w:val="none" w:sz="0" w:space="0" w:color="auto"/>
                        <w:right w:val="none" w:sz="0" w:space="0" w:color="auto"/>
                      </w:divBdr>
                    </w:div>
                  </w:divsChild>
                </w:div>
                <w:div w:id="273751515">
                  <w:marLeft w:val="0"/>
                  <w:marRight w:val="0"/>
                  <w:marTop w:val="0"/>
                  <w:marBottom w:val="0"/>
                  <w:divBdr>
                    <w:top w:val="none" w:sz="0" w:space="0" w:color="auto"/>
                    <w:left w:val="none" w:sz="0" w:space="0" w:color="auto"/>
                    <w:bottom w:val="none" w:sz="0" w:space="0" w:color="auto"/>
                    <w:right w:val="none" w:sz="0" w:space="0" w:color="auto"/>
                  </w:divBdr>
                  <w:divsChild>
                    <w:div w:id="1333026693">
                      <w:marLeft w:val="0"/>
                      <w:marRight w:val="0"/>
                      <w:marTop w:val="0"/>
                      <w:marBottom w:val="0"/>
                      <w:divBdr>
                        <w:top w:val="none" w:sz="0" w:space="0" w:color="auto"/>
                        <w:left w:val="none" w:sz="0" w:space="0" w:color="auto"/>
                        <w:bottom w:val="none" w:sz="0" w:space="0" w:color="auto"/>
                        <w:right w:val="none" w:sz="0" w:space="0" w:color="auto"/>
                      </w:divBdr>
                    </w:div>
                  </w:divsChild>
                </w:div>
                <w:div w:id="332223505">
                  <w:marLeft w:val="0"/>
                  <w:marRight w:val="0"/>
                  <w:marTop w:val="0"/>
                  <w:marBottom w:val="0"/>
                  <w:divBdr>
                    <w:top w:val="none" w:sz="0" w:space="0" w:color="auto"/>
                    <w:left w:val="none" w:sz="0" w:space="0" w:color="auto"/>
                    <w:bottom w:val="none" w:sz="0" w:space="0" w:color="auto"/>
                    <w:right w:val="none" w:sz="0" w:space="0" w:color="auto"/>
                  </w:divBdr>
                  <w:divsChild>
                    <w:div w:id="354619421">
                      <w:marLeft w:val="0"/>
                      <w:marRight w:val="0"/>
                      <w:marTop w:val="0"/>
                      <w:marBottom w:val="0"/>
                      <w:divBdr>
                        <w:top w:val="none" w:sz="0" w:space="0" w:color="auto"/>
                        <w:left w:val="none" w:sz="0" w:space="0" w:color="auto"/>
                        <w:bottom w:val="none" w:sz="0" w:space="0" w:color="auto"/>
                        <w:right w:val="none" w:sz="0" w:space="0" w:color="auto"/>
                      </w:divBdr>
                    </w:div>
                    <w:div w:id="985163458">
                      <w:marLeft w:val="0"/>
                      <w:marRight w:val="0"/>
                      <w:marTop w:val="0"/>
                      <w:marBottom w:val="0"/>
                      <w:divBdr>
                        <w:top w:val="none" w:sz="0" w:space="0" w:color="auto"/>
                        <w:left w:val="none" w:sz="0" w:space="0" w:color="auto"/>
                        <w:bottom w:val="none" w:sz="0" w:space="0" w:color="auto"/>
                        <w:right w:val="none" w:sz="0" w:space="0" w:color="auto"/>
                      </w:divBdr>
                    </w:div>
                    <w:div w:id="1146237350">
                      <w:marLeft w:val="0"/>
                      <w:marRight w:val="0"/>
                      <w:marTop w:val="0"/>
                      <w:marBottom w:val="0"/>
                      <w:divBdr>
                        <w:top w:val="none" w:sz="0" w:space="0" w:color="auto"/>
                        <w:left w:val="none" w:sz="0" w:space="0" w:color="auto"/>
                        <w:bottom w:val="none" w:sz="0" w:space="0" w:color="auto"/>
                        <w:right w:val="none" w:sz="0" w:space="0" w:color="auto"/>
                      </w:divBdr>
                    </w:div>
                    <w:div w:id="1482304075">
                      <w:marLeft w:val="0"/>
                      <w:marRight w:val="0"/>
                      <w:marTop w:val="0"/>
                      <w:marBottom w:val="0"/>
                      <w:divBdr>
                        <w:top w:val="none" w:sz="0" w:space="0" w:color="auto"/>
                        <w:left w:val="none" w:sz="0" w:space="0" w:color="auto"/>
                        <w:bottom w:val="none" w:sz="0" w:space="0" w:color="auto"/>
                        <w:right w:val="none" w:sz="0" w:space="0" w:color="auto"/>
                      </w:divBdr>
                    </w:div>
                    <w:div w:id="1695810249">
                      <w:marLeft w:val="0"/>
                      <w:marRight w:val="0"/>
                      <w:marTop w:val="0"/>
                      <w:marBottom w:val="0"/>
                      <w:divBdr>
                        <w:top w:val="none" w:sz="0" w:space="0" w:color="auto"/>
                        <w:left w:val="none" w:sz="0" w:space="0" w:color="auto"/>
                        <w:bottom w:val="none" w:sz="0" w:space="0" w:color="auto"/>
                        <w:right w:val="none" w:sz="0" w:space="0" w:color="auto"/>
                      </w:divBdr>
                    </w:div>
                    <w:div w:id="1955212887">
                      <w:marLeft w:val="0"/>
                      <w:marRight w:val="0"/>
                      <w:marTop w:val="0"/>
                      <w:marBottom w:val="0"/>
                      <w:divBdr>
                        <w:top w:val="none" w:sz="0" w:space="0" w:color="auto"/>
                        <w:left w:val="none" w:sz="0" w:space="0" w:color="auto"/>
                        <w:bottom w:val="none" w:sz="0" w:space="0" w:color="auto"/>
                        <w:right w:val="none" w:sz="0" w:space="0" w:color="auto"/>
                      </w:divBdr>
                    </w:div>
                  </w:divsChild>
                </w:div>
                <w:div w:id="419956968">
                  <w:marLeft w:val="0"/>
                  <w:marRight w:val="0"/>
                  <w:marTop w:val="0"/>
                  <w:marBottom w:val="0"/>
                  <w:divBdr>
                    <w:top w:val="none" w:sz="0" w:space="0" w:color="auto"/>
                    <w:left w:val="none" w:sz="0" w:space="0" w:color="auto"/>
                    <w:bottom w:val="none" w:sz="0" w:space="0" w:color="auto"/>
                    <w:right w:val="none" w:sz="0" w:space="0" w:color="auto"/>
                  </w:divBdr>
                  <w:divsChild>
                    <w:div w:id="1827625420">
                      <w:marLeft w:val="0"/>
                      <w:marRight w:val="0"/>
                      <w:marTop w:val="0"/>
                      <w:marBottom w:val="0"/>
                      <w:divBdr>
                        <w:top w:val="none" w:sz="0" w:space="0" w:color="auto"/>
                        <w:left w:val="none" w:sz="0" w:space="0" w:color="auto"/>
                        <w:bottom w:val="none" w:sz="0" w:space="0" w:color="auto"/>
                        <w:right w:val="none" w:sz="0" w:space="0" w:color="auto"/>
                      </w:divBdr>
                    </w:div>
                  </w:divsChild>
                </w:div>
                <w:div w:id="598951445">
                  <w:marLeft w:val="0"/>
                  <w:marRight w:val="0"/>
                  <w:marTop w:val="0"/>
                  <w:marBottom w:val="0"/>
                  <w:divBdr>
                    <w:top w:val="none" w:sz="0" w:space="0" w:color="auto"/>
                    <w:left w:val="none" w:sz="0" w:space="0" w:color="auto"/>
                    <w:bottom w:val="none" w:sz="0" w:space="0" w:color="auto"/>
                    <w:right w:val="none" w:sz="0" w:space="0" w:color="auto"/>
                  </w:divBdr>
                  <w:divsChild>
                    <w:div w:id="1621112913">
                      <w:marLeft w:val="0"/>
                      <w:marRight w:val="0"/>
                      <w:marTop w:val="0"/>
                      <w:marBottom w:val="0"/>
                      <w:divBdr>
                        <w:top w:val="none" w:sz="0" w:space="0" w:color="auto"/>
                        <w:left w:val="none" w:sz="0" w:space="0" w:color="auto"/>
                        <w:bottom w:val="none" w:sz="0" w:space="0" w:color="auto"/>
                        <w:right w:val="none" w:sz="0" w:space="0" w:color="auto"/>
                      </w:divBdr>
                    </w:div>
                  </w:divsChild>
                </w:div>
                <w:div w:id="980234782">
                  <w:marLeft w:val="0"/>
                  <w:marRight w:val="0"/>
                  <w:marTop w:val="0"/>
                  <w:marBottom w:val="0"/>
                  <w:divBdr>
                    <w:top w:val="none" w:sz="0" w:space="0" w:color="auto"/>
                    <w:left w:val="none" w:sz="0" w:space="0" w:color="auto"/>
                    <w:bottom w:val="none" w:sz="0" w:space="0" w:color="auto"/>
                    <w:right w:val="none" w:sz="0" w:space="0" w:color="auto"/>
                  </w:divBdr>
                  <w:divsChild>
                    <w:div w:id="668679269">
                      <w:marLeft w:val="0"/>
                      <w:marRight w:val="0"/>
                      <w:marTop w:val="0"/>
                      <w:marBottom w:val="0"/>
                      <w:divBdr>
                        <w:top w:val="none" w:sz="0" w:space="0" w:color="auto"/>
                        <w:left w:val="none" w:sz="0" w:space="0" w:color="auto"/>
                        <w:bottom w:val="none" w:sz="0" w:space="0" w:color="auto"/>
                        <w:right w:val="none" w:sz="0" w:space="0" w:color="auto"/>
                      </w:divBdr>
                    </w:div>
                    <w:div w:id="1550724821">
                      <w:marLeft w:val="0"/>
                      <w:marRight w:val="0"/>
                      <w:marTop w:val="0"/>
                      <w:marBottom w:val="0"/>
                      <w:divBdr>
                        <w:top w:val="none" w:sz="0" w:space="0" w:color="auto"/>
                        <w:left w:val="none" w:sz="0" w:space="0" w:color="auto"/>
                        <w:bottom w:val="none" w:sz="0" w:space="0" w:color="auto"/>
                        <w:right w:val="none" w:sz="0" w:space="0" w:color="auto"/>
                      </w:divBdr>
                    </w:div>
                    <w:div w:id="1651444537">
                      <w:marLeft w:val="0"/>
                      <w:marRight w:val="0"/>
                      <w:marTop w:val="0"/>
                      <w:marBottom w:val="0"/>
                      <w:divBdr>
                        <w:top w:val="none" w:sz="0" w:space="0" w:color="auto"/>
                        <w:left w:val="none" w:sz="0" w:space="0" w:color="auto"/>
                        <w:bottom w:val="none" w:sz="0" w:space="0" w:color="auto"/>
                        <w:right w:val="none" w:sz="0" w:space="0" w:color="auto"/>
                      </w:divBdr>
                    </w:div>
                    <w:div w:id="1662658729">
                      <w:marLeft w:val="0"/>
                      <w:marRight w:val="0"/>
                      <w:marTop w:val="0"/>
                      <w:marBottom w:val="0"/>
                      <w:divBdr>
                        <w:top w:val="none" w:sz="0" w:space="0" w:color="auto"/>
                        <w:left w:val="none" w:sz="0" w:space="0" w:color="auto"/>
                        <w:bottom w:val="none" w:sz="0" w:space="0" w:color="auto"/>
                        <w:right w:val="none" w:sz="0" w:space="0" w:color="auto"/>
                      </w:divBdr>
                    </w:div>
                  </w:divsChild>
                </w:div>
                <w:div w:id="1037239617">
                  <w:marLeft w:val="0"/>
                  <w:marRight w:val="0"/>
                  <w:marTop w:val="0"/>
                  <w:marBottom w:val="0"/>
                  <w:divBdr>
                    <w:top w:val="none" w:sz="0" w:space="0" w:color="auto"/>
                    <w:left w:val="none" w:sz="0" w:space="0" w:color="auto"/>
                    <w:bottom w:val="none" w:sz="0" w:space="0" w:color="auto"/>
                    <w:right w:val="none" w:sz="0" w:space="0" w:color="auto"/>
                  </w:divBdr>
                  <w:divsChild>
                    <w:div w:id="1325164359">
                      <w:marLeft w:val="0"/>
                      <w:marRight w:val="0"/>
                      <w:marTop w:val="0"/>
                      <w:marBottom w:val="0"/>
                      <w:divBdr>
                        <w:top w:val="none" w:sz="0" w:space="0" w:color="auto"/>
                        <w:left w:val="none" w:sz="0" w:space="0" w:color="auto"/>
                        <w:bottom w:val="none" w:sz="0" w:space="0" w:color="auto"/>
                        <w:right w:val="none" w:sz="0" w:space="0" w:color="auto"/>
                      </w:divBdr>
                    </w:div>
                  </w:divsChild>
                </w:div>
                <w:div w:id="1055086433">
                  <w:marLeft w:val="0"/>
                  <w:marRight w:val="0"/>
                  <w:marTop w:val="0"/>
                  <w:marBottom w:val="0"/>
                  <w:divBdr>
                    <w:top w:val="none" w:sz="0" w:space="0" w:color="auto"/>
                    <w:left w:val="none" w:sz="0" w:space="0" w:color="auto"/>
                    <w:bottom w:val="none" w:sz="0" w:space="0" w:color="auto"/>
                    <w:right w:val="none" w:sz="0" w:space="0" w:color="auto"/>
                  </w:divBdr>
                  <w:divsChild>
                    <w:div w:id="1274558159">
                      <w:marLeft w:val="0"/>
                      <w:marRight w:val="0"/>
                      <w:marTop w:val="0"/>
                      <w:marBottom w:val="0"/>
                      <w:divBdr>
                        <w:top w:val="none" w:sz="0" w:space="0" w:color="auto"/>
                        <w:left w:val="none" w:sz="0" w:space="0" w:color="auto"/>
                        <w:bottom w:val="none" w:sz="0" w:space="0" w:color="auto"/>
                        <w:right w:val="none" w:sz="0" w:space="0" w:color="auto"/>
                      </w:divBdr>
                    </w:div>
                  </w:divsChild>
                </w:div>
                <w:div w:id="1311404476">
                  <w:marLeft w:val="0"/>
                  <w:marRight w:val="0"/>
                  <w:marTop w:val="0"/>
                  <w:marBottom w:val="0"/>
                  <w:divBdr>
                    <w:top w:val="none" w:sz="0" w:space="0" w:color="auto"/>
                    <w:left w:val="none" w:sz="0" w:space="0" w:color="auto"/>
                    <w:bottom w:val="none" w:sz="0" w:space="0" w:color="auto"/>
                    <w:right w:val="none" w:sz="0" w:space="0" w:color="auto"/>
                  </w:divBdr>
                  <w:divsChild>
                    <w:div w:id="1005521189">
                      <w:marLeft w:val="0"/>
                      <w:marRight w:val="0"/>
                      <w:marTop w:val="0"/>
                      <w:marBottom w:val="0"/>
                      <w:divBdr>
                        <w:top w:val="none" w:sz="0" w:space="0" w:color="auto"/>
                        <w:left w:val="none" w:sz="0" w:space="0" w:color="auto"/>
                        <w:bottom w:val="none" w:sz="0" w:space="0" w:color="auto"/>
                        <w:right w:val="none" w:sz="0" w:space="0" w:color="auto"/>
                      </w:divBdr>
                    </w:div>
                  </w:divsChild>
                </w:div>
                <w:div w:id="1318997059">
                  <w:marLeft w:val="0"/>
                  <w:marRight w:val="0"/>
                  <w:marTop w:val="0"/>
                  <w:marBottom w:val="0"/>
                  <w:divBdr>
                    <w:top w:val="none" w:sz="0" w:space="0" w:color="auto"/>
                    <w:left w:val="none" w:sz="0" w:space="0" w:color="auto"/>
                    <w:bottom w:val="none" w:sz="0" w:space="0" w:color="auto"/>
                    <w:right w:val="none" w:sz="0" w:space="0" w:color="auto"/>
                  </w:divBdr>
                  <w:divsChild>
                    <w:div w:id="60637360">
                      <w:marLeft w:val="0"/>
                      <w:marRight w:val="0"/>
                      <w:marTop w:val="0"/>
                      <w:marBottom w:val="0"/>
                      <w:divBdr>
                        <w:top w:val="none" w:sz="0" w:space="0" w:color="auto"/>
                        <w:left w:val="none" w:sz="0" w:space="0" w:color="auto"/>
                        <w:bottom w:val="none" w:sz="0" w:space="0" w:color="auto"/>
                        <w:right w:val="none" w:sz="0" w:space="0" w:color="auto"/>
                      </w:divBdr>
                    </w:div>
                    <w:div w:id="291138719">
                      <w:marLeft w:val="0"/>
                      <w:marRight w:val="0"/>
                      <w:marTop w:val="0"/>
                      <w:marBottom w:val="0"/>
                      <w:divBdr>
                        <w:top w:val="none" w:sz="0" w:space="0" w:color="auto"/>
                        <w:left w:val="none" w:sz="0" w:space="0" w:color="auto"/>
                        <w:bottom w:val="none" w:sz="0" w:space="0" w:color="auto"/>
                        <w:right w:val="none" w:sz="0" w:space="0" w:color="auto"/>
                      </w:divBdr>
                    </w:div>
                    <w:div w:id="1517384049">
                      <w:marLeft w:val="0"/>
                      <w:marRight w:val="0"/>
                      <w:marTop w:val="0"/>
                      <w:marBottom w:val="0"/>
                      <w:divBdr>
                        <w:top w:val="none" w:sz="0" w:space="0" w:color="auto"/>
                        <w:left w:val="none" w:sz="0" w:space="0" w:color="auto"/>
                        <w:bottom w:val="none" w:sz="0" w:space="0" w:color="auto"/>
                        <w:right w:val="none" w:sz="0" w:space="0" w:color="auto"/>
                      </w:divBdr>
                    </w:div>
                    <w:div w:id="1829981201">
                      <w:marLeft w:val="0"/>
                      <w:marRight w:val="0"/>
                      <w:marTop w:val="0"/>
                      <w:marBottom w:val="0"/>
                      <w:divBdr>
                        <w:top w:val="none" w:sz="0" w:space="0" w:color="auto"/>
                        <w:left w:val="none" w:sz="0" w:space="0" w:color="auto"/>
                        <w:bottom w:val="none" w:sz="0" w:space="0" w:color="auto"/>
                        <w:right w:val="none" w:sz="0" w:space="0" w:color="auto"/>
                      </w:divBdr>
                    </w:div>
                  </w:divsChild>
                </w:div>
                <w:div w:id="1583678405">
                  <w:marLeft w:val="0"/>
                  <w:marRight w:val="0"/>
                  <w:marTop w:val="0"/>
                  <w:marBottom w:val="0"/>
                  <w:divBdr>
                    <w:top w:val="none" w:sz="0" w:space="0" w:color="auto"/>
                    <w:left w:val="none" w:sz="0" w:space="0" w:color="auto"/>
                    <w:bottom w:val="none" w:sz="0" w:space="0" w:color="auto"/>
                    <w:right w:val="none" w:sz="0" w:space="0" w:color="auto"/>
                  </w:divBdr>
                  <w:divsChild>
                    <w:div w:id="159359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59755530">
          <w:marLeft w:val="0"/>
          <w:marRight w:val="0"/>
          <w:marTop w:val="0"/>
          <w:marBottom w:val="0"/>
          <w:divBdr>
            <w:top w:val="none" w:sz="0" w:space="0" w:color="auto"/>
            <w:left w:val="none" w:sz="0" w:space="0" w:color="auto"/>
            <w:bottom w:val="none" w:sz="0" w:space="0" w:color="auto"/>
            <w:right w:val="none" w:sz="0" w:space="0" w:color="auto"/>
          </w:divBdr>
          <w:divsChild>
            <w:div w:id="995109527">
              <w:marLeft w:val="-75"/>
              <w:marRight w:val="0"/>
              <w:marTop w:val="30"/>
              <w:marBottom w:val="30"/>
              <w:divBdr>
                <w:top w:val="none" w:sz="0" w:space="0" w:color="auto"/>
                <w:left w:val="none" w:sz="0" w:space="0" w:color="auto"/>
                <w:bottom w:val="none" w:sz="0" w:space="0" w:color="auto"/>
                <w:right w:val="none" w:sz="0" w:space="0" w:color="auto"/>
              </w:divBdr>
              <w:divsChild>
                <w:div w:id="744184983">
                  <w:marLeft w:val="0"/>
                  <w:marRight w:val="0"/>
                  <w:marTop w:val="0"/>
                  <w:marBottom w:val="0"/>
                  <w:divBdr>
                    <w:top w:val="none" w:sz="0" w:space="0" w:color="auto"/>
                    <w:left w:val="none" w:sz="0" w:space="0" w:color="auto"/>
                    <w:bottom w:val="none" w:sz="0" w:space="0" w:color="auto"/>
                    <w:right w:val="none" w:sz="0" w:space="0" w:color="auto"/>
                  </w:divBdr>
                  <w:divsChild>
                    <w:div w:id="275214111">
                      <w:marLeft w:val="0"/>
                      <w:marRight w:val="0"/>
                      <w:marTop w:val="0"/>
                      <w:marBottom w:val="0"/>
                      <w:divBdr>
                        <w:top w:val="none" w:sz="0" w:space="0" w:color="auto"/>
                        <w:left w:val="none" w:sz="0" w:space="0" w:color="auto"/>
                        <w:bottom w:val="none" w:sz="0" w:space="0" w:color="auto"/>
                        <w:right w:val="none" w:sz="0" w:space="0" w:color="auto"/>
                      </w:divBdr>
                    </w:div>
                  </w:divsChild>
                </w:div>
                <w:div w:id="766386775">
                  <w:marLeft w:val="0"/>
                  <w:marRight w:val="0"/>
                  <w:marTop w:val="0"/>
                  <w:marBottom w:val="0"/>
                  <w:divBdr>
                    <w:top w:val="none" w:sz="0" w:space="0" w:color="auto"/>
                    <w:left w:val="none" w:sz="0" w:space="0" w:color="auto"/>
                    <w:bottom w:val="none" w:sz="0" w:space="0" w:color="auto"/>
                    <w:right w:val="none" w:sz="0" w:space="0" w:color="auto"/>
                  </w:divBdr>
                  <w:divsChild>
                    <w:div w:id="883586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94944339">
      <w:bodyDiv w:val="1"/>
      <w:marLeft w:val="0"/>
      <w:marRight w:val="0"/>
      <w:marTop w:val="0"/>
      <w:marBottom w:val="0"/>
      <w:divBdr>
        <w:top w:val="none" w:sz="0" w:space="0" w:color="auto"/>
        <w:left w:val="none" w:sz="0" w:space="0" w:color="auto"/>
        <w:bottom w:val="none" w:sz="0" w:space="0" w:color="auto"/>
        <w:right w:val="none" w:sz="0" w:space="0" w:color="auto"/>
      </w:divBdr>
    </w:div>
    <w:div w:id="1300067915">
      <w:bodyDiv w:val="1"/>
      <w:marLeft w:val="0"/>
      <w:marRight w:val="0"/>
      <w:marTop w:val="0"/>
      <w:marBottom w:val="0"/>
      <w:divBdr>
        <w:top w:val="none" w:sz="0" w:space="0" w:color="auto"/>
        <w:left w:val="none" w:sz="0" w:space="0" w:color="auto"/>
        <w:bottom w:val="none" w:sz="0" w:space="0" w:color="auto"/>
        <w:right w:val="none" w:sz="0" w:space="0" w:color="auto"/>
      </w:divBdr>
    </w:div>
    <w:div w:id="1319923727">
      <w:bodyDiv w:val="1"/>
      <w:marLeft w:val="0"/>
      <w:marRight w:val="0"/>
      <w:marTop w:val="0"/>
      <w:marBottom w:val="0"/>
      <w:divBdr>
        <w:top w:val="none" w:sz="0" w:space="0" w:color="auto"/>
        <w:left w:val="none" w:sz="0" w:space="0" w:color="auto"/>
        <w:bottom w:val="none" w:sz="0" w:space="0" w:color="auto"/>
        <w:right w:val="none" w:sz="0" w:space="0" w:color="auto"/>
      </w:divBdr>
    </w:div>
    <w:div w:id="1322853635">
      <w:bodyDiv w:val="1"/>
      <w:marLeft w:val="0"/>
      <w:marRight w:val="0"/>
      <w:marTop w:val="0"/>
      <w:marBottom w:val="0"/>
      <w:divBdr>
        <w:top w:val="none" w:sz="0" w:space="0" w:color="auto"/>
        <w:left w:val="none" w:sz="0" w:space="0" w:color="auto"/>
        <w:bottom w:val="none" w:sz="0" w:space="0" w:color="auto"/>
        <w:right w:val="none" w:sz="0" w:space="0" w:color="auto"/>
      </w:divBdr>
      <w:divsChild>
        <w:div w:id="1876262469">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324890963">
      <w:bodyDiv w:val="1"/>
      <w:marLeft w:val="0"/>
      <w:marRight w:val="0"/>
      <w:marTop w:val="0"/>
      <w:marBottom w:val="0"/>
      <w:divBdr>
        <w:top w:val="none" w:sz="0" w:space="0" w:color="auto"/>
        <w:left w:val="none" w:sz="0" w:space="0" w:color="auto"/>
        <w:bottom w:val="none" w:sz="0" w:space="0" w:color="auto"/>
        <w:right w:val="none" w:sz="0" w:space="0" w:color="auto"/>
      </w:divBdr>
    </w:div>
    <w:div w:id="1341666858">
      <w:bodyDiv w:val="1"/>
      <w:marLeft w:val="0"/>
      <w:marRight w:val="0"/>
      <w:marTop w:val="0"/>
      <w:marBottom w:val="0"/>
      <w:divBdr>
        <w:top w:val="none" w:sz="0" w:space="0" w:color="auto"/>
        <w:left w:val="none" w:sz="0" w:space="0" w:color="auto"/>
        <w:bottom w:val="none" w:sz="0" w:space="0" w:color="auto"/>
        <w:right w:val="none" w:sz="0" w:space="0" w:color="auto"/>
      </w:divBdr>
    </w:div>
    <w:div w:id="1348675394">
      <w:bodyDiv w:val="1"/>
      <w:marLeft w:val="0"/>
      <w:marRight w:val="0"/>
      <w:marTop w:val="0"/>
      <w:marBottom w:val="0"/>
      <w:divBdr>
        <w:top w:val="none" w:sz="0" w:space="0" w:color="auto"/>
        <w:left w:val="none" w:sz="0" w:space="0" w:color="auto"/>
        <w:bottom w:val="none" w:sz="0" w:space="0" w:color="auto"/>
        <w:right w:val="none" w:sz="0" w:space="0" w:color="auto"/>
      </w:divBdr>
    </w:div>
    <w:div w:id="1351374682">
      <w:bodyDiv w:val="1"/>
      <w:marLeft w:val="0"/>
      <w:marRight w:val="0"/>
      <w:marTop w:val="0"/>
      <w:marBottom w:val="0"/>
      <w:divBdr>
        <w:top w:val="none" w:sz="0" w:space="0" w:color="auto"/>
        <w:left w:val="none" w:sz="0" w:space="0" w:color="auto"/>
        <w:bottom w:val="none" w:sz="0" w:space="0" w:color="auto"/>
        <w:right w:val="none" w:sz="0" w:space="0" w:color="auto"/>
      </w:divBdr>
    </w:div>
    <w:div w:id="1369528309">
      <w:bodyDiv w:val="1"/>
      <w:marLeft w:val="0"/>
      <w:marRight w:val="0"/>
      <w:marTop w:val="0"/>
      <w:marBottom w:val="0"/>
      <w:divBdr>
        <w:top w:val="none" w:sz="0" w:space="0" w:color="auto"/>
        <w:left w:val="none" w:sz="0" w:space="0" w:color="auto"/>
        <w:bottom w:val="none" w:sz="0" w:space="0" w:color="auto"/>
        <w:right w:val="none" w:sz="0" w:space="0" w:color="auto"/>
      </w:divBdr>
    </w:div>
    <w:div w:id="1371227716">
      <w:bodyDiv w:val="1"/>
      <w:marLeft w:val="0"/>
      <w:marRight w:val="0"/>
      <w:marTop w:val="0"/>
      <w:marBottom w:val="0"/>
      <w:divBdr>
        <w:top w:val="none" w:sz="0" w:space="0" w:color="auto"/>
        <w:left w:val="none" w:sz="0" w:space="0" w:color="auto"/>
        <w:bottom w:val="none" w:sz="0" w:space="0" w:color="auto"/>
        <w:right w:val="none" w:sz="0" w:space="0" w:color="auto"/>
      </w:divBdr>
    </w:div>
    <w:div w:id="1418406183">
      <w:bodyDiv w:val="1"/>
      <w:marLeft w:val="0"/>
      <w:marRight w:val="0"/>
      <w:marTop w:val="0"/>
      <w:marBottom w:val="0"/>
      <w:divBdr>
        <w:top w:val="none" w:sz="0" w:space="0" w:color="auto"/>
        <w:left w:val="none" w:sz="0" w:space="0" w:color="auto"/>
        <w:bottom w:val="none" w:sz="0" w:space="0" w:color="auto"/>
        <w:right w:val="none" w:sz="0" w:space="0" w:color="auto"/>
      </w:divBdr>
    </w:div>
    <w:div w:id="1422410363">
      <w:bodyDiv w:val="1"/>
      <w:marLeft w:val="0"/>
      <w:marRight w:val="0"/>
      <w:marTop w:val="0"/>
      <w:marBottom w:val="0"/>
      <w:divBdr>
        <w:top w:val="none" w:sz="0" w:space="0" w:color="auto"/>
        <w:left w:val="none" w:sz="0" w:space="0" w:color="auto"/>
        <w:bottom w:val="none" w:sz="0" w:space="0" w:color="auto"/>
        <w:right w:val="none" w:sz="0" w:space="0" w:color="auto"/>
      </w:divBdr>
    </w:div>
    <w:div w:id="1445266234">
      <w:bodyDiv w:val="1"/>
      <w:marLeft w:val="0"/>
      <w:marRight w:val="0"/>
      <w:marTop w:val="0"/>
      <w:marBottom w:val="0"/>
      <w:divBdr>
        <w:top w:val="none" w:sz="0" w:space="0" w:color="auto"/>
        <w:left w:val="none" w:sz="0" w:space="0" w:color="auto"/>
        <w:bottom w:val="none" w:sz="0" w:space="0" w:color="auto"/>
        <w:right w:val="none" w:sz="0" w:space="0" w:color="auto"/>
      </w:divBdr>
    </w:div>
    <w:div w:id="1446071761">
      <w:bodyDiv w:val="1"/>
      <w:marLeft w:val="0"/>
      <w:marRight w:val="0"/>
      <w:marTop w:val="0"/>
      <w:marBottom w:val="0"/>
      <w:divBdr>
        <w:top w:val="none" w:sz="0" w:space="0" w:color="auto"/>
        <w:left w:val="none" w:sz="0" w:space="0" w:color="auto"/>
        <w:bottom w:val="none" w:sz="0" w:space="0" w:color="auto"/>
        <w:right w:val="none" w:sz="0" w:space="0" w:color="auto"/>
      </w:divBdr>
    </w:div>
    <w:div w:id="1446852107">
      <w:bodyDiv w:val="1"/>
      <w:marLeft w:val="0"/>
      <w:marRight w:val="0"/>
      <w:marTop w:val="0"/>
      <w:marBottom w:val="0"/>
      <w:divBdr>
        <w:top w:val="none" w:sz="0" w:space="0" w:color="auto"/>
        <w:left w:val="none" w:sz="0" w:space="0" w:color="auto"/>
        <w:bottom w:val="none" w:sz="0" w:space="0" w:color="auto"/>
        <w:right w:val="none" w:sz="0" w:space="0" w:color="auto"/>
      </w:divBdr>
    </w:div>
    <w:div w:id="1451704710">
      <w:bodyDiv w:val="1"/>
      <w:marLeft w:val="0"/>
      <w:marRight w:val="0"/>
      <w:marTop w:val="0"/>
      <w:marBottom w:val="0"/>
      <w:divBdr>
        <w:top w:val="none" w:sz="0" w:space="0" w:color="auto"/>
        <w:left w:val="none" w:sz="0" w:space="0" w:color="auto"/>
        <w:bottom w:val="none" w:sz="0" w:space="0" w:color="auto"/>
        <w:right w:val="none" w:sz="0" w:space="0" w:color="auto"/>
      </w:divBdr>
    </w:div>
    <w:div w:id="1453019919">
      <w:bodyDiv w:val="1"/>
      <w:marLeft w:val="0"/>
      <w:marRight w:val="0"/>
      <w:marTop w:val="0"/>
      <w:marBottom w:val="0"/>
      <w:divBdr>
        <w:top w:val="none" w:sz="0" w:space="0" w:color="auto"/>
        <w:left w:val="none" w:sz="0" w:space="0" w:color="auto"/>
        <w:bottom w:val="none" w:sz="0" w:space="0" w:color="auto"/>
        <w:right w:val="none" w:sz="0" w:space="0" w:color="auto"/>
      </w:divBdr>
    </w:div>
    <w:div w:id="1459059757">
      <w:bodyDiv w:val="1"/>
      <w:marLeft w:val="0"/>
      <w:marRight w:val="0"/>
      <w:marTop w:val="0"/>
      <w:marBottom w:val="0"/>
      <w:divBdr>
        <w:top w:val="none" w:sz="0" w:space="0" w:color="auto"/>
        <w:left w:val="none" w:sz="0" w:space="0" w:color="auto"/>
        <w:bottom w:val="none" w:sz="0" w:space="0" w:color="auto"/>
        <w:right w:val="none" w:sz="0" w:space="0" w:color="auto"/>
      </w:divBdr>
    </w:div>
    <w:div w:id="1470434035">
      <w:bodyDiv w:val="1"/>
      <w:marLeft w:val="0"/>
      <w:marRight w:val="0"/>
      <w:marTop w:val="0"/>
      <w:marBottom w:val="0"/>
      <w:divBdr>
        <w:top w:val="none" w:sz="0" w:space="0" w:color="auto"/>
        <w:left w:val="none" w:sz="0" w:space="0" w:color="auto"/>
        <w:bottom w:val="none" w:sz="0" w:space="0" w:color="auto"/>
        <w:right w:val="none" w:sz="0" w:space="0" w:color="auto"/>
      </w:divBdr>
    </w:div>
    <w:div w:id="1471287905">
      <w:bodyDiv w:val="1"/>
      <w:marLeft w:val="0"/>
      <w:marRight w:val="0"/>
      <w:marTop w:val="0"/>
      <w:marBottom w:val="0"/>
      <w:divBdr>
        <w:top w:val="none" w:sz="0" w:space="0" w:color="auto"/>
        <w:left w:val="none" w:sz="0" w:space="0" w:color="auto"/>
        <w:bottom w:val="none" w:sz="0" w:space="0" w:color="auto"/>
        <w:right w:val="none" w:sz="0" w:space="0" w:color="auto"/>
      </w:divBdr>
    </w:div>
    <w:div w:id="1493255436">
      <w:bodyDiv w:val="1"/>
      <w:marLeft w:val="0"/>
      <w:marRight w:val="0"/>
      <w:marTop w:val="0"/>
      <w:marBottom w:val="0"/>
      <w:divBdr>
        <w:top w:val="none" w:sz="0" w:space="0" w:color="auto"/>
        <w:left w:val="none" w:sz="0" w:space="0" w:color="auto"/>
        <w:bottom w:val="none" w:sz="0" w:space="0" w:color="auto"/>
        <w:right w:val="none" w:sz="0" w:space="0" w:color="auto"/>
      </w:divBdr>
    </w:div>
    <w:div w:id="1510220417">
      <w:bodyDiv w:val="1"/>
      <w:marLeft w:val="0"/>
      <w:marRight w:val="0"/>
      <w:marTop w:val="0"/>
      <w:marBottom w:val="0"/>
      <w:divBdr>
        <w:top w:val="none" w:sz="0" w:space="0" w:color="auto"/>
        <w:left w:val="none" w:sz="0" w:space="0" w:color="auto"/>
        <w:bottom w:val="none" w:sz="0" w:space="0" w:color="auto"/>
        <w:right w:val="none" w:sz="0" w:space="0" w:color="auto"/>
      </w:divBdr>
    </w:div>
    <w:div w:id="1525484623">
      <w:bodyDiv w:val="1"/>
      <w:marLeft w:val="0"/>
      <w:marRight w:val="0"/>
      <w:marTop w:val="0"/>
      <w:marBottom w:val="0"/>
      <w:divBdr>
        <w:top w:val="none" w:sz="0" w:space="0" w:color="auto"/>
        <w:left w:val="none" w:sz="0" w:space="0" w:color="auto"/>
        <w:bottom w:val="none" w:sz="0" w:space="0" w:color="auto"/>
        <w:right w:val="none" w:sz="0" w:space="0" w:color="auto"/>
      </w:divBdr>
    </w:div>
    <w:div w:id="1526014508">
      <w:bodyDiv w:val="1"/>
      <w:marLeft w:val="0"/>
      <w:marRight w:val="0"/>
      <w:marTop w:val="0"/>
      <w:marBottom w:val="0"/>
      <w:divBdr>
        <w:top w:val="none" w:sz="0" w:space="0" w:color="auto"/>
        <w:left w:val="none" w:sz="0" w:space="0" w:color="auto"/>
        <w:bottom w:val="none" w:sz="0" w:space="0" w:color="auto"/>
        <w:right w:val="none" w:sz="0" w:space="0" w:color="auto"/>
      </w:divBdr>
    </w:div>
    <w:div w:id="1538465268">
      <w:bodyDiv w:val="1"/>
      <w:marLeft w:val="0"/>
      <w:marRight w:val="0"/>
      <w:marTop w:val="0"/>
      <w:marBottom w:val="0"/>
      <w:divBdr>
        <w:top w:val="none" w:sz="0" w:space="0" w:color="auto"/>
        <w:left w:val="none" w:sz="0" w:space="0" w:color="auto"/>
        <w:bottom w:val="none" w:sz="0" w:space="0" w:color="auto"/>
        <w:right w:val="none" w:sz="0" w:space="0" w:color="auto"/>
      </w:divBdr>
    </w:div>
    <w:div w:id="1545823805">
      <w:bodyDiv w:val="1"/>
      <w:marLeft w:val="0"/>
      <w:marRight w:val="0"/>
      <w:marTop w:val="0"/>
      <w:marBottom w:val="0"/>
      <w:divBdr>
        <w:top w:val="none" w:sz="0" w:space="0" w:color="auto"/>
        <w:left w:val="none" w:sz="0" w:space="0" w:color="auto"/>
        <w:bottom w:val="none" w:sz="0" w:space="0" w:color="auto"/>
        <w:right w:val="none" w:sz="0" w:space="0" w:color="auto"/>
      </w:divBdr>
    </w:div>
    <w:div w:id="1546529246">
      <w:bodyDiv w:val="1"/>
      <w:marLeft w:val="0"/>
      <w:marRight w:val="0"/>
      <w:marTop w:val="0"/>
      <w:marBottom w:val="0"/>
      <w:divBdr>
        <w:top w:val="none" w:sz="0" w:space="0" w:color="auto"/>
        <w:left w:val="none" w:sz="0" w:space="0" w:color="auto"/>
        <w:bottom w:val="none" w:sz="0" w:space="0" w:color="auto"/>
        <w:right w:val="none" w:sz="0" w:space="0" w:color="auto"/>
      </w:divBdr>
    </w:div>
    <w:div w:id="1553687081">
      <w:bodyDiv w:val="1"/>
      <w:marLeft w:val="0"/>
      <w:marRight w:val="0"/>
      <w:marTop w:val="0"/>
      <w:marBottom w:val="0"/>
      <w:divBdr>
        <w:top w:val="none" w:sz="0" w:space="0" w:color="auto"/>
        <w:left w:val="none" w:sz="0" w:space="0" w:color="auto"/>
        <w:bottom w:val="none" w:sz="0" w:space="0" w:color="auto"/>
        <w:right w:val="none" w:sz="0" w:space="0" w:color="auto"/>
      </w:divBdr>
    </w:div>
    <w:div w:id="1561214756">
      <w:bodyDiv w:val="1"/>
      <w:marLeft w:val="0"/>
      <w:marRight w:val="0"/>
      <w:marTop w:val="0"/>
      <w:marBottom w:val="0"/>
      <w:divBdr>
        <w:top w:val="none" w:sz="0" w:space="0" w:color="auto"/>
        <w:left w:val="none" w:sz="0" w:space="0" w:color="auto"/>
        <w:bottom w:val="none" w:sz="0" w:space="0" w:color="auto"/>
        <w:right w:val="none" w:sz="0" w:space="0" w:color="auto"/>
      </w:divBdr>
    </w:div>
    <w:div w:id="1572154017">
      <w:bodyDiv w:val="1"/>
      <w:marLeft w:val="0"/>
      <w:marRight w:val="0"/>
      <w:marTop w:val="0"/>
      <w:marBottom w:val="0"/>
      <w:divBdr>
        <w:top w:val="none" w:sz="0" w:space="0" w:color="auto"/>
        <w:left w:val="none" w:sz="0" w:space="0" w:color="auto"/>
        <w:bottom w:val="none" w:sz="0" w:space="0" w:color="auto"/>
        <w:right w:val="none" w:sz="0" w:space="0" w:color="auto"/>
      </w:divBdr>
    </w:div>
    <w:div w:id="1587228124">
      <w:bodyDiv w:val="1"/>
      <w:marLeft w:val="0"/>
      <w:marRight w:val="0"/>
      <w:marTop w:val="0"/>
      <w:marBottom w:val="0"/>
      <w:divBdr>
        <w:top w:val="none" w:sz="0" w:space="0" w:color="auto"/>
        <w:left w:val="none" w:sz="0" w:space="0" w:color="auto"/>
        <w:bottom w:val="none" w:sz="0" w:space="0" w:color="auto"/>
        <w:right w:val="none" w:sz="0" w:space="0" w:color="auto"/>
      </w:divBdr>
    </w:div>
    <w:div w:id="1590313569">
      <w:bodyDiv w:val="1"/>
      <w:marLeft w:val="0"/>
      <w:marRight w:val="0"/>
      <w:marTop w:val="0"/>
      <w:marBottom w:val="0"/>
      <w:divBdr>
        <w:top w:val="none" w:sz="0" w:space="0" w:color="auto"/>
        <w:left w:val="none" w:sz="0" w:space="0" w:color="auto"/>
        <w:bottom w:val="none" w:sz="0" w:space="0" w:color="auto"/>
        <w:right w:val="none" w:sz="0" w:space="0" w:color="auto"/>
      </w:divBdr>
      <w:divsChild>
        <w:div w:id="739444482">
          <w:marLeft w:val="0"/>
          <w:marRight w:val="0"/>
          <w:marTop w:val="0"/>
          <w:marBottom w:val="0"/>
          <w:divBdr>
            <w:top w:val="none" w:sz="0" w:space="0" w:color="auto"/>
            <w:left w:val="none" w:sz="0" w:space="0" w:color="auto"/>
            <w:bottom w:val="none" w:sz="0" w:space="0" w:color="auto"/>
            <w:right w:val="none" w:sz="0" w:space="0" w:color="auto"/>
          </w:divBdr>
          <w:divsChild>
            <w:div w:id="742992446">
              <w:marLeft w:val="0"/>
              <w:marRight w:val="0"/>
              <w:marTop w:val="0"/>
              <w:marBottom w:val="0"/>
              <w:divBdr>
                <w:top w:val="none" w:sz="0" w:space="0" w:color="auto"/>
                <w:left w:val="none" w:sz="0" w:space="0" w:color="auto"/>
                <w:bottom w:val="none" w:sz="0" w:space="0" w:color="auto"/>
                <w:right w:val="none" w:sz="0" w:space="0" w:color="auto"/>
              </w:divBdr>
              <w:divsChild>
                <w:div w:id="939607359">
                  <w:marLeft w:val="0"/>
                  <w:marRight w:val="0"/>
                  <w:marTop w:val="0"/>
                  <w:marBottom w:val="0"/>
                  <w:divBdr>
                    <w:top w:val="none" w:sz="0" w:space="0" w:color="auto"/>
                    <w:left w:val="none" w:sz="0" w:space="0" w:color="auto"/>
                    <w:bottom w:val="none" w:sz="0" w:space="0" w:color="auto"/>
                    <w:right w:val="none" w:sz="0" w:space="0" w:color="auto"/>
                  </w:divBdr>
                  <w:divsChild>
                    <w:div w:id="846410657">
                      <w:marLeft w:val="0"/>
                      <w:marRight w:val="0"/>
                      <w:marTop w:val="0"/>
                      <w:marBottom w:val="0"/>
                      <w:divBdr>
                        <w:top w:val="none" w:sz="0" w:space="0" w:color="auto"/>
                        <w:left w:val="none" w:sz="0" w:space="0" w:color="auto"/>
                        <w:bottom w:val="none" w:sz="0" w:space="0" w:color="auto"/>
                        <w:right w:val="none" w:sz="0" w:space="0" w:color="auto"/>
                      </w:divBdr>
                      <w:divsChild>
                        <w:div w:id="1822695434">
                          <w:marLeft w:val="0"/>
                          <w:marRight w:val="0"/>
                          <w:marTop w:val="0"/>
                          <w:marBottom w:val="0"/>
                          <w:divBdr>
                            <w:top w:val="none" w:sz="0" w:space="0" w:color="auto"/>
                            <w:left w:val="none" w:sz="0" w:space="0" w:color="auto"/>
                            <w:bottom w:val="none" w:sz="0" w:space="0" w:color="auto"/>
                            <w:right w:val="none" w:sz="0" w:space="0" w:color="auto"/>
                          </w:divBdr>
                          <w:divsChild>
                            <w:div w:id="6018874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594515334">
      <w:bodyDiv w:val="1"/>
      <w:marLeft w:val="0"/>
      <w:marRight w:val="0"/>
      <w:marTop w:val="0"/>
      <w:marBottom w:val="0"/>
      <w:divBdr>
        <w:top w:val="none" w:sz="0" w:space="0" w:color="auto"/>
        <w:left w:val="none" w:sz="0" w:space="0" w:color="auto"/>
        <w:bottom w:val="none" w:sz="0" w:space="0" w:color="auto"/>
        <w:right w:val="none" w:sz="0" w:space="0" w:color="auto"/>
      </w:divBdr>
    </w:div>
    <w:div w:id="1600218361">
      <w:bodyDiv w:val="1"/>
      <w:marLeft w:val="0"/>
      <w:marRight w:val="0"/>
      <w:marTop w:val="0"/>
      <w:marBottom w:val="0"/>
      <w:divBdr>
        <w:top w:val="none" w:sz="0" w:space="0" w:color="auto"/>
        <w:left w:val="none" w:sz="0" w:space="0" w:color="auto"/>
        <w:bottom w:val="none" w:sz="0" w:space="0" w:color="auto"/>
        <w:right w:val="none" w:sz="0" w:space="0" w:color="auto"/>
      </w:divBdr>
      <w:divsChild>
        <w:div w:id="1383409883">
          <w:marLeft w:val="0"/>
          <w:marRight w:val="0"/>
          <w:marTop w:val="0"/>
          <w:marBottom w:val="0"/>
          <w:divBdr>
            <w:top w:val="none" w:sz="0" w:space="0" w:color="auto"/>
            <w:left w:val="none" w:sz="0" w:space="0" w:color="auto"/>
            <w:bottom w:val="none" w:sz="0" w:space="0" w:color="auto"/>
            <w:right w:val="none" w:sz="0" w:space="0" w:color="auto"/>
          </w:divBdr>
        </w:div>
        <w:div w:id="1680228653">
          <w:marLeft w:val="0"/>
          <w:marRight w:val="0"/>
          <w:marTop w:val="0"/>
          <w:marBottom w:val="0"/>
          <w:divBdr>
            <w:top w:val="none" w:sz="0" w:space="0" w:color="auto"/>
            <w:left w:val="none" w:sz="0" w:space="0" w:color="auto"/>
            <w:bottom w:val="none" w:sz="0" w:space="0" w:color="auto"/>
            <w:right w:val="none" w:sz="0" w:space="0" w:color="auto"/>
          </w:divBdr>
        </w:div>
        <w:div w:id="1827940117">
          <w:marLeft w:val="0"/>
          <w:marRight w:val="0"/>
          <w:marTop w:val="0"/>
          <w:marBottom w:val="0"/>
          <w:divBdr>
            <w:top w:val="none" w:sz="0" w:space="0" w:color="auto"/>
            <w:left w:val="none" w:sz="0" w:space="0" w:color="auto"/>
            <w:bottom w:val="none" w:sz="0" w:space="0" w:color="auto"/>
            <w:right w:val="none" w:sz="0" w:space="0" w:color="auto"/>
          </w:divBdr>
        </w:div>
      </w:divsChild>
    </w:div>
    <w:div w:id="1615819402">
      <w:bodyDiv w:val="1"/>
      <w:marLeft w:val="0"/>
      <w:marRight w:val="0"/>
      <w:marTop w:val="0"/>
      <w:marBottom w:val="0"/>
      <w:divBdr>
        <w:top w:val="none" w:sz="0" w:space="0" w:color="auto"/>
        <w:left w:val="none" w:sz="0" w:space="0" w:color="auto"/>
        <w:bottom w:val="none" w:sz="0" w:space="0" w:color="auto"/>
        <w:right w:val="none" w:sz="0" w:space="0" w:color="auto"/>
      </w:divBdr>
      <w:divsChild>
        <w:div w:id="130249191">
          <w:marLeft w:val="0"/>
          <w:marRight w:val="0"/>
          <w:marTop w:val="0"/>
          <w:marBottom w:val="0"/>
          <w:divBdr>
            <w:top w:val="none" w:sz="0" w:space="0" w:color="auto"/>
            <w:left w:val="none" w:sz="0" w:space="0" w:color="auto"/>
            <w:bottom w:val="none" w:sz="0" w:space="0" w:color="auto"/>
            <w:right w:val="none" w:sz="0" w:space="0" w:color="auto"/>
          </w:divBdr>
        </w:div>
        <w:div w:id="1729718705">
          <w:marLeft w:val="0"/>
          <w:marRight w:val="0"/>
          <w:marTop w:val="0"/>
          <w:marBottom w:val="0"/>
          <w:divBdr>
            <w:top w:val="none" w:sz="0" w:space="0" w:color="auto"/>
            <w:left w:val="none" w:sz="0" w:space="0" w:color="auto"/>
            <w:bottom w:val="none" w:sz="0" w:space="0" w:color="auto"/>
            <w:right w:val="none" w:sz="0" w:space="0" w:color="auto"/>
          </w:divBdr>
        </w:div>
      </w:divsChild>
    </w:div>
    <w:div w:id="1619993984">
      <w:bodyDiv w:val="1"/>
      <w:marLeft w:val="0"/>
      <w:marRight w:val="0"/>
      <w:marTop w:val="0"/>
      <w:marBottom w:val="0"/>
      <w:divBdr>
        <w:top w:val="none" w:sz="0" w:space="0" w:color="auto"/>
        <w:left w:val="none" w:sz="0" w:space="0" w:color="auto"/>
        <w:bottom w:val="none" w:sz="0" w:space="0" w:color="auto"/>
        <w:right w:val="none" w:sz="0" w:space="0" w:color="auto"/>
      </w:divBdr>
    </w:div>
    <w:div w:id="1626695583">
      <w:bodyDiv w:val="1"/>
      <w:marLeft w:val="0"/>
      <w:marRight w:val="0"/>
      <w:marTop w:val="0"/>
      <w:marBottom w:val="0"/>
      <w:divBdr>
        <w:top w:val="none" w:sz="0" w:space="0" w:color="auto"/>
        <w:left w:val="none" w:sz="0" w:space="0" w:color="auto"/>
        <w:bottom w:val="none" w:sz="0" w:space="0" w:color="auto"/>
        <w:right w:val="none" w:sz="0" w:space="0" w:color="auto"/>
      </w:divBdr>
    </w:div>
    <w:div w:id="1630043349">
      <w:bodyDiv w:val="1"/>
      <w:marLeft w:val="0"/>
      <w:marRight w:val="0"/>
      <w:marTop w:val="0"/>
      <w:marBottom w:val="0"/>
      <w:divBdr>
        <w:top w:val="none" w:sz="0" w:space="0" w:color="auto"/>
        <w:left w:val="none" w:sz="0" w:space="0" w:color="auto"/>
        <w:bottom w:val="none" w:sz="0" w:space="0" w:color="auto"/>
        <w:right w:val="none" w:sz="0" w:space="0" w:color="auto"/>
      </w:divBdr>
    </w:div>
    <w:div w:id="1630159727">
      <w:bodyDiv w:val="1"/>
      <w:marLeft w:val="0"/>
      <w:marRight w:val="0"/>
      <w:marTop w:val="0"/>
      <w:marBottom w:val="0"/>
      <w:divBdr>
        <w:top w:val="none" w:sz="0" w:space="0" w:color="auto"/>
        <w:left w:val="none" w:sz="0" w:space="0" w:color="auto"/>
        <w:bottom w:val="none" w:sz="0" w:space="0" w:color="auto"/>
        <w:right w:val="none" w:sz="0" w:space="0" w:color="auto"/>
      </w:divBdr>
      <w:divsChild>
        <w:div w:id="77556868">
          <w:marLeft w:val="0"/>
          <w:marRight w:val="0"/>
          <w:marTop w:val="0"/>
          <w:marBottom w:val="0"/>
          <w:divBdr>
            <w:top w:val="none" w:sz="0" w:space="0" w:color="auto"/>
            <w:left w:val="none" w:sz="0" w:space="0" w:color="auto"/>
            <w:bottom w:val="none" w:sz="0" w:space="0" w:color="auto"/>
            <w:right w:val="none" w:sz="0" w:space="0" w:color="auto"/>
          </w:divBdr>
        </w:div>
        <w:div w:id="617294075">
          <w:marLeft w:val="0"/>
          <w:marRight w:val="0"/>
          <w:marTop w:val="0"/>
          <w:marBottom w:val="0"/>
          <w:divBdr>
            <w:top w:val="none" w:sz="0" w:space="0" w:color="auto"/>
            <w:left w:val="none" w:sz="0" w:space="0" w:color="auto"/>
            <w:bottom w:val="none" w:sz="0" w:space="0" w:color="auto"/>
            <w:right w:val="none" w:sz="0" w:space="0" w:color="auto"/>
          </w:divBdr>
          <w:divsChild>
            <w:div w:id="614871047">
              <w:marLeft w:val="0"/>
              <w:marRight w:val="0"/>
              <w:marTop w:val="0"/>
              <w:marBottom w:val="0"/>
              <w:divBdr>
                <w:top w:val="none" w:sz="0" w:space="0" w:color="auto"/>
                <w:left w:val="none" w:sz="0" w:space="0" w:color="auto"/>
                <w:bottom w:val="none" w:sz="0" w:space="0" w:color="auto"/>
                <w:right w:val="none" w:sz="0" w:space="0" w:color="auto"/>
              </w:divBdr>
            </w:div>
            <w:div w:id="795560581">
              <w:marLeft w:val="0"/>
              <w:marRight w:val="0"/>
              <w:marTop w:val="0"/>
              <w:marBottom w:val="0"/>
              <w:divBdr>
                <w:top w:val="none" w:sz="0" w:space="0" w:color="auto"/>
                <w:left w:val="none" w:sz="0" w:space="0" w:color="auto"/>
                <w:bottom w:val="none" w:sz="0" w:space="0" w:color="auto"/>
                <w:right w:val="none" w:sz="0" w:space="0" w:color="auto"/>
              </w:divBdr>
            </w:div>
            <w:div w:id="1438137754">
              <w:marLeft w:val="0"/>
              <w:marRight w:val="0"/>
              <w:marTop w:val="0"/>
              <w:marBottom w:val="0"/>
              <w:divBdr>
                <w:top w:val="none" w:sz="0" w:space="0" w:color="auto"/>
                <w:left w:val="none" w:sz="0" w:space="0" w:color="auto"/>
                <w:bottom w:val="none" w:sz="0" w:space="0" w:color="auto"/>
                <w:right w:val="none" w:sz="0" w:space="0" w:color="auto"/>
              </w:divBdr>
            </w:div>
            <w:div w:id="1637685406">
              <w:marLeft w:val="0"/>
              <w:marRight w:val="0"/>
              <w:marTop w:val="0"/>
              <w:marBottom w:val="0"/>
              <w:divBdr>
                <w:top w:val="none" w:sz="0" w:space="0" w:color="auto"/>
                <w:left w:val="none" w:sz="0" w:space="0" w:color="auto"/>
                <w:bottom w:val="none" w:sz="0" w:space="0" w:color="auto"/>
                <w:right w:val="none" w:sz="0" w:space="0" w:color="auto"/>
              </w:divBdr>
            </w:div>
            <w:div w:id="1788887073">
              <w:marLeft w:val="0"/>
              <w:marRight w:val="0"/>
              <w:marTop w:val="0"/>
              <w:marBottom w:val="0"/>
              <w:divBdr>
                <w:top w:val="none" w:sz="0" w:space="0" w:color="auto"/>
                <w:left w:val="none" w:sz="0" w:space="0" w:color="auto"/>
                <w:bottom w:val="none" w:sz="0" w:space="0" w:color="auto"/>
                <w:right w:val="none" w:sz="0" w:space="0" w:color="auto"/>
              </w:divBdr>
            </w:div>
            <w:div w:id="1910799755">
              <w:marLeft w:val="0"/>
              <w:marRight w:val="0"/>
              <w:marTop w:val="0"/>
              <w:marBottom w:val="0"/>
              <w:divBdr>
                <w:top w:val="none" w:sz="0" w:space="0" w:color="auto"/>
                <w:left w:val="none" w:sz="0" w:space="0" w:color="auto"/>
                <w:bottom w:val="none" w:sz="0" w:space="0" w:color="auto"/>
                <w:right w:val="none" w:sz="0" w:space="0" w:color="auto"/>
              </w:divBdr>
            </w:div>
            <w:div w:id="2073578439">
              <w:marLeft w:val="0"/>
              <w:marRight w:val="0"/>
              <w:marTop w:val="0"/>
              <w:marBottom w:val="0"/>
              <w:divBdr>
                <w:top w:val="none" w:sz="0" w:space="0" w:color="auto"/>
                <w:left w:val="none" w:sz="0" w:space="0" w:color="auto"/>
                <w:bottom w:val="none" w:sz="0" w:space="0" w:color="auto"/>
                <w:right w:val="none" w:sz="0" w:space="0" w:color="auto"/>
              </w:divBdr>
            </w:div>
          </w:divsChild>
        </w:div>
        <w:div w:id="714240090">
          <w:marLeft w:val="0"/>
          <w:marRight w:val="0"/>
          <w:marTop w:val="0"/>
          <w:marBottom w:val="0"/>
          <w:divBdr>
            <w:top w:val="none" w:sz="0" w:space="0" w:color="auto"/>
            <w:left w:val="none" w:sz="0" w:space="0" w:color="auto"/>
            <w:bottom w:val="none" w:sz="0" w:space="0" w:color="auto"/>
            <w:right w:val="none" w:sz="0" w:space="0" w:color="auto"/>
          </w:divBdr>
        </w:div>
        <w:div w:id="1415005363">
          <w:marLeft w:val="0"/>
          <w:marRight w:val="0"/>
          <w:marTop w:val="0"/>
          <w:marBottom w:val="0"/>
          <w:divBdr>
            <w:top w:val="none" w:sz="0" w:space="0" w:color="auto"/>
            <w:left w:val="none" w:sz="0" w:space="0" w:color="auto"/>
            <w:bottom w:val="none" w:sz="0" w:space="0" w:color="auto"/>
            <w:right w:val="none" w:sz="0" w:space="0" w:color="auto"/>
          </w:divBdr>
          <w:divsChild>
            <w:div w:id="1171600713">
              <w:marLeft w:val="-75"/>
              <w:marRight w:val="0"/>
              <w:marTop w:val="30"/>
              <w:marBottom w:val="30"/>
              <w:divBdr>
                <w:top w:val="none" w:sz="0" w:space="0" w:color="auto"/>
                <w:left w:val="none" w:sz="0" w:space="0" w:color="auto"/>
                <w:bottom w:val="none" w:sz="0" w:space="0" w:color="auto"/>
                <w:right w:val="none" w:sz="0" w:space="0" w:color="auto"/>
              </w:divBdr>
              <w:divsChild>
                <w:div w:id="608390936">
                  <w:marLeft w:val="0"/>
                  <w:marRight w:val="0"/>
                  <w:marTop w:val="0"/>
                  <w:marBottom w:val="0"/>
                  <w:divBdr>
                    <w:top w:val="none" w:sz="0" w:space="0" w:color="auto"/>
                    <w:left w:val="none" w:sz="0" w:space="0" w:color="auto"/>
                    <w:bottom w:val="none" w:sz="0" w:space="0" w:color="auto"/>
                    <w:right w:val="none" w:sz="0" w:space="0" w:color="auto"/>
                  </w:divBdr>
                  <w:divsChild>
                    <w:div w:id="960647168">
                      <w:marLeft w:val="0"/>
                      <w:marRight w:val="0"/>
                      <w:marTop w:val="0"/>
                      <w:marBottom w:val="0"/>
                      <w:divBdr>
                        <w:top w:val="none" w:sz="0" w:space="0" w:color="auto"/>
                        <w:left w:val="none" w:sz="0" w:space="0" w:color="auto"/>
                        <w:bottom w:val="none" w:sz="0" w:space="0" w:color="auto"/>
                        <w:right w:val="none" w:sz="0" w:space="0" w:color="auto"/>
                      </w:divBdr>
                    </w:div>
                  </w:divsChild>
                </w:div>
                <w:div w:id="1259370879">
                  <w:marLeft w:val="0"/>
                  <w:marRight w:val="0"/>
                  <w:marTop w:val="0"/>
                  <w:marBottom w:val="0"/>
                  <w:divBdr>
                    <w:top w:val="none" w:sz="0" w:space="0" w:color="auto"/>
                    <w:left w:val="none" w:sz="0" w:space="0" w:color="auto"/>
                    <w:bottom w:val="none" w:sz="0" w:space="0" w:color="auto"/>
                    <w:right w:val="none" w:sz="0" w:space="0" w:color="auto"/>
                  </w:divBdr>
                  <w:divsChild>
                    <w:div w:id="17202821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31820948">
          <w:marLeft w:val="0"/>
          <w:marRight w:val="0"/>
          <w:marTop w:val="0"/>
          <w:marBottom w:val="0"/>
          <w:divBdr>
            <w:top w:val="none" w:sz="0" w:space="0" w:color="auto"/>
            <w:left w:val="none" w:sz="0" w:space="0" w:color="auto"/>
            <w:bottom w:val="none" w:sz="0" w:space="0" w:color="auto"/>
            <w:right w:val="none" w:sz="0" w:space="0" w:color="auto"/>
          </w:divBdr>
          <w:divsChild>
            <w:div w:id="704671471">
              <w:marLeft w:val="-75"/>
              <w:marRight w:val="0"/>
              <w:marTop w:val="30"/>
              <w:marBottom w:val="30"/>
              <w:divBdr>
                <w:top w:val="none" w:sz="0" w:space="0" w:color="auto"/>
                <w:left w:val="none" w:sz="0" w:space="0" w:color="auto"/>
                <w:bottom w:val="none" w:sz="0" w:space="0" w:color="auto"/>
                <w:right w:val="none" w:sz="0" w:space="0" w:color="auto"/>
              </w:divBdr>
              <w:divsChild>
                <w:div w:id="348944989">
                  <w:marLeft w:val="0"/>
                  <w:marRight w:val="0"/>
                  <w:marTop w:val="0"/>
                  <w:marBottom w:val="0"/>
                  <w:divBdr>
                    <w:top w:val="none" w:sz="0" w:space="0" w:color="auto"/>
                    <w:left w:val="none" w:sz="0" w:space="0" w:color="auto"/>
                    <w:bottom w:val="none" w:sz="0" w:space="0" w:color="auto"/>
                    <w:right w:val="none" w:sz="0" w:space="0" w:color="auto"/>
                  </w:divBdr>
                  <w:divsChild>
                    <w:div w:id="252083292">
                      <w:marLeft w:val="0"/>
                      <w:marRight w:val="0"/>
                      <w:marTop w:val="0"/>
                      <w:marBottom w:val="0"/>
                      <w:divBdr>
                        <w:top w:val="none" w:sz="0" w:space="0" w:color="auto"/>
                        <w:left w:val="none" w:sz="0" w:space="0" w:color="auto"/>
                        <w:bottom w:val="none" w:sz="0" w:space="0" w:color="auto"/>
                        <w:right w:val="none" w:sz="0" w:space="0" w:color="auto"/>
                      </w:divBdr>
                    </w:div>
                    <w:div w:id="544563534">
                      <w:marLeft w:val="0"/>
                      <w:marRight w:val="0"/>
                      <w:marTop w:val="0"/>
                      <w:marBottom w:val="0"/>
                      <w:divBdr>
                        <w:top w:val="none" w:sz="0" w:space="0" w:color="auto"/>
                        <w:left w:val="none" w:sz="0" w:space="0" w:color="auto"/>
                        <w:bottom w:val="none" w:sz="0" w:space="0" w:color="auto"/>
                        <w:right w:val="none" w:sz="0" w:space="0" w:color="auto"/>
                      </w:divBdr>
                    </w:div>
                    <w:div w:id="675614284">
                      <w:marLeft w:val="0"/>
                      <w:marRight w:val="0"/>
                      <w:marTop w:val="0"/>
                      <w:marBottom w:val="0"/>
                      <w:divBdr>
                        <w:top w:val="none" w:sz="0" w:space="0" w:color="auto"/>
                        <w:left w:val="none" w:sz="0" w:space="0" w:color="auto"/>
                        <w:bottom w:val="none" w:sz="0" w:space="0" w:color="auto"/>
                        <w:right w:val="none" w:sz="0" w:space="0" w:color="auto"/>
                      </w:divBdr>
                    </w:div>
                    <w:div w:id="690495590">
                      <w:marLeft w:val="0"/>
                      <w:marRight w:val="0"/>
                      <w:marTop w:val="0"/>
                      <w:marBottom w:val="0"/>
                      <w:divBdr>
                        <w:top w:val="none" w:sz="0" w:space="0" w:color="auto"/>
                        <w:left w:val="none" w:sz="0" w:space="0" w:color="auto"/>
                        <w:bottom w:val="none" w:sz="0" w:space="0" w:color="auto"/>
                        <w:right w:val="none" w:sz="0" w:space="0" w:color="auto"/>
                      </w:divBdr>
                    </w:div>
                    <w:div w:id="1582175903">
                      <w:marLeft w:val="0"/>
                      <w:marRight w:val="0"/>
                      <w:marTop w:val="0"/>
                      <w:marBottom w:val="0"/>
                      <w:divBdr>
                        <w:top w:val="none" w:sz="0" w:space="0" w:color="auto"/>
                        <w:left w:val="none" w:sz="0" w:space="0" w:color="auto"/>
                        <w:bottom w:val="none" w:sz="0" w:space="0" w:color="auto"/>
                        <w:right w:val="none" w:sz="0" w:space="0" w:color="auto"/>
                      </w:divBdr>
                    </w:div>
                    <w:div w:id="1851482011">
                      <w:marLeft w:val="0"/>
                      <w:marRight w:val="0"/>
                      <w:marTop w:val="0"/>
                      <w:marBottom w:val="0"/>
                      <w:divBdr>
                        <w:top w:val="none" w:sz="0" w:space="0" w:color="auto"/>
                        <w:left w:val="none" w:sz="0" w:space="0" w:color="auto"/>
                        <w:bottom w:val="none" w:sz="0" w:space="0" w:color="auto"/>
                        <w:right w:val="none" w:sz="0" w:space="0" w:color="auto"/>
                      </w:divBdr>
                    </w:div>
                  </w:divsChild>
                </w:div>
                <w:div w:id="432362783">
                  <w:marLeft w:val="0"/>
                  <w:marRight w:val="0"/>
                  <w:marTop w:val="0"/>
                  <w:marBottom w:val="0"/>
                  <w:divBdr>
                    <w:top w:val="none" w:sz="0" w:space="0" w:color="auto"/>
                    <w:left w:val="none" w:sz="0" w:space="0" w:color="auto"/>
                    <w:bottom w:val="none" w:sz="0" w:space="0" w:color="auto"/>
                    <w:right w:val="none" w:sz="0" w:space="0" w:color="auto"/>
                  </w:divBdr>
                  <w:divsChild>
                    <w:div w:id="41831797">
                      <w:marLeft w:val="0"/>
                      <w:marRight w:val="0"/>
                      <w:marTop w:val="0"/>
                      <w:marBottom w:val="0"/>
                      <w:divBdr>
                        <w:top w:val="none" w:sz="0" w:space="0" w:color="auto"/>
                        <w:left w:val="none" w:sz="0" w:space="0" w:color="auto"/>
                        <w:bottom w:val="none" w:sz="0" w:space="0" w:color="auto"/>
                        <w:right w:val="none" w:sz="0" w:space="0" w:color="auto"/>
                      </w:divBdr>
                    </w:div>
                  </w:divsChild>
                </w:div>
                <w:div w:id="519009764">
                  <w:marLeft w:val="0"/>
                  <w:marRight w:val="0"/>
                  <w:marTop w:val="0"/>
                  <w:marBottom w:val="0"/>
                  <w:divBdr>
                    <w:top w:val="none" w:sz="0" w:space="0" w:color="auto"/>
                    <w:left w:val="none" w:sz="0" w:space="0" w:color="auto"/>
                    <w:bottom w:val="none" w:sz="0" w:space="0" w:color="auto"/>
                    <w:right w:val="none" w:sz="0" w:space="0" w:color="auto"/>
                  </w:divBdr>
                  <w:divsChild>
                    <w:div w:id="734353588">
                      <w:marLeft w:val="0"/>
                      <w:marRight w:val="0"/>
                      <w:marTop w:val="0"/>
                      <w:marBottom w:val="0"/>
                      <w:divBdr>
                        <w:top w:val="none" w:sz="0" w:space="0" w:color="auto"/>
                        <w:left w:val="none" w:sz="0" w:space="0" w:color="auto"/>
                        <w:bottom w:val="none" w:sz="0" w:space="0" w:color="auto"/>
                        <w:right w:val="none" w:sz="0" w:space="0" w:color="auto"/>
                      </w:divBdr>
                    </w:div>
                  </w:divsChild>
                </w:div>
                <w:div w:id="538054317">
                  <w:marLeft w:val="0"/>
                  <w:marRight w:val="0"/>
                  <w:marTop w:val="0"/>
                  <w:marBottom w:val="0"/>
                  <w:divBdr>
                    <w:top w:val="none" w:sz="0" w:space="0" w:color="auto"/>
                    <w:left w:val="none" w:sz="0" w:space="0" w:color="auto"/>
                    <w:bottom w:val="none" w:sz="0" w:space="0" w:color="auto"/>
                    <w:right w:val="none" w:sz="0" w:space="0" w:color="auto"/>
                  </w:divBdr>
                  <w:divsChild>
                    <w:div w:id="894314713">
                      <w:marLeft w:val="0"/>
                      <w:marRight w:val="0"/>
                      <w:marTop w:val="0"/>
                      <w:marBottom w:val="0"/>
                      <w:divBdr>
                        <w:top w:val="none" w:sz="0" w:space="0" w:color="auto"/>
                        <w:left w:val="none" w:sz="0" w:space="0" w:color="auto"/>
                        <w:bottom w:val="none" w:sz="0" w:space="0" w:color="auto"/>
                        <w:right w:val="none" w:sz="0" w:space="0" w:color="auto"/>
                      </w:divBdr>
                    </w:div>
                    <w:div w:id="927688029">
                      <w:marLeft w:val="0"/>
                      <w:marRight w:val="0"/>
                      <w:marTop w:val="0"/>
                      <w:marBottom w:val="0"/>
                      <w:divBdr>
                        <w:top w:val="none" w:sz="0" w:space="0" w:color="auto"/>
                        <w:left w:val="none" w:sz="0" w:space="0" w:color="auto"/>
                        <w:bottom w:val="none" w:sz="0" w:space="0" w:color="auto"/>
                        <w:right w:val="none" w:sz="0" w:space="0" w:color="auto"/>
                      </w:divBdr>
                    </w:div>
                    <w:div w:id="1783381061">
                      <w:marLeft w:val="0"/>
                      <w:marRight w:val="0"/>
                      <w:marTop w:val="0"/>
                      <w:marBottom w:val="0"/>
                      <w:divBdr>
                        <w:top w:val="none" w:sz="0" w:space="0" w:color="auto"/>
                        <w:left w:val="none" w:sz="0" w:space="0" w:color="auto"/>
                        <w:bottom w:val="none" w:sz="0" w:space="0" w:color="auto"/>
                        <w:right w:val="none" w:sz="0" w:space="0" w:color="auto"/>
                      </w:divBdr>
                    </w:div>
                    <w:div w:id="1974872454">
                      <w:marLeft w:val="0"/>
                      <w:marRight w:val="0"/>
                      <w:marTop w:val="0"/>
                      <w:marBottom w:val="0"/>
                      <w:divBdr>
                        <w:top w:val="none" w:sz="0" w:space="0" w:color="auto"/>
                        <w:left w:val="none" w:sz="0" w:space="0" w:color="auto"/>
                        <w:bottom w:val="none" w:sz="0" w:space="0" w:color="auto"/>
                        <w:right w:val="none" w:sz="0" w:space="0" w:color="auto"/>
                      </w:divBdr>
                    </w:div>
                  </w:divsChild>
                </w:div>
                <w:div w:id="839467331">
                  <w:marLeft w:val="0"/>
                  <w:marRight w:val="0"/>
                  <w:marTop w:val="0"/>
                  <w:marBottom w:val="0"/>
                  <w:divBdr>
                    <w:top w:val="none" w:sz="0" w:space="0" w:color="auto"/>
                    <w:left w:val="none" w:sz="0" w:space="0" w:color="auto"/>
                    <w:bottom w:val="none" w:sz="0" w:space="0" w:color="auto"/>
                    <w:right w:val="none" w:sz="0" w:space="0" w:color="auto"/>
                  </w:divBdr>
                  <w:divsChild>
                    <w:div w:id="1451390322">
                      <w:marLeft w:val="0"/>
                      <w:marRight w:val="0"/>
                      <w:marTop w:val="0"/>
                      <w:marBottom w:val="0"/>
                      <w:divBdr>
                        <w:top w:val="none" w:sz="0" w:space="0" w:color="auto"/>
                        <w:left w:val="none" w:sz="0" w:space="0" w:color="auto"/>
                        <w:bottom w:val="none" w:sz="0" w:space="0" w:color="auto"/>
                        <w:right w:val="none" w:sz="0" w:space="0" w:color="auto"/>
                      </w:divBdr>
                    </w:div>
                  </w:divsChild>
                </w:div>
                <w:div w:id="922177124">
                  <w:marLeft w:val="0"/>
                  <w:marRight w:val="0"/>
                  <w:marTop w:val="0"/>
                  <w:marBottom w:val="0"/>
                  <w:divBdr>
                    <w:top w:val="none" w:sz="0" w:space="0" w:color="auto"/>
                    <w:left w:val="none" w:sz="0" w:space="0" w:color="auto"/>
                    <w:bottom w:val="none" w:sz="0" w:space="0" w:color="auto"/>
                    <w:right w:val="none" w:sz="0" w:space="0" w:color="auto"/>
                  </w:divBdr>
                  <w:divsChild>
                    <w:div w:id="158664052">
                      <w:marLeft w:val="0"/>
                      <w:marRight w:val="0"/>
                      <w:marTop w:val="0"/>
                      <w:marBottom w:val="0"/>
                      <w:divBdr>
                        <w:top w:val="none" w:sz="0" w:space="0" w:color="auto"/>
                        <w:left w:val="none" w:sz="0" w:space="0" w:color="auto"/>
                        <w:bottom w:val="none" w:sz="0" w:space="0" w:color="auto"/>
                        <w:right w:val="none" w:sz="0" w:space="0" w:color="auto"/>
                      </w:divBdr>
                    </w:div>
                    <w:div w:id="1677726442">
                      <w:marLeft w:val="0"/>
                      <w:marRight w:val="0"/>
                      <w:marTop w:val="0"/>
                      <w:marBottom w:val="0"/>
                      <w:divBdr>
                        <w:top w:val="none" w:sz="0" w:space="0" w:color="auto"/>
                        <w:left w:val="none" w:sz="0" w:space="0" w:color="auto"/>
                        <w:bottom w:val="none" w:sz="0" w:space="0" w:color="auto"/>
                        <w:right w:val="none" w:sz="0" w:space="0" w:color="auto"/>
                      </w:divBdr>
                    </w:div>
                    <w:div w:id="1801344067">
                      <w:marLeft w:val="0"/>
                      <w:marRight w:val="0"/>
                      <w:marTop w:val="0"/>
                      <w:marBottom w:val="0"/>
                      <w:divBdr>
                        <w:top w:val="none" w:sz="0" w:space="0" w:color="auto"/>
                        <w:left w:val="none" w:sz="0" w:space="0" w:color="auto"/>
                        <w:bottom w:val="none" w:sz="0" w:space="0" w:color="auto"/>
                        <w:right w:val="none" w:sz="0" w:space="0" w:color="auto"/>
                      </w:divBdr>
                    </w:div>
                  </w:divsChild>
                </w:div>
                <w:div w:id="1051349953">
                  <w:marLeft w:val="0"/>
                  <w:marRight w:val="0"/>
                  <w:marTop w:val="0"/>
                  <w:marBottom w:val="0"/>
                  <w:divBdr>
                    <w:top w:val="none" w:sz="0" w:space="0" w:color="auto"/>
                    <w:left w:val="none" w:sz="0" w:space="0" w:color="auto"/>
                    <w:bottom w:val="none" w:sz="0" w:space="0" w:color="auto"/>
                    <w:right w:val="none" w:sz="0" w:space="0" w:color="auto"/>
                  </w:divBdr>
                  <w:divsChild>
                    <w:div w:id="967591575">
                      <w:marLeft w:val="0"/>
                      <w:marRight w:val="0"/>
                      <w:marTop w:val="0"/>
                      <w:marBottom w:val="0"/>
                      <w:divBdr>
                        <w:top w:val="none" w:sz="0" w:space="0" w:color="auto"/>
                        <w:left w:val="none" w:sz="0" w:space="0" w:color="auto"/>
                        <w:bottom w:val="none" w:sz="0" w:space="0" w:color="auto"/>
                        <w:right w:val="none" w:sz="0" w:space="0" w:color="auto"/>
                      </w:divBdr>
                    </w:div>
                  </w:divsChild>
                </w:div>
                <w:div w:id="1350566293">
                  <w:marLeft w:val="0"/>
                  <w:marRight w:val="0"/>
                  <w:marTop w:val="0"/>
                  <w:marBottom w:val="0"/>
                  <w:divBdr>
                    <w:top w:val="none" w:sz="0" w:space="0" w:color="auto"/>
                    <w:left w:val="none" w:sz="0" w:space="0" w:color="auto"/>
                    <w:bottom w:val="none" w:sz="0" w:space="0" w:color="auto"/>
                    <w:right w:val="none" w:sz="0" w:space="0" w:color="auto"/>
                  </w:divBdr>
                  <w:divsChild>
                    <w:div w:id="552930821">
                      <w:marLeft w:val="0"/>
                      <w:marRight w:val="0"/>
                      <w:marTop w:val="0"/>
                      <w:marBottom w:val="0"/>
                      <w:divBdr>
                        <w:top w:val="none" w:sz="0" w:space="0" w:color="auto"/>
                        <w:left w:val="none" w:sz="0" w:space="0" w:color="auto"/>
                        <w:bottom w:val="none" w:sz="0" w:space="0" w:color="auto"/>
                        <w:right w:val="none" w:sz="0" w:space="0" w:color="auto"/>
                      </w:divBdr>
                    </w:div>
                  </w:divsChild>
                </w:div>
                <w:div w:id="1395860827">
                  <w:marLeft w:val="0"/>
                  <w:marRight w:val="0"/>
                  <w:marTop w:val="0"/>
                  <w:marBottom w:val="0"/>
                  <w:divBdr>
                    <w:top w:val="none" w:sz="0" w:space="0" w:color="auto"/>
                    <w:left w:val="none" w:sz="0" w:space="0" w:color="auto"/>
                    <w:bottom w:val="none" w:sz="0" w:space="0" w:color="auto"/>
                    <w:right w:val="none" w:sz="0" w:space="0" w:color="auto"/>
                  </w:divBdr>
                  <w:divsChild>
                    <w:div w:id="76679191">
                      <w:marLeft w:val="0"/>
                      <w:marRight w:val="0"/>
                      <w:marTop w:val="0"/>
                      <w:marBottom w:val="0"/>
                      <w:divBdr>
                        <w:top w:val="none" w:sz="0" w:space="0" w:color="auto"/>
                        <w:left w:val="none" w:sz="0" w:space="0" w:color="auto"/>
                        <w:bottom w:val="none" w:sz="0" w:space="0" w:color="auto"/>
                        <w:right w:val="none" w:sz="0" w:space="0" w:color="auto"/>
                      </w:divBdr>
                    </w:div>
                  </w:divsChild>
                </w:div>
                <w:div w:id="1424719679">
                  <w:marLeft w:val="0"/>
                  <w:marRight w:val="0"/>
                  <w:marTop w:val="0"/>
                  <w:marBottom w:val="0"/>
                  <w:divBdr>
                    <w:top w:val="none" w:sz="0" w:space="0" w:color="auto"/>
                    <w:left w:val="none" w:sz="0" w:space="0" w:color="auto"/>
                    <w:bottom w:val="none" w:sz="0" w:space="0" w:color="auto"/>
                    <w:right w:val="none" w:sz="0" w:space="0" w:color="auto"/>
                  </w:divBdr>
                  <w:divsChild>
                    <w:div w:id="964194357">
                      <w:marLeft w:val="0"/>
                      <w:marRight w:val="0"/>
                      <w:marTop w:val="0"/>
                      <w:marBottom w:val="0"/>
                      <w:divBdr>
                        <w:top w:val="none" w:sz="0" w:space="0" w:color="auto"/>
                        <w:left w:val="none" w:sz="0" w:space="0" w:color="auto"/>
                        <w:bottom w:val="none" w:sz="0" w:space="0" w:color="auto"/>
                        <w:right w:val="none" w:sz="0" w:space="0" w:color="auto"/>
                      </w:divBdr>
                    </w:div>
                  </w:divsChild>
                </w:div>
                <w:div w:id="1617788473">
                  <w:marLeft w:val="0"/>
                  <w:marRight w:val="0"/>
                  <w:marTop w:val="0"/>
                  <w:marBottom w:val="0"/>
                  <w:divBdr>
                    <w:top w:val="none" w:sz="0" w:space="0" w:color="auto"/>
                    <w:left w:val="none" w:sz="0" w:space="0" w:color="auto"/>
                    <w:bottom w:val="none" w:sz="0" w:space="0" w:color="auto"/>
                    <w:right w:val="none" w:sz="0" w:space="0" w:color="auto"/>
                  </w:divBdr>
                  <w:divsChild>
                    <w:div w:id="105663393">
                      <w:marLeft w:val="0"/>
                      <w:marRight w:val="0"/>
                      <w:marTop w:val="0"/>
                      <w:marBottom w:val="0"/>
                      <w:divBdr>
                        <w:top w:val="none" w:sz="0" w:space="0" w:color="auto"/>
                        <w:left w:val="none" w:sz="0" w:space="0" w:color="auto"/>
                        <w:bottom w:val="none" w:sz="0" w:space="0" w:color="auto"/>
                        <w:right w:val="none" w:sz="0" w:space="0" w:color="auto"/>
                      </w:divBdr>
                    </w:div>
                    <w:div w:id="502477820">
                      <w:marLeft w:val="0"/>
                      <w:marRight w:val="0"/>
                      <w:marTop w:val="0"/>
                      <w:marBottom w:val="0"/>
                      <w:divBdr>
                        <w:top w:val="none" w:sz="0" w:space="0" w:color="auto"/>
                        <w:left w:val="none" w:sz="0" w:space="0" w:color="auto"/>
                        <w:bottom w:val="none" w:sz="0" w:space="0" w:color="auto"/>
                        <w:right w:val="none" w:sz="0" w:space="0" w:color="auto"/>
                      </w:divBdr>
                    </w:div>
                    <w:div w:id="850531795">
                      <w:marLeft w:val="0"/>
                      <w:marRight w:val="0"/>
                      <w:marTop w:val="0"/>
                      <w:marBottom w:val="0"/>
                      <w:divBdr>
                        <w:top w:val="none" w:sz="0" w:space="0" w:color="auto"/>
                        <w:left w:val="none" w:sz="0" w:space="0" w:color="auto"/>
                        <w:bottom w:val="none" w:sz="0" w:space="0" w:color="auto"/>
                        <w:right w:val="none" w:sz="0" w:space="0" w:color="auto"/>
                      </w:divBdr>
                    </w:div>
                    <w:div w:id="1848669415">
                      <w:marLeft w:val="0"/>
                      <w:marRight w:val="0"/>
                      <w:marTop w:val="0"/>
                      <w:marBottom w:val="0"/>
                      <w:divBdr>
                        <w:top w:val="none" w:sz="0" w:space="0" w:color="auto"/>
                        <w:left w:val="none" w:sz="0" w:space="0" w:color="auto"/>
                        <w:bottom w:val="none" w:sz="0" w:space="0" w:color="auto"/>
                        <w:right w:val="none" w:sz="0" w:space="0" w:color="auto"/>
                      </w:divBdr>
                    </w:div>
                  </w:divsChild>
                </w:div>
                <w:div w:id="1710494831">
                  <w:marLeft w:val="0"/>
                  <w:marRight w:val="0"/>
                  <w:marTop w:val="0"/>
                  <w:marBottom w:val="0"/>
                  <w:divBdr>
                    <w:top w:val="none" w:sz="0" w:space="0" w:color="auto"/>
                    <w:left w:val="none" w:sz="0" w:space="0" w:color="auto"/>
                    <w:bottom w:val="none" w:sz="0" w:space="0" w:color="auto"/>
                    <w:right w:val="none" w:sz="0" w:space="0" w:color="auto"/>
                  </w:divBdr>
                  <w:divsChild>
                    <w:div w:id="750157245">
                      <w:marLeft w:val="0"/>
                      <w:marRight w:val="0"/>
                      <w:marTop w:val="0"/>
                      <w:marBottom w:val="0"/>
                      <w:divBdr>
                        <w:top w:val="none" w:sz="0" w:space="0" w:color="auto"/>
                        <w:left w:val="none" w:sz="0" w:space="0" w:color="auto"/>
                        <w:bottom w:val="none" w:sz="0" w:space="0" w:color="auto"/>
                        <w:right w:val="none" w:sz="0" w:space="0" w:color="auto"/>
                      </w:divBdr>
                    </w:div>
                    <w:div w:id="21381813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35022449">
      <w:bodyDiv w:val="1"/>
      <w:marLeft w:val="0"/>
      <w:marRight w:val="0"/>
      <w:marTop w:val="0"/>
      <w:marBottom w:val="0"/>
      <w:divBdr>
        <w:top w:val="none" w:sz="0" w:space="0" w:color="auto"/>
        <w:left w:val="none" w:sz="0" w:space="0" w:color="auto"/>
        <w:bottom w:val="none" w:sz="0" w:space="0" w:color="auto"/>
        <w:right w:val="none" w:sz="0" w:space="0" w:color="auto"/>
      </w:divBdr>
    </w:div>
    <w:div w:id="1643271397">
      <w:bodyDiv w:val="1"/>
      <w:marLeft w:val="0"/>
      <w:marRight w:val="0"/>
      <w:marTop w:val="0"/>
      <w:marBottom w:val="0"/>
      <w:divBdr>
        <w:top w:val="none" w:sz="0" w:space="0" w:color="auto"/>
        <w:left w:val="none" w:sz="0" w:space="0" w:color="auto"/>
        <w:bottom w:val="none" w:sz="0" w:space="0" w:color="auto"/>
        <w:right w:val="none" w:sz="0" w:space="0" w:color="auto"/>
      </w:divBdr>
    </w:div>
    <w:div w:id="1645692892">
      <w:bodyDiv w:val="1"/>
      <w:marLeft w:val="0"/>
      <w:marRight w:val="0"/>
      <w:marTop w:val="0"/>
      <w:marBottom w:val="0"/>
      <w:divBdr>
        <w:top w:val="none" w:sz="0" w:space="0" w:color="auto"/>
        <w:left w:val="none" w:sz="0" w:space="0" w:color="auto"/>
        <w:bottom w:val="none" w:sz="0" w:space="0" w:color="auto"/>
        <w:right w:val="none" w:sz="0" w:space="0" w:color="auto"/>
      </w:divBdr>
    </w:div>
    <w:div w:id="1657297370">
      <w:bodyDiv w:val="1"/>
      <w:marLeft w:val="0"/>
      <w:marRight w:val="0"/>
      <w:marTop w:val="0"/>
      <w:marBottom w:val="0"/>
      <w:divBdr>
        <w:top w:val="none" w:sz="0" w:space="0" w:color="auto"/>
        <w:left w:val="none" w:sz="0" w:space="0" w:color="auto"/>
        <w:bottom w:val="none" w:sz="0" w:space="0" w:color="auto"/>
        <w:right w:val="none" w:sz="0" w:space="0" w:color="auto"/>
      </w:divBdr>
    </w:div>
    <w:div w:id="1664510756">
      <w:bodyDiv w:val="1"/>
      <w:marLeft w:val="0"/>
      <w:marRight w:val="0"/>
      <w:marTop w:val="0"/>
      <w:marBottom w:val="0"/>
      <w:divBdr>
        <w:top w:val="none" w:sz="0" w:space="0" w:color="auto"/>
        <w:left w:val="none" w:sz="0" w:space="0" w:color="auto"/>
        <w:bottom w:val="none" w:sz="0" w:space="0" w:color="auto"/>
        <w:right w:val="none" w:sz="0" w:space="0" w:color="auto"/>
      </w:divBdr>
      <w:divsChild>
        <w:div w:id="268899198">
          <w:marLeft w:val="0"/>
          <w:marRight w:val="0"/>
          <w:marTop w:val="0"/>
          <w:marBottom w:val="0"/>
          <w:divBdr>
            <w:top w:val="none" w:sz="0" w:space="0" w:color="auto"/>
            <w:left w:val="none" w:sz="0" w:space="0" w:color="auto"/>
            <w:bottom w:val="none" w:sz="0" w:space="0" w:color="auto"/>
            <w:right w:val="none" w:sz="0" w:space="0" w:color="auto"/>
          </w:divBdr>
          <w:divsChild>
            <w:div w:id="2112966175">
              <w:marLeft w:val="0"/>
              <w:marRight w:val="0"/>
              <w:marTop w:val="0"/>
              <w:marBottom w:val="0"/>
              <w:divBdr>
                <w:top w:val="none" w:sz="0" w:space="0" w:color="auto"/>
                <w:left w:val="none" w:sz="0" w:space="0" w:color="auto"/>
                <w:bottom w:val="none" w:sz="0" w:space="0" w:color="auto"/>
                <w:right w:val="none" w:sz="0" w:space="0" w:color="auto"/>
              </w:divBdr>
              <w:divsChild>
                <w:div w:id="1274901442">
                  <w:marLeft w:val="0"/>
                  <w:marRight w:val="0"/>
                  <w:marTop w:val="0"/>
                  <w:marBottom w:val="0"/>
                  <w:divBdr>
                    <w:top w:val="none" w:sz="0" w:space="0" w:color="auto"/>
                    <w:left w:val="none" w:sz="0" w:space="0" w:color="auto"/>
                    <w:bottom w:val="none" w:sz="0" w:space="0" w:color="auto"/>
                    <w:right w:val="none" w:sz="0" w:space="0" w:color="auto"/>
                  </w:divBdr>
                  <w:divsChild>
                    <w:div w:id="1458644743">
                      <w:marLeft w:val="0"/>
                      <w:marRight w:val="0"/>
                      <w:marTop w:val="0"/>
                      <w:marBottom w:val="0"/>
                      <w:divBdr>
                        <w:top w:val="none" w:sz="0" w:space="0" w:color="auto"/>
                        <w:left w:val="none" w:sz="0" w:space="0" w:color="auto"/>
                        <w:bottom w:val="none" w:sz="0" w:space="0" w:color="auto"/>
                        <w:right w:val="none" w:sz="0" w:space="0" w:color="auto"/>
                      </w:divBdr>
                      <w:divsChild>
                        <w:div w:id="1156650661">
                          <w:marLeft w:val="0"/>
                          <w:marRight w:val="0"/>
                          <w:marTop w:val="0"/>
                          <w:marBottom w:val="0"/>
                          <w:divBdr>
                            <w:top w:val="none" w:sz="0" w:space="0" w:color="auto"/>
                            <w:left w:val="none" w:sz="0" w:space="0" w:color="auto"/>
                            <w:bottom w:val="none" w:sz="0" w:space="0" w:color="auto"/>
                            <w:right w:val="none" w:sz="0" w:space="0" w:color="auto"/>
                          </w:divBdr>
                          <w:divsChild>
                            <w:div w:id="18399240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674335452">
      <w:bodyDiv w:val="1"/>
      <w:marLeft w:val="0"/>
      <w:marRight w:val="0"/>
      <w:marTop w:val="0"/>
      <w:marBottom w:val="0"/>
      <w:divBdr>
        <w:top w:val="none" w:sz="0" w:space="0" w:color="auto"/>
        <w:left w:val="none" w:sz="0" w:space="0" w:color="auto"/>
        <w:bottom w:val="none" w:sz="0" w:space="0" w:color="auto"/>
        <w:right w:val="none" w:sz="0" w:space="0" w:color="auto"/>
      </w:divBdr>
    </w:div>
    <w:div w:id="1688553658">
      <w:bodyDiv w:val="1"/>
      <w:marLeft w:val="0"/>
      <w:marRight w:val="0"/>
      <w:marTop w:val="0"/>
      <w:marBottom w:val="0"/>
      <w:divBdr>
        <w:top w:val="none" w:sz="0" w:space="0" w:color="auto"/>
        <w:left w:val="none" w:sz="0" w:space="0" w:color="auto"/>
        <w:bottom w:val="none" w:sz="0" w:space="0" w:color="auto"/>
        <w:right w:val="none" w:sz="0" w:space="0" w:color="auto"/>
      </w:divBdr>
    </w:div>
    <w:div w:id="1692412531">
      <w:bodyDiv w:val="1"/>
      <w:marLeft w:val="0"/>
      <w:marRight w:val="0"/>
      <w:marTop w:val="0"/>
      <w:marBottom w:val="0"/>
      <w:divBdr>
        <w:top w:val="none" w:sz="0" w:space="0" w:color="auto"/>
        <w:left w:val="none" w:sz="0" w:space="0" w:color="auto"/>
        <w:bottom w:val="none" w:sz="0" w:space="0" w:color="auto"/>
        <w:right w:val="none" w:sz="0" w:space="0" w:color="auto"/>
      </w:divBdr>
    </w:div>
    <w:div w:id="1709141008">
      <w:bodyDiv w:val="1"/>
      <w:marLeft w:val="0"/>
      <w:marRight w:val="0"/>
      <w:marTop w:val="0"/>
      <w:marBottom w:val="0"/>
      <w:divBdr>
        <w:top w:val="none" w:sz="0" w:space="0" w:color="auto"/>
        <w:left w:val="none" w:sz="0" w:space="0" w:color="auto"/>
        <w:bottom w:val="none" w:sz="0" w:space="0" w:color="auto"/>
        <w:right w:val="none" w:sz="0" w:space="0" w:color="auto"/>
      </w:divBdr>
    </w:div>
    <w:div w:id="1710572787">
      <w:bodyDiv w:val="1"/>
      <w:marLeft w:val="0"/>
      <w:marRight w:val="0"/>
      <w:marTop w:val="0"/>
      <w:marBottom w:val="0"/>
      <w:divBdr>
        <w:top w:val="none" w:sz="0" w:space="0" w:color="auto"/>
        <w:left w:val="none" w:sz="0" w:space="0" w:color="auto"/>
        <w:bottom w:val="none" w:sz="0" w:space="0" w:color="auto"/>
        <w:right w:val="none" w:sz="0" w:space="0" w:color="auto"/>
      </w:divBdr>
    </w:div>
    <w:div w:id="1720517592">
      <w:bodyDiv w:val="1"/>
      <w:marLeft w:val="0"/>
      <w:marRight w:val="0"/>
      <w:marTop w:val="0"/>
      <w:marBottom w:val="0"/>
      <w:divBdr>
        <w:top w:val="none" w:sz="0" w:space="0" w:color="auto"/>
        <w:left w:val="none" w:sz="0" w:space="0" w:color="auto"/>
        <w:bottom w:val="none" w:sz="0" w:space="0" w:color="auto"/>
        <w:right w:val="none" w:sz="0" w:space="0" w:color="auto"/>
      </w:divBdr>
    </w:div>
    <w:div w:id="1734961894">
      <w:bodyDiv w:val="1"/>
      <w:marLeft w:val="0"/>
      <w:marRight w:val="0"/>
      <w:marTop w:val="0"/>
      <w:marBottom w:val="0"/>
      <w:divBdr>
        <w:top w:val="none" w:sz="0" w:space="0" w:color="auto"/>
        <w:left w:val="none" w:sz="0" w:space="0" w:color="auto"/>
        <w:bottom w:val="none" w:sz="0" w:space="0" w:color="auto"/>
        <w:right w:val="none" w:sz="0" w:space="0" w:color="auto"/>
      </w:divBdr>
    </w:div>
    <w:div w:id="1741904631">
      <w:bodyDiv w:val="1"/>
      <w:marLeft w:val="0"/>
      <w:marRight w:val="0"/>
      <w:marTop w:val="0"/>
      <w:marBottom w:val="0"/>
      <w:divBdr>
        <w:top w:val="none" w:sz="0" w:space="0" w:color="auto"/>
        <w:left w:val="none" w:sz="0" w:space="0" w:color="auto"/>
        <w:bottom w:val="none" w:sz="0" w:space="0" w:color="auto"/>
        <w:right w:val="none" w:sz="0" w:space="0" w:color="auto"/>
      </w:divBdr>
    </w:div>
    <w:div w:id="1744067235">
      <w:bodyDiv w:val="1"/>
      <w:marLeft w:val="0"/>
      <w:marRight w:val="0"/>
      <w:marTop w:val="0"/>
      <w:marBottom w:val="0"/>
      <w:divBdr>
        <w:top w:val="none" w:sz="0" w:space="0" w:color="auto"/>
        <w:left w:val="none" w:sz="0" w:space="0" w:color="auto"/>
        <w:bottom w:val="none" w:sz="0" w:space="0" w:color="auto"/>
        <w:right w:val="none" w:sz="0" w:space="0" w:color="auto"/>
      </w:divBdr>
      <w:divsChild>
        <w:div w:id="1284070602">
          <w:marLeft w:val="0"/>
          <w:marRight w:val="0"/>
          <w:marTop w:val="0"/>
          <w:marBottom w:val="0"/>
          <w:divBdr>
            <w:top w:val="none" w:sz="0" w:space="0" w:color="auto"/>
            <w:left w:val="none" w:sz="0" w:space="0" w:color="auto"/>
            <w:bottom w:val="none" w:sz="0" w:space="0" w:color="auto"/>
            <w:right w:val="none" w:sz="0" w:space="0" w:color="auto"/>
          </w:divBdr>
          <w:divsChild>
            <w:div w:id="161161378">
              <w:marLeft w:val="0"/>
              <w:marRight w:val="0"/>
              <w:marTop w:val="0"/>
              <w:marBottom w:val="0"/>
              <w:divBdr>
                <w:top w:val="none" w:sz="0" w:space="0" w:color="auto"/>
                <w:left w:val="none" w:sz="0" w:space="0" w:color="auto"/>
                <w:bottom w:val="none" w:sz="0" w:space="0" w:color="auto"/>
                <w:right w:val="none" w:sz="0" w:space="0" w:color="auto"/>
              </w:divBdr>
            </w:div>
            <w:div w:id="202448431">
              <w:marLeft w:val="0"/>
              <w:marRight w:val="0"/>
              <w:marTop w:val="0"/>
              <w:marBottom w:val="0"/>
              <w:divBdr>
                <w:top w:val="none" w:sz="0" w:space="0" w:color="auto"/>
                <w:left w:val="none" w:sz="0" w:space="0" w:color="auto"/>
                <w:bottom w:val="none" w:sz="0" w:space="0" w:color="auto"/>
                <w:right w:val="none" w:sz="0" w:space="0" w:color="auto"/>
              </w:divBdr>
            </w:div>
            <w:div w:id="283313503">
              <w:marLeft w:val="0"/>
              <w:marRight w:val="0"/>
              <w:marTop w:val="0"/>
              <w:marBottom w:val="0"/>
              <w:divBdr>
                <w:top w:val="none" w:sz="0" w:space="0" w:color="auto"/>
                <w:left w:val="none" w:sz="0" w:space="0" w:color="auto"/>
                <w:bottom w:val="none" w:sz="0" w:space="0" w:color="auto"/>
                <w:right w:val="none" w:sz="0" w:space="0" w:color="auto"/>
              </w:divBdr>
            </w:div>
            <w:div w:id="662660729">
              <w:marLeft w:val="0"/>
              <w:marRight w:val="0"/>
              <w:marTop w:val="0"/>
              <w:marBottom w:val="0"/>
              <w:divBdr>
                <w:top w:val="none" w:sz="0" w:space="0" w:color="auto"/>
                <w:left w:val="none" w:sz="0" w:space="0" w:color="auto"/>
                <w:bottom w:val="none" w:sz="0" w:space="0" w:color="auto"/>
                <w:right w:val="none" w:sz="0" w:space="0" w:color="auto"/>
              </w:divBdr>
            </w:div>
            <w:div w:id="858588179">
              <w:marLeft w:val="0"/>
              <w:marRight w:val="0"/>
              <w:marTop w:val="0"/>
              <w:marBottom w:val="0"/>
              <w:divBdr>
                <w:top w:val="none" w:sz="0" w:space="0" w:color="auto"/>
                <w:left w:val="none" w:sz="0" w:space="0" w:color="auto"/>
                <w:bottom w:val="none" w:sz="0" w:space="0" w:color="auto"/>
                <w:right w:val="none" w:sz="0" w:space="0" w:color="auto"/>
              </w:divBdr>
            </w:div>
            <w:div w:id="1898321226">
              <w:marLeft w:val="0"/>
              <w:marRight w:val="0"/>
              <w:marTop w:val="0"/>
              <w:marBottom w:val="0"/>
              <w:divBdr>
                <w:top w:val="none" w:sz="0" w:space="0" w:color="auto"/>
                <w:left w:val="none" w:sz="0" w:space="0" w:color="auto"/>
                <w:bottom w:val="none" w:sz="0" w:space="0" w:color="auto"/>
                <w:right w:val="none" w:sz="0" w:space="0" w:color="auto"/>
              </w:divBdr>
            </w:div>
            <w:div w:id="2080009051">
              <w:marLeft w:val="0"/>
              <w:marRight w:val="0"/>
              <w:marTop w:val="0"/>
              <w:marBottom w:val="0"/>
              <w:divBdr>
                <w:top w:val="none" w:sz="0" w:space="0" w:color="auto"/>
                <w:left w:val="none" w:sz="0" w:space="0" w:color="auto"/>
                <w:bottom w:val="none" w:sz="0" w:space="0" w:color="auto"/>
                <w:right w:val="none" w:sz="0" w:space="0" w:color="auto"/>
              </w:divBdr>
            </w:div>
          </w:divsChild>
        </w:div>
        <w:div w:id="1554464082">
          <w:marLeft w:val="0"/>
          <w:marRight w:val="0"/>
          <w:marTop w:val="0"/>
          <w:marBottom w:val="0"/>
          <w:divBdr>
            <w:top w:val="none" w:sz="0" w:space="0" w:color="auto"/>
            <w:left w:val="none" w:sz="0" w:space="0" w:color="auto"/>
            <w:bottom w:val="none" w:sz="0" w:space="0" w:color="auto"/>
            <w:right w:val="none" w:sz="0" w:space="0" w:color="auto"/>
          </w:divBdr>
          <w:divsChild>
            <w:div w:id="1170170649">
              <w:marLeft w:val="-75"/>
              <w:marRight w:val="0"/>
              <w:marTop w:val="30"/>
              <w:marBottom w:val="30"/>
              <w:divBdr>
                <w:top w:val="none" w:sz="0" w:space="0" w:color="auto"/>
                <w:left w:val="none" w:sz="0" w:space="0" w:color="auto"/>
                <w:bottom w:val="none" w:sz="0" w:space="0" w:color="auto"/>
                <w:right w:val="none" w:sz="0" w:space="0" w:color="auto"/>
              </w:divBdr>
              <w:divsChild>
                <w:div w:id="1555308600">
                  <w:marLeft w:val="0"/>
                  <w:marRight w:val="0"/>
                  <w:marTop w:val="0"/>
                  <w:marBottom w:val="0"/>
                  <w:divBdr>
                    <w:top w:val="none" w:sz="0" w:space="0" w:color="auto"/>
                    <w:left w:val="none" w:sz="0" w:space="0" w:color="auto"/>
                    <w:bottom w:val="none" w:sz="0" w:space="0" w:color="auto"/>
                    <w:right w:val="none" w:sz="0" w:space="0" w:color="auto"/>
                  </w:divBdr>
                  <w:divsChild>
                    <w:div w:id="1966109219">
                      <w:marLeft w:val="0"/>
                      <w:marRight w:val="0"/>
                      <w:marTop w:val="0"/>
                      <w:marBottom w:val="0"/>
                      <w:divBdr>
                        <w:top w:val="none" w:sz="0" w:space="0" w:color="auto"/>
                        <w:left w:val="none" w:sz="0" w:space="0" w:color="auto"/>
                        <w:bottom w:val="none" w:sz="0" w:space="0" w:color="auto"/>
                        <w:right w:val="none" w:sz="0" w:space="0" w:color="auto"/>
                      </w:divBdr>
                    </w:div>
                  </w:divsChild>
                </w:div>
                <w:div w:id="1665936538">
                  <w:marLeft w:val="0"/>
                  <w:marRight w:val="0"/>
                  <w:marTop w:val="0"/>
                  <w:marBottom w:val="0"/>
                  <w:divBdr>
                    <w:top w:val="none" w:sz="0" w:space="0" w:color="auto"/>
                    <w:left w:val="none" w:sz="0" w:space="0" w:color="auto"/>
                    <w:bottom w:val="none" w:sz="0" w:space="0" w:color="auto"/>
                    <w:right w:val="none" w:sz="0" w:space="0" w:color="auto"/>
                  </w:divBdr>
                  <w:divsChild>
                    <w:div w:id="12130772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27217066">
          <w:marLeft w:val="0"/>
          <w:marRight w:val="0"/>
          <w:marTop w:val="0"/>
          <w:marBottom w:val="0"/>
          <w:divBdr>
            <w:top w:val="none" w:sz="0" w:space="0" w:color="auto"/>
            <w:left w:val="none" w:sz="0" w:space="0" w:color="auto"/>
            <w:bottom w:val="none" w:sz="0" w:space="0" w:color="auto"/>
            <w:right w:val="none" w:sz="0" w:space="0" w:color="auto"/>
          </w:divBdr>
        </w:div>
        <w:div w:id="2013682173">
          <w:marLeft w:val="0"/>
          <w:marRight w:val="0"/>
          <w:marTop w:val="0"/>
          <w:marBottom w:val="0"/>
          <w:divBdr>
            <w:top w:val="none" w:sz="0" w:space="0" w:color="auto"/>
            <w:left w:val="none" w:sz="0" w:space="0" w:color="auto"/>
            <w:bottom w:val="none" w:sz="0" w:space="0" w:color="auto"/>
            <w:right w:val="none" w:sz="0" w:space="0" w:color="auto"/>
          </w:divBdr>
          <w:divsChild>
            <w:div w:id="442187927">
              <w:marLeft w:val="-75"/>
              <w:marRight w:val="0"/>
              <w:marTop w:val="30"/>
              <w:marBottom w:val="30"/>
              <w:divBdr>
                <w:top w:val="none" w:sz="0" w:space="0" w:color="auto"/>
                <w:left w:val="none" w:sz="0" w:space="0" w:color="auto"/>
                <w:bottom w:val="none" w:sz="0" w:space="0" w:color="auto"/>
                <w:right w:val="none" w:sz="0" w:space="0" w:color="auto"/>
              </w:divBdr>
              <w:divsChild>
                <w:div w:id="181939749">
                  <w:marLeft w:val="0"/>
                  <w:marRight w:val="0"/>
                  <w:marTop w:val="0"/>
                  <w:marBottom w:val="0"/>
                  <w:divBdr>
                    <w:top w:val="none" w:sz="0" w:space="0" w:color="auto"/>
                    <w:left w:val="none" w:sz="0" w:space="0" w:color="auto"/>
                    <w:bottom w:val="none" w:sz="0" w:space="0" w:color="auto"/>
                    <w:right w:val="none" w:sz="0" w:space="0" w:color="auto"/>
                  </w:divBdr>
                  <w:divsChild>
                    <w:div w:id="1602372506">
                      <w:marLeft w:val="0"/>
                      <w:marRight w:val="0"/>
                      <w:marTop w:val="0"/>
                      <w:marBottom w:val="0"/>
                      <w:divBdr>
                        <w:top w:val="none" w:sz="0" w:space="0" w:color="auto"/>
                        <w:left w:val="none" w:sz="0" w:space="0" w:color="auto"/>
                        <w:bottom w:val="none" w:sz="0" w:space="0" w:color="auto"/>
                        <w:right w:val="none" w:sz="0" w:space="0" w:color="auto"/>
                      </w:divBdr>
                    </w:div>
                  </w:divsChild>
                </w:div>
                <w:div w:id="717120345">
                  <w:marLeft w:val="0"/>
                  <w:marRight w:val="0"/>
                  <w:marTop w:val="0"/>
                  <w:marBottom w:val="0"/>
                  <w:divBdr>
                    <w:top w:val="none" w:sz="0" w:space="0" w:color="auto"/>
                    <w:left w:val="none" w:sz="0" w:space="0" w:color="auto"/>
                    <w:bottom w:val="none" w:sz="0" w:space="0" w:color="auto"/>
                    <w:right w:val="none" w:sz="0" w:space="0" w:color="auto"/>
                  </w:divBdr>
                  <w:divsChild>
                    <w:div w:id="360742768">
                      <w:marLeft w:val="0"/>
                      <w:marRight w:val="0"/>
                      <w:marTop w:val="0"/>
                      <w:marBottom w:val="0"/>
                      <w:divBdr>
                        <w:top w:val="none" w:sz="0" w:space="0" w:color="auto"/>
                        <w:left w:val="none" w:sz="0" w:space="0" w:color="auto"/>
                        <w:bottom w:val="none" w:sz="0" w:space="0" w:color="auto"/>
                        <w:right w:val="none" w:sz="0" w:space="0" w:color="auto"/>
                      </w:divBdr>
                    </w:div>
                    <w:div w:id="697048252">
                      <w:marLeft w:val="0"/>
                      <w:marRight w:val="0"/>
                      <w:marTop w:val="0"/>
                      <w:marBottom w:val="0"/>
                      <w:divBdr>
                        <w:top w:val="none" w:sz="0" w:space="0" w:color="auto"/>
                        <w:left w:val="none" w:sz="0" w:space="0" w:color="auto"/>
                        <w:bottom w:val="none" w:sz="0" w:space="0" w:color="auto"/>
                        <w:right w:val="none" w:sz="0" w:space="0" w:color="auto"/>
                      </w:divBdr>
                    </w:div>
                  </w:divsChild>
                </w:div>
                <w:div w:id="993728383">
                  <w:marLeft w:val="0"/>
                  <w:marRight w:val="0"/>
                  <w:marTop w:val="0"/>
                  <w:marBottom w:val="0"/>
                  <w:divBdr>
                    <w:top w:val="none" w:sz="0" w:space="0" w:color="auto"/>
                    <w:left w:val="none" w:sz="0" w:space="0" w:color="auto"/>
                    <w:bottom w:val="none" w:sz="0" w:space="0" w:color="auto"/>
                    <w:right w:val="none" w:sz="0" w:space="0" w:color="auto"/>
                  </w:divBdr>
                  <w:divsChild>
                    <w:div w:id="1875189737">
                      <w:marLeft w:val="0"/>
                      <w:marRight w:val="0"/>
                      <w:marTop w:val="0"/>
                      <w:marBottom w:val="0"/>
                      <w:divBdr>
                        <w:top w:val="none" w:sz="0" w:space="0" w:color="auto"/>
                        <w:left w:val="none" w:sz="0" w:space="0" w:color="auto"/>
                        <w:bottom w:val="none" w:sz="0" w:space="0" w:color="auto"/>
                        <w:right w:val="none" w:sz="0" w:space="0" w:color="auto"/>
                      </w:divBdr>
                    </w:div>
                  </w:divsChild>
                </w:div>
                <w:div w:id="1049063310">
                  <w:marLeft w:val="0"/>
                  <w:marRight w:val="0"/>
                  <w:marTop w:val="0"/>
                  <w:marBottom w:val="0"/>
                  <w:divBdr>
                    <w:top w:val="none" w:sz="0" w:space="0" w:color="auto"/>
                    <w:left w:val="none" w:sz="0" w:space="0" w:color="auto"/>
                    <w:bottom w:val="none" w:sz="0" w:space="0" w:color="auto"/>
                    <w:right w:val="none" w:sz="0" w:space="0" w:color="auto"/>
                  </w:divBdr>
                  <w:divsChild>
                    <w:div w:id="1137794423">
                      <w:marLeft w:val="0"/>
                      <w:marRight w:val="0"/>
                      <w:marTop w:val="0"/>
                      <w:marBottom w:val="0"/>
                      <w:divBdr>
                        <w:top w:val="none" w:sz="0" w:space="0" w:color="auto"/>
                        <w:left w:val="none" w:sz="0" w:space="0" w:color="auto"/>
                        <w:bottom w:val="none" w:sz="0" w:space="0" w:color="auto"/>
                        <w:right w:val="none" w:sz="0" w:space="0" w:color="auto"/>
                      </w:divBdr>
                    </w:div>
                  </w:divsChild>
                </w:div>
                <w:div w:id="1242449163">
                  <w:marLeft w:val="0"/>
                  <w:marRight w:val="0"/>
                  <w:marTop w:val="0"/>
                  <w:marBottom w:val="0"/>
                  <w:divBdr>
                    <w:top w:val="none" w:sz="0" w:space="0" w:color="auto"/>
                    <w:left w:val="none" w:sz="0" w:space="0" w:color="auto"/>
                    <w:bottom w:val="none" w:sz="0" w:space="0" w:color="auto"/>
                    <w:right w:val="none" w:sz="0" w:space="0" w:color="auto"/>
                  </w:divBdr>
                  <w:divsChild>
                    <w:div w:id="1286346535">
                      <w:marLeft w:val="0"/>
                      <w:marRight w:val="0"/>
                      <w:marTop w:val="0"/>
                      <w:marBottom w:val="0"/>
                      <w:divBdr>
                        <w:top w:val="none" w:sz="0" w:space="0" w:color="auto"/>
                        <w:left w:val="none" w:sz="0" w:space="0" w:color="auto"/>
                        <w:bottom w:val="none" w:sz="0" w:space="0" w:color="auto"/>
                        <w:right w:val="none" w:sz="0" w:space="0" w:color="auto"/>
                      </w:divBdr>
                    </w:div>
                  </w:divsChild>
                </w:div>
                <w:div w:id="1252735989">
                  <w:marLeft w:val="0"/>
                  <w:marRight w:val="0"/>
                  <w:marTop w:val="0"/>
                  <w:marBottom w:val="0"/>
                  <w:divBdr>
                    <w:top w:val="none" w:sz="0" w:space="0" w:color="auto"/>
                    <w:left w:val="none" w:sz="0" w:space="0" w:color="auto"/>
                    <w:bottom w:val="none" w:sz="0" w:space="0" w:color="auto"/>
                    <w:right w:val="none" w:sz="0" w:space="0" w:color="auto"/>
                  </w:divBdr>
                  <w:divsChild>
                    <w:div w:id="368649608">
                      <w:marLeft w:val="0"/>
                      <w:marRight w:val="0"/>
                      <w:marTop w:val="0"/>
                      <w:marBottom w:val="0"/>
                      <w:divBdr>
                        <w:top w:val="none" w:sz="0" w:space="0" w:color="auto"/>
                        <w:left w:val="none" w:sz="0" w:space="0" w:color="auto"/>
                        <w:bottom w:val="none" w:sz="0" w:space="0" w:color="auto"/>
                        <w:right w:val="none" w:sz="0" w:space="0" w:color="auto"/>
                      </w:divBdr>
                    </w:div>
                    <w:div w:id="660735752">
                      <w:marLeft w:val="0"/>
                      <w:marRight w:val="0"/>
                      <w:marTop w:val="0"/>
                      <w:marBottom w:val="0"/>
                      <w:divBdr>
                        <w:top w:val="none" w:sz="0" w:space="0" w:color="auto"/>
                        <w:left w:val="none" w:sz="0" w:space="0" w:color="auto"/>
                        <w:bottom w:val="none" w:sz="0" w:space="0" w:color="auto"/>
                        <w:right w:val="none" w:sz="0" w:space="0" w:color="auto"/>
                      </w:divBdr>
                    </w:div>
                    <w:div w:id="1010983355">
                      <w:marLeft w:val="0"/>
                      <w:marRight w:val="0"/>
                      <w:marTop w:val="0"/>
                      <w:marBottom w:val="0"/>
                      <w:divBdr>
                        <w:top w:val="none" w:sz="0" w:space="0" w:color="auto"/>
                        <w:left w:val="none" w:sz="0" w:space="0" w:color="auto"/>
                        <w:bottom w:val="none" w:sz="0" w:space="0" w:color="auto"/>
                        <w:right w:val="none" w:sz="0" w:space="0" w:color="auto"/>
                      </w:divBdr>
                    </w:div>
                    <w:div w:id="1687487849">
                      <w:marLeft w:val="0"/>
                      <w:marRight w:val="0"/>
                      <w:marTop w:val="0"/>
                      <w:marBottom w:val="0"/>
                      <w:divBdr>
                        <w:top w:val="none" w:sz="0" w:space="0" w:color="auto"/>
                        <w:left w:val="none" w:sz="0" w:space="0" w:color="auto"/>
                        <w:bottom w:val="none" w:sz="0" w:space="0" w:color="auto"/>
                        <w:right w:val="none" w:sz="0" w:space="0" w:color="auto"/>
                      </w:divBdr>
                    </w:div>
                  </w:divsChild>
                </w:div>
                <w:div w:id="1423337086">
                  <w:marLeft w:val="0"/>
                  <w:marRight w:val="0"/>
                  <w:marTop w:val="0"/>
                  <w:marBottom w:val="0"/>
                  <w:divBdr>
                    <w:top w:val="none" w:sz="0" w:space="0" w:color="auto"/>
                    <w:left w:val="none" w:sz="0" w:space="0" w:color="auto"/>
                    <w:bottom w:val="none" w:sz="0" w:space="0" w:color="auto"/>
                    <w:right w:val="none" w:sz="0" w:space="0" w:color="auto"/>
                  </w:divBdr>
                  <w:divsChild>
                    <w:div w:id="1558398022">
                      <w:marLeft w:val="0"/>
                      <w:marRight w:val="0"/>
                      <w:marTop w:val="0"/>
                      <w:marBottom w:val="0"/>
                      <w:divBdr>
                        <w:top w:val="none" w:sz="0" w:space="0" w:color="auto"/>
                        <w:left w:val="none" w:sz="0" w:space="0" w:color="auto"/>
                        <w:bottom w:val="none" w:sz="0" w:space="0" w:color="auto"/>
                        <w:right w:val="none" w:sz="0" w:space="0" w:color="auto"/>
                      </w:divBdr>
                    </w:div>
                  </w:divsChild>
                </w:div>
                <w:div w:id="1459950779">
                  <w:marLeft w:val="0"/>
                  <w:marRight w:val="0"/>
                  <w:marTop w:val="0"/>
                  <w:marBottom w:val="0"/>
                  <w:divBdr>
                    <w:top w:val="none" w:sz="0" w:space="0" w:color="auto"/>
                    <w:left w:val="none" w:sz="0" w:space="0" w:color="auto"/>
                    <w:bottom w:val="none" w:sz="0" w:space="0" w:color="auto"/>
                    <w:right w:val="none" w:sz="0" w:space="0" w:color="auto"/>
                  </w:divBdr>
                  <w:divsChild>
                    <w:div w:id="1605377599">
                      <w:marLeft w:val="0"/>
                      <w:marRight w:val="0"/>
                      <w:marTop w:val="0"/>
                      <w:marBottom w:val="0"/>
                      <w:divBdr>
                        <w:top w:val="none" w:sz="0" w:space="0" w:color="auto"/>
                        <w:left w:val="none" w:sz="0" w:space="0" w:color="auto"/>
                        <w:bottom w:val="none" w:sz="0" w:space="0" w:color="auto"/>
                        <w:right w:val="none" w:sz="0" w:space="0" w:color="auto"/>
                      </w:divBdr>
                    </w:div>
                  </w:divsChild>
                </w:div>
                <w:div w:id="1463307885">
                  <w:marLeft w:val="0"/>
                  <w:marRight w:val="0"/>
                  <w:marTop w:val="0"/>
                  <w:marBottom w:val="0"/>
                  <w:divBdr>
                    <w:top w:val="none" w:sz="0" w:space="0" w:color="auto"/>
                    <w:left w:val="none" w:sz="0" w:space="0" w:color="auto"/>
                    <w:bottom w:val="none" w:sz="0" w:space="0" w:color="auto"/>
                    <w:right w:val="none" w:sz="0" w:space="0" w:color="auto"/>
                  </w:divBdr>
                  <w:divsChild>
                    <w:div w:id="191040532">
                      <w:marLeft w:val="0"/>
                      <w:marRight w:val="0"/>
                      <w:marTop w:val="0"/>
                      <w:marBottom w:val="0"/>
                      <w:divBdr>
                        <w:top w:val="none" w:sz="0" w:space="0" w:color="auto"/>
                        <w:left w:val="none" w:sz="0" w:space="0" w:color="auto"/>
                        <w:bottom w:val="none" w:sz="0" w:space="0" w:color="auto"/>
                        <w:right w:val="none" w:sz="0" w:space="0" w:color="auto"/>
                      </w:divBdr>
                    </w:div>
                    <w:div w:id="608123691">
                      <w:marLeft w:val="0"/>
                      <w:marRight w:val="0"/>
                      <w:marTop w:val="0"/>
                      <w:marBottom w:val="0"/>
                      <w:divBdr>
                        <w:top w:val="none" w:sz="0" w:space="0" w:color="auto"/>
                        <w:left w:val="none" w:sz="0" w:space="0" w:color="auto"/>
                        <w:bottom w:val="none" w:sz="0" w:space="0" w:color="auto"/>
                        <w:right w:val="none" w:sz="0" w:space="0" w:color="auto"/>
                      </w:divBdr>
                    </w:div>
                    <w:div w:id="1374111027">
                      <w:marLeft w:val="0"/>
                      <w:marRight w:val="0"/>
                      <w:marTop w:val="0"/>
                      <w:marBottom w:val="0"/>
                      <w:divBdr>
                        <w:top w:val="none" w:sz="0" w:space="0" w:color="auto"/>
                        <w:left w:val="none" w:sz="0" w:space="0" w:color="auto"/>
                        <w:bottom w:val="none" w:sz="0" w:space="0" w:color="auto"/>
                        <w:right w:val="none" w:sz="0" w:space="0" w:color="auto"/>
                      </w:divBdr>
                    </w:div>
                    <w:div w:id="2082823082">
                      <w:marLeft w:val="0"/>
                      <w:marRight w:val="0"/>
                      <w:marTop w:val="0"/>
                      <w:marBottom w:val="0"/>
                      <w:divBdr>
                        <w:top w:val="none" w:sz="0" w:space="0" w:color="auto"/>
                        <w:left w:val="none" w:sz="0" w:space="0" w:color="auto"/>
                        <w:bottom w:val="none" w:sz="0" w:space="0" w:color="auto"/>
                        <w:right w:val="none" w:sz="0" w:space="0" w:color="auto"/>
                      </w:divBdr>
                    </w:div>
                  </w:divsChild>
                </w:div>
                <w:div w:id="1523974577">
                  <w:marLeft w:val="0"/>
                  <w:marRight w:val="0"/>
                  <w:marTop w:val="0"/>
                  <w:marBottom w:val="0"/>
                  <w:divBdr>
                    <w:top w:val="none" w:sz="0" w:space="0" w:color="auto"/>
                    <w:left w:val="none" w:sz="0" w:space="0" w:color="auto"/>
                    <w:bottom w:val="none" w:sz="0" w:space="0" w:color="auto"/>
                    <w:right w:val="none" w:sz="0" w:space="0" w:color="auto"/>
                  </w:divBdr>
                  <w:divsChild>
                    <w:div w:id="2014189161">
                      <w:marLeft w:val="0"/>
                      <w:marRight w:val="0"/>
                      <w:marTop w:val="0"/>
                      <w:marBottom w:val="0"/>
                      <w:divBdr>
                        <w:top w:val="none" w:sz="0" w:space="0" w:color="auto"/>
                        <w:left w:val="none" w:sz="0" w:space="0" w:color="auto"/>
                        <w:bottom w:val="none" w:sz="0" w:space="0" w:color="auto"/>
                        <w:right w:val="none" w:sz="0" w:space="0" w:color="auto"/>
                      </w:divBdr>
                    </w:div>
                  </w:divsChild>
                </w:div>
                <w:div w:id="1524510425">
                  <w:marLeft w:val="0"/>
                  <w:marRight w:val="0"/>
                  <w:marTop w:val="0"/>
                  <w:marBottom w:val="0"/>
                  <w:divBdr>
                    <w:top w:val="none" w:sz="0" w:space="0" w:color="auto"/>
                    <w:left w:val="none" w:sz="0" w:space="0" w:color="auto"/>
                    <w:bottom w:val="none" w:sz="0" w:space="0" w:color="auto"/>
                    <w:right w:val="none" w:sz="0" w:space="0" w:color="auto"/>
                  </w:divBdr>
                  <w:divsChild>
                    <w:div w:id="235018117">
                      <w:marLeft w:val="0"/>
                      <w:marRight w:val="0"/>
                      <w:marTop w:val="0"/>
                      <w:marBottom w:val="0"/>
                      <w:divBdr>
                        <w:top w:val="none" w:sz="0" w:space="0" w:color="auto"/>
                        <w:left w:val="none" w:sz="0" w:space="0" w:color="auto"/>
                        <w:bottom w:val="none" w:sz="0" w:space="0" w:color="auto"/>
                        <w:right w:val="none" w:sz="0" w:space="0" w:color="auto"/>
                      </w:divBdr>
                    </w:div>
                    <w:div w:id="378087925">
                      <w:marLeft w:val="0"/>
                      <w:marRight w:val="0"/>
                      <w:marTop w:val="0"/>
                      <w:marBottom w:val="0"/>
                      <w:divBdr>
                        <w:top w:val="none" w:sz="0" w:space="0" w:color="auto"/>
                        <w:left w:val="none" w:sz="0" w:space="0" w:color="auto"/>
                        <w:bottom w:val="none" w:sz="0" w:space="0" w:color="auto"/>
                        <w:right w:val="none" w:sz="0" w:space="0" w:color="auto"/>
                      </w:divBdr>
                    </w:div>
                    <w:div w:id="542910811">
                      <w:marLeft w:val="0"/>
                      <w:marRight w:val="0"/>
                      <w:marTop w:val="0"/>
                      <w:marBottom w:val="0"/>
                      <w:divBdr>
                        <w:top w:val="none" w:sz="0" w:space="0" w:color="auto"/>
                        <w:left w:val="none" w:sz="0" w:space="0" w:color="auto"/>
                        <w:bottom w:val="none" w:sz="0" w:space="0" w:color="auto"/>
                        <w:right w:val="none" w:sz="0" w:space="0" w:color="auto"/>
                      </w:divBdr>
                    </w:div>
                    <w:div w:id="725106735">
                      <w:marLeft w:val="0"/>
                      <w:marRight w:val="0"/>
                      <w:marTop w:val="0"/>
                      <w:marBottom w:val="0"/>
                      <w:divBdr>
                        <w:top w:val="none" w:sz="0" w:space="0" w:color="auto"/>
                        <w:left w:val="none" w:sz="0" w:space="0" w:color="auto"/>
                        <w:bottom w:val="none" w:sz="0" w:space="0" w:color="auto"/>
                        <w:right w:val="none" w:sz="0" w:space="0" w:color="auto"/>
                      </w:divBdr>
                    </w:div>
                    <w:div w:id="1501505423">
                      <w:marLeft w:val="0"/>
                      <w:marRight w:val="0"/>
                      <w:marTop w:val="0"/>
                      <w:marBottom w:val="0"/>
                      <w:divBdr>
                        <w:top w:val="none" w:sz="0" w:space="0" w:color="auto"/>
                        <w:left w:val="none" w:sz="0" w:space="0" w:color="auto"/>
                        <w:bottom w:val="none" w:sz="0" w:space="0" w:color="auto"/>
                        <w:right w:val="none" w:sz="0" w:space="0" w:color="auto"/>
                      </w:divBdr>
                    </w:div>
                    <w:div w:id="2028866384">
                      <w:marLeft w:val="0"/>
                      <w:marRight w:val="0"/>
                      <w:marTop w:val="0"/>
                      <w:marBottom w:val="0"/>
                      <w:divBdr>
                        <w:top w:val="none" w:sz="0" w:space="0" w:color="auto"/>
                        <w:left w:val="none" w:sz="0" w:space="0" w:color="auto"/>
                        <w:bottom w:val="none" w:sz="0" w:space="0" w:color="auto"/>
                        <w:right w:val="none" w:sz="0" w:space="0" w:color="auto"/>
                      </w:divBdr>
                    </w:div>
                  </w:divsChild>
                </w:div>
                <w:div w:id="1948803174">
                  <w:marLeft w:val="0"/>
                  <w:marRight w:val="0"/>
                  <w:marTop w:val="0"/>
                  <w:marBottom w:val="0"/>
                  <w:divBdr>
                    <w:top w:val="none" w:sz="0" w:space="0" w:color="auto"/>
                    <w:left w:val="none" w:sz="0" w:space="0" w:color="auto"/>
                    <w:bottom w:val="none" w:sz="0" w:space="0" w:color="auto"/>
                    <w:right w:val="none" w:sz="0" w:space="0" w:color="auto"/>
                  </w:divBdr>
                  <w:divsChild>
                    <w:div w:id="649134127">
                      <w:marLeft w:val="0"/>
                      <w:marRight w:val="0"/>
                      <w:marTop w:val="0"/>
                      <w:marBottom w:val="0"/>
                      <w:divBdr>
                        <w:top w:val="none" w:sz="0" w:space="0" w:color="auto"/>
                        <w:left w:val="none" w:sz="0" w:space="0" w:color="auto"/>
                        <w:bottom w:val="none" w:sz="0" w:space="0" w:color="auto"/>
                        <w:right w:val="none" w:sz="0" w:space="0" w:color="auto"/>
                      </w:divBdr>
                    </w:div>
                    <w:div w:id="1787314971">
                      <w:marLeft w:val="0"/>
                      <w:marRight w:val="0"/>
                      <w:marTop w:val="0"/>
                      <w:marBottom w:val="0"/>
                      <w:divBdr>
                        <w:top w:val="none" w:sz="0" w:space="0" w:color="auto"/>
                        <w:left w:val="none" w:sz="0" w:space="0" w:color="auto"/>
                        <w:bottom w:val="none" w:sz="0" w:space="0" w:color="auto"/>
                        <w:right w:val="none" w:sz="0" w:space="0" w:color="auto"/>
                      </w:divBdr>
                    </w:div>
                    <w:div w:id="19848451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45388911">
          <w:marLeft w:val="0"/>
          <w:marRight w:val="0"/>
          <w:marTop w:val="0"/>
          <w:marBottom w:val="0"/>
          <w:divBdr>
            <w:top w:val="none" w:sz="0" w:space="0" w:color="auto"/>
            <w:left w:val="none" w:sz="0" w:space="0" w:color="auto"/>
            <w:bottom w:val="none" w:sz="0" w:space="0" w:color="auto"/>
            <w:right w:val="none" w:sz="0" w:space="0" w:color="auto"/>
          </w:divBdr>
        </w:div>
      </w:divsChild>
    </w:div>
    <w:div w:id="1746763218">
      <w:bodyDiv w:val="1"/>
      <w:marLeft w:val="0"/>
      <w:marRight w:val="0"/>
      <w:marTop w:val="0"/>
      <w:marBottom w:val="0"/>
      <w:divBdr>
        <w:top w:val="none" w:sz="0" w:space="0" w:color="auto"/>
        <w:left w:val="none" w:sz="0" w:space="0" w:color="auto"/>
        <w:bottom w:val="none" w:sz="0" w:space="0" w:color="auto"/>
        <w:right w:val="none" w:sz="0" w:space="0" w:color="auto"/>
      </w:divBdr>
    </w:div>
    <w:div w:id="1748922635">
      <w:bodyDiv w:val="1"/>
      <w:marLeft w:val="0"/>
      <w:marRight w:val="0"/>
      <w:marTop w:val="0"/>
      <w:marBottom w:val="0"/>
      <w:divBdr>
        <w:top w:val="none" w:sz="0" w:space="0" w:color="auto"/>
        <w:left w:val="none" w:sz="0" w:space="0" w:color="auto"/>
        <w:bottom w:val="none" w:sz="0" w:space="0" w:color="auto"/>
        <w:right w:val="none" w:sz="0" w:space="0" w:color="auto"/>
      </w:divBdr>
    </w:div>
    <w:div w:id="1751462482">
      <w:bodyDiv w:val="1"/>
      <w:marLeft w:val="0"/>
      <w:marRight w:val="0"/>
      <w:marTop w:val="0"/>
      <w:marBottom w:val="0"/>
      <w:divBdr>
        <w:top w:val="none" w:sz="0" w:space="0" w:color="auto"/>
        <w:left w:val="none" w:sz="0" w:space="0" w:color="auto"/>
        <w:bottom w:val="none" w:sz="0" w:space="0" w:color="auto"/>
        <w:right w:val="none" w:sz="0" w:space="0" w:color="auto"/>
      </w:divBdr>
    </w:div>
    <w:div w:id="1758674468">
      <w:bodyDiv w:val="1"/>
      <w:marLeft w:val="0"/>
      <w:marRight w:val="0"/>
      <w:marTop w:val="0"/>
      <w:marBottom w:val="0"/>
      <w:divBdr>
        <w:top w:val="none" w:sz="0" w:space="0" w:color="auto"/>
        <w:left w:val="none" w:sz="0" w:space="0" w:color="auto"/>
        <w:bottom w:val="none" w:sz="0" w:space="0" w:color="auto"/>
        <w:right w:val="none" w:sz="0" w:space="0" w:color="auto"/>
      </w:divBdr>
    </w:div>
    <w:div w:id="1761900997">
      <w:bodyDiv w:val="1"/>
      <w:marLeft w:val="0"/>
      <w:marRight w:val="0"/>
      <w:marTop w:val="0"/>
      <w:marBottom w:val="0"/>
      <w:divBdr>
        <w:top w:val="none" w:sz="0" w:space="0" w:color="auto"/>
        <w:left w:val="none" w:sz="0" w:space="0" w:color="auto"/>
        <w:bottom w:val="none" w:sz="0" w:space="0" w:color="auto"/>
        <w:right w:val="none" w:sz="0" w:space="0" w:color="auto"/>
      </w:divBdr>
    </w:div>
    <w:div w:id="1781875905">
      <w:bodyDiv w:val="1"/>
      <w:marLeft w:val="0"/>
      <w:marRight w:val="0"/>
      <w:marTop w:val="0"/>
      <w:marBottom w:val="0"/>
      <w:divBdr>
        <w:top w:val="none" w:sz="0" w:space="0" w:color="auto"/>
        <w:left w:val="none" w:sz="0" w:space="0" w:color="auto"/>
        <w:bottom w:val="none" w:sz="0" w:space="0" w:color="auto"/>
        <w:right w:val="none" w:sz="0" w:space="0" w:color="auto"/>
      </w:divBdr>
    </w:div>
    <w:div w:id="1788161156">
      <w:bodyDiv w:val="1"/>
      <w:marLeft w:val="0"/>
      <w:marRight w:val="0"/>
      <w:marTop w:val="0"/>
      <w:marBottom w:val="0"/>
      <w:divBdr>
        <w:top w:val="none" w:sz="0" w:space="0" w:color="auto"/>
        <w:left w:val="none" w:sz="0" w:space="0" w:color="auto"/>
        <w:bottom w:val="none" w:sz="0" w:space="0" w:color="auto"/>
        <w:right w:val="none" w:sz="0" w:space="0" w:color="auto"/>
      </w:divBdr>
    </w:div>
    <w:div w:id="1798832415">
      <w:bodyDiv w:val="1"/>
      <w:marLeft w:val="0"/>
      <w:marRight w:val="0"/>
      <w:marTop w:val="0"/>
      <w:marBottom w:val="0"/>
      <w:divBdr>
        <w:top w:val="none" w:sz="0" w:space="0" w:color="auto"/>
        <w:left w:val="none" w:sz="0" w:space="0" w:color="auto"/>
        <w:bottom w:val="none" w:sz="0" w:space="0" w:color="auto"/>
        <w:right w:val="none" w:sz="0" w:space="0" w:color="auto"/>
      </w:divBdr>
    </w:div>
    <w:div w:id="1801074962">
      <w:bodyDiv w:val="1"/>
      <w:marLeft w:val="0"/>
      <w:marRight w:val="0"/>
      <w:marTop w:val="0"/>
      <w:marBottom w:val="0"/>
      <w:divBdr>
        <w:top w:val="none" w:sz="0" w:space="0" w:color="auto"/>
        <w:left w:val="none" w:sz="0" w:space="0" w:color="auto"/>
        <w:bottom w:val="none" w:sz="0" w:space="0" w:color="auto"/>
        <w:right w:val="none" w:sz="0" w:space="0" w:color="auto"/>
      </w:divBdr>
    </w:div>
    <w:div w:id="1802797055">
      <w:bodyDiv w:val="1"/>
      <w:marLeft w:val="0"/>
      <w:marRight w:val="0"/>
      <w:marTop w:val="0"/>
      <w:marBottom w:val="0"/>
      <w:divBdr>
        <w:top w:val="none" w:sz="0" w:space="0" w:color="auto"/>
        <w:left w:val="none" w:sz="0" w:space="0" w:color="auto"/>
        <w:bottom w:val="none" w:sz="0" w:space="0" w:color="auto"/>
        <w:right w:val="none" w:sz="0" w:space="0" w:color="auto"/>
      </w:divBdr>
    </w:div>
    <w:div w:id="1806041424">
      <w:bodyDiv w:val="1"/>
      <w:marLeft w:val="0"/>
      <w:marRight w:val="0"/>
      <w:marTop w:val="0"/>
      <w:marBottom w:val="0"/>
      <w:divBdr>
        <w:top w:val="none" w:sz="0" w:space="0" w:color="auto"/>
        <w:left w:val="none" w:sz="0" w:space="0" w:color="auto"/>
        <w:bottom w:val="none" w:sz="0" w:space="0" w:color="auto"/>
        <w:right w:val="none" w:sz="0" w:space="0" w:color="auto"/>
      </w:divBdr>
    </w:div>
    <w:div w:id="1806969104">
      <w:bodyDiv w:val="1"/>
      <w:marLeft w:val="0"/>
      <w:marRight w:val="0"/>
      <w:marTop w:val="0"/>
      <w:marBottom w:val="0"/>
      <w:divBdr>
        <w:top w:val="none" w:sz="0" w:space="0" w:color="auto"/>
        <w:left w:val="none" w:sz="0" w:space="0" w:color="auto"/>
        <w:bottom w:val="none" w:sz="0" w:space="0" w:color="auto"/>
        <w:right w:val="none" w:sz="0" w:space="0" w:color="auto"/>
      </w:divBdr>
      <w:divsChild>
        <w:div w:id="1317490343">
          <w:marLeft w:val="1080"/>
          <w:marRight w:val="0"/>
          <w:marTop w:val="0"/>
          <w:marBottom w:val="180"/>
          <w:divBdr>
            <w:top w:val="none" w:sz="0" w:space="0" w:color="auto"/>
            <w:left w:val="none" w:sz="0" w:space="0" w:color="auto"/>
            <w:bottom w:val="none" w:sz="0" w:space="0" w:color="auto"/>
            <w:right w:val="none" w:sz="0" w:space="0" w:color="auto"/>
          </w:divBdr>
        </w:div>
      </w:divsChild>
    </w:div>
    <w:div w:id="1809282434">
      <w:bodyDiv w:val="1"/>
      <w:marLeft w:val="0"/>
      <w:marRight w:val="0"/>
      <w:marTop w:val="0"/>
      <w:marBottom w:val="0"/>
      <w:divBdr>
        <w:top w:val="none" w:sz="0" w:space="0" w:color="auto"/>
        <w:left w:val="none" w:sz="0" w:space="0" w:color="auto"/>
        <w:bottom w:val="none" w:sz="0" w:space="0" w:color="auto"/>
        <w:right w:val="none" w:sz="0" w:space="0" w:color="auto"/>
      </w:divBdr>
    </w:div>
    <w:div w:id="1810437243">
      <w:bodyDiv w:val="1"/>
      <w:marLeft w:val="0"/>
      <w:marRight w:val="0"/>
      <w:marTop w:val="0"/>
      <w:marBottom w:val="0"/>
      <w:divBdr>
        <w:top w:val="none" w:sz="0" w:space="0" w:color="auto"/>
        <w:left w:val="none" w:sz="0" w:space="0" w:color="auto"/>
        <w:bottom w:val="none" w:sz="0" w:space="0" w:color="auto"/>
        <w:right w:val="none" w:sz="0" w:space="0" w:color="auto"/>
      </w:divBdr>
    </w:div>
    <w:div w:id="1814830611">
      <w:bodyDiv w:val="1"/>
      <w:marLeft w:val="0"/>
      <w:marRight w:val="0"/>
      <w:marTop w:val="0"/>
      <w:marBottom w:val="0"/>
      <w:divBdr>
        <w:top w:val="none" w:sz="0" w:space="0" w:color="auto"/>
        <w:left w:val="none" w:sz="0" w:space="0" w:color="auto"/>
        <w:bottom w:val="none" w:sz="0" w:space="0" w:color="auto"/>
        <w:right w:val="none" w:sz="0" w:space="0" w:color="auto"/>
      </w:divBdr>
    </w:div>
    <w:div w:id="1824274559">
      <w:bodyDiv w:val="1"/>
      <w:marLeft w:val="0"/>
      <w:marRight w:val="0"/>
      <w:marTop w:val="0"/>
      <w:marBottom w:val="0"/>
      <w:divBdr>
        <w:top w:val="none" w:sz="0" w:space="0" w:color="auto"/>
        <w:left w:val="none" w:sz="0" w:space="0" w:color="auto"/>
        <w:bottom w:val="none" w:sz="0" w:space="0" w:color="auto"/>
        <w:right w:val="none" w:sz="0" w:space="0" w:color="auto"/>
      </w:divBdr>
    </w:div>
    <w:div w:id="1827159667">
      <w:bodyDiv w:val="1"/>
      <w:marLeft w:val="0"/>
      <w:marRight w:val="0"/>
      <w:marTop w:val="0"/>
      <w:marBottom w:val="0"/>
      <w:divBdr>
        <w:top w:val="none" w:sz="0" w:space="0" w:color="auto"/>
        <w:left w:val="none" w:sz="0" w:space="0" w:color="auto"/>
        <w:bottom w:val="none" w:sz="0" w:space="0" w:color="auto"/>
        <w:right w:val="none" w:sz="0" w:space="0" w:color="auto"/>
      </w:divBdr>
    </w:div>
    <w:div w:id="1856845304">
      <w:bodyDiv w:val="1"/>
      <w:marLeft w:val="0"/>
      <w:marRight w:val="0"/>
      <w:marTop w:val="0"/>
      <w:marBottom w:val="0"/>
      <w:divBdr>
        <w:top w:val="none" w:sz="0" w:space="0" w:color="auto"/>
        <w:left w:val="none" w:sz="0" w:space="0" w:color="auto"/>
        <w:bottom w:val="none" w:sz="0" w:space="0" w:color="auto"/>
        <w:right w:val="none" w:sz="0" w:space="0" w:color="auto"/>
      </w:divBdr>
    </w:div>
    <w:div w:id="1869292026">
      <w:bodyDiv w:val="1"/>
      <w:marLeft w:val="0"/>
      <w:marRight w:val="0"/>
      <w:marTop w:val="0"/>
      <w:marBottom w:val="0"/>
      <w:divBdr>
        <w:top w:val="none" w:sz="0" w:space="0" w:color="auto"/>
        <w:left w:val="none" w:sz="0" w:space="0" w:color="auto"/>
        <w:bottom w:val="none" w:sz="0" w:space="0" w:color="auto"/>
        <w:right w:val="none" w:sz="0" w:space="0" w:color="auto"/>
      </w:divBdr>
    </w:div>
    <w:div w:id="1876232073">
      <w:bodyDiv w:val="1"/>
      <w:marLeft w:val="0"/>
      <w:marRight w:val="0"/>
      <w:marTop w:val="0"/>
      <w:marBottom w:val="0"/>
      <w:divBdr>
        <w:top w:val="none" w:sz="0" w:space="0" w:color="auto"/>
        <w:left w:val="none" w:sz="0" w:space="0" w:color="auto"/>
        <w:bottom w:val="none" w:sz="0" w:space="0" w:color="auto"/>
        <w:right w:val="none" w:sz="0" w:space="0" w:color="auto"/>
      </w:divBdr>
    </w:div>
    <w:div w:id="1884901114">
      <w:bodyDiv w:val="1"/>
      <w:marLeft w:val="0"/>
      <w:marRight w:val="0"/>
      <w:marTop w:val="0"/>
      <w:marBottom w:val="0"/>
      <w:divBdr>
        <w:top w:val="none" w:sz="0" w:space="0" w:color="auto"/>
        <w:left w:val="none" w:sz="0" w:space="0" w:color="auto"/>
        <w:bottom w:val="none" w:sz="0" w:space="0" w:color="auto"/>
        <w:right w:val="none" w:sz="0" w:space="0" w:color="auto"/>
      </w:divBdr>
    </w:div>
    <w:div w:id="1893809573">
      <w:bodyDiv w:val="1"/>
      <w:marLeft w:val="0"/>
      <w:marRight w:val="0"/>
      <w:marTop w:val="0"/>
      <w:marBottom w:val="0"/>
      <w:divBdr>
        <w:top w:val="none" w:sz="0" w:space="0" w:color="auto"/>
        <w:left w:val="none" w:sz="0" w:space="0" w:color="auto"/>
        <w:bottom w:val="none" w:sz="0" w:space="0" w:color="auto"/>
        <w:right w:val="none" w:sz="0" w:space="0" w:color="auto"/>
      </w:divBdr>
    </w:div>
    <w:div w:id="1896115111">
      <w:bodyDiv w:val="1"/>
      <w:marLeft w:val="0"/>
      <w:marRight w:val="0"/>
      <w:marTop w:val="0"/>
      <w:marBottom w:val="0"/>
      <w:divBdr>
        <w:top w:val="none" w:sz="0" w:space="0" w:color="auto"/>
        <w:left w:val="none" w:sz="0" w:space="0" w:color="auto"/>
        <w:bottom w:val="none" w:sz="0" w:space="0" w:color="auto"/>
        <w:right w:val="none" w:sz="0" w:space="0" w:color="auto"/>
      </w:divBdr>
    </w:div>
    <w:div w:id="1897861002">
      <w:bodyDiv w:val="1"/>
      <w:marLeft w:val="0"/>
      <w:marRight w:val="0"/>
      <w:marTop w:val="0"/>
      <w:marBottom w:val="0"/>
      <w:divBdr>
        <w:top w:val="none" w:sz="0" w:space="0" w:color="auto"/>
        <w:left w:val="none" w:sz="0" w:space="0" w:color="auto"/>
        <w:bottom w:val="none" w:sz="0" w:space="0" w:color="auto"/>
        <w:right w:val="none" w:sz="0" w:space="0" w:color="auto"/>
      </w:divBdr>
    </w:div>
    <w:div w:id="1900894945">
      <w:bodyDiv w:val="1"/>
      <w:marLeft w:val="0"/>
      <w:marRight w:val="0"/>
      <w:marTop w:val="0"/>
      <w:marBottom w:val="0"/>
      <w:divBdr>
        <w:top w:val="none" w:sz="0" w:space="0" w:color="auto"/>
        <w:left w:val="none" w:sz="0" w:space="0" w:color="auto"/>
        <w:bottom w:val="none" w:sz="0" w:space="0" w:color="auto"/>
        <w:right w:val="none" w:sz="0" w:space="0" w:color="auto"/>
      </w:divBdr>
    </w:div>
    <w:div w:id="1905332763">
      <w:bodyDiv w:val="1"/>
      <w:marLeft w:val="0"/>
      <w:marRight w:val="0"/>
      <w:marTop w:val="0"/>
      <w:marBottom w:val="0"/>
      <w:divBdr>
        <w:top w:val="none" w:sz="0" w:space="0" w:color="auto"/>
        <w:left w:val="none" w:sz="0" w:space="0" w:color="auto"/>
        <w:bottom w:val="none" w:sz="0" w:space="0" w:color="auto"/>
        <w:right w:val="none" w:sz="0" w:space="0" w:color="auto"/>
      </w:divBdr>
    </w:div>
    <w:div w:id="1909266353">
      <w:bodyDiv w:val="1"/>
      <w:marLeft w:val="0"/>
      <w:marRight w:val="0"/>
      <w:marTop w:val="0"/>
      <w:marBottom w:val="0"/>
      <w:divBdr>
        <w:top w:val="none" w:sz="0" w:space="0" w:color="auto"/>
        <w:left w:val="none" w:sz="0" w:space="0" w:color="auto"/>
        <w:bottom w:val="none" w:sz="0" w:space="0" w:color="auto"/>
        <w:right w:val="none" w:sz="0" w:space="0" w:color="auto"/>
      </w:divBdr>
    </w:div>
    <w:div w:id="1932856711">
      <w:bodyDiv w:val="1"/>
      <w:marLeft w:val="0"/>
      <w:marRight w:val="0"/>
      <w:marTop w:val="0"/>
      <w:marBottom w:val="0"/>
      <w:divBdr>
        <w:top w:val="none" w:sz="0" w:space="0" w:color="auto"/>
        <w:left w:val="none" w:sz="0" w:space="0" w:color="auto"/>
        <w:bottom w:val="none" w:sz="0" w:space="0" w:color="auto"/>
        <w:right w:val="none" w:sz="0" w:space="0" w:color="auto"/>
      </w:divBdr>
    </w:div>
    <w:div w:id="1933197389">
      <w:bodyDiv w:val="1"/>
      <w:marLeft w:val="0"/>
      <w:marRight w:val="0"/>
      <w:marTop w:val="0"/>
      <w:marBottom w:val="0"/>
      <w:divBdr>
        <w:top w:val="none" w:sz="0" w:space="0" w:color="auto"/>
        <w:left w:val="none" w:sz="0" w:space="0" w:color="auto"/>
        <w:bottom w:val="none" w:sz="0" w:space="0" w:color="auto"/>
        <w:right w:val="none" w:sz="0" w:space="0" w:color="auto"/>
      </w:divBdr>
    </w:div>
    <w:div w:id="1945652426">
      <w:bodyDiv w:val="1"/>
      <w:marLeft w:val="0"/>
      <w:marRight w:val="0"/>
      <w:marTop w:val="0"/>
      <w:marBottom w:val="0"/>
      <w:divBdr>
        <w:top w:val="none" w:sz="0" w:space="0" w:color="auto"/>
        <w:left w:val="none" w:sz="0" w:space="0" w:color="auto"/>
        <w:bottom w:val="none" w:sz="0" w:space="0" w:color="auto"/>
        <w:right w:val="none" w:sz="0" w:space="0" w:color="auto"/>
      </w:divBdr>
    </w:div>
    <w:div w:id="1981567725">
      <w:bodyDiv w:val="1"/>
      <w:marLeft w:val="0"/>
      <w:marRight w:val="0"/>
      <w:marTop w:val="0"/>
      <w:marBottom w:val="0"/>
      <w:divBdr>
        <w:top w:val="none" w:sz="0" w:space="0" w:color="auto"/>
        <w:left w:val="none" w:sz="0" w:space="0" w:color="auto"/>
        <w:bottom w:val="none" w:sz="0" w:space="0" w:color="auto"/>
        <w:right w:val="none" w:sz="0" w:space="0" w:color="auto"/>
      </w:divBdr>
    </w:div>
    <w:div w:id="1984961902">
      <w:bodyDiv w:val="1"/>
      <w:marLeft w:val="0"/>
      <w:marRight w:val="0"/>
      <w:marTop w:val="0"/>
      <w:marBottom w:val="0"/>
      <w:divBdr>
        <w:top w:val="none" w:sz="0" w:space="0" w:color="auto"/>
        <w:left w:val="none" w:sz="0" w:space="0" w:color="auto"/>
        <w:bottom w:val="none" w:sz="0" w:space="0" w:color="auto"/>
        <w:right w:val="none" w:sz="0" w:space="0" w:color="auto"/>
      </w:divBdr>
    </w:div>
    <w:div w:id="1993286661">
      <w:bodyDiv w:val="1"/>
      <w:marLeft w:val="0"/>
      <w:marRight w:val="0"/>
      <w:marTop w:val="0"/>
      <w:marBottom w:val="0"/>
      <w:divBdr>
        <w:top w:val="none" w:sz="0" w:space="0" w:color="auto"/>
        <w:left w:val="none" w:sz="0" w:space="0" w:color="auto"/>
        <w:bottom w:val="none" w:sz="0" w:space="0" w:color="auto"/>
        <w:right w:val="none" w:sz="0" w:space="0" w:color="auto"/>
      </w:divBdr>
    </w:div>
    <w:div w:id="1998873893">
      <w:bodyDiv w:val="1"/>
      <w:marLeft w:val="0"/>
      <w:marRight w:val="0"/>
      <w:marTop w:val="0"/>
      <w:marBottom w:val="0"/>
      <w:divBdr>
        <w:top w:val="none" w:sz="0" w:space="0" w:color="auto"/>
        <w:left w:val="none" w:sz="0" w:space="0" w:color="auto"/>
        <w:bottom w:val="none" w:sz="0" w:space="0" w:color="auto"/>
        <w:right w:val="none" w:sz="0" w:space="0" w:color="auto"/>
      </w:divBdr>
    </w:div>
    <w:div w:id="2005158221">
      <w:bodyDiv w:val="1"/>
      <w:marLeft w:val="0"/>
      <w:marRight w:val="0"/>
      <w:marTop w:val="0"/>
      <w:marBottom w:val="0"/>
      <w:divBdr>
        <w:top w:val="none" w:sz="0" w:space="0" w:color="auto"/>
        <w:left w:val="none" w:sz="0" w:space="0" w:color="auto"/>
        <w:bottom w:val="none" w:sz="0" w:space="0" w:color="auto"/>
        <w:right w:val="none" w:sz="0" w:space="0" w:color="auto"/>
      </w:divBdr>
    </w:div>
    <w:div w:id="2005350598">
      <w:bodyDiv w:val="1"/>
      <w:marLeft w:val="0"/>
      <w:marRight w:val="0"/>
      <w:marTop w:val="0"/>
      <w:marBottom w:val="0"/>
      <w:divBdr>
        <w:top w:val="none" w:sz="0" w:space="0" w:color="auto"/>
        <w:left w:val="none" w:sz="0" w:space="0" w:color="auto"/>
        <w:bottom w:val="none" w:sz="0" w:space="0" w:color="auto"/>
        <w:right w:val="none" w:sz="0" w:space="0" w:color="auto"/>
      </w:divBdr>
    </w:div>
    <w:div w:id="2006009497">
      <w:bodyDiv w:val="1"/>
      <w:marLeft w:val="0"/>
      <w:marRight w:val="0"/>
      <w:marTop w:val="0"/>
      <w:marBottom w:val="0"/>
      <w:divBdr>
        <w:top w:val="none" w:sz="0" w:space="0" w:color="auto"/>
        <w:left w:val="none" w:sz="0" w:space="0" w:color="auto"/>
        <w:bottom w:val="none" w:sz="0" w:space="0" w:color="auto"/>
        <w:right w:val="none" w:sz="0" w:space="0" w:color="auto"/>
      </w:divBdr>
    </w:div>
    <w:div w:id="2025522038">
      <w:bodyDiv w:val="1"/>
      <w:marLeft w:val="0"/>
      <w:marRight w:val="0"/>
      <w:marTop w:val="0"/>
      <w:marBottom w:val="0"/>
      <w:divBdr>
        <w:top w:val="none" w:sz="0" w:space="0" w:color="auto"/>
        <w:left w:val="none" w:sz="0" w:space="0" w:color="auto"/>
        <w:bottom w:val="none" w:sz="0" w:space="0" w:color="auto"/>
        <w:right w:val="none" w:sz="0" w:space="0" w:color="auto"/>
      </w:divBdr>
    </w:div>
    <w:div w:id="2037005620">
      <w:bodyDiv w:val="1"/>
      <w:marLeft w:val="0"/>
      <w:marRight w:val="0"/>
      <w:marTop w:val="0"/>
      <w:marBottom w:val="0"/>
      <w:divBdr>
        <w:top w:val="none" w:sz="0" w:space="0" w:color="auto"/>
        <w:left w:val="none" w:sz="0" w:space="0" w:color="auto"/>
        <w:bottom w:val="none" w:sz="0" w:space="0" w:color="auto"/>
        <w:right w:val="none" w:sz="0" w:space="0" w:color="auto"/>
      </w:divBdr>
    </w:div>
    <w:div w:id="2059015120">
      <w:bodyDiv w:val="1"/>
      <w:marLeft w:val="0"/>
      <w:marRight w:val="0"/>
      <w:marTop w:val="0"/>
      <w:marBottom w:val="0"/>
      <w:divBdr>
        <w:top w:val="none" w:sz="0" w:space="0" w:color="auto"/>
        <w:left w:val="none" w:sz="0" w:space="0" w:color="auto"/>
        <w:bottom w:val="none" w:sz="0" w:space="0" w:color="auto"/>
        <w:right w:val="none" w:sz="0" w:space="0" w:color="auto"/>
      </w:divBdr>
    </w:div>
    <w:div w:id="2059816942">
      <w:bodyDiv w:val="1"/>
      <w:marLeft w:val="0"/>
      <w:marRight w:val="0"/>
      <w:marTop w:val="0"/>
      <w:marBottom w:val="0"/>
      <w:divBdr>
        <w:top w:val="none" w:sz="0" w:space="0" w:color="auto"/>
        <w:left w:val="none" w:sz="0" w:space="0" w:color="auto"/>
        <w:bottom w:val="none" w:sz="0" w:space="0" w:color="auto"/>
        <w:right w:val="none" w:sz="0" w:space="0" w:color="auto"/>
      </w:divBdr>
    </w:div>
    <w:div w:id="2061512182">
      <w:bodyDiv w:val="1"/>
      <w:marLeft w:val="0"/>
      <w:marRight w:val="0"/>
      <w:marTop w:val="0"/>
      <w:marBottom w:val="0"/>
      <w:divBdr>
        <w:top w:val="none" w:sz="0" w:space="0" w:color="auto"/>
        <w:left w:val="none" w:sz="0" w:space="0" w:color="auto"/>
        <w:bottom w:val="none" w:sz="0" w:space="0" w:color="auto"/>
        <w:right w:val="none" w:sz="0" w:space="0" w:color="auto"/>
      </w:divBdr>
    </w:div>
    <w:div w:id="2062508910">
      <w:bodyDiv w:val="1"/>
      <w:marLeft w:val="0"/>
      <w:marRight w:val="0"/>
      <w:marTop w:val="0"/>
      <w:marBottom w:val="0"/>
      <w:divBdr>
        <w:top w:val="none" w:sz="0" w:space="0" w:color="auto"/>
        <w:left w:val="none" w:sz="0" w:space="0" w:color="auto"/>
        <w:bottom w:val="none" w:sz="0" w:space="0" w:color="auto"/>
        <w:right w:val="none" w:sz="0" w:space="0" w:color="auto"/>
      </w:divBdr>
    </w:div>
    <w:div w:id="2068650156">
      <w:bodyDiv w:val="1"/>
      <w:marLeft w:val="0"/>
      <w:marRight w:val="0"/>
      <w:marTop w:val="0"/>
      <w:marBottom w:val="0"/>
      <w:divBdr>
        <w:top w:val="none" w:sz="0" w:space="0" w:color="auto"/>
        <w:left w:val="none" w:sz="0" w:space="0" w:color="auto"/>
        <w:bottom w:val="none" w:sz="0" w:space="0" w:color="auto"/>
        <w:right w:val="none" w:sz="0" w:space="0" w:color="auto"/>
      </w:divBdr>
    </w:div>
    <w:div w:id="2075855580">
      <w:bodyDiv w:val="1"/>
      <w:marLeft w:val="0"/>
      <w:marRight w:val="0"/>
      <w:marTop w:val="0"/>
      <w:marBottom w:val="0"/>
      <w:divBdr>
        <w:top w:val="none" w:sz="0" w:space="0" w:color="auto"/>
        <w:left w:val="none" w:sz="0" w:space="0" w:color="auto"/>
        <w:bottom w:val="none" w:sz="0" w:space="0" w:color="auto"/>
        <w:right w:val="none" w:sz="0" w:space="0" w:color="auto"/>
      </w:divBdr>
    </w:div>
    <w:div w:id="2107070612">
      <w:bodyDiv w:val="1"/>
      <w:marLeft w:val="0"/>
      <w:marRight w:val="0"/>
      <w:marTop w:val="0"/>
      <w:marBottom w:val="0"/>
      <w:divBdr>
        <w:top w:val="none" w:sz="0" w:space="0" w:color="auto"/>
        <w:left w:val="none" w:sz="0" w:space="0" w:color="auto"/>
        <w:bottom w:val="none" w:sz="0" w:space="0" w:color="auto"/>
        <w:right w:val="none" w:sz="0" w:space="0" w:color="auto"/>
      </w:divBdr>
    </w:div>
    <w:div w:id="2132281310">
      <w:bodyDiv w:val="1"/>
      <w:marLeft w:val="0"/>
      <w:marRight w:val="0"/>
      <w:marTop w:val="0"/>
      <w:marBottom w:val="0"/>
      <w:divBdr>
        <w:top w:val="none" w:sz="0" w:space="0" w:color="auto"/>
        <w:left w:val="none" w:sz="0" w:space="0" w:color="auto"/>
        <w:bottom w:val="none" w:sz="0" w:space="0" w:color="auto"/>
        <w:right w:val="none" w:sz="0" w:space="0" w:color="auto"/>
      </w:divBdr>
    </w:div>
    <w:div w:id="2142645449">
      <w:bodyDiv w:val="1"/>
      <w:marLeft w:val="0"/>
      <w:marRight w:val="0"/>
      <w:marTop w:val="0"/>
      <w:marBottom w:val="0"/>
      <w:divBdr>
        <w:top w:val="none" w:sz="0" w:space="0" w:color="auto"/>
        <w:left w:val="none" w:sz="0" w:space="0" w:color="auto"/>
        <w:bottom w:val="none" w:sz="0" w:space="0" w:color="auto"/>
        <w:right w:val="none" w:sz="0" w:space="0" w:color="auto"/>
      </w:divBdr>
    </w:div>
    <w:div w:id="2145615784">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13" Type="http://schemas.openxmlformats.org/officeDocument/2006/relationships/header" Target="header2.xml"/><Relationship Id="rId18" Type="http://schemas.openxmlformats.org/officeDocument/2006/relationships/image" Target="media/image2.png"/><Relationship Id="rId26" Type="http://schemas.openxmlformats.org/officeDocument/2006/relationships/image" Target="media/image10.png"/><Relationship Id="rId21" Type="http://schemas.openxmlformats.org/officeDocument/2006/relationships/image" Target="media/image5.png"/><Relationship Id="rId34" Type="http://schemas.openxmlformats.org/officeDocument/2006/relationships/footer" Target="footer6.xm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footer" Target="footer3.xml"/><Relationship Id="rId25" Type="http://schemas.openxmlformats.org/officeDocument/2006/relationships/image" Target="media/image9.png"/><Relationship Id="rId33" Type="http://schemas.openxmlformats.org/officeDocument/2006/relationships/header" Target="header6.xml"/><Relationship Id="rId38" Type="http://schemas.microsoft.com/office/2020/10/relationships/intelligence" Target="intelligence2.xml"/><Relationship Id="rId2" Type="http://schemas.openxmlformats.org/officeDocument/2006/relationships/customXml" Target="../customXml/item2.xml"/><Relationship Id="rId16" Type="http://schemas.openxmlformats.org/officeDocument/2006/relationships/header" Target="header3.xml"/><Relationship Id="rId20" Type="http://schemas.openxmlformats.org/officeDocument/2006/relationships/image" Target="media/image4.png"/><Relationship Id="rId29" Type="http://schemas.openxmlformats.org/officeDocument/2006/relationships/header" Target="header4.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emf"/><Relationship Id="rId24" Type="http://schemas.openxmlformats.org/officeDocument/2006/relationships/image" Target="media/image8.png"/><Relationship Id="rId32" Type="http://schemas.openxmlformats.org/officeDocument/2006/relationships/footer" Target="footer5.xml"/><Relationship Id="rId37" Type="http://schemas.microsoft.com/office/2019/05/relationships/documenttasks" Target="documenttasks/documenttasks1.xml"/><Relationship Id="rId5" Type="http://schemas.openxmlformats.org/officeDocument/2006/relationships/numbering" Target="numbering.xml"/><Relationship Id="rId15" Type="http://schemas.openxmlformats.org/officeDocument/2006/relationships/footer" Target="footer2.xml"/><Relationship Id="rId23" Type="http://schemas.openxmlformats.org/officeDocument/2006/relationships/image" Target="media/image7.png"/><Relationship Id="rId28" Type="http://schemas.openxmlformats.org/officeDocument/2006/relationships/image" Target="media/image12.png"/><Relationship Id="rId36" Type="http://schemas.openxmlformats.org/officeDocument/2006/relationships/theme" Target="theme/theme1.xml"/><Relationship Id="rId10" Type="http://schemas.openxmlformats.org/officeDocument/2006/relationships/endnotes" Target="endnotes.xml"/><Relationship Id="rId19" Type="http://schemas.openxmlformats.org/officeDocument/2006/relationships/image" Target="media/image3.png"/><Relationship Id="rId31" Type="http://schemas.openxmlformats.org/officeDocument/2006/relationships/footer" Target="footer4.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 Id="rId22" Type="http://schemas.openxmlformats.org/officeDocument/2006/relationships/image" Target="media/image6.png"/><Relationship Id="rId27" Type="http://schemas.openxmlformats.org/officeDocument/2006/relationships/image" Target="media/image11.png"/><Relationship Id="rId30" Type="http://schemas.openxmlformats.org/officeDocument/2006/relationships/header" Target="header5.xml"/><Relationship Id="rId35" Type="http://schemas.openxmlformats.org/officeDocument/2006/relationships/fontTable" Target="fontTable.xml"/><Relationship Id="rId8" Type="http://schemas.openxmlformats.org/officeDocument/2006/relationships/webSettings" Target="webSettings.xml"/><Relationship Id="rId3" Type="http://schemas.openxmlformats.org/officeDocument/2006/relationships/customXml" Target="../customXml/item3.xml"/></Relationships>
</file>

<file path=word/_rels/footnotes.xml.rels><?xml version="1.0" encoding="UTF-8" standalone="yes"?>
<Relationships xmlns="http://schemas.openxmlformats.org/package/2006/relationships"><Relationship Id="rId117" Type="http://schemas.openxmlformats.org/officeDocument/2006/relationships/hyperlink" Target="https://www.efpia.eu/media/3edpooqp/assessing-the-clinical-trial-ecosystem-in-europe.pdf" TargetMode="External"/><Relationship Id="rId21" Type="http://schemas.openxmlformats.org/officeDocument/2006/relationships/hyperlink" Target="http://data.europa.eu/eli/dir/2010/53/oj" TargetMode="External"/><Relationship Id="rId42" Type="http://schemas.openxmlformats.org/officeDocument/2006/relationships/hyperlink" Target="https://www.eif.org/flagship-initiatives/techeu" TargetMode="External"/><Relationship Id="rId63" Type="http://schemas.openxmlformats.org/officeDocument/2006/relationships/hyperlink" Target="https://ec.europa.eu/assets/rtd/srip/2024/ec_rtd_srip-report-2024-chap-03.pdf" TargetMode="External"/><Relationship Id="rId84" Type="http://schemas.openxmlformats.org/officeDocument/2006/relationships/hyperlink" Target="http://orclinicalresearch.com/wp-content/uploads/2018/12/battelle-2015-study.pdf" TargetMode="External"/><Relationship Id="rId138" Type="http://schemas.openxmlformats.org/officeDocument/2006/relationships/hyperlink" Target="http://www.iqvia.com/-/media/iqvia/pdfs/library/white-papers/the-impact-of-biosimilar-competition-in-europe-2024.pdf" TargetMode="External"/><Relationship Id="rId107" Type="http://schemas.openxmlformats.org/officeDocument/2006/relationships/hyperlink" Target="https://accelerating-clinical-trials.europa.eu/document/download/8e0aeff5-6316-4976-b6dd-5fe58254db49_en?filename=EU%20clinical%20trials%20during%20the%203-year%20CTR%20transition%20period.pdf" TargetMode="External"/><Relationship Id="rId11" Type="http://schemas.openxmlformats.org/officeDocument/2006/relationships/hyperlink" Target="https://commission.europa.eu/document/download/5bb2881f-9e29-42f2-8b77-8739b19d047c_en?filename=2024_Niinisto-report_Book_VF.pdf" TargetMode="External"/><Relationship Id="rId32" Type="http://schemas.openxmlformats.org/officeDocument/2006/relationships/hyperlink" Target="https://eur-lex.europa.eu/legal-content/EN/TXT/?uri=celex:52025DC0047" TargetMode="External"/><Relationship Id="rId53" Type="http://schemas.openxmlformats.org/officeDocument/2006/relationships/hyperlink" Target="https://eur-lex.europa.eu/legal-content/EN/TXT/?uri=CELEX%3A52025DC0075" TargetMode="External"/><Relationship Id="rId74" Type="http://schemas.openxmlformats.org/officeDocument/2006/relationships/hyperlink" Target="https://globalsynthesismap.bio/policy?country=FRA" TargetMode="External"/><Relationship Id="rId128" Type="http://schemas.openxmlformats.org/officeDocument/2006/relationships/hyperlink" Target="https://doi.org/10.1001/jamainternmed.2020.3928" TargetMode="External"/><Relationship Id="rId149" Type="http://schemas.openxmlformats.org/officeDocument/2006/relationships/hyperlink" Target="https://www.weforum.org/publications/biosecurity-innovation-and-risk-reduction-a-global-framework-for-accessible-safe-and-secure-dna-synthesis-582d582cd4/" TargetMode="External"/><Relationship Id="rId5" Type="http://schemas.openxmlformats.org/officeDocument/2006/relationships/hyperlink" Target="https://commission.europa.eu/document/download/b1817a1b-e62e-4949-bbb8-ebf29b54c8bd_en?filename=Mission%20letter%20-%20VARHELYI.pdf" TargetMode="External"/><Relationship Id="rId95" Type="http://schemas.openxmlformats.org/officeDocument/2006/relationships/hyperlink" Target="https://www.grandviewresearch.com/horizon/outlook/dna-synthesis-market/europe" TargetMode="External"/><Relationship Id="rId22" Type="http://schemas.openxmlformats.org/officeDocument/2006/relationships/hyperlink" Target="http://data.europa.eu/eli/reg/2019/6/oj" TargetMode="External"/><Relationship Id="rId27" Type="http://schemas.openxmlformats.org/officeDocument/2006/relationships/hyperlink" Target="https://eur-lex.europa.eu/legal-content/EN/TXT/?uri=CELEX:52020DC0761" TargetMode="External"/><Relationship Id="rId43" Type="http://schemas.openxmlformats.org/officeDocument/2006/relationships/hyperlink" Target="https://www.eif.org/flagship-initiatives/european-tech-champions-initiative/overview" TargetMode="External"/><Relationship Id="rId48" Type="http://schemas.openxmlformats.org/officeDocument/2006/relationships/hyperlink" Target="https://eur-lex.europa.eu/legal-content/EN/TXT/?uri=celex:52025DC0835" TargetMode="External"/><Relationship Id="rId64" Type="http://schemas.openxmlformats.org/officeDocument/2006/relationships/hyperlink" Target="https://www.weforum.org/publications/the-future-of-jobs-report-2025/digest/" TargetMode="External"/><Relationship Id="rId69" Type="http://schemas.openxmlformats.org/officeDocument/2006/relationships/hyperlink" Target="http://data.europa.eu/eli/reg/2009/469/oj" TargetMode="External"/><Relationship Id="rId113" Type="http://schemas.openxmlformats.org/officeDocument/2006/relationships/hyperlink" Target="https://www.efpia.eu/media/wlejmh0r/the-economic-impact-of-industry-clinical-trials-across-europe.pdf" TargetMode="External"/><Relationship Id="rId118" Type="http://schemas.openxmlformats.org/officeDocument/2006/relationships/hyperlink" Target="http://data.europa.eu/eli/reg/2019/6/oj" TargetMode="External"/><Relationship Id="rId134" Type="http://schemas.openxmlformats.org/officeDocument/2006/relationships/hyperlink" Target="https://www.medicinesforeurope.com/biosimilar-medicines/who-we-are/" TargetMode="External"/><Relationship Id="rId139" Type="http://schemas.openxmlformats.org/officeDocument/2006/relationships/hyperlink" Target="https://health.ec.europa.eu/publications/impact-assessment-report-and-executive-summary-accompanying-revision-general-pharmaceutical_en" TargetMode="External"/><Relationship Id="rId80" Type="http://schemas.openxmlformats.org/officeDocument/2006/relationships/hyperlink" Target="https://cdn.aglty.io/phrma/global/resources/import/pdfs/PhRMA_membership%20survey_single%20page_70523_es_digital.pdf" TargetMode="External"/><Relationship Id="rId85" Type="http://schemas.openxmlformats.org/officeDocument/2006/relationships/hyperlink" Target="https://accelerating-clinical-trials.europa.eu/document/download/8e0aeff5-6316-4976-b6dd-5fe58254db49_en?filename=EU%20clinical%20trials%20during%20the%203-year%20CTR%20transition%20period.pdf" TargetMode="External"/><Relationship Id="rId150" Type="http://schemas.openxmlformats.org/officeDocument/2006/relationships/hyperlink" Target="https://www.rand.org/pubs/research_reports/RRA4805-1.html" TargetMode="External"/><Relationship Id="rId155" Type="http://schemas.openxmlformats.org/officeDocument/2006/relationships/hyperlink" Target="https://pmc.ncbi.nlm.nih.gov/articles/PMC7531566/" TargetMode="External"/><Relationship Id="rId12" Type="http://schemas.openxmlformats.org/officeDocument/2006/relationships/hyperlink" Target="https://www.consilium.europa.eu/media/m5jlwe0p/euco-conclusions-20240417-18-en.pdf" TargetMode="External"/><Relationship Id="rId17" Type="http://schemas.openxmlformats.org/officeDocument/2006/relationships/hyperlink" Target="https://oeil.europarl.europa.eu/oeil/en/procedure-file?reference=2025/2087(INI)" TargetMode="External"/><Relationship Id="rId33" Type="http://schemas.openxmlformats.org/officeDocument/2006/relationships/hyperlink" Target="https://eur-lex.europa.eu/legal-content/EN/TXT/?uri=CELEX:52025DC0525" TargetMode="External"/><Relationship Id="rId38" Type="http://schemas.openxmlformats.org/officeDocument/2006/relationships/hyperlink" Target="http://data.europa.eu/eli/reg/2022/2371/oj" TargetMode="External"/><Relationship Id="rId59" Type="http://schemas.openxmlformats.org/officeDocument/2006/relationships/hyperlink" Target="http://data.europa.eu/eli/reg/2024/1735/2025-08-17" TargetMode="External"/><Relationship Id="rId103" Type="http://schemas.openxmlformats.org/officeDocument/2006/relationships/hyperlink" Target="http://data.europa.eu/eli/reg/2007/1394/oj" TargetMode="External"/><Relationship Id="rId108" Type="http://schemas.openxmlformats.org/officeDocument/2006/relationships/hyperlink" Target="https://accelerating-clinical-trials.europa.eu/document/download/8e0aeff5-6316-4976-b6dd-5fe58254db49_en?filename=EU%20clinical%20trials%20during%20the%203-year%20CTR%20transition%20period.pdf" TargetMode="External"/><Relationship Id="rId124" Type="http://schemas.openxmlformats.org/officeDocument/2006/relationships/hyperlink" Target="http://data.europa.eu/eli/dir/2010/53/2010-08-06" TargetMode="External"/><Relationship Id="rId129" Type="http://schemas.openxmlformats.org/officeDocument/2006/relationships/hyperlink" Target="https://www.dovepress.com/net-present-value-impact-of-fdas-phase-3-waivers-on-monoclonal-antibod-peer-reviewed-fulltext-article-BTT" TargetMode="External"/><Relationship Id="rId54" Type="http://schemas.openxmlformats.org/officeDocument/2006/relationships/hyperlink" Target="https://eur-lex.europa.eu/legal-content/EN/TXT/?uri=CELEX:52023PC0411" TargetMode="External"/><Relationship Id="rId70" Type="http://schemas.openxmlformats.org/officeDocument/2006/relationships/hyperlink" Target="https://digital-decade-desi.digital-strategy.ec.europa.eu/datasets/desi/charts/desi-indicators" TargetMode="External"/><Relationship Id="rId75" Type="http://schemas.openxmlformats.org/officeDocument/2006/relationships/hyperlink" Target="https://eur-lex.europa.eu/legal-content/EN/TXT/?uri=CELEX:52025DC0030" TargetMode="External"/><Relationship Id="rId91" Type="http://schemas.openxmlformats.org/officeDocument/2006/relationships/hyperlink" Target="https://www.medicinesforeurope.com/wp-content/uploads/2026/03/FOOTPRINT-Biotech-Act-factsheet.pdf" TargetMode="External"/><Relationship Id="rId96" Type="http://schemas.openxmlformats.org/officeDocument/2006/relationships/hyperlink" Target="https://www.grandviewresearch.com/horizon/outlook/biotechnology-market/europe" TargetMode="External"/><Relationship Id="rId140" Type="http://schemas.openxmlformats.org/officeDocument/2006/relationships/hyperlink" Target="https://doi.org/10.3389/fphar.2022.1027760" TargetMode="External"/><Relationship Id="rId145" Type="http://schemas.openxmlformats.org/officeDocument/2006/relationships/hyperlink" Target="https://www.google.com/url?q=https://www.dw.com/en/germany-teens-home-searched-over-suspected-ricin-plot/a-72272711&amp;sa=D&amp;source=docs&amp;ust=1774877995530081&amp;usg=AOvVaw2Dhteknokentw49moo94Gv" TargetMode="External"/><Relationship Id="rId1" Type="http://schemas.openxmlformats.org/officeDocument/2006/relationships/hyperlink" Target="https://eur-lex.europa.eu/legal-content/EN/TXT/?uri=CELEX:52025PC1022" TargetMode="External"/><Relationship Id="rId6" Type="http://schemas.openxmlformats.org/officeDocument/2006/relationships/hyperlink" Target="http://data.europa.eu/eli/reco/2023/2113/oj" TargetMode="External"/><Relationship Id="rId23" Type="http://schemas.openxmlformats.org/officeDocument/2006/relationships/hyperlink" Target="http://data.europa.eu/eli/reg/2002/178/oj" TargetMode="External"/><Relationship Id="rId28" Type="http://schemas.openxmlformats.org/officeDocument/2006/relationships/hyperlink" Target="https://health.ec.europa.eu/medicinal-products/legal-framework-governing-medicinal-products-human-use-eu/reform-eu-pharmaceutical-legislation_en" TargetMode="External"/><Relationship Id="rId49" Type="http://schemas.openxmlformats.org/officeDocument/2006/relationships/hyperlink" Target="http://data.europa.eu/eli/reg/2019/881/oj" TargetMode="External"/><Relationship Id="rId114" Type="http://schemas.openxmlformats.org/officeDocument/2006/relationships/hyperlink" Target="https://accelerating-clinical-trials.europa.eu/document/download/8e0aeff5-6316-4976-b6dd-5fe58254db49_en?filename=EU%20clinical%20trials%20during%20the%203-year%20CTR%20transition%20period.pdf" TargetMode="External"/><Relationship Id="rId119" Type="http://schemas.openxmlformats.org/officeDocument/2006/relationships/hyperlink" Target="http://data.europa.eu/eli/reg/2024/1938/oj" TargetMode="External"/><Relationship Id="rId44" Type="http://schemas.openxmlformats.org/officeDocument/2006/relationships/hyperlink" Target="https://eur-lex.europa.eu/legal-content/EN/TXT/?uri=CELEX%3A52025DC0724&amp;qid=1762332390557" TargetMode="External"/><Relationship Id="rId60" Type="http://schemas.openxmlformats.org/officeDocument/2006/relationships/hyperlink" Target="https://eur-lex.europa.eu/legal-content/EN/TXT/?uri=CELEX:52025PC1022" TargetMode="External"/><Relationship Id="rId65" Type="http://schemas.openxmlformats.org/officeDocument/2006/relationships/hyperlink" Target="https://www.europabio.org/wp-content/uploads/2025/03/WifOR_EuropaBio2025.pdf" TargetMode="External"/><Relationship Id="rId81" Type="http://schemas.openxmlformats.org/officeDocument/2006/relationships/hyperlink" Target="https://efpia.eu/media/2rxdkn43/the-pharmaceutical-industry-in-figures-2024.pdf" TargetMode="External"/><Relationship Id="rId86" Type="http://schemas.openxmlformats.org/officeDocument/2006/relationships/hyperlink" Target="https://www.efpia.eu/media/zdzg0bey/the-economic-impact-of-industry-clinical-trials-across-europe.pdf" TargetMode="External"/><Relationship Id="rId130" Type="http://schemas.openxmlformats.org/officeDocument/2006/relationships/hyperlink" Target="https://www.ema.europa.eu/en/medicines/download-medicine-data" TargetMode="External"/><Relationship Id="rId135" Type="http://schemas.openxmlformats.org/officeDocument/2006/relationships/hyperlink" Target="https://www.medicinesforeurope.com/wp-content/uploads/2026/03/FOOTPRINT-Biotech-Act-factsheet.pdf" TargetMode="External"/><Relationship Id="rId151" Type="http://schemas.openxmlformats.org/officeDocument/2006/relationships/hyperlink" Target="https://github.com/ibbis-bio/common-mechanism" TargetMode="External"/><Relationship Id="rId13" Type="http://schemas.openxmlformats.org/officeDocument/2006/relationships/hyperlink" Target="https://www.consilium.europa.eu/media/54773/20220311-versailles-declaration-en.pdf" TargetMode="External"/><Relationship Id="rId18" Type="http://schemas.openxmlformats.org/officeDocument/2006/relationships/hyperlink" Target="http://data.europa.eu/eli/reg/2014/536/oj" TargetMode="External"/><Relationship Id="rId39" Type="http://schemas.openxmlformats.org/officeDocument/2006/relationships/hyperlink" Target="https://eur-lex.europa.eu/legal-content/EN/TXT/?uri=CELEX%3A52025DC0529" TargetMode="External"/><Relationship Id="rId109" Type="http://schemas.openxmlformats.org/officeDocument/2006/relationships/hyperlink" Target="https://www.oecd.org/content/dam/oecd/en/publications/reports/2010/01/national-accounts-at-a-glance-2009_g1ghc10a/9789264067981-en.pdf?utm_source=chatgpt.com" TargetMode="External"/><Relationship Id="rId34" Type="http://schemas.openxmlformats.org/officeDocument/2006/relationships/hyperlink" Target="https://eur-lex.europa.eu/legal-content/EN/TXT/?uri=celex:52025DC0124" TargetMode="External"/><Relationship Id="rId50" Type="http://schemas.openxmlformats.org/officeDocument/2006/relationships/hyperlink" Target="http://data.europa.eu/eli/reg/2025/327/oj" TargetMode="External"/><Relationship Id="rId55" Type="http://schemas.openxmlformats.org/officeDocument/2006/relationships/hyperlink" Target="https://eur-lex.europa.eu/legal-content/EN/TXT/?uri=celex%3A52025DC0960" TargetMode="External"/><Relationship Id="rId76" Type="http://schemas.openxmlformats.org/officeDocument/2006/relationships/hyperlink" Target="https://publications.jrc.ec.europa.eu/repository/handle/JRC141934" TargetMode="External"/><Relationship Id="rId97" Type="http://schemas.openxmlformats.org/officeDocument/2006/relationships/hyperlink" Target="http://data.europa.eu/eli/reg/2024/1689/oj" TargetMode="External"/><Relationship Id="rId104" Type="http://schemas.openxmlformats.org/officeDocument/2006/relationships/hyperlink" Target="http://data.europa.eu/eli/reg/2014/536/oj" TargetMode="External"/><Relationship Id="rId120" Type="http://schemas.openxmlformats.org/officeDocument/2006/relationships/hyperlink" Target="https://assets.publishing.service.gov.uk/media/68ee1fb88427701993d5e02c/AI_Airlock_Sandbox_Programme_Report._Final.pdf" TargetMode="External"/><Relationship Id="rId125" Type="http://schemas.openxmlformats.org/officeDocument/2006/relationships/hyperlink" Target="https://single-market-economy.ec.europa.eu/publications/net-zero-industry-act_en" TargetMode="External"/><Relationship Id="rId141" Type="http://schemas.openxmlformats.org/officeDocument/2006/relationships/hyperlink" Target="https://www.grandviewresearch.com/horizon/outlook/dna-synthesis-market/europe" TargetMode="External"/><Relationship Id="rId146" Type="http://schemas.openxmlformats.org/officeDocument/2006/relationships/hyperlink" Target="https://www.google.com/url?q=https://health.ec.europa.eu/document/download/1be3e462-bd50-4c64-b147-add9d1d5a580_en?filename%3Dcom_2025-529-1_act_en.pdf&amp;sa=D&amp;source=docs&amp;ust=1774877995532006&amp;usg=AOvVaw3kFii32wTiya5l590BGSa0" TargetMode="External"/><Relationship Id="rId7" Type="http://schemas.openxmlformats.org/officeDocument/2006/relationships/hyperlink" Target="https://eur-lex.europa.eu/legal-content/EN/TXT/?uri=CELEX:52024DC0137R(01)" TargetMode="External"/><Relationship Id="rId71" Type="http://schemas.openxmlformats.org/officeDocument/2006/relationships/hyperlink" Target="https://biotechnologyjobs.co.uk/career-advice/building-the-ultimate-biotech-skill-set-technical-and-soft-skills-employers-want-in-2025" TargetMode="External"/><Relationship Id="rId92" Type="http://schemas.openxmlformats.org/officeDocument/2006/relationships/hyperlink" Target="https://www.rand.org/pubs/research_reports/RRA4805-1.html" TargetMode="External"/><Relationship Id="rId2" Type="http://schemas.openxmlformats.org/officeDocument/2006/relationships/hyperlink" Target="https://eur-lex.europa.eu/legal-content/EN/TXT/?uri=CELEX:52025PC1031" TargetMode="External"/><Relationship Id="rId29" Type="http://schemas.openxmlformats.org/officeDocument/2006/relationships/hyperlink" Target="https://health.ec.europa.eu/medical-devices-sector/new-regulations_en" TargetMode="External"/><Relationship Id="rId24" Type="http://schemas.openxmlformats.org/officeDocument/2006/relationships/hyperlink" Target="http://data.europa.eu/eli/reg/2003/1829/oj" TargetMode="External"/><Relationship Id="rId40" Type="http://schemas.openxmlformats.org/officeDocument/2006/relationships/hyperlink" Target="https://eur-lex.europa.eu/legal-content/EN/TXT/?uri=celex:52025DC0090" TargetMode="External"/><Relationship Id="rId45" Type="http://schemas.openxmlformats.org/officeDocument/2006/relationships/hyperlink" Target="https://eur-lex.europa.eu/legal-content/EN/TXT/?uri=celex:52025DC0723" TargetMode="External"/><Relationship Id="rId66" Type="http://schemas.openxmlformats.org/officeDocument/2006/relationships/hyperlink" Target="https://ec.europa.eu/info/law/better-regulation/have-your-say/initiatives/14627-Biotech-Act/public-consultation_en" TargetMode="External"/><Relationship Id="rId87" Type="http://schemas.openxmlformats.org/officeDocument/2006/relationships/hyperlink" Target="https://pubmed.ncbi.nlm.nih.gov/36627963/" TargetMode="External"/><Relationship Id="rId110" Type="http://schemas.openxmlformats.org/officeDocument/2006/relationships/hyperlink" Target="https://www.efpia.eu/media/wlejmh0r/the-economic-impact-of-industry-clinical-trials-across-europe.pdf" TargetMode="External"/><Relationship Id="rId115" Type="http://schemas.openxmlformats.org/officeDocument/2006/relationships/hyperlink" Target="https://www.frontier-economics.com/uk/en/news-and-insights/news/news-article-i21886-the-value-of-non-commercial-clinical-research/" TargetMode="External"/><Relationship Id="rId131" Type="http://schemas.openxmlformats.org/officeDocument/2006/relationships/hyperlink" Target="https://doi.org/10.2809/7433636" TargetMode="External"/><Relationship Id="rId136" Type="http://schemas.openxmlformats.org/officeDocument/2006/relationships/hyperlink" Target="https://www.medicinesforeurope.com/wp-content/uploads/2026/03/FOOTPRINT-Biotech-Act-factsheet.pdf" TargetMode="External"/><Relationship Id="rId61" Type="http://schemas.openxmlformats.org/officeDocument/2006/relationships/hyperlink" Target="https://www.europabio.org/wp-content/uploads/2025/03/WifOR_EuropaBio2025.pdf" TargetMode="External"/><Relationship Id="rId82" Type="http://schemas.openxmlformats.org/officeDocument/2006/relationships/hyperlink" Target="https://www.nature.com/articles/s41392-025-02267-y" TargetMode="External"/><Relationship Id="rId152" Type="http://schemas.openxmlformats.org/officeDocument/2006/relationships/hyperlink" Target="https://www.grandviewresearch.com/horizon/outlook/dna-synthesis-market/europe" TargetMode="External"/><Relationship Id="rId19" Type="http://schemas.openxmlformats.org/officeDocument/2006/relationships/hyperlink" Target="http://data.europa.eu/eli/reg/2007/1394/oj" TargetMode="External"/><Relationship Id="rId14" Type="http://schemas.openxmlformats.org/officeDocument/2006/relationships/hyperlink" Target="https://data.consilium.europa.eu/doc/document/ST-13323-2025-INIT/en/pdf" TargetMode="External"/><Relationship Id="rId30" Type="http://schemas.openxmlformats.org/officeDocument/2006/relationships/hyperlink" Target="http://data.europa.eu/eli/reg/2017/745/oj" TargetMode="External"/><Relationship Id="rId35" Type="http://schemas.openxmlformats.org/officeDocument/2006/relationships/hyperlink" Target="https://eur-lex.europa.eu/legal-content/EN/TXT/?uri=celex:52025DC0270" TargetMode="External"/><Relationship Id="rId56" Type="http://schemas.openxmlformats.org/officeDocument/2006/relationships/hyperlink" Target="http://data.europa.eu/eli/reg/2021/1119/oj" TargetMode="External"/><Relationship Id="rId77" Type="http://schemas.openxmlformats.org/officeDocument/2006/relationships/hyperlink" Target="https://www.efpia.eu/media/3edpooqp/assessing-the-clinical-trial-ecosystem-in-europe.pdf" TargetMode="External"/><Relationship Id="rId100" Type="http://schemas.openxmlformats.org/officeDocument/2006/relationships/hyperlink" Target="https://www.bis.org/publ/work901.pdf?utm_source=chatgpt.com" TargetMode="External"/><Relationship Id="rId105" Type="http://schemas.openxmlformats.org/officeDocument/2006/relationships/hyperlink" Target="https://accelerating-clinical-trials.europa.eu/document/download/8e0aeff5-6316-4976-b6dd-5fe58254db49_en?filename=EU%20clinical%20trials%20during%20the%203-year%20CTR%20transition%20period.pdf" TargetMode="External"/><Relationship Id="rId126" Type="http://schemas.openxmlformats.org/officeDocument/2006/relationships/hyperlink" Target="https://www.ema.europa.eu/en/documents/other/reflection-paper-tailored-clinical-approach-biosimilar-development_en.pdf-0" TargetMode="External"/><Relationship Id="rId147" Type="http://schemas.openxmlformats.org/officeDocument/2006/relationships/hyperlink" Target="https://ec.europa.eu/info/law/better-regulation/have-your-say/initiatives/14627-Biotech-Act/F3565340_en" TargetMode="External"/><Relationship Id="rId8" Type="http://schemas.openxmlformats.org/officeDocument/2006/relationships/hyperlink" Target="https://eur-lex.europa.eu/legal-content/EN/TXT/?uri=JOIN:2023:20:FIN" TargetMode="External"/><Relationship Id="rId51" Type="http://schemas.openxmlformats.org/officeDocument/2006/relationships/hyperlink" Target="https://eur-lex.europa.eu/legal-content/ES/TXT/?uri=COM:2025:835:FIN" TargetMode="External"/><Relationship Id="rId72" Type="http://schemas.openxmlformats.org/officeDocument/2006/relationships/hyperlink" Target="https://eceuropaeu.sharepoint.com/teams/GRP-Biotech811-BiotechAct/Shared%20Documents/Biotech%20Act/10.%20SWD%20&amp;%20RSB/00.%20Analytical%20SWD/2.%20Derogation%20-%20SWD%20in%203%20months/24.04%20version%20Post%20ISC%20for%20Cab%20validation/OJ%20L%20125,%2021.5.2009,%20p.%2075" TargetMode="External"/><Relationship Id="rId93" Type="http://schemas.openxmlformats.org/officeDocument/2006/relationships/hyperlink" Target="https://www.governance.ai/research-paper/dual-use-ai-capabilities-and-the-risk-of-bioterrorism-converting-capability-evaluations-to-risk-assessments" TargetMode="External"/><Relationship Id="rId98" Type="http://schemas.openxmlformats.org/officeDocument/2006/relationships/hyperlink" Target="https://eur-lex.europa.eu/legal-content/EN/TXT/?uri=CELEX:52025PC1022" TargetMode="External"/><Relationship Id="rId121" Type="http://schemas.openxmlformats.org/officeDocument/2006/relationships/hyperlink" Target="https://www.cnil.fr/sites/default/files/atoms/files/dossier_de_presse_cnil_bilan_2021_et_enjeux_2022_vf.pdf" TargetMode="External"/><Relationship Id="rId142" Type="http://schemas.openxmlformats.org/officeDocument/2006/relationships/hyperlink" Target="https://www.grandviewresearch.com/horizon/outlook/biotechnology-market/europe" TargetMode="External"/><Relationship Id="rId3" Type="http://schemas.openxmlformats.org/officeDocument/2006/relationships/hyperlink" Target="https://eur-lex.europa.eu/legal-content/EN/TXT/?uri=CELEX:52025DC0030" TargetMode="External"/><Relationship Id="rId25" Type="http://schemas.openxmlformats.org/officeDocument/2006/relationships/hyperlink" Target="http://data.europa.eu/eli/dir/2001/18/oj" TargetMode="External"/><Relationship Id="rId46" Type="http://schemas.openxmlformats.org/officeDocument/2006/relationships/hyperlink" Target="https://eur-lex.europa.eu/legal-content/EN/TXT/?uri=celex:52025DC0165" TargetMode="External"/><Relationship Id="rId67" Type="http://schemas.openxmlformats.org/officeDocument/2006/relationships/hyperlink" Target="https://ec.europa.eu/eurostat/web/products-eurostat-news/w/ddn-20251211-2" TargetMode="External"/><Relationship Id="rId116" Type="http://schemas.openxmlformats.org/officeDocument/2006/relationships/hyperlink" Target="https://accelerating-clinical-trials.europa.eu/document/download/8e0aeff5-6316-4976-b6dd-5fe58254db49_en?filename=EU%20clinical%20trials%20during%20the%203-year%20CTR%20transition%20period.pdf" TargetMode="External"/><Relationship Id="rId137" Type="http://schemas.openxmlformats.org/officeDocument/2006/relationships/hyperlink" Target="https://www.iqvia.com/-/media/iqvia/pdfs/library/white-papers/2026/iqvia-the-impact-of-biosimilar-competition-in-europe-2026-01-26-forweb.pdf" TargetMode="External"/><Relationship Id="rId20" Type="http://schemas.openxmlformats.org/officeDocument/2006/relationships/hyperlink" Target="http://data.europa.eu/eli/reg/2024/1938/oj" TargetMode="External"/><Relationship Id="rId41" Type="http://schemas.openxmlformats.org/officeDocument/2006/relationships/hyperlink" Target="https://research-and-innovation.ec.europa.eu/strategy/strategy-research-and-innovation/our-digital-future/european-strategy-research-and-technology-infrastructures_enhttps:/research-and-innovation.ec.europa.eu/strategy/strategy-research-and-innovation/our-digital-future/european-strategy-research-and-technology-infrastructures_en" TargetMode="External"/><Relationship Id="rId62" Type="http://schemas.openxmlformats.org/officeDocument/2006/relationships/hyperlink" Target="https://data.europa.eu/doi/10.2777/965670" TargetMode="External"/><Relationship Id="rId83" Type="http://schemas.openxmlformats.org/officeDocument/2006/relationships/hyperlink" Target="https://pubmed.ncbi.nlm.nih.gov/32046538/" TargetMode="External"/><Relationship Id="rId88" Type="http://schemas.openxmlformats.org/officeDocument/2006/relationships/hyperlink" Target="https://pmc.ncbi.nlm.nih.gov/articles/PMC9723131/" TargetMode="External"/><Relationship Id="rId111" Type="http://schemas.openxmlformats.org/officeDocument/2006/relationships/hyperlink" Target="https://accelerating-clinical-trials.europa.eu/document/download/8e0aeff5-6316-4976-b6dd-5fe58254db49_en?filename=EU%20clinical%20trials%20during%20the%203-year%20CTR%20transition%20period.pdf" TargetMode="External"/><Relationship Id="rId132" Type="http://schemas.openxmlformats.org/officeDocument/2006/relationships/hyperlink" Target="https://www.iqvia.com/-/media/iqvia/pdfs/library/white-papers/2026/iqvia-the-impact-of-biosimilar-competition-in-europe-2026-01-26-forweb.pdf" TargetMode="External"/><Relationship Id="rId153" Type="http://schemas.openxmlformats.org/officeDocument/2006/relationships/hyperlink" Target="https://www.biorxiv.org/content/10.64898/2026.02.27.708645v1?ct=" TargetMode="External"/><Relationship Id="rId15" Type="http://schemas.openxmlformats.org/officeDocument/2006/relationships/hyperlink" Target="https://competition-policy.ec.europa.eu/state-aid/ipcei/design-support-hub_en" TargetMode="External"/><Relationship Id="rId36" Type="http://schemas.openxmlformats.org/officeDocument/2006/relationships/hyperlink" Target="https://eic.ec.europa.eu/eic-fund/scaleup-europe-fund_en" TargetMode="External"/><Relationship Id="rId57" Type="http://schemas.openxmlformats.org/officeDocument/2006/relationships/hyperlink" Target="https://eur-lex.europa.eu/legal-content/EN/TXT/?uri=CELEX%3A52021DC0082" TargetMode="External"/><Relationship Id="rId106" Type="http://schemas.openxmlformats.org/officeDocument/2006/relationships/hyperlink" Target="https://www.ema.europa.eu/en/news/new-targets-clinical-trials-europe" TargetMode="External"/><Relationship Id="rId127" Type="http://schemas.openxmlformats.org/officeDocument/2006/relationships/hyperlink" Target="https://www.dovepress.com/net-present-value-impact-of-fdas-phase-3-waivers-on-monoclonal-antibod-peer-reviewed-fulltext-article-BTT" TargetMode="External"/><Relationship Id="rId10" Type="http://schemas.openxmlformats.org/officeDocument/2006/relationships/hyperlink" Target="https://commission.europa.eu/document/download/97e481fd-2dc3-412d-be4c-f152a8232961_en" TargetMode="External"/><Relationship Id="rId31" Type="http://schemas.openxmlformats.org/officeDocument/2006/relationships/hyperlink" Target="http://data.europa.eu/eli/reg/2017/746/oj" TargetMode="External"/><Relationship Id="rId52" Type="http://schemas.openxmlformats.org/officeDocument/2006/relationships/hyperlink" Target="http://data.europa.eu/eli/reg/2023/2854/oj" TargetMode="External"/><Relationship Id="rId73" Type="http://schemas.openxmlformats.org/officeDocument/2006/relationships/hyperlink" Target="http://data.europa.eu/eli/dir/2009/41/oj" TargetMode="External"/><Relationship Id="rId78" Type="http://schemas.openxmlformats.org/officeDocument/2006/relationships/hyperlink" Target="https://www.efpia.eu/media/3edpooqp/assessing-the-clinical-trial-ecosystem-in-europe.pdf" TargetMode="External"/><Relationship Id="rId94" Type="http://schemas.openxmlformats.org/officeDocument/2006/relationships/hyperlink" Target="https://www.medicinesforeurope.com/wp-content/uploads/2026/03/FOOTPRINT-Biotech-Act-factsheet.pdf" TargetMode="External"/><Relationship Id="rId99" Type="http://schemas.openxmlformats.org/officeDocument/2006/relationships/hyperlink" Target="https://eur-lex.europa.eu/legal-content/EN/TXT/?uri=CELEX:52025PC1022" TargetMode="External"/><Relationship Id="rId101" Type="http://schemas.openxmlformats.org/officeDocument/2006/relationships/hyperlink" Target="https://www.fca.org.uk/publication/corporate/positive-impact-2025.pdf" TargetMode="External"/><Relationship Id="rId122" Type="http://schemas.openxmlformats.org/officeDocument/2006/relationships/hyperlink" Target="https://eur-lex.europa.eu/legal-content/EN/TXT/PDF/?uri=CELEX:52022SC0190" TargetMode="External"/><Relationship Id="rId143" Type="http://schemas.openxmlformats.org/officeDocument/2006/relationships/hyperlink" Target="https://drive.google.com/file/d/1hNUnU8i2yubt5uesmmV17aTJXhYYDgTY/edit?pli=1" TargetMode="External"/><Relationship Id="rId148" Type="http://schemas.openxmlformats.org/officeDocument/2006/relationships/hyperlink" Target="https://globalsynthesismap.bio/policy?country=FRA" TargetMode="External"/><Relationship Id="rId4" Type="http://schemas.openxmlformats.org/officeDocument/2006/relationships/hyperlink" Target="https://data.europa.eu/doi/10.2777/965670" TargetMode="External"/><Relationship Id="rId9" Type="http://schemas.openxmlformats.org/officeDocument/2006/relationships/hyperlink" Target="https://www.consilium.europa.eu/media/ny3j24sm/much-more-than-a-market-report-by-enrico-letta.pdf" TargetMode="External"/><Relationship Id="rId26" Type="http://schemas.openxmlformats.org/officeDocument/2006/relationships/hyperlink" Target="https://health.ec.europa.eu/medicinal-products/critical-medicines-act_en" TargetMode="External"/><Relationship Id="rId47" Type="http://schemas.openxmlformats.org/officeDocument/2006/relationships/hyperlink" Target="http://data.europa.eu/eli/reg/2024/1689/oj" TargetMode="External"/><Relationship Id="rId68" Type="http://schemas.openxmlformats.org/officeDocument/2006/relationships/hyperlink" Target="https://www.ema.europa.eu/en/documents/other/reflection-paper-tailored-clinical-approach-biosimilar-development_en.pdf-0" TargetMode="External"/><Relationship Id="rId89" Type="http://schemas.openxmlformats.org/officeDocument/2006/relationships/hyperlink" Target="https://efpia.eu/media/3edpooqp/assessing-the-clinical-trial-ecosystem-in-europe.pdf" TargetMode="External"/><Relationship Id="rId112" Type="http://schemas.openxmlformats.org/officeDocument/2006/relationships/hyperlink" Target="https://www.efpia.eu/media/wlejmh0r/the-economic-impact-of-industry-clinical-trials-across-europe.pdf" TargetMode="External"/><Relationship Id="rId133" Type="http://schemas.openxmlformats.org/officeDocument/2006/relationships/hyperlink" Target="https://www.iqvia.com/-/media/iqvia/pdfs/library/white-papers/2026/iqvia-the-impact-of-biosimilar-competition-in-europe-2026-01-26-forweb.pdf" TargetMode="External"/><Relationship Id="rId154" Type="http://schemas.openxmlformats.org/officeDocument/2006/relationships/hyperlink" Target="https://www.washingtonpost.com/national-security/interactive/2024/russia-biological-chemical-weapons-laboratory-expansion/" TargetMode="External"/><Relationship Id="rId16" Type="http://schemas.openxmlformats.org/officeDocument/2006/relationships/hyperlink" Target="https://www.europarl.europa.eu/doceo/document/TA-10-2025-0165_EN.html" TargetMode="External"/><Relationship Id="rId37" Type="http://schemas.openxmlformats.org/officeDocument/2006/relationships/hyperlink" Target="https://eur-lex.europa.eu/legal-content/EN/TXT/?uri=JOIN:2023:20:FIN" TargetMode="External"/><Relationship Id="rId58" Type="http://schemas.openxmlformats.org/officeDocument/2006/relationships/hyperlink" Target="http://data.europa.eu/eli/reg/2006/1907/2025-09-01" TargetMode="External"/><Relationship Id="rId79" Type="http://schemas.openxmlformats.org/officeDocument/2006/relationships/hyperlink" Target="https://efpia.eu/media/2rxdkn43/the-pharmaceutical-industry-in-figures-2024.pdf" TargetMode="External"/><Relationship Id="rId102" Type="http://schemas.openxmlformats.org/officeDocument/2006/relationships/hyperlink" Target="http://data.europa.eu/eli/reg/2002/178/oj" TargetMode="External"/><Relationship Id="rId123" Type="http://schemas.openxmlformats.org/officeDocument/2006/relationships/hyperlink" Target="http://data.europa.eu/eli/dir/2001/18/oj" TargetMode="External"/><Relationship Id="rId144" Type="http://schemas.openxmlformats.org/officeDocument/2006/relationships/hyperlink" Target="https://jamestown.org/ricins-round-two-germany-prevents-another-islamic-state-motivated-bioterrorism-attack/" TargetMode="External"/><Relationship Id="rId90" Type="http://schemas.openxmlformats.org/officeDocument/2006/relationships/hyperlink" Target="https://www.grandviewresearch.com/horizon/outlook/gene-editing-market/europe" TargetMode="External"/></Relationships>
</file>

<file path=word/documenttasks/documenttasks1.xml><?xml version="1.0" encoding="utf-8"?>
<t:Tasks xmlns:t="http://schemas.microsoft.com/office/tasks/2019/documenttasks" xmlns:oel="http://schemas.microsoft.com/office/2019/extlst">
  <t:Task id="{361F6C8B-5C93-4AF7-9428-9DBB72171DD8}">
    <t:Anchor>
      <t:Comment id="521792381"/>
    </t:Anchor>
    <t:History>
      <t:Event id="{1856F262-2BB4-4E8B-9C67-EC2B4F234852}" time="2026-03-16T13:43:02.548Z">
        <t:Attribution userId="S::Fabio.DATRI@ec.europa.eu::d3239632-a47b-4a00-a386-392523857abe" userProvider="AD" userName="DATRI Fabio (SANTE)"/>
        <t:Anchor>
          <t:Comment id="521792381"/>
        </t:Anchor>
        <t:Create/>
      </t:Event>
      <t:Event id="{82F86609-ACCB-4DE7-AE5D-773910803A8D}" time="2026-03-16T13:43:02.548Z">
        <t:Attribution userId="S::Fabio.DATRI@ec.europa.eu::d3239632-a47b-4a00-a386-392523857abe" userProvider="AD" userName="DATRI Fabio (SANTE)"/>
        <t:Anchor>
          <t:Comment id="521792381"/>
        </t:Anchor>
        <t:Assign userId="S::Caterina.GIOVAGNONI@ec.europa.eu::6c5fba39-f4bb-4f77-973e-f23c86d670df" userProvider="AD" userName="GIOVAGNONI Caterina (SANTE)"/>
      </t:Event>
      <t:Event id="{B6FD024F-21DB-4CA2-AE90-34CE0F1A018C}" time="2026-03-16T13:43:02.548Z">
        <t:Attribution userId="S::Fabio.DATRI@ec.europa.eu::d3239632-a47b-4a00-a386-392523857abe" userProvider="AD" userName="DATRI Fabio (SANTE)"/>
        <t:Anchor>
          <t:Comment id="521792381"/>
        </t:Anchor>
        <t:SetTitle title="@GIOVAGNONI Caterina (SANTE) , what do you mean here? Do you mean that anyway the final product would have to have an ERA and the exemption is only for the CT phase?"/>
      </t:Event>
      <t:Event id="{755E0528-6410-4223-829E-B0CCAF67E07B}" time="2026-03-17T13:57:49.016Z">
        <t:Attribution userId="S::caterina.giovagnoni@ec.europa.eu::6c5fba39-f4bb-4f77-973e-f23c86d670df" userProvider="AD" userName="GIOVAGNONI Caterina (SANTE)"/>
        <t:Progress percentComplete="100"/>
      </t:Event>
      <t:Event id="{8A58202F-6591-4122-B60B-A6DCB1A95070}" time="2026-03-17T14:54:52.497Z">
        <t:Attribution userId="S::caterina.giovagnoni@ec.europa.eu::6c5fba39-f4bb-4f77-973e-f23c86d670df" userProvider="AD" userName="GIOVAGNONI Caterina (SANTE)"/>
        <t:Progress percentComplete="100"/>
      </t:Event>
    </t:History>
  </t:Task>
  <t:Task id="{0AB13E83-3BF0-4B35-B820-6F22229F036A}">
    <t:Anchor>
      <t:Comment id="159154757"/>
    </t:Anchor>
    <t:History>
      <t:Event id="{E5906B3E-668C-4941-9658-7BD2AB5DDF49}" time="2026-03-16T13:44:27.577Z">
        <t:Attribution userId="S::Fabio.DATRI@ec.europa.eu::d3239632-a47b-4a00-a386-392523857abe" userProvider="AD" userName="DATRI Fabio (SANTE)"/>
        <t:Anchor>
          <t:Comment id="159154757"/>
        </t:Anchor>
        <t:Create/>
      </t:Event>
      <t:Event id="{496F6EAD-DA6F-40B2-A5DA-B0190BD060C4}" time="2026-03-16T13:44:27.577Z">
        <t:Attribution userId="S::Fabio.DATRI@ec.europa.eu::d3239632-a47b-4a00-a386-392523857abe" userProvider="AD" userName="DATRI Fabio (SANTE)"/>
        <t:Anchor>
          <t:Comment id="159154757"/>
        </t:Anchor>
        <t:Assign userId="S::Caterina.GIOVAGNONI@ec.europa.eu::6c5fba39-f4bb-4f77-973e-f23c86d670df" userProvider="AD" userName="GIOVAGNONI Caterina (SANTE)"/>
      </t:Event>
      <t:Event id="{D608997C-8E59-4417-8484-46D6D02F997C}" time="2026-03-16T13:44:27.577Z">
        <t:Attribution userId="S::Fabio.DATRI@ec.europa.eu::d3239632-a47b-4a00-a386-392523857abe" userProvider="AD" userName="DATRI Fabio (SANTE)"/>
        <t:Anchor>
          <t:Comment id="159154757"/>
        </t:Anchor>
        <t:SetTitle title="@GIOVAGNONI Caterina (SANTE) I would avoid linking one to one TMP with high unmet need. Maybe better to refer to breakthrough/ curative therapies"/>
      </t:Event>
    </t:History>
  </t:Task>
  <t:Task id="{372B42F8-BDC7-4990-B38B-2481104BC420}">
    <t:Anchor>
      <t:Comment id="1398116303"/>
    </t:Anchor>
    <t:History>
      <t:Event id="{35C7D46E-55F5-4780-8206-FFDA70A24649}" time="2026-03-24T09:59:39.644Z">
        <t:Attribution userId="S::Edit.SZEPESSY@ec.europa.eu::1e1bf488-308c-4620-973d-7396d95dbaf7" userProvider="AD" userName="SZEPESSY Edit (SANTE)"/>
        <t:Anchor>
          <t:Comment id="300938860"/>
        </t:Anchor>
        <t:Create/>
      </t:Event>
      <t:Event id="{3C396227-65B2-4903-9E30-42C318DCA8DF}" time="2026-03-24T09:59:39.644Z">
        <t:Attribution userId="S::Edit.SZEPESSY@ec.europa.eu::1e1bf488-308c-4620-973d-7396d95dbaf7" userProvider="AD" userName="SZEPESSY Edit (SANTE)"/>
        <t:Anchor>
          <t:Comment id="300938860"/>
        </t:Anchor>
        <t:Assign userId="S::Laura.SUAREZ-ESCOBEDO@ec.europa.eu::7580dec1-007e-4eb6-a9c2-68717f1a0518" userProvider="AD" userName="SUAREZ ESCOBEDO Laura (SANTE)"/>
      </t:Event>
      <t:Event id="{81C7033E-68AD-44AE-A023-5AC84FDC6314}" time="2026-03-24T09:59:39.644Z">
        <t:Attribution userId="S::Edit.SZEPESSY@ec.europa.eu::1e1bf488-308c-4620-973d-7396d95dbaf7" userProvider="AD" userName="SZEPESSY Edit (SANTE)"/>
        <t:Anchor>
          <t:Comment id="300938860"/>
        </t:Anchor>
        <t:SetTitle title="@SUAREZ ESCOBEDO Laura (SANTE) perfect thank you"/>
      </t:Event>
    </t:History>
  </t:Task>
  <t:Task id="{E7D5F49D-AFBC-4951-97FE-87F6AFFDA60C}">
    <t:Anchor>
      <t:Comment id="392493010"/>
    </t:Anchor>
    <t:History>
      <t:Event id="{EBA99FD3-6647-426F-A3E8-BD68FBDFDBD0}" time="2026-03-23T06:27:27.559Z">
        <t:Attribution userId="S::Edit.SZEPESSY@ec.europa.eu::1e1bf488-308c-4620-973d-7396d95dbaf7" userProvider="AD" userName="SZEPESSY Edit (SANTE)"/>
        <t:Anchor>
          <t:Comment id="392493010"/>
        </t:Anchor>
        <t:Create/>
      </t:Event>
      <t:Event id="{819BE379-BB4D-4A25-A585-5E9B6802C3E8}" time="2026-03-23T06:27:27.559Z">
        <t:Attribution userId="S::Edit.SZEPESSY@ec.europa.eu::1e1bf488-308c-4620-973d-7396d95dbaf7" userProvider="AD" userName="SZEPESSY Edit (SANTE)"/>
        <t:Anchor>
          <t:Comment id="392493010"/>
        </t:Anchor>
        <t:Assign userId="S::France.WEBER@ec.europa.eu::3b484278-e074-457d-9ce5-cebbb6f20108" userProvider="AD" userName="WEBER France (SANTE)"/>
      </t:Event>
      <t:Event id="{956CB6C9-E1C5-431C-A435-D73CF6DFA88C}" time="2026-03-23T06:27:27.559Z">
        <t:Attribution userId="S::Edit.SZEPESSY@ec.europa.eu::1e1bf488-308c-4620-973d-7396d95dbaf7" userProvider="AD" userName="SZEPESSY Edit (SANTE)"/>
        <t:Anchor>
          <t:Comment id="392493010"/>
        </t:Anchor>
        <t:SetTitle title="@WEBER France (SANTE) is this belong to here?"/>
      </t:Event>
    </t:History>
  </t:Task>
  <t:Task id="{B21B5C75-7C5F-4A5D-83EC-83CB67FDC9C6}">
    <t:Anchor>
      <t:Comment id="1043862580"/>
    </t:Anchor>
    <t:History>
      <t:Event id="{9F701212-8C7F-402D-B4C2-C429961045FC}" time="2026-03-23T06:27:27.559Z">
        <t:Attribution userId="S::Edit.SZEPESSY@ec.europa.eu::1e1bf488-308c-4620-973d-7396d95dbaf7" userProvider="AD" userName="SZEPESSY Edit (SANTE)"/>
        <t:Anchor>
          <t:Comment id="1043862580"/>
        </t:Anchor>
        <t:Create/>
      </t:Event>
      <t:Event id="{48DA2D1B-BC53-4817-88B3-6F1B23615CD0}" time="2026-03-23T06:27:27.559Z">
        <t:Attribution userId="S::Edit.SZEPESSY@ec.europa.eu::1e1bf488-308c-4620-973d-7396d95dbaf7" userProvider="AD" userName="SZEPESSY Edit (SANTE)"/>
        <t:Anchor>
          <t:Comment id="1043862580"/>
        </t:Anchor>
        <t:Assign userId="S::France.WEBER@ec.europa.eu::3b484278-e074-457d-9ce5-cebbb6f20108" userProvider="AD" userName="WEBER France (SANTE)"/>
      </t:Event>
      <t:Event id="{352A533B-1FD4-4B1F-9D24-A1D4F35D4460}" time="2026-03-23T06:27:27.559Z">
        <t:Attribution userId="S::Edit.SZEPESSY@ec.europa.eu::1e1bf488-308c-4620-973d-7396d95dbaf7" userProvider="AD" userName="SZEPESSY Edit (SANTE)"/>
        <t:Anchor>
          <t:Comment id="1043862580"/>
        </t:Anchor>
        <t:SetTitle title="@WEBER France (SANTE) is this belong to here?"/>
      </t:Event>
    </t:History>
  </t:Task>
</t:Task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 ma:contentTypeID="0x010100F3BE8789F8B926479CD54A9F58D67CFC" ma:contentTypeVersion="6" ma:contentTypeDescription="Create a new document." ma:contentTypeScope="" ma:versionID="267bf9432bc7d77be4b99d487a6a5303">
  <xsd:schema xmlns:xsd="http://www.w3.org/2001/XMLSchema" xmlns:xs="http://www.w3.org/2001/XMLSchema" xmlns:p="http://schemas.microsoft.com/office/2006/metadata/properties" xmlns:ns2="b028dedc-88e8-4c93-a042-66a8d9c7aacf" targetNamespace="http://schemas.microsoft.com/office/2006/metadata/properties" ma:root="true" ma:fieldsID="16e679fb1e658fa14e85fda0770e8870" ns2:_="">
    <xsd:import namespace="b028dedc-88e8-4c93-a042-66a8d9c7aacf"/>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Abstract" minOccurs="0"/>
                <xsd:element ref="ns2:Pilla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028dedc-88e8-4c93-a042-66a8d9c7aac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Abstract" ma:index="12" nillable="true" ma:displayName="Abstract" ma:description="short summary / highlights" ma:format="Dropdown" ma:internalName="Abstract">
      <xsd:simpleType>
        <xsd:restriction base="dms:Note">
          <xsd:maxLength value="255"/>
        </xsd:restriction>
      </xsd:simpleType>
    </xsd:element>
    <xsd:element name="Pillar" ma:index="13" nillable="true" ma:displayName="Pillar" ma:format="Dropdown" ma:internalName="Pillar">
      <xsd:complexType>
        <xsd:complexContent>
          <xsd:extension base="dms:MultiChoice">
            <xsd:sequence>
              <xsd:element name="Value" maxOccurs="unbounded" minOccurs="0" nillable="true">
                <xsd:simpleType>
                  <xsd:restriction base="dms:Choice">
                    <xsd:enumeration value="Time to market"/>
                    <xsd:enumeration value="Funding"/>
                    <xsd:enumeration value="Clusters"/>
                    <xsd:enumeration value="Skills"/>
                    <xsd:enumeration value="AI &amp; Data"/>
                    <xsd:enumeration value="Defense/security"/>
                  </xsd:restriction>
                </xsd:simpleType>
              </xsd:element>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Abstract xmlns="b028dedc-88e8-4c93-a042-66a8d9c7aacf" xsi:nil="true"/>
    <Pillar xmlns="b028dedc-88e8-4c93-a042-66a8d9c7aacf" xsi:nil="true"/>
  </documentManagement>
</p:properties>
</file>

<file path=customXml/itemProps1.xml><?xml version="1.0" encoding="utf-8"?>
<ds:datastoreItem xmlns:ds="http://schemas.openxmlformats.org/officeDocument/2006/customXml" ds:itemID="{B4F17FCC-8275-416E-8FBE-2E3A4C605DA6}">
  <ds:schemaRefs>
    <ds:schemaRef ds:uri="http://schemas.openxmlformats.org/officeDocument/2006/bibliography"/>
  </ds:schemaRefs>
</ds:datastoreItem>
</file>

<file path=customXml/itemProps2.xml><?xml version="1.0" encoding="utf-8"?>
<ds:datastoreItem xmlns:ds="http://schemas.openxmlformats.org/officeDocument/2006/customXml" ds:itemID="{7695E015-0DFF-4574-9427-35CC4132D1E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028dedc-88e8-4c93-a042-66a8d9c7aac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4DB19F37-FEC9-41A8-A047-3078B9EF9479}">
  <ds:schemaRefs>
    <ds:schemaRef ds:uri="http://schemas.microsoft.com/sharepoint/v3/contenttype/forms"/>
  </ds:schemaRefs>
</ds:datastoreItem>
</file>

<file path=customXml/itemProps4.xml><?xml version="1.0" encoding="utf-8"?>
<ds:datastoreItem xmlns:ds="http://schemas.openxmlformats.org/officeDocument/2006/customXml" ds:itemID="{4633AB5D-634E-404D-A512-ED3D425893BE}">
  <ds:schemaRefs>
    <ds:schemaRef ds:uri="http://schemas.microsoft.com/office/2006/metadata/properties"/>
    <ds:schemaRef ds:uri="http://schemas.microsoft.com/office/infopath/2007/PartnerControls"/>
    <ds:schemaRef ds:uri="b028dedc-88e8-4c93-a042-66a8d9c7aacf"/>
  </ds:schemaRefs>
</ds:datastoreItem>
</file>

<file path=docMetadata/LabelInfo.xml><?xml version="1.0" encoding="utf-8"?>
<clbl:labelList xmlns:clbl="http://schemas.microsoft.com/office/2020/mipLabelMetadata">
  <clbl:label id="{b24c8b06-522c-46fe-9080-70926f8dddb1}" enabled="0" method="" siteId="{b24c8b06-522c-46fe-9080-70926f8dddb1}" removed="1"/>
</clbl:labelList>
</file>

<file path=docProps/app.xml><?xml version="1.0" encoding="utf-8"?>
<Properties xmlns="http://schemas.openxmlformats.org/officeDocument/2006/extended-properties" xmlns:vt="http://schemas.openxmlformats.org/officeDocument/2006/docPropsVTypes">
  <Template>Normal</Template>
  <TotalTime>3</TotalTime>
  <Pages>119</Pages>
  <Words>44925</Words>
  <Characters>268656</Characters>
  <Application>Microsoft Office Word</Application>
  <DocSecurity>0</DocSecurity>
  <Lines>9950</Lines>
  <Paragraphs>4237</Paragraphs>
  <ScaleCrop>false</ScaleCrop>
  <Company>European Commission</Company>
  <LinksUpToDate>false</LinksUpToDate>
  <CharactersWithSpaces>309344</CharactersWithSpaces>
  <SharedDoc>false</SharedDoc>
  <HLinks>
    <vt:vector size="1140" baseType="variant">
      <vt:variant>
        <vt:i4>1179697</vt:i4>
      </vt:variant>
      <vt:variant>
        <vt:i4>185</vt:i4>
      </vt:variant>
      <vt:variant>
        <vt:i4>0</vt:i4>
      </vt:variant>
      <vt:variant>
        <vt:i4>5</vt:i4>
      </vt:variant>
      <vt:variant>
        <vt:lpwstr/>
      </vt:variant>
      <vt:variant>
        <vt:lpwstr>_Toc225979176</vt:lpwstr>
      </vt:variant>
      <vt:variant>
        <vt:i4>1507377</vt:i4>
      </vt:variant>
      <vt:variant>
        <vt:i4>182</vt:i4>
      </vt:variant>
      <vt:variant>
        <vt:i4>0</vt:i4>
      </vt:variant>
      <vt:variant>
        <vt:i4>5</vt:i4>
      </vt:variant>
      <vt:variant>
        <vt:lpwstr/>
      </vt:variant>
      <vt:variant>
        <vt:lpwstr>_Toc225979123</vt:lpwstr>
      </vt:variant>
      <vt:variant>
        <vt:i4>1507377</vt:i4>
      </vt:variant>
      <vt:variant>
        <vt:i4>179</vt:i4>
      </vt:variant>
      <vt:variant>
        <vt:i4>0</vt:i4>
      </vt:variant>
      <vt:variant>
        <vt:i4>5</vt:i4>
      </vt:variant>
      <vt:variant>
        <vt:lpwstr/>
      </vt:variant>
      <vt:variant>
        <vt:lpwstr>_Toc225979123</vt:lpwstr>
      </vt:variant>
      <vt:variant>
        <vt:i4>1507377</vt:i4>
      </vt:variant>
      <vt:variant>
        <vt:i4>176</vt:i4>
      </vt:variant>
      <vt:variant>
        <vt:i4>0</vt:i4>
      </vt:variant>
      <vt:variant>
        <vt:i4>5</vt:i4>
      </vt:variant>
      <vt:variant>
        <vt:lpwstr/>
      </vt:variant>
      <vt:variant>
        <vt:lpwstr>_Toc225979122</vt:lpwstr>
      </vt:variant>
      <vt:variant>
        <vt:i4>1376305</vt:i4>
      </vt:variant>
      <vt:variant>
        <vt:i4>173</vt:i4>
      </vt:variant>
      <vt:variant>
        <vt:i4>0</vt:i4>
      </vt:variant>
      <vt:variant>
        <vt:i4>5</vt:i4>
      </vt:variant>
      <vt:variant>
        <vt:lpwstr/>
      </vt:variant>
      <vt:variant>
        <vt:lpwstr>_Toc225979109</vt:lpwstr>
      </vt:variant>
      <vt:variant>
        <vt:i4>1900592</vt:i4>
      </vt:variant>
      <vt:variant>
        <vt:i4>170</vt:i4>
      </vt:variant>
      <vt:variant>
        <vt:i4>0</vt:i4>
      </vt:variant>
      <vt:variant>
        <vt:i4>5</vt:i4>
      </vt:variant>
      <vt:variant>
        <vt:lpwstr/>
      </vt:variant>
      <vt:variant>
        <vt:lpwstr>_Toc225979083</vt:lpwstr>
      </vt:variant>
      <vt:variant>
        <vt:i4>1179696</vt:i4>
      </vt:variant>
      <vt:variant>
        <vt:i4>167</vt:i4>
      </vt:variant>
      <vt:variant>
        <vt:i4>0</vt:i4>
      </vt:variant>
      <vt:variant>
        <vt:i4>5</vt:i4>
      </vt:variant>
      <vt:variant>
        <vt:lpwstr/>
      </vt:variant>
      <vt:variant>
        <vt:lpwstr>_Toc225979079</vt:lpwstr>
      </vt:variant>
      <vt:variant>
        <vt:i4>1245232</vt:i4>
      </vt:variant>
      <vt:variant>
        <vt:i4>164</vt:i4>
      </vt:variant>
      <vt:variant>
        <vt:i4>0</vt:i4>
      </vt:variant>
      <vt:variant>
        <vt:i4>5</vt:i4>
      </vt:variant>
      <vt:variant>
        <vt:lpwstr/>
      </vt:variant>
      <vt:variant>
        <vt:lpwstr>_Toc225979065</vt:lpwstr>
      </vt:variant>
      <vt:variant>
        <vt:i4>1245232</vt:i4>
      </vt:variant>
      <vt:variant>
        <vt:i4>161</vt:i4>
      </vt:variant>
      <vt:variant>
        <vt:i4>0</vt:i4>
      </vt:variant>
      <vt:variant>
        <vt:i4>5</vt:i4>
      </vt:variant>
      <vt:variant>
        <vt:lpwstr/>
      </vt:variant>
      <vt:variant>
        <vt:lpwstr>_Toc225979060</vt:lpwstr>
      </vt:variant>
      <vt:variant>
        <vt:i4>1572921</vt:i4>
      </vt:variant>
      <vt:variant>
        <vt:i4>152</vt:i4>
      </vt:variant>
      <vt:variant>
        <vt:i4>0</vt:i4>
      </vt:variant>
      <vt:variant>
        <vt:i4>5</vt:i4>
      </vt:variant>
      <vt:variant>
        <vt:lpwstr/>
      </vt:variant>
      <vt:variant>
        <vt:lpwstr>_Toc227941859</vt:lpwstr>
      </vt:variant>
      <vt:variant>
        <vt:i4>1572921</vt:i4>
      </vt:variant>
      <vt:variant>
        <vt:i4>146</vt:i4>
      </vt:variant>
      <vt:variant>
        <vt:i4>0</vt:i4>
      </vt:variant>
      <vt:variant>
        <vt:i4>5</vt:i4>
      </vt:variant>
      <vt:variant>
        <vt:lpwstr/>
      </vt:variant>
      <vt:variant>
        <vt:lpwstr>_Toc227941857</vt:lpwstr>
      </vt:variant>
      <vt:variant>
        <vt:i4>1572921</vt:i4>
      </vt:variant>
      <vt:variant>
        <vt:i4>140</vt:i4>
      </vt:variant>
      <vt:variant>
        <vt:i4>0</vt:i4>
      </vt:variant>
      <vt:variant>
        <vt:i4>5</vt:i4>
      </vt:variant>
      <vt:variant>
        <vt:lpwstr/>
      </vt:variant>
      <vt:variant>
        <vt:lpwstr>_Toc227941856</vt:lpwstr>
      </vt:variant>
      <vt:variant>
        <vt:i4>1572921</vt:i4>
      </vt:variant>
      <vt:variant>
        <vt:i4>134</vt:i4>
      </vt:variant>
      <vt:variant>
        <vt:i4>0</vt:i4>
      </vt:variant>
      <vt:variant>
        <vt:i4>5</vt:i4>
      </vt:variant>
      <vt:variant>
        <vt:lpwstr/>
      </vt:variant>
      <vt:variant>
        <vt:lpwstr>_Toc227941855</vt:lpwstr>
      </vt:variant>
      <vt:variant>
        <vt:i4>1572921</vt:i4>
      </vt:variant>
      <vt:variant>
        <vt:i4>128</vt:i4>
      </vt:variant>
      <vt:variant>
        <vt:i4>0</vt:i4>
      </vt:variant>
      <vt:variant>
        <vt:i4>5</vt:i4>
      </vt:variant>
      <vt:variant>
        <vt:lpwstr/>
      </vt:variant>
      <vt:variant>
        <vt:lpwstr>_Toc227941854</vt:lpwstr>
      </vt:variant>
      <vt:variant>
        <vt:i4>1572921</vt:i4>
      </vt:variant>
      <vt:variant>
        <vt:i4>122</vt:i4>
      </vt:variant>
      <vt:variant>
        <vt:i4>0</vt:i4>
      </vt:variant>
      <vt:variant>
        <vt:i4>5</vt:i4>
      </vt:variant>
      <vt:variant>
        <vt:lpwstr/>
      </vt:variant>
      <vt:variant>
        <vt:lpwstr>_Toc227941853</vt:lpwstr>
      </vt:variant>
      <vt:variant>
        <vt:i4>1572921</vt:i4>
      </vt:variant>
      <vt:variant>
        <vt:i4>116</vt:i4>
      </vt:variant>
      <vt:variant>
        <vt:i4>0</vt:i4>
      </vt:variant>
      <vt:variant>
        <vt:i4>5</vt:i4>
      </vt:variant>
      <vt:variant>
        <vt:lpwstr/>
      </vt:variant>
      <vt:variant>
        <vt:lpwstr>_Toc227941851</vt:lpwstr>
      </vt:variant>
      <vt:variant>
        <vt:i4>1572921</vt:i4>
      </vt:variant>
      <vt:variant>
        <vt:i4>110</vt:i4>
      </vt:variant>
      <vt:variant>
        <vt:i4>0</vt:i4>
      </vt:variant>
      <vt:variant>
        <vt:i4>5</vt:i4>
      </vt:variant>
      <vt:variant>
        <vt:lpwstr/>
      </vt:variant>
      <vt:variant>
        <vt:lpwstr>_Toc227941850</vt:lpwstr>
      </vt:variant>
      <vt:variant>
        <vt:i4>1638457</vt:i4>
      </vt:variant>
      <vt:variant>
        <vt:i4>104</vt:i4>
      </vt:variant>
      <vt:variant>
        <vt:i4>0</vt:i4>
      </vt:variant>
      <vt:variant>
        <vt:i4>5</vt:i4>
      </vt:variant>
      <vt:variant>
        <vt:lpwstr/>
      </vt:variant>
      <vt:variant>
        <vt:lpwstr>_Toc227941849</vt:lpwstr>
      </vt:variant>
      <vt:variant>
        <vt:i4>1638457</vt:i4>
      </vt:variant>
      <vt:variant>
        <vt:i4>98</vt:i4>
      </vt:variant>
      <vt:variant>
        <vt:i4>0</vt:i4>
      </vt:variant>
      <vt:variant>
        <vt:i4>5</vt:i4>
      </vt:variant>
      <vt:variant>
        <vt:lpwstr/>
      </vt:variant>
      <vt:variant>
        <vt:lpwstr>_Toc227941848</vt:lpwstr>
      </vt:variant>
      <vt:variant>
        <vt:i4>1638457</vt:i4>
      </vt:variant>
      <vt:variant>
        <vt:i4>92</vt:i4>
      </vt:variant>
      <vt:variant>
        <vt:i4>0</vt:i4>
      </vt:variant>
      <vt:variant>
        <vt:i4>5</vt:i4>
      </vt:variant>
      <vt:variant>
        <vt:lpwstr/>
      </vt:variant>
      <vt:variant>
        <vt:lpwstr>_Toc227941847</vt:lpwstr>
      </vt:variant>
      <vt:variant>
        <vt:i4>1638457</vt:i4>
      </vt:variant>
      <vt:variant>
        <vt:i4>86</vt:i4>
      </vt:variant>
      <vt:variant>
        <vt:i4>0</vt:i4>
      </vt:variant>
      <vt:variant>
        <vt:i4>5</vt:i4>
      </vt:variant>
      <vt:variant>
        <vt:lpwstr/>
      </vt:variant>
      <vt:variant>
        <vt:lpwstr>_Toc227941846</vt:lpwstr>
      </vt:variant>
      <vt:variant>
        <vt:i4>1638457</vt:i4>
      </vt:variant>
      <vt:variant>
        <vt:i4>80</vt:i4>
      </vt:variant>
      <vt:variant>
        <vt:i4>0</vt:i4>
      </vt:variant>
      <vt:variant>
        <vt:i4>5</vt:i4>
      </vt:variant>
      <vt:variant>
        <vt:lpwstr/>
      </vt:variant>
      <vt:variant>
        <vt:lpwstr>_Toc227941845</vt:lpwstr>
      </vt:variant>
      <vt:variant>
        <vt:i4>1638457</vt:i4>
      </vt:variant>
      <vt:variant>
        <vt:i4>74</vt:i4>
      </vt:variant>
      <vt:variant>
        <vt:i4>0</vt:i4>
      </vt:variant>
      <vt:variant>
        <vt:i4>5</vt:i4>
      </vt:variant>
      <vt:variant>
        <vt:lpwstr/>
      </vt:variant>
      <vt:variant>
        <vt:lpwstr>_Toc227941844</vt:lpwstr>
      </vt:variant>
      <vt:variant>
        <vt:i4>1638457</vt:i4>
      </vt:variant>
      <vt:variant>
        <vt:i4>68</vt:i4>
      </vt:variant>
      <vt:variant>
        <vt:i4>0</vt:i4>
      </vt:variant>
      <vt:variant>
        <vt:i4>5</vt:i4>
      </vt:variant>
      <vt:variant>
        <vt:lpwstr/>
      </vt:variant>
      <vt:variant>
        <vt:lpwstr>_Toc227941843</vt:lpwstr>
      </vt:variant>
      <vt:variant>
        <vt:i4>1638457</vt:i4>
      </vt:variant>
      <vt:variant>
        <vt:i4>62</vt:i4>
      </vt:variant>
      <vt:variant>
        <vt:i4>0</vt:i4>
      </vt:variant>
      <vt:variant>
        <vt:i4>5</vt:i4>
      </vt:variant>
      <vt:variant>
        <vt:lpwstr/>
      </vt:variant>
      <vt:variant>
        <vt:lpwstr>_Toc227941842</vt:lpwstr>
      </vt:variant>
      <vt:variant>
        <vt:i4>1638457</vt:i4>
      </vt:variant>
      <vt:variant>
        <vt:i4>56</vt:i4>
      </vt:variant>
      <vt:variant>
        <vt:i4>0</vt:i4>
      </vt:variant>
      <vt:variant>
        <vt:i4>5</vt:i4>
      </vt:variant>
      <vt:variant>
        <vt:lpwstr/>
      </vt:variant>
      <vt:variant>
        <vt:lpwstr>_Toc227941841</vt:lpwstr>
      </vt:variant>
      <vt:variant>
        <vt:i4>1638457</vt:i4>
      </vt:variant>
      <vt:variant>
        <vt:i4>50</vt:i4>
      </vt:variant>
      <vt:variant>
        <vt:i4>0</vt:i4>
      </vt:variant>
      <vt:variant>
        <vt:i4>5</vt:i4>
      </vt:variant>
      <vt:variant>
        <vt:lpwstr/>
      </vt:variant>
      <vt:variant>
        <vt:lpwstr>_Toc227941840</vt:lpwstr>
      </vt:variant>
      <vt:variant>
        <vt:i4>1966137</vt:i4>
      </vt:variant>
      <vt:variant>
        <vt:i4>44</vt:i4>
      </vt:variant>
      <vt:variant>
        <vt:i4>0</vt:i4>
      </vt:variant>
      <vt:variant>
        <vt:i4>5</vt:i4>
      </vt:variant>
      <vt:variant>
        <vt:lpwstr/>
      </vt:variant>
      <vt:variant>
        <vt:lpwstr>_Toc227941839</vt:lpwstr>
      </vt:variant>
      <vt:variant>
        <vt:i4>1966137</vt:i4>
      </vt:variant>
      <vt:variant>
        <vt:i4>38</vt:i4>
      </vt:variant>
      <vt:variant>
        <vt:i4>0</vt:i4>
      </vt:variant>
      <vt:variant>
        <vt:i4>5</vt:i4>
      </vt:variant>
      <vt:variant>
        <vt:lpwstr/>
      </vt:variant>
      <vt:variant>
        <vt:lpwstr>_Toc227941838</vt:lpwstr>
      </vt:variant>
      <vt:variant>
        <vt:i4>1966137</vt:i4>
      </vt:variant>
      <vt:variant>
        <vt:i4>32</vt:i4>
      </vt:variant>
      <vt:variant>
        <vt:i4>0</vt:i4>
      </vt:variant>
      <vt:variant>
        <vt:i4>5</vt:i4>
      </vt:variant>
      <vt:variant>
        <vt:lpwstr/>
      </vt:variant>
      <vt:variant>
        <vt:lpwstr>_Toc227941837</vt:lpwstr>
      </vt:variant>
      <vt:variant>
        <vt:i4>1966137</vt:i4>
      </vt:variant>
      <vt:variant>
        <vt:i4>26</vt:i4>
      </vt:variant>
      <vt:variant>
        <vt:i4>0</vt:i4>
      </vt:variant>
      <vt:variant>
        <vt:i4>5</vt:i4>
      </vt:variant>
      <vt:variant>
        <vt:lpwstr/>
      </vt:variant>
      <vt:variant>
        <vt:lpwstr>_Toc227941836</vt:lpwstr>
      </vt:variant>
      <vt:variant>
        <vt:i4>1966137</vt:i4>
      </vt:variant>
      <vt:variant>
        <vt:i4>20</vt:i4>
      </vt:variant>
      <vt:variant>
        <vt:i4>0</vt:i4>
      </vt:variant>
      <vt:variant>
        <vt:i4>5</vt:i4>
      </vt:variant>
      <vt:variant>
        <vt:lpwstr/>
      </vt:variant>
      <vt:variant>
        <vt:lpwstr>_Toc227941835</vt:lpwstr>
      </vt:variant>
      <vt:variant>
        <vt:i4>1966137</vt:i4>
      </vt:variant>
      <vt:variant>
        <vt:i4>14</vt:i4>
      </vt:variant>
      <vt:variant>
        <vt:i4>0</vt:i4>
      </vt:variant>
      <vt:variant>
        <vt:i4>5</vt:i4>
      </vt:variant>
      <vt:variant>
        <vt:lpwstr/>
      </vt:variant>
      <vt:variant>
        <vt:lpwstr>_Toc227941834</vt:lpwstr>
      </vt:variant>
      <vt:variant>
        <vt:i4>1966137</vt:i4>
      </vt:variant>
      <vt:variant>
        <vt:i4>8</vt:i4>
      </vt:variant>
      <vt:variant>
        <vt:i4>0</vt:i4>
      </vt:variant>
      <vt:variant>
        <vt:i4>5</vt:i4>
      </vt:variant>
      <vt:variant>
        <vt:lpwstr/>
      </vt:variant>
      <vt:variant>
        <vt:lpwstr>_Toc227941833</vt:lpwstr>
      </vt:variant>
      <vt:variant>
        <vt:i4>1966137</vt:i4>
      </vt:variant>
      <vt:variant>
        <vt:i4>2</vt:i4>
      </vt:variant>
      <vt:variant>
        <vt:i4>0</vt:i4>
      </vt:variant>
      <vt:variant>
        <vt:i4>5</vt:i4>
      </vt:variant>
      <vt:variant>
        <vt:lpwstr/>
      </vt:variant>
      <vt:variant>
        <vt:lpwstr>_Toc227941832</vt:lpwstr>
      </vt:variant>
      <vt:variant>
        <vt:i4>1703953</vt:i4>
      </vt:variant>
      <vt:variant>
        <vt:i4>464</vt:i4>
      </vt:variant>
      <vt:variant>
        <vt:i4>0</vt:i4>
      </vt:variant>
      <vt:variant>
        <vt:i4>5</vt:i4>
      </vt:variant>
      <vt:variant>
        <vt:lpwstr>https://pmc.ncbi.nlm.nih.gov/articles/PMC7531566/</vt:lpwstr>
      </vt:variant>
      <vt:variant>
        <vt:lpwstr/>
      </vt:variant>
      <vt:variant>
        <vt:i4>7012448</vt:i4>
      </vt:variant>
      <vt:variant>
        <vt:i4>461</vt:i4>
      </vt:variant>
      <vt:variant>
        <vt:i4>0</vt:i4>
      </vt:variant>
      <vt:variant>
        <vt:i4>5</vt:i4>
      </vt:variant>
      <vt:variant>
        <vt:lpwstr>https://www.washingtonpost.com/national-security/interactive/2024/russia-biological-chemical-weapons-laboratory-expansion/</vt:lpwstr>
      </vt:variant>
      <vt:variant>
        <vt:lpwstr/>
      </vt:variant>
      <vt:variant>
        <vt:i4>4784195</vt:i4>
      </vt:variant>
      <vt:variant>
        <vt:i4>458</vt:i4>
      </vt:variant>
      <vt:variant>
        <vt:i4>0</vt:i4>
      </vt:variant>
      <vt:variant>
        <vt:i4>5</vt:i4>
      </vt:variant>
      <vt:variant>
        <vt:lpwstr>https://www.biorxiv.org/content/10.64898/2026.02.27.708645v1?ct=</vt:lpwstr>
      </vt:variant>
      <vt:variant>
        <vt:lpwstr/>
      </vt:variant>
      <vt:variant>
        <vt:i4>4390918</vt:i4>
      </vt:variant>
      <vt:variant>
        <vt:i4>455</vt:i4>
      </vt:variant>
      <vt:variant>
        <vt:i4>0</vt:i4>
      </vt:variant>
      <vt:variant>
        <vt:i4>5</vt:i4>
      </vt:variant>
      <vt:variant>
        <vt:lpwstr>https://www.grandviewresearch.com/horizon/outlook/dna-synthesis-market/europe</vt:lpwstr>
      </vt:variant>
      <vt:variant>
        <vt:lpwstr/>
      </vt:variant>
      <vt:variant>
        <vt:i4>5570626</vt:i4>
      </vt:variant>
      <vt:variant>
        <vt:i4>452</vt:i4>
      </vt:variant>
      <vt:variant>
        <vt:i4>0</vt:i4>
      </vt:variant>
      <vt:variant>
        <vt:i4>5</vt:i4>
      </vt:variant>
      <vt:variant>
        <vt:lpwstr>https://github.com/ibbis-bio/common-mechanism</vt:lpwstr>
      </vt:variant>
      <vt:variant>
        <vt:lpwstr/>
      </vt:variant>
      <vt:variant>
        <vt:i4>4915237</vt:i4>
      </vt:variant>
      <vt:variant>
        <vt:i4>449</vt:i4>
      </vt:variant>
      <vt:variant>
        <vt:i4>0</vt:i4>
      </vt:variant>
      <vt:variant>
        <vt:i4>5</vt:i4>
      </vt:variant>
      <vt:variant>
        <vt:lpwstr>https://www.rand.org/pubs/research_reports/RRA4805-1.html</vt:lpwstr>
      </vt:variant>
      <vt:variant>
        <vt:lpwstr/>
      </vt:variant>
      <vt:variant>
        <vt:i4>3670072</vt:i4>
      </vt:variant>
      <vt:variant>
        <vt:i4>446</vt:i4>
      </vt:variant>
      <vt:variant>
        <vt:i4>0</vt:i4>
      </vt:variant>
      <vt:variant>
        <vt:i4>5</vt:i4>
      </vt:variant>
      <vt:variant>
        <vt:lpwstr>https://www.weforum.org/publications/biosecurity-innovation-and-risk-reduction-a-global-framework-for-accessible-safe-and-secure-dna-synthesis-582d582cd4/</vt:lpwstr>
      </vt:variant>
      <vt:variant>
        <vt:lpwstr/>
      </vt:variant>
      <vt:variant>
        <vt:i4>1966167</vt:i4>
      </vt:variant>
      <vt:variant>
        <vt:i4>443</vt:i4>
      </vt:variant>
      <vt:variant>
        <vt:i4>0</vt:i4>
      </vt:variant>
      <vt:variant>
        <vt:i4>5</vt:i4>
      </vt:variant>
      <vt:variant>
        <vt:lpwstr>https://globalsynthesismap.bio/policy?country=FRA</vt:lpwstr>
      </vt:variant>
      <vt:variant>
        <vt:lpwstr/>
      </vt:variant>
      <vt:variant>
        <vt:i4>6946844</vt:i4>
      </vt:variant>
      <vt:variant>
        <vt:i4>440</vt:i4>
      </vt:variant>
      <vt:variant>
        <vt:i4>0</vt:i4>
      </vt:variant>
      <vt:variant>
        <vt:i4>5</vt:i4>
      </vt:variant>
      <vt:variant>
        <vt:lpwstr>https://ec.europa.eu/info/law/better-regulation/have-your-say/initiatives/14627-Biotech-Act/F3565340_en</vt:lpwstr>
      </vt:variant>
      <vt:variant>
        <vt:lpwstr/>
      </vt:variant>
      <vt:variant>
        <vt:i4>3342386</vt:i4>
      </vt:variant>
      <vt:variant>
        <vt:i4>437</vt:i4>
      </vt:variant>
      <vt:variant>
        <vt:i4>0</vt:i4>
      </vt:variant>
      <vt:variant>
        <vt:i4>5</vt:i4>
      </vt:variant>
      <vt:variant>
        <vt:lpwstr>https://www.google.com/url?q=https://health.ec.europa.eu/document/download/1be3e462-bd50-4c64-b147-add9d1d5a580_en?filename%3Dcom_2025-529-1_act_en.pdf&amp;sa=D&amp;source=docs&amp;ust=1774877995532006&amp;usg=AOvVaw3kFii32wTiya5l590BGSa0</vt:lpwstr>
      </vt:variant>
      <vt:variant>
        <vt:lpwstr/>
      </vt:variant>
      <vt:variant>
        <vt:i4>8126517</vt:i4>
      </vt:variant>
      <vt:variant>
        <vt:i4>434</vt:i4>
      </vt:variant>
      <vt:variant>
        <vt:i4>0</vt:i4>
      </vt:variant>
      <vt:variant>
        <vt:i4>5</vt:i4>
      </vt:variant>
      <vt:variant>
        <vt:lpwstr>https://www.google.com/url?q=https://www.dw.com/en/germany-teens-home-searched-over-suspected-ricin-plot/a-72272711&amp;sa=D&amp;source=docs&amp;ust=1774877995530081&amp;usg=AOvVaw2Dhteknokentw49moo94Gv</vt:lpwstr>
      </vt:variant>
      <vt:variant>
        <vt:lpwstr/>
      </vt:variant>
      <vt:variant>
        <vt:i4>1114132</vt:i4>
      </vt:variant>
      <vt:variant>
        <vt:i4>431</vt:i4>
      </vt:variant>
      <vt:variant>
        <vt:i4>0</vt:i4>
      </vt:variant>
      <vt:variant>
        <vt:i4>5</vt:i4>
      </vt:variant>
      <vt:variant>
        <vt:lpwstr>https://jamestown.org/ricins-round-two-germany-prevents-another-islamic-state-motivated-bioterrorism-attack/</vt:lpwstr>
      </vt:variant>
      <vt:variant>
        <vt:lpwstr/>
      </vt:variant>
      <vt:variant>
        <vt:i4>4587596</vt:i4>
      </vt:variant>
      <vt:variant>
        <vt:i4>428</vt:i4>
      </vt:variant>
      <vt:variant>
        <vt:i4>0</vt:i4>
      </vt:variant>
      <vt:variant>
        <vt:i4>5</vt:i4>
      </vt:variant>
      <vt:variant>
        <vt:lpwstr>https://drive.google.com/file/d/1hNUnU8i2yubt5uesmmV17aTJXhYYDgTY/edit?pli=1</vt:lpwstr>
      </vt:variant>
      <vt:variant>
        <vt:lpwstr/>
      </vt:variant>
      <vt:variant>
        <vt:i4>1703951</vt:i4>
      </vt:variant>
      <vt:variant>
        <vt:i4>425</vt:i4>
      </vt:variant>
      <vt:variant>
        <vt:i4>0</vt:i4>
      </vt:variant>
      <vt:variant>
        <vt:i4>5</vt:i4>
      </vt:variant>
      <vt:variant>
        <vt:lpwstr>https://www.grandviewresearch.com/horizon/outlook/biotechnology-market/europe</vt:lpwstr>
      </vt:variant>
      <vt:variant>
        <vt:lpwstr/>
      </vt:variant>
      <vt:variant>
        <vt:i4>4390918</vt:i4>
      </vt:variant>
      <vt:variant>
        <vt:i4>422</vt:i4>
      </vt:variant>
      <vt:variant>
        <vt:i4>0</vt:i4>
      </vt:variant>
      <vt:variant>
        <vt:i4>5</vt:i4>
      </vt:variant>
      <vt:variant>
        <vt:lpwstr>https://www.grandviewresearch.com/horizon/outlook/dna-synthesis-market/europe</vt:lpwstr>
      </vt:variant>
      <vt:variant>
        <vt:lpwstr/>
      </vt:variant>
      <vt:variant>
        <vt:i4>2097203</vt:i4>
      </vt:variant>
      <vt:variant>
        <vt:i4>419</vt:i4>
      </vt:variant>
      <vt:variant>
        <vt:i4>0</vt:i4>
      </vt:variant>
      <vt:variant>
        <vt:i4>5</vt:i4>
      </vt:variant>
      <vt:variant>
        <vt:lpwstr>https://doi.org/10.3389/fphar.2022.1027760</vt:lpwstr>
      </vt:variant>
      <vt:variant>
        <vt:lpwstr/>
      </vt:variant>
      <vt:variant>
        <vt:i4>3342424</vt:i4>
      </vt:variant>
      <vt:variant>
        <vt:i4>416</vt:i4>
      </vt:variant>
      <vt:variant>
        <vt:i4>0</vt:i4>
      </vt:variant>
      <vt:variant>
        <vt:i4>5</vt:i4>
      </vt:variant>
      <vt:variant>
        <vt:lpwstr>https://health.ec.europa.eu/publications/impact-assessment-report-and-executive-summary-accompanying-revision-general-pharmaceutical_en</vt:lpwstr>
      </vt:variant>
      <vt:variant>
        <vt:lpwstr/>
      </vt:variant>
      <vt:variant>
        <vt:i4>5439576</vt:i4>
      </vt:variant>
      <vt:variant>
        <vt:i4>413</vt:i4>
      </vt:variant>
      <vt:variant>
        <vt:i4>0</vt:i4>
      </vt:variant>
      <vt:variant>
        <vt:i4>5</vt:i4>
      </vt:variant>
      <vt:variant>
        <vt:lpwstr>http://www.iqvia.com/-/media/iqvia/pdfs/library/white-papers/the-impact-of-biosimilar-competition-in-europe-2024.pdf</vt:lpwstr>
      </vt:variant>
      <vt:variant>
        <vt:lpwstr/>
      </vt:variant>
      <vt:variant>
        <vt:i4>5505033</vt:i4>
      </vt:variant>
      <vt:variant>
        <vt:i4>410</vt:i4>
      </vt:variant>
      <vt:variant>
        <vt:i4>0</vt:i4>
      </vt:variant>
      <vt:variant>
        <vt:i4>5</vt:i4>
      </vt:variant>
      <vt:variant>
        <vt:lpwstr>https://www.iqvia.com/-/media/iqvia/pdfs/library/white-papers/2026/iqvia-the-impact-of-biosimilar-competition-in-europe-2026-01-26-forweb.pdf</vt:lpwstr>
      </vt:variant>
      <vt:variant>
        <vt:lpwstr/>
      </vt:variant>
      <vt:variant>
        <vt:i4>327756</vt:i4>
      </vt:variant>
      <vt:variant>
        <vt:i4>407</vt:i4>
      </vt:variant>
      <vt:variant>
        <vt:i4>0</vt:i4>
      </vt:variant>
      <vt:variant>
        <vt:i4>5</vt:i4>
      </vt:variant>
      <vt:variant>
        <vt:lpwstr>https://www.medicinesforeurope.com/wp-content/uploads/2026/03/FOOTPRINT-Biotech-Act-factsheet.pdf</vt:lpwstr>
      </vt:variant>
      <vt:variant>
        <vt:lpwstr/>
      </vt:variant>
      <vt:variant>
        <vt:i4>327756</vt:i4>
      </vt:variant>
      <vt:variant>
        <vt:i4>404</vt:i4>
      </vt:variant>
      <vt:variant>
        <vt:i4>0</vt:i4>
      </vt:variant>
      <vt:variant>
        <vt:i4>5</vt:i4>
      </vt:variant>
      <vt:variant>
        <vt:lpwstr>https://www.medicinesforeurope.com/wp-content/uploads/2026/03/FOOTPRINT-Biotech-Act-factsheet.pdf</vt:lpwstr>
      </vt:variant>
      <vt:variant>
        <vt:lpwstr/>
      </vt:variant>
      <vt:variant>
        <vt:i4>6750335</vt:i4>
      </vt:variant>
      <vt:variant>
        <vt:i4>401</vt:i4>
      </vt:variant>
      <vt:variant>
        <vt:i4>0</vt:i4>
      </vt:variant>
      <vt:variant>
        <vt:i4>5</vt:i4>
      </vt:variant>
      <vt:variant>
        <vt:lpwstr>https://www.medicinesforeurope.com/biosimilar-medicines/who-we-are/</vt:lpwstr>
      </vt:variant>
      <vt:variant>
        <vt:lpwstr/>
      </vt:variant>
      <vt:variant>
        <vt:i4>5505033</vt:i4>
      </vt:variant>
      <vt:variant>
        <vt:i4>398</vt:i4>
      </vt:variant>
      <vt:variant>
        <vt:i4>0</vt:i4>
      </vt:variant>
      <vt:variant>
        <vt:i4>5</vt:i4>
      </vt:variant>
      <vt:variant>
        <vt:lpwstr>https://www.iqvia.com/-/media/iqvia/pdfs/library/white-papers/2026/iqvia-the-impact-of-biosimilar-competition-in-europe-2026-01-26-forweb.pdf</vt:lpwstr>
      </vt:variant>
      <vt:variant>
        <vt:lpwstr/>
      </vt:variant>
      <vt:variant>
        <vt:i4>5505033</vt:i4>
      </vt:variant>
      <vt:variant>
        <vt:i4>395</vt:i4>
      </vt:variant>
      <vt:variant>
        <vt:i4>0</vt:i4>
      </vt:variant>
      <vt:variant>
        <vt:i4>5</vt:i4>
      </vt:variant>
      <vt:variant>
        <vt:lpwstr>https://www.iqvia.com/-/media/iqvia/pdfs/library/white-papers/2026/iqvia-the-impact-of-biosimilar-competition-in-europe-2026-01-26-forweb.pdf</vt:lpwstr>
      </vt:variant>
      <vt:variant>
        <vt:lpwstr/>
      </vt:variant>
      <vt:variant>
        <vt:i4>2359401</vt:i4>
      </vt:variant>
      <vt:variant>
        <vt:i4>392</vt:i4>
      </vt:variant>
      <vt:variant>
        <vt:i4>0</vt:i4>
      </vt:variant>
      <vt:variant>
        <vt:i4>5</vt:i4>
      </vt:variant>
      <vt:variant>
        <vt:lpwstr>https://doi.org/10.2809/7433636</vt:lpwstr>
      </vt:variant>
      <vt:variant>
        <vt:lpwstr/>
      </vt:variant>
      <vt:variant>
        <vt:i4>95</vt:i4>
      </vt:variant>
      <vt:variant>
        <vt:i4>389</vt:i4>
      </vt:variant>
      <vt:variant>
        <vt:i4>0</vt:i4>
      </vt:variant>
      <vt:variant>
        <vt:i4>5</vt:i4>
      </vt:variant>
      <vt:variant>
        <vt:lpwstr>https://www.ema.europa.eu/en/medicines/download-medicine-data</vt:lpwstr>
      </vt:variant>
      <vt:variant>
        <vt:lpwstr/>
      </vt:variant>
      <vt:variant>
        <vt:i4>6357052</vt:i4>
      </vt:variant>
      <vt:variant>
        <vt:i4>386</vt:i4>
      </vt:variant>
      <vt:variant>
        <vt:i4>0</vt:i4>
      </vt:variant>
      <vt:variant>
        <vt:i4>5</vt:i4>
      </vt:variant>
      <vt:variant>
        <vt:lpwstr>https://www.dovepress.com/net-present-value-impact-of-fdas-phase-3-waivers-on-monoclonal-antibod-peer-reviewed-fulltext-article-BTT</vt:lpwstr>
      </vt:variant>
      <vt:variant>
        <vt:lpwstr/>
      </vt:variant>
      <vt:variant>
        <vt:i4>3932205</vt:i4>
      </vt:variant>
      <vt:variant>
        <vt:i4>383</vt:i4>
      </vt:variant>
      <vt:variant>
        <vt:i4>0</vt:i4>
      </vt:variant>
      <vt:variant>
        <vt:i4>5</vt:i4>
      </vt:variant>
      <vt:variant>
        <vt:lpwstr>https://doi.org/10.1001/jamainternmed.2020.3928</vt:lpwstr>
      </vt:variant>
      <vt:variant>
        <vt:lpwstr/>
      </vt:variant>
      <vt:variant>
        <vt:i4>6357052</vt:i4>
      </vt:variant>
      <vt:variant>
        <vt:i4>380</vt:i4>
      </vt:variant>
      <vt:variant>
        <vt:i4>0</vt:i4>
      </vt:variant>
      <vt:variant>
        <vt:i4>5</vt:i4>
      </vt:variant>
      <vt:variant>
        <vt:lpwstr>https://www.dovepress.com/net-present-value-impact-of-fdas-phase-3-waivers-on-monoclonal-antibod-peer-reviewed-fulltext-article-BTT</vt:lpwstr>
      </vt:variant>
      <vt:variant>
        <vt:lpwstr/>
      </vt:variant>
      <vt:variant>
        <vt:i4>3997764</vt:i4>
      </vt:variant>
      <vt:variant>
        <vt:i4>377</vt:i4>
      </vt:variant>
      <vt:variant>
        <vt:i4>0</vt:i4>
      </vt:variant>
      <vt:variant>
        <vt:i4>5</vt:i4>
      </vt:variant>
      <vt:variant>
        <vt:lpwstr>https://www.ema.europa.eu/en/documents/other/reflection-paper-tailored-clinical-approach-biosimilar-development_en.pdf-0</vt:lpwstr>
      </vt:variant>
      <vt:variant>
        <vt:lpwstr/>
      </vt:variant>
      <vt:variant>
        <vt:i4>4128847</vt:i4>
      </vt:variant>
      <vt:variant>
        <vt:i4>374</vt:i4>
      </vt:variant>
      <vt:variant>
        <vt:i4>0</vt:i4>
      </vt:variant>
      <vt:variant>
        <vt:i4>5</vt:i4>
      </vt:variant>
      <vt:variant>
        <vt:lpwstr>https://single-market-economy.ec.europa.eu/publications/net-zero-industry-act_en</vt:lpwstr>
      </vt:variant>
      <vt:variant>
        <vt:lpwstr/>
      </vt:variant>
      <vt:variant>
        <vt:i4>1048598</vt:i4>
      </vt:variant>
      <vt:variant>
        <vt:i4>371</vt:i4>
      </vt:variant>
      <vt:variant>
        <vt:i4>0</vt:i4>
      </vt:variant>
      <vt:variant>
        <vt:i4>5</vt:i4>
      </vt:variant>
      <vt:variant>
        <vt:lpwstr>http://data.europa.eu/eli/dir/2010/53/2010-08-06</vt:lpwstr>
      </vt:variant>
      <vt:variant>
        <vt:lpwstr/>
      </vt:variant>
      <vt:variant>
        <vt:i4>5505109</vt:i4>
      </vt:variant>
      <vt:variant>
        <vt:i4>368</vt:i4>
      </vt:variant>
      <vt:variant>
        <vt:i4>0</vt:i4>
      </vt:variant>
      <vt:variant>
        <vt:i4>5</vt:i4>
      </vt:variant>
      <vt:variant>
        <vt:lpwstr>http://data.europa.eu/eli/dir/2001/18/oj</vt:lpwstr>
      </vt:variant>
      <vt:variant>
        <vt:lpwstr/>
      </vt:variant>
      <vt:variant>
        <vt:i4>524380</vt:i4>
      </vt:variant>
      <vt:variant>
        <vt:i4>365</vt:i4>
      </vt:variant>
      <vt:variant>
        <vt:i4>0</vt:i4>
      </vt:variant>
      <vt:variant>
        <vt:i4>5</vt:i4>
      </vt:variant>
      <vt:variant>
        <vt:lpwstr>https://eur-lex.europa.eu/legal-content/EN/TXT/PDF/?uri=CELEX:52022SC0190</vt:lpwstr>
      </vt:variant>
      <vt:variant>
        <vt:lpwstr/>
      </vt:variant>
      <vt:variant>
        <vt:i4>7929932</vt:i4>
      </vt:variant>
      <vt:variant>
        <vt:i4>362</vt:i4>
      </vt:variant>
      <vt:variant>
        <vt:i4>0</vt:i4>
      </vt:variant>
      <vt:variant>
        <vt:i4>5</vt:i4>
      </vt:variant>
      <vt:variant>
        <vt:lpwstr>https://www.cnil.fr/sites/default/files/atoms/files/dossier_de_presse_cnil_bilan_2021_et_enjeux_2022_vf.pdf</vt:lpwstr>
      </vt:variant>
      <vt:variant>
        <vt:lpwstr/>
      </vt:variant>
      <vt:variant>
        <vt:i4>2228290</vt:i4>
      </vt:variant>
      <vt:variant>
        <vt:i4>359</vt:i4>
      </vt:variant>
      <vt:variant>
        <vt:i4>0</vt:i4>
      </vt:variant>
      <vt:variant>
        <vt:i4>5</vt:i4>
      </vt:variant>
      <vt:variant>
        <vt:lpwstr>https://assets.publishing.service.gov.uk/media/68ee1fb88427701993d5e02c/AI_Airlock_Sandbox_Programme_Report._Final.pdf</vt:lpwstr>
      </vt:variant>
      <vt:variant>
        <vt:lpwstr/>
      </vt:variant>
      <vt:variant>
        <vt:i4>7209069</vt:i4>
      </vt:variant>
      <vt:variant>
        <vt:i4>356</vt:i4>
      </vt:variant>
      <vt:variant>
        <vt:i4>0</vt:i4>
      </vt:variant>
      <vt:variant>
        <vt:i4>5</vt:i4>
      </vt:variant>
      <vt:variant>
        <vt:lpwstr>http://data.europa.eu/eli/reg/2024/1938/oj</vt:lpwstr>
      </vt:variant>
      <vt:variant>
        <vt:lpwstr/>
      </vt:variant>
      <vt:variant>
        <vt:i4>8192047</vt:i4>
      </vt:variant>
      <vt:variant>
        <vt:i4>353</vt:i4>
      </vt:variant>
      <vt:variant>
        <vt:i4>0</vt:i4>
      </vt:variant>
      <vt:variant>
        <vt:i4>5</vt:i4>
      </vt:variant>
      <vt:variant>
        <vt:lpwstr>http://data.europa.eu/eli/reg/2019/6/oj</vt:lpwstr>
      </vt:variant>
      <vt:variant>
        <vt:lpwstr/>
      </vt:variant>
      <vt:variant>
        <vt:i4>4849744</vt:i4>
      </vt:variant>
      <vt:variant>
        <vt:i4>350</vt:i4>
      </vt:variant>
      <vt:variant>
        <vt:i4>0</vt:i4>
      </vt:variant>
      <vt:variant>
        <vt:i4>5</vt:i4>
      </vt:variant>
      <vt:variant>
        <vt:lpwstr>https://www.efpia.eu/media/3edpooqp/assessing-the-clinical-trial-ecosystem-in-europe.pdf</vt:lpwstr>
      </vt:variant>
      <vt:variant>
        <vt:lpwstr/>
      </vt:variant>
      <vt:variant>
        <vt:i4>3604558</vt:i4>
      </vt:variant>
      <vt:variant>
        <vt:i4>347</vt:i4>
      </vt:variant>
      <vt:variant>
        <vt:i4>0</vt:i4>
      </vt:variant>
      <vt:variant>
        <vt:i4>5</vt:i4>
      </vt:variant>
      <vt:variant>
        <vt:lpwstr>https://accelerating-clinical-trials.europa.eu/document/download/8e0aeff5-6316-4976-b6dd-5fe58254db49_en?filename=EU%20clinical%20trials%20during%20the%203-year%20CTR%20transition%20period.pdf</vt:lpwstr>
      </vt:variant>
      <vt:variant>
        <vt:lpwstr/>
      </vt:variant>
      <vt:variant>
        <vt:i4>6291558</vt:i4>
      </vt:variant>
      <vt:variant>
        <vt:i4>344</vt:i4>
      </vt:variant>
      <vt:variant>
        <vt:i4>0</vt:i4>
      </vt:variant>
      <vt:variant>
        <vt:i4>5</vt:i4>
      </vt:variant>
      <vt:variant>
        <vt:lpwstr>https://www.frontier-economics.com/uk/en/news-and-insights/news/news-article-i21886-the-value-of-non-commercial-clinical-research/</vt:lpwstr>
      </vt:variant>
      <vt:variant>
        <vt:lpwstr/>
      </vt:variant>
      <vt:variant>
        <vt:i4>3604558</vt:i4>
      </vt:variant>
      <vt:variant>
        <vt:i4>341</vt:i4>
      </vt:variant>
      <vt:variant>
        <vt:i4>0</vt:i4>
      </vt:variant>
      <vt:variant>
        <vt:i4>5</vt:i4>
      </vt:variant>
      <vt:variant>
        <vt:lpwstr>https://accelerating-clinical-trials.europa.eu/document/download/8e0aeff5-6316-4976-b6dd-5fe58254db49_en?filename=EU%20clinical%20trials%20during%20the%203-year%20CTR%20transition%20period.pdf</vt:lpwstr>
      </vt:variant>
      <vt:variant>
        <vt:lpwstr/>
      </vt:variant>
      <vt:variant>
        <vt:i4>4259920</vt:i4>
      </vt:variant>
      <vt:variant>
        <vt:i4>338</vt:i4>
      </vt:variant>
      <vt:variant>
        <vt:i4>0</vt:i4>
      </vt:variant>
      <vt:variant>
        <vt:i4>5</vt:i4>
      </vt:variant>
      <vt:variant>
        <vt:lpwstr>https://www.efpia.eu/media/wlejmh0r/the-economic-impact-of-industry-clinical-trials-across-europe.pdf</vt:lpwstr>
      </vt:variant>
      <vt:variant>
        <vt:lpwstr/>
      </vt:variant>
      <vt:variant>
        <vt:i4>4259920</vt:i4>
      </vt:variant>
      <vt:variant>
        <vt:i4>335</vt:i4>
      </vt:variant>
      <vt:variant>
        <vt:i4>0</vt:i4>
      </vt:variant>
      <vt:variant>
        <vt:i4>5</vt:i4>
      </vt:variant>
      <vt:variant>
        <vt:lpwstr>https://www.efpia.eu/media/wlejmh0r/the-economic-impact-of-industry-clinical-trials-across-europe.pdf</vt:lpwstr>
      </vt:variant>
      <vt:variant>
        <vt:lpwstr/>
      </vt:variant>
      <vt:variant>
        <vt:i4>3604558</vt:i4>
      </vt:variant>
      <vt:variant>
        <vt:i4>332</vt:i4>
      </vt:variant>
      <vt:variant>
        <vt:i4>0</vt:i4>
      </vt:variant>
      <vt:variant>
        <vt:i4>5</vt:i4>
      </vt:variant>
      <vt:variant>
        <vt:lpwstr>https://accelerating-clinical-trials.europa.eu/document/download/8e0aeff5-6316-4976-b6dd-5fe58254db49_en?filename=EU%20clinical%20trials%20during%20the%203-year%20CTR%20transition%20period.pdf</vt:lpwstr>
      </vt:variant>
      <vt:variant>
        <vt:lpwstr/>
      </vt:variant>
      <vt:variant>
        <vt:i4>4259920</vt:i4>
      </vt:variant>
      <vt:variant>
        <vt:i4>329</vt:i4>
      </vt:variant>
      <vt:variant>
        <vt:i4>0</vt:i4>
      </vt:variant>
      <vt:variant>
        <vt:i4>5</vt:i4>
      </vt:variant>
      <vt:variant>
        <vt:lpwstr>https://www.efpia.eu/media/wlejmh0r/the-economic-impact-of-industry-clinical-trials-across-europe.pdf</vt:lpwstr>
      </vt:variant>
      <vt:variant>
        <vt:lpwstr/>
      </vt:variant>
      <vt:variant>
        <vt:i4>5636126</vt:i4>
      </vt:variant>
      <vt:variant>
        <vt:i4>326</vt:i4>
      </vt:variant>
      <vt:variant>
        <vt:i4>0</vt:i4>
      </vt:variant>
      <vt:variant>
        <vt:i4>5</vt:i4>
      </vt:variant>
      <vt:variant>
        <vt:lpwstr>https://www.oecd.org/content/dam/oecd/en/publications/reports/2010/01/national-accounts-at-a-glance-2009_g1ghc10a/9789264067981-en.pdf?utm_source=chatgpt.com</vt:lpwstr>
      </vt:variant>
      <vt:variant>
        <vt:lpwstr/>
      </vt:variant>
      <vt:variant>
        <vt:i4>3604558</vt:i4>
      </vt:variant>
      <vt:variant>
        <vt:i4>323</vt:i4>
      </vt:variant>
      <vt:variant>
        <vt:i4>0</vt:i4>
      </vt:variant>
      <vt:variant>
        <vt:i4>5</vt:i4>
      </vt:variant>
      <vt:variant>
        <vt:lpwstr>https://accelerating-clinical-trials.europa.eu/document/download/8e0aeff5-6316-4976-b6dd-5fe58254db49_en?filename=EU%20clinical%20trials%20during%20the%203-year%20CTR%20transition%20period.pdf</vt:lpwstr>
      </vt:variant>
      <vt:variant>
        <vt:lpwstr/>
      </vt:variant>
      <vt:variant>
        <vt:i4>3604558</vt:i4>
      </vt:variant>
      <vt:variant>
        <vt:i4>320</vt:i4>
      </vt:variant>
      <vt:variant>
        <vt:i4>0</vt:i4>
      </vt:variant>
      <vt:variant>
        <vt:i4>5</vt:i4>
      </vt:variant>
      <vt:variant>
        <vt:lpwstr>https://accelerating-clinical-trials.europa.eu/document/download/8e0aeff5-6316-4976-b6dd-5fe58254db49_en?filename=EU%20clinical%20trials%20during%20the%203-year%20CTR%20transition%20period.pdf</vt:lpwstr>
      </vt:variant>
      <vt:variant>
        <vt:lpwstr/>
      </vt:variant>
      <vt:variant>
        <vt:i4>5963781</vt:i4>
      </vt:variant>
      <vt:variant>
        <vt:i4>315</vt:i4>
      </vt:variant>
      <vt:variant>
        <vt:i4>0</vt:i4>
      </vt:variant>
      <vt:variant>
        <vt:i4>5</vt:i4>
      </vt:variant>
      <vt:variant>
        <vt:lpwstr>https://www.ema.europa.eu/en/news/new-targets-clinical-trials-europe</vt:lpwstr>
      </vt:variant>
      <vt:variant>
        <vt:lpwstr/>
      </vt:variant>
      <vt:variant>
        <vt:i4>3604558</vt:i4>
      </vt:variant>
      <vt:variant>
        <vt:i4>312</vt:i4>
      </vt:variant>
      <vt:variant>
        <vt:i4>0</vt:i4>
      </vt:variant>
      <vt:variant>
        <vt:i4>5</vt:i4>
      </vt:variant>
      <vt:variant>
        <vt:lpwstr>https://accelerating-clinical-trials.europa.eu/document/download/8e0aeff5-6316-4976-b6dd-5fe58254db49_en?filename=EU%20clinical%20trials%20during%20the%203-year%20CTR%20transition%20period.pdf</vt:lpwstr>
      </vt:variant>
      <vt:variant>
        <vt:lpwstr/>
      </vt:variant>
      <vt:variant>
        <vt:i4>4522012</vt:i4>
      </vt:variant>
      <vt:variant>
        <vt:i4>309</vt:i4>
      </vt:variant>
      <vt:variant>
        <vt:i4>0</vt:i4>
      </vt:variant>
      <vt:variant>
        <vt:i4>5</vt:i4>
      </vt:variant>
      <vt:variant>
        <vt:lpwstr>http://data.europa.eu/eli/reg/2014/536/oj</vt:lpwstr>
      </vt:variant>
      <vt:variant>
        <vt:lpwstr/>
      </vt:variant>
      <vt:variant>
        <vt:i4>6750313</vt:i4>
      </vt:variant>
      <vt:variant>
        <vt:i4>306</vt:i4>
      </vt:variant>
      <vt:variant>
        <vt:i4>0</vt:i4>
      </vt:variant>
      <vt:variant>
        <vt:i4>5</vt:i4>
      </vt:variant>
      <vt:variant>
        <vt:lpwstr>http://data.europa.eu/eli/reg/2007/1394/oj</vt:lpwstr>
      </vt:variant>
      <vt:variant>
        <vt:lpwstr/>
      </vt:variant>
      <vt:variant>
        <vt:i4>4784153</vt:i4>
      </vt:variant>
      <vt:variant>
        <vt:i4>303</vt:i4>
      </vt:variant>
      <vt:variant>
        <vt:i4>0</vt:i4>
      </vt:variant>
      <vt:variant>
        <vt:i4>5</vt:i4>
      </vt:variant>
      <vt:variant>
        <vt:lpwstr>http://data.europa.eu/eli/reg/2002/178/oj</vt:lpwstr>
      </vt:variant>
      <vt:variant>
        <vt:lpwstr/>
      </vt:variant>
      <vt:variant>
        <vt:i4>4915269</vt:i4>
      </vt:variant>
      <vt:variant>
        <vt:i4>300</vt:i4>
      </vt:variant>
      <vt:variant>
        <vt:i4>0</vt:i4>
      </vt:variant>
      <vt:variant>
        <vt:i4>5</vt:i4>
      </vt:variant>
      <vt:variant>
        <vt:lpwstr>https://www.fca.org.uk/publication/corporate/positive-impact-2025.pdf</vt:lpwstr>
      </vt:variant>
      <vt:variant>
        <vt:lpwstr/>
      </vt:variant>
      <vt:variant>
        <vt:i4>3997700</vt:i4>
      </vt:variant>
      <vt:variant>
        <vt:i4>297</vt:i4>
      </vt:variant>
      <vt:variant>
        <vt:i4>0</vt:i4>
      </vt:variant>
      <vt:variant>
        <vt:i4>5</vt:i4>
      </vt:variant>
      <vt:variant>
        <vt:lpwstr>https://www.bis.org/publ/work901.pdf?utm_source=chatgpt.com</vt:lpwstr>
      </vt:variant>
      <vt:variant>
        <vt:lpwstr/>
      </vt:variant>
      <vt:variant>
        <vt:i4>1507345</vt:i4>
      </vt:variant>
      <vt:variant>
        <vt:i4>294</vt:i4>
      </vt:variant>
      <vt:variant>
        <vt:i4>0</vt:i4>
      </vt:variant>
      <vt:variant>
        <vt:i4>5</vt:i4>
      </vt:variant>
      <vt:variant>
        <vt:lpwstr>https://eur-lex.europa.eu/legal-content/EN/TXT/?uri=CELEX:52025PC1022</vt:lpwstr>
      </vt:variant>
      <vt:variant>
        <vt:lpwstr/>
      </vt:variant>
      <vt:variant>
        <vt:i4>1507345</vt:i4>
      </vt:variant>
      <vt:variant>
        <vt:i4>291</vt:i4>
      </vt:variant>
      <vt:variant>
        <vt:i4>0</vt:i4>
      </vt:variant>
      <vt:variant>
        <vt:i4>5</vt:i4>
      </vt:variant>
      <vt:variant>
        <vt:lpwstr>https://eur-lex.europa.eu/legal-content/EN/TXT/?uri=CELEX:52025PC1022</vt:lpwstr>
      </vt:variant>
      <vt:variant>
        <vt:lpwstr/>
      </vt:variant>
      <vt:variant>
        <vt:i4>6619235</vt:i4>
      </vt:variant>
      <vt:variant>
        <vt:i4>288</vt:i4>
      </vt:variant>
      <vt:variant>
        <vt:i4>0</vt:i4>
      </vt:variant>
      <vt:variant>
        <vt:i4>5</vt:i4>
      </vt:variant>
      <vt:variant>
        <vt:lpwstr>http://data.europa.eu/eli/reg/2024/1689/oj</vt:lpwstr>
      </vt:variant>
      <vt:variant>
        <vt:lpwstr/>
      </vt:variant>
      <vt:variant>
        <vt:i4>1703951</vt:i4>
      </vt:variant>
      <vt:variant>
        <vt:i4>285</vt:i4>
      </vt:variant>
      <vt:variant>
        <vt:i4>0</vt:i4>
      </vt:variant>
      <vt:variant>
        <vt:i4>5</vt:i4>
      </vt:variant>
      <vt:variant>
        <vt:lpwstr>https://www.grandviewresearch.com/horizon/outlook/biotechnology-market/europe</vt:lpwstr>
      </vt:variant>
      <vt:variant>
        <vt:lpwstr/>
      </vt:variant>
      <vt:variant>
        <vt:i4>4390918</vt:i4>
      </vt:variant>
      <vt:variant>
        <vt:i4>282</vt:i4>
      </vt:variant>
      <vt:variant>
        <vt:i4>0</vt:i4>
      </vt:variant>
      <vt:variant>
        <vt:i4>5</vt:i4>
      </vt:variant>
      <vt:variant>
        <vt:lpwstr>https://www.grandviewresearch.com/horizon/outlook/dna-synthesis-market/europe</vt:lpwstr>
      </vt:variant>
      <vt:variant>
        <vt:lpwstr/>
      </vt:variant>
      <vt:variant>
        <vt:i4>327756</vt:i4>
      </vt:variant>
      <vt:variant>
        <vt:i4>279</vt:i4>
      </vt:variant>
      <vt:variant>
        <vt:i4>0</vt:i4>
      </vt:variant>
      <vt:variant>
        <vt:i4>5</vt:i4>
      </vt:variant>
      <vt:variant>
        <vt:lpwstr>https://www.medicinesforeurope.com/wp-content/uploads/2026/03/FOOTPRINT-Biotech-Act-factsheet.pdf</vt:lpwstr>
      </vt:variant>
      <vt:variant>
        <vt:lpwstr/>
      </vt:variant>
      <vt:variant>
        <vt:i4>524307</vt:i4>
      </vt:variant>
      <vt:variant>
        <vt:i4>276</vt:i4>
      </vt:variant>
      <vt:variant>
        <vt:i4>0</vt:i4>
      </vt:variant>
      <vt:variant>
        <vt:i4>5</vt:i4>
      </vt:variant>
      <vt:variant>
        <vt:lpwstr>https://www.governance.ai/research-paper/dual-use-ai-capabilities-and-the-risk-of-bioterrorism-converting-capability-evaluations-to-risk-assessments</vt:lpwstr>
      </vt:variant>
      <vt:variant>
        <vt:lpwstr/>
      </vt:variant>
      <vt:variant>
        <vt:i4>4915237</vt:i4>
      </vt:variant>
      <vt:variant>
        <vt:i4>273</vt:i4>
      </vt:variant>
      <vt:variant>
        <vt:i4>0</vt:i4>
      </vt:variant>
      <vt:variant>
        <vt:i4>5</vt:i4>
      </vt:variant>
      <vt:variant>
        <vt:lpwstr>https://www.rand.org/pubs/research_reports/RRA4805-1.html</vt:lpwstr>
      </vt:variant>
      <vt:variant>
        <vt:lpwstr/>
      </vt:variant>
      <vt:variant>
        <vt:i4>327756</vt:i4>
      </vt:variant>
      <vt:variant>
        <vt:i4>270</vt:i4>
      </vt:variant>
      <vt:variant>
        <vt:i4>0</vt:i4>
      </vt:variant>
      <vt:variant>
        <vt:i4>5</vt:i4>
      </vt:variant>
      <vt:variant>
        <vt:lpwstr>https://www.medicinesforeurope.com/wp-content/uploads/2026/03/FOOTPRINT-Biotech-Act-factsheet.pdf</vt:lpwstr>
      </vt:variant>
      <vt:variant>
        <vt:lpwstr/>
      </vt:variant>
      <vt:variant>
        <vt:i4>1900631</vt:i4>
      </vt:variant>
      <vt:variant>
        <vt:i4>267</vt:i4>
      </vt:variant>
      <vt:variant>
        <vt:i4>0</vt:i4>
      </vt:variant>
      <vt:variant>
        <vt:i4>5</vt:i4>
      </vt:variant>
      <vt:variant>
        <vt:lpwstr>https://www.grandviewresearch.com/horizon/outlook/gene-editing-market/europe</vt:lpwstr>
      </vt:variant>
      <vt:variant>
        <vt:lpwstr/>
      </vt:variant>
      <vt:variant>
        <vt:i4>1245264</vt:i4>
      </vt:variant>
      <vt:variant>
        <vt:i4>264</vt:i4>
      </vt:variant>
      <vt:variant>
        <vt:i4>0</vt:i4>
      </vt:variant>
      <vt:variant>
        <vt:i4>5</vt:i4>
      </vt:variant>
      <vt:variant>
        <vt:lpwstr>https://efpia.eu/media/3edpooqp/assessing-the-clinical-trial-ecosystem-in-europe.pdf</vt:lpwstr>
      </vt:variant>
      <vt:variant>
        <vt:lpwstr/>
      </vt:variant>
      <vt:variant>
        <vt:i4>1441812</vt:i4>
      </vt:variant>
      <vt:variant>
        <vt:i4>261</vt:i4>
      </vt:variant>
      <vt:variant>
        <vt:i4>0</vt:i4>
      </vt:variant>
      <vt:variant>
        <vt:i4>5</vt:i4>
      </vt:variant>
      <vt:variant>
        <vt:lpwstr>https://pmc.ncbi.nlm.nih.gov/articles/PMC9723131/</vt:lpwstr>
      </vt:variant>
      <vt:variant>
        <vt:lpwstr/>
      </vt:variant>
      <vt:variant>
        <vt:i4>262147</vt:i4>
      </vt:variant>
      <vt:variant>
        <vt:i4>258</vt:i4>
      </vt:variant>
      <vt:variant>
        <vt:i4>0</vt:i4>
      </vt:variant>
      <vt:variant>
        <vt:i4>5</vt:i4>
      </vt:variant>
      <vt:variant>
        <vt:lpwstr>https://pubmed.ncbi.nlm.nih.gov/36627963/</vt:lpwstr>
      </vt:variant>
      <vt:variant>
        <vt:lpwstr/>
      </vt:variant>
      <vt:variant>
        <vt:i4>5963860</vt:i4>
      </vt:variant>
      <vt:variant>
        <vt:i4>255</vt:i4>
      </vt:variant>
      <vt:variant>
        <vt:i4>0</vt:i4>
      </vt:variant>
      <vt:variant>
        <vt:i4>5</vt:i4>
      </vt:variant>
      <vt:variant>
        <vt:lpwstr>https://www.efpia.eu/media/zdzg0bey/the-economic-impact-of-industry-clinical-trials-across-europe.pdf</vt:lpwstr>
      </vt:variant>
      <vt:variant>
        <vt:lpwstr/>
      </vt:variant>
      <vt:variant>
        <vt:i4>3604558</vt:i4>
      </vt:variant>
      <vt:variant>
        <vt:i4>252</vt:i4>
      </vt:variant>
      <vt:variant>
        <vt:i4>0</vt:i4>
      </vt:variant>
      <vt:variant>
        <vt:i4>5</vt:i4>
      </vt:variant>
      <vt:variant>
        <vt:lpwstr>https://accelerating-clinical-trials.europa.eu/document/download/8e0aeff5-6316-4976-b6dd-5fe58254db49_en?filename=EU%20clinical%20trials%20during%20the%203-year%20CTR%20transition%20period.pdf</vt:lpwstr>
      </vt:variant>
      <vt:variant>
        <vt:lpwstr/>
      </vt:variant>
      <vt:variant>
        <vt:i4>786504</vt:i4>
      </vt:variant>
      <vt:variant>
        <vt:i4>249</vt:i4>
      </vt:variant>
      <vt:variant>
        <vt:i4>0</vt:i4>
      </vt:variant>
      <vt:variant>
        <vt:i4>5</vt:i4>
      </vt:variant>
      <vt:variant>
        <vt:lpwstr>http://orclinicalresearch.com/wp-content/uploads/2018/12/battelle-2015-study.pdf</vt:lpwstr>
      </vt:variant>
      <vt:variant>
        <vt:lpwstr/>
      </vt:variant>
      <vt:variant>
        <vt:i4>65537</vt:i4>
      </vt:variant>
      <vt:variant>
        <vt:i4>246</vt:i4>
      </vt:variant>
      <vt:variant>
        <vt:i4>0</vt:i4>
      </vt:variant>
      <vt:variant>
        <vt:i4>5</vt:i4>
      </vt:variant>
      <vt:variant>
        <vt:lpwstr>https://pubmed.ncbi.nlm.nih.gov/32046538/</vt:lpwstr>
      </vt:variant>
      <vt:variant>
        <vt:lpwstr/>
      </vt:variant>
      <vt:variant>
        <vt:i4>7798818</vt:i4>
      </vt:variant>
      <vt:variant>
        <vt:i4>243</vt:i4>
      </vt:variant>
      <vt:variant>
        <vt:i4>0</vt:i4>
      </vt:variant>
      <vt:variant>
        <vt:i4>5</vt:i4>
      </vt:variant>
      <vt:variant>
        <vt:lpwstr>https://www.nature.com/articles/s41392-025-02267-y</vt:lpwstr>
      </vt:variant>
      <vt:variant>
        <vt:lpwstr/>
      </vt:variant>
      <vt:variant>
        <vt:i4>3276858</vt:i4>
      </vt:variant>
      <vt:variant>
        <vt:i4>240</vt:i4>
      </vt:variant>
      <vt:variant>
        <vt:i4>0</vt:i4>
      </vt:variant>
      <vt:variant>
        <vt:i4>5</vt:i4>
      </vt:variant>
      <vt:variant>
        <vt:lpwstr>https://efpia.eu/media/2rxdkn43/the-pharmaceutical-industry-in-figures-2024.pdf</vt:lpwstr>
      </vt:variant>
      <vt:variant>
        <vt:lpwstr/>
      </vt:variant>
      <vt:variant>
        <vt:i4>6094899</vt:i4>
      </vt:variant>
      <vt:variant>
        <vt:i4>237</vt:i4>
      </vt:variant>
      <vt:variant>
        <vt:i4>0</vt:i4>
      </vt:variant>
      <vt:variant>
        <vt:i4>5</vt:i4>
      </vt:variant>
      <vt:variant>
        <vt:lpwstr>https://cdn.aglty.io/phrma/global/resources/import/pdfs/PhRMA_membership survey_single page_70523_es_digital.pdf</vt:lpwstr>
      </vt:variant>
      <vt:variant>
        <vt:lpwstr/>
      </vt:variant>
      <vt:variant>
        <vt:i4>3276858</vt:i4>
      </vt:variant>
      <vt:variant>
        <vt:i4>234</vt:i4>
      </vt:variant>
      <vt:variant>
        <vt:i4>0</vt:i4>
      </vt:variant>
      <vt:variant>
        <vt:i4>5</vt:i4>
      </vt:variant>
      <vt:variant>
        <vt:lpwstr>https://efpia.eu/media/2rxdkn43/the-pharmaceutical-industry-in-figures-2024.pdf</vt:lpwstr>
      </vt:variant>
      <vt:variant>
        <vt:lpwstr/>
      </vt:variant>
      <vt:variant>
        <vt:i4>4849744</vt:i4>
      </vt:variant>
      <vt:variant>
        <vt:i4>231</vt:i4>
      </vt:variant>
      <vt:variant>
        <vt:i4>0</vt:i4>
      </vt:variant>
      <vt:variant>
        <vt:i4>5</vt:i4>
      </vt:variant>
      <vt:variant>
        <vt:lpwstr>https://www.efpia.eu/media/3edpooqp/assessing-the-clinical-trial-ecosystem-in-europe.pdf</vt:lpwstr>
      </vt:variant>
      <vt:variant>
        <vt:lpwstr/>
      </vt:variant>
      <vt:variant>
        <vt:i4>4849744</vt:i4>
      </vt:variant>
      <vt:variant>
        <vt:i4>228</vt:i4>
      </vt:variant>
      <vt:variant>
        <vt:i4>0</vt:i4>
      </vt:variant>
      <vt:variant>
        <vt:i4>5</vt:i4>
      </vt:variant>
      <vt:variant>
        <vt:lpwstr>https://www.efpia.eu/media/3edpooqp/assessing-the-clinical-trial-ecosystem-in-europe.pdf</vt:lpwstr>
      </vt:variant>
      <vt:variant>
        <vt:lpwstr/>
      </vt:variant>
      <vt:variant>
        <vt:i4>65612</vt:i4>
      </vt:variant>
      <vt:variant>
        <vt:i4>225</vt:i4>
      </vt:variant>
      <vt:variant>
        <vt:i4>0</vt:i4>
      </vt:variant>
      <vt:variant>
        <vt:i4>5</vt:i4>
      </vt:variant>
      <vt:variant>
        <vt:lpwstr>https://publications.jrc.ec.europa.eu/repository/handle/JRC141934</vt:lpwstr>
      </vt:variant>
      <vt:variant>
        <vt:lpwstr/>
      </vt:variant>
      <vt:variant>
        <vt:i4>196625</vt:i4>
      </vt:variant>
      <vt:variant>
        <vt:i4>222</vt:i4>
      </vt:variant>
      <vt:variant>
        <vt:i4>0</vt:i4>
      </vt:variant>
      <vt:variant>
        <vt:i4>5</vt:i4>
      </vt:variant>
      <vt:variant>
        <vt:lpwstr>https://eur-lex.europa.eu/legal-content/EN/TXT/?uri=CELEX:52025DC0030</vt:lpwstr>
      </vt:variant>
      <vt:variant>
        <vt:lpwstr/>
      </vt:variant>
      <vt:variant>
        <vt:i4>1966167</vt:i4>
      </vt:variant>
      <vt:variant>
        <vt:i4>219</vt:i4>
      </vt:variant>
      <vt:variant>
        <vt:i4>0</vt:i4>
      </vt:variant>
      <vt:variant>
        <vt:i4>5</vt:i4>
      </vt:variant>
      <vt:variant>
        <vt:lpwstr>https://globalsynthesismap.bio/policy?country=FRA</vt:lpwstr>
      </vt:variant>
      <vt:variant>
        <vt:lpwstr/>
      </vt:variant>
      <vt:variant>
        <vt:i4>5832796</vt:i4>
      </vt:variant>
      <vt:variant>
        <vt:i4>216</vt:i4>
      </vt:variant>
      <vt:variant>
        <vt:i4>0</vt:i4>
      </vt:variant>
      <vt:variant>
        <vt:i4>5</vt:i4>
      </vt:variant>
      <vt:variant>
        <vt:lpwstr>http://data.europa.eu/eli/dir/2009/41/oj</vt:lpwstr>
      </vt:variant>
      <vt:variant>
        <vt:lpwstr/>
      </vt:variant>
      <vt:variant>
        <vt:i4>4587615</vt:i4>
      </vt:variant>
      <vt:variant>
        <vt:i4>213</vt:i4>
      </vt:variant>
      <vt:variant>
        <vt:i4>0</vt:i4>
      </vt:variant>
      <vt:variant>
        <vt:i4>5</vt:i4>
      </vt:variant>
      <vt:variant>
        <vt:lpwstr>https://eceuropaeu.sharepoint.com/teams/GRP-Biotech811-BiotechAct/Shared Documents/Biotech Act/10. SWD &amp; RSB/00. Analytical SWD/2. Derogation - SWD in 3 months/24.04 version Post ISC for Cab validation/OJ L 125, 21.5.2009, p. 75</vt:lpwstr>
      </vt:variant>
      <vt:variant>
        <vt:lpwstr/>
      </vt:variant>
      <vt:variant>
        <vt:i4>7208994</vt:i4>
      </vt:variant>
      <vt:variant>
        <vt:i4>210</vt:i4>
      </vt:variant>
      <vt:variant>
        <vt:i4>0</vt:i4>
      </vt:variant>
      <vt:variant>
        <vt:i4>5</vt:i4>
      </vt:variant>
      <vt:variant>
        <vt:lpwstr>https://biotechnologyjobs.co.uk/career-advice/building-the-ultimate-biotech-skill-set-technical-and-soft-skills-employers-want-in-2025</vt:lpwstr>
      </vt:variant>
      <vt:variant>
        <vt:lpwstr/>
      </vt:variant>
      <vt:variant>
        <vt:i4>3997800</vt:i4>
      </vt:variant>
      <vt:variant>
        <vt:i4>207</vt:i4>
      </vt:variant>
      <vt:variant>
        <vt:i4>0</vt:i4>
      </vt:variant>
      <vt:variant>
        <vt:i4>5</vt:i4>
      </vt:variant>
      <vt:variant>
        <vt:lpwstr>https://digital-decade-desi.digital-strategy.ec.europa.eu/datasets/desi/charts/desi-indicators</vt:lpwstr>
      </vt:variant>
      <vt:variant>
        <vt:lpwstr/>
      </vt:variant>
      <vt:variant>
        <vt:i4>4587544</vt:i4>
      </vt:variant>
      <vt:variant>
        <vt:i4>204</vt:i4>
      </vt:variant>
      <vt:variant>
        <vt:i4>0</vt:i4>
      </vt:variant>
      <vt:variant>
        <vt:i4>5</vt:i4>
      </vt:variant>
      <vt:variant>
        <vt:lpwstr>http://data.europa.eu/eli/reg/2009/469/oj</vt:lpwstr>
      </vt:variant>
      <vt:variant>
        <vt:lpwstr/>
      </vt:variant>
      <vt:variant>
        <vt:i4>3997764</vt:i4>
      </vt:variant>
      <vt:variant>
        <vt:i4>201</vt:i4>
      </vt:variant>
      <vt:variant>
        <vt:i4>0</vt:i4>
      </vt:variant>
      <vt:variant>
        <vt:i4>5</vt:i4>
      </vt:variant>
      <vt:variant>
        <vt:lpwstr>https://www.ema.europa.eu/en/documents/other/reflection-paper-tailored-clinical-approach-biosimilar-development_en.pdf-0</vt:lpwstr>
      </vt:variant>
      <vt:variant>
        <vt:lpwstr/>
      </vt:variant>
      <vt:variant>
        <vt:i4>4587594</vt:i4>
      </vt:variant>
      <vt:variant>
        <vt:i4>198</vt:i4>
      </vt:variant>
      <vt:variant>
        <vt:i4>0</vt:i4>
      </vt:variant>
      <vt:variant>
        <vt:i4>5</vt:i4>
      </vt:variant>
      <vt:variant>
        <vt:lpwstr>https://ec.europa.eu/eurostat/web/products-eurostat-news/w/ddn-20251211-2</vt:lpwstr>
      </vt:variant>
      <vt:variant>
        <vt:lpwstr/>
      </vt:variant>
      <vt:variant>
        <vt:i4>5570612</vt:i4>
      </vt:variant>
      <vt:variant>
        <vt:i4>195</vt:i4>
      </vt:variant>
      <vt:variant>
        <vt:i4>0</vt:i4>
      </vt:variant>
      <vt:variant>
        <vt:i4>5</vt:i4>
      </vt:variant>
      <vt:variant>
        <vt:lpwstr>https://ec.europa.eu/info/law/better-regulation/have-your-say/initiatives/14627-Biotech-Act/public-consultation_en</vt:lpwstr>
      </vt:variant>
      <vt:variant>
        <vt:lpwstr/>
      </vt:variant>
      <vt:variant>
        <vt:i4>4718701</vt:i4>
      </vt:variant>
      <vt:variant>
        <vt:i4>192</vt:i4>
      </vt:variant>
      <vt:variant>
        <vt:i4>0</vt:i4>
      </vt:variant>
      <vt:variant>
        <vt:i4>5</vt:i4>
      </vt:variant>
      <vt:variant>
        <vt:lpwstr>https://www.europabio.org/wp-content/uploads/2025/03/WifOR_EuropaBio2025.pdf</vt:lpwstr>
      </vt:variant>
      <vt:variant>
        <vt:lpwstr/>
      </vt:variant>
      <vt:variant>
        <vt:i4>6291490</vt:i4>
      </vt:variant>
      <vt:variant>
        <vt:i4>189</vt:i4>
      </vt:variant>
      <vt:variant>
        <vt:i4>0</vt:i4>
      </vt:variant>
      <vt:variant>
        <vt:i4>5</vt:i4>
      </vt:variant>
      <vt:variant>
        <vt:lpwstr>https://www.weforum.org/publications/the-future-of-jobs-report-2025/digest/</vt:lpwstr>
      </vt:variant>
      <vt:variant>
        <vt:lpwstr/>
      </vt:variant>
      <vt:variant>
        <vt:i4>131166</vt:i4>
      </vt:variant>
      <vt:variant>
        <vt:i4>186</vt:i4>
      </vt:variant>
      <vt:variant>
        <vt:i4>0</vt:i4>
      </vt:variant>
      <vt:variant>
        <vt:i4>5</vt:i4>
      </vt:variant>
      <vt:variant>
        <vt:lpwstr>https://ec.europa.eu/assets/rtd/srip/2024/ec_rtd_srip-report-2024-chap-03.pdf</vt:lpwstr>
      </vt:variant>
      <vt:variant>
        <vt:lpwstr/>
      </vt:variant>
      <vt:variant>
        <vt:i4>262165</vt:i4>
      </vt:variant>
      <vt:variant>
        <vt:i4>183</vt:i4>
      </vt:variant>
      <vt:variant>
        <vt:i4>0</vt:i4>
      </vt:variant>
      <vt:variant>
        <vt:i4>5</vt:i4>
      </vt:variant>
      <vt:variant>
        <vt:lpwstr>https://data.europa.eu/doi/10.2777/965670</vt:lpwstr>
      </vt:variant>
      <vt:variant>
        <vt:lpwstr/>
      </vt:variant>
      <vt:variant>
        <vt:i4>4718701</vt:i4>
      </vt:variant>
      <vt:variant>
        <vt:i4>180</vt:i4>
      </vt:variant>
      <vt:variant>
        <vt:i4>0</vt:i4>
      </vt:variant>
      <vt:variant>
        <vt:i4>5</vt:i4>
      </vt:variant>
      <vt:variant>
        <vt:lpwstr>https://www.europabio.org/wp-content/uploads/2025/03/WifOR_EuropaBio2025.pdf</vt:lpwstr>
      </vt:variant>
      <vt:variant>
        <vt:lpwstr/>
      </vt:variant>
      <vt:variant>
        <vt:i4>1507345</vt:i4>
      </vt:variant>
      <vt:variant>
        <vt:i4>177</vt:i4>
      </vt:variant>
      <vt:variant>
        <vt:i4>0</vt:i4>
      </vt:variant>
      <vt:variant>
        <vt:i4>5</vt:i4>
      </vt:variant>
      <vt:variant>
        <vt:lpwstr>https://eur-lex.europa.eu/legal-content/EN/TXT/?uri=CELEX:52025PC1022</vt:lpwstr>
      </vt:variant>
      <vt:variant>
        <vt:lpwstr/>
      </vt:variant>
      <vt:variant>
        <vt:i4>2818085</vt:i4>
      </vt:variant>
      <vt:variant>
        <vt:i4>174</vt:i4>
      </vt:variant>
      <vt:variant>
        <vt:i4>0</vt:i4>
      </vt:variant>
      <vt:variant>
        <vt:i4>5</vt:i4>
      </vt:variant>
      <vt:variant>
        <vt:lpwstr>http://data.europa.eu/eli/reg/2024/1735/2025-08-17</vt:lpwstr>
      </vt:variant>
      <vt:variant>
        <vt:lpwstr/>
      </vt:variant>
      <vt:variant>
        <vt:i4>2883627</vt:i4>
      </vt:variant>
      <vt:variant>
        <vt:i4>171</vt:i4>
      </vt:variant>
      <vt:variant>
        <vt:i4>0</vt:i4>
      </vt:variant>
      <vt:variant>
        <vt:i4>5</vt:i4>
      </vt:variant>
      <vt:variant>
        <vt:lpwstr>http://data.europa.eu/eli/reg/2006/1907/2025-09-01</vt:lpwstr>
      </vt:variant>
      <vt:variant>
        <vt:lpwstr/>
      </vt:variant>
      <vt:variant>
        <vt:i4>7733286</vt:i4>
      </vt:variant>
      <vt:variant>
        <vt:i4>168</vt:i4>
      </vt:variant>
      <vt:variant>
        <vt:i4>0</vt:i4>
      </vt:variant>
      <vt:variant>
        <vt:i4>5</vt:i4>
      </vt:variant>
      <vt:variant>
        <vt:lpwstr>https://eur-lex.europa.eu/legal-content/EN/TXT/?uri=CELEX%3A52021DC0082</vt:lpwstr>
      </vt:variant>
      <vt:variant>
        <vt:lpwstr/>
      </vt:variant>
      <vt:variant>
        <vt:i4>6881380</vt:i4>
      </vt:variant>
      <vt:variant>
        <vt:i4>165</vt:i4>
      </vt:variant>
      <vt:variant>
        <vt:i4>0</vt:i4>
      </vt:variant>
      <vt:variant>
        <vt:i4>5</vt:i4>
      </vt:variant>
      <vt:variant>
        <vt:lpwstr>http://data.europa.eu/eli/reg/2021/1119/oj</vt:lpwstr>
      </vt:variant>
      <vt:variant>
        <vt:lpwstr/>
      </vt:variant>
      <vt:variant>
        <vt:i4>7864363</vt:i4>
      </vt:variant>
      <vt:variant>
        <vt:i4>162</vt:i4>
      </vt:variant>
      <vt:variant>
        <vt:i4>0</vt:i4>
      </vt:variant>
      <vt:variant>
        <vt:i4>5</vt:i4>
      </vt:variant>
      <vt:variant>
        <vt:lpwstr>https://eur-lex.europa.eu/legal-content/EN/TXT/?uri=celex%3A52025DC0960</vt:lpwstr>
      </vt:variant>
      <vt:variant>
        <vt:lpwstr/>
      </vt:variant>
      <vt:variant>
        <vt:i4>1376275</vt:i4>
      </vt:variant>
      <vt:variant>
        <vt:i4>159</vt:i4>
      </vt:variant>
      <vt:variant>
        <vt:i4>0</vt:i4>
      </vt:variant>
      <vt:variant>
        <vt:i4>5</vt:i4>
      </vt:variant>
      <vt:variant>
        <vt:lpwstr>https://eur-lex.europa.eu/legal-content/EN/TXT/?uri=CELEX:52023PC0411</vt:lpwstr>
      </vt:variant>
      <vt:variant>
        <vt:lpwstr/>
      </vt:variant>
      <vt:variant>
        <vt:i4>7929890</vt:i4>
      </vt:variant>
      <vt:variant>
        <vt:i4>156</vt:i4>
      </vt:variant>
      <vt:variant>
        <vt:i4>0</vt:i4>
      </vt:variant>
      <vt:variant>
        <vt:i4>5</vt:i4>
      </vt:variant>
      <vt:variant>
        <vt:lpwstr>https://eur-lex.europa.eu/legal-content/EN/TXT/?uri=CELEX%3A52025DC0075</vt:lpwstr>
      </vt:variant>
      <vt:variant>
        <vt:lpwstr/>
      </vt:variant>
      <vt:variant>
        <vt:i4>7077984</vt:i4>
      </vt:variant>
      <vt:variant>
        <vt:i4>153</vt:i4>
      </vt:variant>
      <vt:variant>
        <vt:i4>0</vt:i4>
      </vt:variant>
      <vt:variant>
        <vt:i4>5</vt:i4>
      </vt:variant>
      <vt:variant>
        <vt:lpwstr>http://data.europa.eu/eli/reg/2023/2854/oj</vt:lpwstr>
      </vt:variant>
      <vt:variant>
        <vt:lpwstr/>
      </vt:variant>
      <vt:variant>
        <vt:i4>1441873</vt:i4>
      </vt:variant>
      <vt:variant>
        <vt:i4>150</vt:i4>
      </vt:variant>
      <vt:variant>
        <vt:i4>0</vt:i4>
      </vt:variant>
      <vt:variant>
        <vt:i4>5</vt:i4>
      </vt:variant>
      <vt:variant>
        <vt:lpwstr>https://eur-lex.europa.eu/legal-content/ES/TXT/?uri=COM:2025:835:FIN</vt:lpwstr>
      </vt:variant>
      <vt:variant>
        <vt:lpwstr/>
      </vt:variant>
      <vt:variant>
        <vt:i4>4390942</vt:i4>
      </vt:variant>
      <vt:variant>
        <vt:i4>147</vt:i4>
      </vt:variant>
      <vt:variant>
        <vt:i4>0</vt:i4>
      </vt:variant>
      <vt:variant>
        <vt:i4>5</vt:i4>
      </vt:variant>
      <vt:variant>
        <vt:lpwstr>http://data.europa.eu/eli/reg/2025/327/oj</vt:lpwstr>
      </vt:variant>
      <vt:variant>
        <vt:lpwstr/>
      </vt:variant>
      <vt:variant>
        <vt:i4>4325399</vt:i4>
      </vt:variant>
      <vt:variant>
        <vt:i4>144</vt:i4>
      </vt:variant>
      <vt:variant>
        <vt:i4>0</vt:i4>
      </vt:variant>
      <vt:variant>
        <vt:i4>5</vt:i4>
      </vt:variant>
      <vt:variant>
        <vt:lpwstr>http://data.europa.eu/eli/reg/2019/881/oj</vt:lpwstr>
      </vt:variant>
      <vt:variant>
        <vt:lpwstr/>
      </vt:variant>
      <vt:variant>
        <vt:i4>196633</vt:i4>
      </vt:variant>
      <vt:variant>
        <vt:i4>141</vt:i4>
      </vt:variant>
      <vt:variant>
        <vt:i4>0</vt:i4>
      </vt:variant>
      <vt:variant>
        <vt:i4>5</vt:i4>
      </vt:variant>
      <vt:variant>
        <vt:lpwstr>https://eur-lex.europa.eu/legal-content/EN/TXT/?uri=celex:52025DC0835</vt:lpwstr>
      </vt:variant>
      <vt:variant>
        <vt:lpwstr/>
      </vt:variant>
      <vt:variant>
        <vt:i4>6619235</vt:i4>
      </vt:variant>
      <vt:variant>
        <vt:i4>138</vt:i4>
      </vt:variant>
      <vt:variant>
        <vt:i4>0</vt:i4>
      </vt:variant>
      <vt:variant>
        <vt:i4>5</vt:i4>
      </vt:variant>
      <vt:variant>
        <vt:lpwstr>http://data.europa.eu/eli/reg/2024/1689/oj</vt:lpwstr>
      </vt:variant>
      <vt:variant>
        <vt:lpwstr/>
      </vt:variant>
      <vt:variant>
        <vt:i4>393232</vt:i4>
      </vt:variant>
      <vt:variant>
        <vt:i4>135</vt:i4>
      </vt:variant>
      <vt:variant>
        <vt:i4>0</vt:i4>
      </vt:variant>
      <vt:variant>
        <vt:i4>5</vt:i4>
      </vt:variant>
      <vt:variant>
        <vt:lpwstr>https://eur-lex.europa.eu/legal-content/EN/TXT/?uri=celex:52025DC0165</vt:lpwstr>
      </vt:variant>
      <vt:variant>
        <vt:lpwstr/>
      </vt:variant>
      <vt:variant>
        <vt:i4>131094</vt:i4>
      </vt:variant>
      <vt:variant>
        <vt:i4>132</vt:i4>
      </vt:variant>
      <vt:variant>
        <vt:i4>0</vt:i4>
      </vt:variant>
      <vt:variant>
        <vt:i4>5</vt:i4>
      </vt:variant>
      <vt:variant>
        <vt:lpwstr>https://eur-lex.europa.eu/legal-content/EN/TXT/?uri=celex:52025DC0723</vt:lpwstr>
      </vt:variant>
      <vt:variant>
        <vt:lpwstr/>
      </vt:variant>
      <vt:variant>
        <vt:i4>917518</vt:i4>
      </vt:variant>
      <vt:variant>
        <vt:i4>129</vt:i4>
      </vt:variant>
      <vt:variant>
        <vt:i4>0</vt:i4>
      </vt:variant>
      <vt:variant>
        <vt:i4>5</vt:i4>
      </vt:variant>
      <vt:variant>
        <vt:lpwstr>https://eur-lex.europa.eu/legal-content/EN/TXT/?uri=CELEX%3A52025DC0724&amp;qid=1762332390557</vt:lpwstr>
      </vt:variant>
      <vt:variant>
        <vt:lpwstr/>
      </vt:variant>
      <vt:variant>
        <vt:i4>5177417</vt:i4>
      </vt:variant>
      <vt:variant>
        <vt:i4>126</vt:i4>
      </vt:variant>
      <vt:variant>
        <vt:i4>0</vt:i4>
      </vt:variant>
      <vt:variant>
        <vt:i4>5</vt:i4>
      </vt:variant>
      <vt:variant>
        <vt:lpwstr>https://www.eif.org/flagship-initiatives/european-tech-champions-initiative/overview</vt:lpwstr>
      </vt:variant>
      <vt:variant>
        <vt:lpwstr/>
      </vt:variant>
      <vt:variant>
        <vt:i4>2818094</vt:i4>
      </vt:variant>
      <vt:variant>
        <vt:i4>123</vt:i4>
      </vt:variant>
      <vt:variant>
        <vt:i4>0</vt:i4>
      </vt:variant>
      <vt:variant>
        <vt:i4>5</vt:i4>
      </vt:variant>
      <vt:variant>
        <vt:lpwstr>https://www.eif.org/flagship-initiatives/techeu</vt:lpwstr>
      </vt:variant>
      <vt:variant>
        <vt:lpwstr/>
      </vt:variant>
      <vt:variant>
        <vt:i4>262268</vt:i4>
      </vt:variant>
      <vt:variant>
        <vt:i4>120</vt:i4>
      </vt:variant>
      <vt:variant>
        <vt:i4>0</vt:i4>
      </vt:variant>
      <vt:variant>
        <vt:i4>5</vt:i4>
      </vt:variant>
      <vt:variant>
        <vt:lpwstr>https://research-and-innovation.ec.europa.eu/strategy/strategy-research-and-innovation/our-digital-future/european-strategy-research-and-technology-infrastructures_enhttps:/research-and-innovation.ec.europa.eu/strategy/strategy-research-and-innovation/our-digital-future/european-strategy-research-and-technology-infrastructures_en</vt:lpwstr>
      </vt:variant>
      <vt:variant>
        <vt:lpwstr/>
      </vt:variant>
      <vt:variant>
        <vt:i4>589841</vt:i4>
      </vt:variant>
      <vt:variant>
        <vt:i4>117</vt:i4>
      </vt:variant>
      <vt:variant>
        <vt:i4>0</vt:i4>
      </vt:variant>
      <vt:variant>
        <vt:i4>5</vt:i4>
      </vt:variant>
      <vt:variant>
        <vt:lpwstr>https://eur-lex.europa.eu/legal-content/EN/TXT/?uri=celex:52025DC0090</vt:lpwstr>
      </vt:variant>
      <vt:variant>
        <vt:lpwstr/>
      </vt:variant>
      <vt:variant>
        <vt:i4>8126503</vt:i4>
      </vt:variant>
      <vt:variant>
        <vt:i4>114</vt:i4>
      </vt:variant>
      <vt:variant>
        <vt:i4>0</vt:i4>
      </vt:variant>
      <vt:variant>
        <vt:i4>5</vt:i4>
      </vt:variant>
      <vt:variant>
        <vt:lpwstr>https://eur-lex.europa.eu/legal-content/EN/TXT/?uri=CELEX%3A52025DC0529</vt:lpwstr>
      </vt:variant>
      <vt:variant>
        <vt:lpwstr/>
      </vt:variant>
      <vt:variant>
        <vt:i4>7274606</vt:i4>
      </vt:variant>
      <vt:variant>
        <vt:i4>111</vt:i4>
      </vt:variant>
      <vt:variant>
        <vt:i4>0</vt:i4>
      </vt:variant>
      <vt:variant>
        <vt:i4>5</vt:i4>
      </vt:variant>
      <vt:variant>
        <vt:lpwstr>http://data.europa.eu/eli/reg/2022/2371/oj</vt:lpwstr>
      </vt:variant>
      <vt:variant>
        <vt:lpwstr/>
      </vt:variant>
      <vt:variant>
        <vt:i4>6094942</vt:i4>
      </vt:variant>
      <vt:variant>
        <vt:i4>108</vt:i4>
      </vt:variant>
      <vt:variant>
        <vt:i4>0</vt:i4>
      </vt:variant>
      <vt:variant>
        <vt:i4>5</vt:i4>
      </vt:variant>
      <vt:variant>
        <vt:lpwstr>https://eur-lex.europa.eu/legal-content/EN/TXT/?uri=JOIN:2023:20:FIN</vt:lpwstr>
      </vt:variant>
      <vt:variant>
        <vt:lpwstr/>
      </vt:variant>
      <vt:variant>
        <vt:i4>3735632</vt:i4>
      </vt:variant>
      <vt:variant>
        <vt:i4>105</vt:i4>
      </vt:variant>
      <vt:variant>
        <vt:i4>0</vt:i4>
      </vt:variant>
      <vt:variant>
        <vt:i4>5</vt:i4>
      </vt:variant>
      <vt:variant>
        <vt:lpwstr>https://eic.ec.europa.eu/eic-fund/scaleup-europe-fund_en</vt:lpwstr>
      </vt:variant>
      <vt:variant>
        <vt:lpwstr/>
      </vt:variant>
      <vt:variant>
        <vt:i4>458771</vt:i4>
      </vt:variant>
      <vt:variant>
        <vt:i4>102</vt:i4>
      </vt:variant>
      <vt:variant>
        <vt:i4>0</vt:i4>
      </vt:variant>
      <vt:variant>
        <vt:i4>5</vt:i4>
      </vt:variant>
      <vt:variant>
        <vt:lpwstr>https://eur-lex.europa.eu/legal-content/EN/TXT/?uri=celex:52025DC0270</vt:lpwstr>
      </vt:variant>
      <vt:variant>
        <vt:lpwstr/>
      </vt:variant>
      <vt:variant>
        <vt:i4>131088</vt:i4>
      </vt:variant>
      <vt:variant>
        <vt:i4>99</vt:i4>
      </vt:variant>
      <vt:variant>
        <vt:i4>0</vt:i4>
      </vt:variant>
      <vt:variant>
        <vt:i4>5</vt:i4>
      </vt:variant>
      <vt:variant>
        <vt:lpwstr>https://eur-lex.europa.eu/legal-content/EN/TXT/?uri=celex:52025DC0124</vt:lpwstr>
      </vt:variant>
      <vt:variant>
        <vt:lpwstr/>
      </vt:variant>
      <vt:variant>
        <vt:i4>131092</vt:i4>
      </vt:variant>
      <vt:variant>
        <vt:i4>96</vt:i4>
      </vt:variant>
      <vt:variant>
        <vt:i4>0</vt:i4>
      </vt:variant>
      <vt:variant>
        <vt:i4>5</vt:i4>
      </vt:variant>
      <vt:variant>
        <vt:lpwstr>https://eur-lex.europa.eu/legal-content/EN/TXT/?uri=CELEX:52025DC0525</vt:lpwstr>
      </vt:variant>
      <vt:variant>
        <vt:lpwstr/>
      </vt:variant>
      <vt:variant>
        <vt:i4>262161</vt:i4>
      </vt:variant>
      <vt:variant>
        <vt:i4>93</vt:i4>
      </vt:variant>
      <vt:variant>
        <vt:i4>0</vt:i4>
      </vt:variant>
      <vt:variant>
        <vt:i4>5</vt:i4>
      </vt:variant>
      <vt:variant>
        <vt:lpwstr>https://eur-lex.europa.eu/legal-content/EN/TXT/?uri=celex:52025DC0047</vt:lpwstr>
      </vt:variant>
      <vt:variant>
        <vt:lpwstr/>
      </vt:variant>
      <vt:variant>
        <vt:i4>4456475</vt:i4>
      </vt:variant>
      <vt:variant>
        <vt:i4>90</vt:i4>
      </vt:variant>
      <vt:variant>
        <vt:i4>0</vt:i4>
      </vt:variant>
      <vt:variant>
        <vt:i4>5</vt:i4>
      </vt:variant>
      <vt:variant>
        <vt:lpwstr>http://data.europa.eu/eli/reg/2017/746/oj</vt:lpwstr>
      </vt:variant>
      <vt:variant>
        <vt:lpwstr/>
      </vt:variant>
      <vt:variant>
        <vt:i4>4653083</vt:i4>
      </vt:variant>
      <vt:variant>
        <vt:i4>87</vt:i4>
      </vt:variant>
      <vt:variant>
        <vt:i4>0</vt:i4>
      </vt:variant>
      <vt:variant>
        <vt:i4>5</vt:i4>
      </vt:variant>
      <vt:variant>
        <vt:lpwstr>http://data.europa.eu/eli/reg/2017/745/oj</vt:lpwstr>
      </vt:variant>
      <vt:variant>
        <vt:lpwstr/>
      </vt:variant>
      <vt:variant>
        <vt:i4>121</vt:i4>
      </vt:variant>
      <vt:variant>
        <vt:i4>84</vt:i4>
      </vt:variant>
      <vt:variant>
        <vt:i4>0</vt:i4>
      </vt:variant>
      <vt:variant>
        <vt:i4>5</vt:i4>
      </vt:variant>
      <vt:variant>
        <vt:lpwstr>https://health.ec.europa.eu/medical-devices-sector/new-regulations_en</vt:lpwstr>
      </vt:variant>
      <vt:variant>
        <vt:lpwstr/>
      </vt:variant>
      <vt:variant>
        <vt:i4>3866627</vt:i4>
      </vt:variant>
      <vt:variant>
        <vt:i4>81</vt:i4>
      </vt:variant>
      <vt:variant>
        <vt:i4>0</vt:i4>
      </vt:variant>
      <vt:variant>
        <vt:i4>5</vt:i4>
      </vt:variant>
      <vt:variant>
        <vt:lpwstr>https://health.ec.europa.eu/medicinal-products/legal-framework-governing-medicinal-products-human-use-eu/reform-eu-pharmaceutical-legislation_en</vt:lpwstr>
      </vt:variant>
      <vt:variant>
        <vt:lpwstr/>
      </vt:variant>
      <vt:variant>
        <vt:i4>393235</vt:i4>
      </vt:variant>
      <vt:variant>
        <vt:i4>78</vt:i4>
      </vt:variant>
      <vt:variant>
        <vt:i4>0</vt:i4>
      </vt:variant>
      <vt:variant>
        <vt:i4>5</vt:i4>
      </vt:variant>
      <vt:variant>
        <vt:lpwstr>https://eur-lex.europa.eu/legal-content/EN/TXT/?uri=CELEX:52020DC0761</vt:lpwstr>
      </vt:variant>
      <vt:variant>
        <vt:lpwstr/>
      </vt:variant>
      <vt:variant>
        <vt:i4>7667739</vt:i4>
      </vt:variant>
      <vt:variant>
        <vt:i4>75</vt:i4>
      </vt:variant>
      <vt:variant>
        <vt:i4>0</vt:i4>
      </vt:variant>
      <vt:variant>
        <vt:i4>5</vt:i4>
      </vt:variant>
      <vt:variant>
        <vt:lpwstr>https://health.ec.europa.eu/medicinal-products/critical-medicines-act_en</vt:lpwstr>
      </vt:variant>
      <vt:variant>
        <vt:lpwstr/>
      </vt:variant>
      <vt:variant>
        <vt:i4>5505109</vt:i4>
      </vt:variant>
      <vt:variant>
        <vt:i4>72</vt:i4>
      </vt:variant>
      <vt:variant>
        <vt:i4>0</vt:i4>
      </vt:variant>
      <vt:variant>
        <vt:i4>5</vt:i4>
      </vt:variant>
      <vt:variant>
        <vt:lpwstr>http://data.europa.eu/eli/dir/2001/18/oj</vt:lpwstr>
      </vt:variant>
      <vt:variant>
        <vt:lpwstr/>
      </vt:variant>
      <vt:variant>
        <vt:i4>6815855</vt:i4>
      </vt:variant>
      <vt:variant>
        <vt:i4>69</vt:i4>
      </vt:variant>
      <vt:variant>
        <vt:i4>0</vt:i4>
      </vt:variant>
      <vt:variant>
        <vt:i4>5</vt:i4>
      </vt:variant>
      <vt:variant>
        <vt:lpwstr>http://data.europa.eu/eli/reg/2003/1829/oj</vt:lpwstr>
      </vt:variant>
      <vt:variant>
        <vt:lpwstr/>
      </vt:variant>
      <vt:variant>
        <vt:i4>4784153</vt:i4>
      </vt:variant>
      <vt:variant>
        <vt:i4>66</vt:i4>
      </vt:variant>
      <vt:variant>
        <vt:i4>0</vt:i4>
      </vt:variant>
      <vt:variant>
        <vt:i4>5</vt:i4>
      </vt:variant>
      <vt:variant>
        <vt:lpwstr>http://data.europa.eu/eli/reg/2002/178/oj</vt:lpwstr>
      </vt:variant>
      <vt:variant>
        <vt:lpwstr/>
      </vt:variant>
      <vt:variant>
        <vt:i4>8192047</vt:i4>
      </vt:variant>
      <vt:variant>
        <vt:i4>63</vt:i4>
      </vt:variant>
      <vt:variant>
        <vt:i4>0</vt:i4>
      </vt:variant>
      <vt:variant>
        <vt:i4>5</vt:i4>
      </vt:variant>
      <vt:variant>
        <vt:lpwstr>http://data.europa.eu/eli/reg/2019/6/oj</vt:lpwstr>
      </vt:variant>
      <vt:variant>
        <vt:lpwstr/>
      </vt:variant>
      <vt:variant>
        <vt:i4>5308511</vt:i4>
      </vt:variant>
      <vt:variant>
        <vt:i4>60</vt:i4>
      </vt:variant>
      <vt:variant>
        <vt:i4>0</vt:i4>
      </vt:variant>
      <vt:variant>
        <vt:i4>5</vt:i4>
      </vt:variant>
      <vt:variant>
        <vt:lpwstr>http://data.europa.eu/eli/dir/2010/53/oj</vt:lpwstr>
      </vt:variant>
      <vt:variant>
        <vt:lpwstr/>
      </vt:variant>
      <vt:variant>
        <vt:i4>7209069</vt:i4>
      </vt:variant>
      <vt:variant>
        <vt:i4>57</vt:i4>
      </vt:variant>
      <vt:variant>
        <vt:i4>0</vt:i4>
      </vt:variant>
      <vt:variant>
        <vt:i4>5</vt:i4>
      </vt:variant>
      <vt:variant>
        <vt:lpwstr>http://data.europa.eu/eli/reg/2024/1938/oj</vt:lpwstr>
      </vt:variant>
      <vt:variant>
        <vt:lpwstr/>
      </vt:variant>
      <vt:variant>
        <vt:i4>6750313</vt:i4>
      </vt:variant>
      <vt:variant>
        <vt:i4>54</vt:i4>
      </vt:variant>
      <vt:variant>
        <vt:i4>0</vt:i4>
      </vt:variant>
      <vt:variant>
        <vt:i4>5</vt:i4>
      </vt:variant>
      <vt:variant>
        <vt:lpwstr>http://data.europa.eu/eli/reg/2007/1394/oj</vt:lpwstr>
      </vt:variant>
      <vt:variant>
        <vt:lpwstr/>
      </vt:variant>
      <vt:variant>
        <vt:i4>4522012</vt:i4>
      </vt:variant>
      <vt:variant>
        <vt:i4>51</vt:i4>
      </vt:variant>
      <vt:variant>
        <vt:i4>0</vt:i4>
      </vt:variant>
      <vt:variant>
        <vt:i4>5</vt:i4>
      </vt:variant>
      <vt:variant>
        <vt:lpwstr>http://data.europa.eu/eli/reg/2014/536/oj</vt:lpwstr>
      </vt:variant>
      <vt:variant>
        <vt:lpwstr/>
      </vt:variant>
      <vt:variant>
        <vt:i4>3276841</vt:i4>
      </vt:variant>
      <vt:variant>
        <vt:i4>48</vt:i4>
      </vt:variant>
      <vt:variant>
        <vt:i4>0</vt:i4>
      </vt:variant>
      <vt:variant>
        <vt:i4>5</vt:i4>
      </vt:variant>
      <vt:variant>
        <vt:lpwstr>https://oeil.europarl.europa.eu/oeil/en/procedure-file?reference=2025/2087(INI)</vt:lpwstr>
      </vt:variant>
      <vt:variant>
        <vt:lpwstr/>
      </vt:variant>
      <vt:variant>
        <vt:i4>6946843</vt:i4>
      </vt:variant>
      <vt:variant>
        <vt:i4>45</vt:i4>
      </vt:variant>
      <vt:variant>
        <vt:i4>0</vt:i4>
      </vt:variant>
      <vt:variant>
        <vt:i4>5</vt:i4>
      </vt:variant>
      <vt:variant>
        <vt:lpwstr>https://www.europarl.europa.eu/doceo/document/TA-10-2025-0165_EN.html</vt:lpwstr>
      </vt:variant>
      <vt:variant>
        <vt:lpwstr/>
      </vt:variant>
      <vt:variant>
        <vt:i4>2228308</vt:i4>
      </vt:variant>
      <vt:variant>
        <vt:i4>42</vt:i4>
      </vt:variant>
      <vt:variant>
        <vt:i4>0</vt:i4>
      </vt:variant>
      <vt:variant>
        <vt:i4>5</vt:i4>
      </vt:variant>
      <vt:variant>
        <vt:lpwstr>https://competition-policy.ec.europa.eu/state-aid/ipcei/design-support-hub_en</vt:lpwstr>
      </vt:variant>
      <vt:variant>
        <vt:lpwstr>ipcei-candidates-in-the-design-support-hub</vt:lpwstr>
      </vt:variant>
      <vt:variant>
        <vt:i4>3997801</vt:i4>
      </vt:variant>
      <vt:variant>
        <vt:i4>39</vt:i4>
      </vt:variant>
      <vt:variant>
        <vt:i4>0</vt:i4>
      </vt:variant>
      <vt:variant>
        <vt:i4>5</vt:i4>
      </vt:variant>
      <vt:variant>
        <vt:lpwstr>https://data.consilium.europa.eu/doc/document/ST-13323-2025-INIT/en/pdf</vt:lpwstr>
      </vt:variant>
      <vt:variant>
        <vt:lpwstr/>
      </vt:variant>
      <vt:variant>
        <vt:i4>2687014</vt:i4>
      </vt:variant>
      <vt:variant>
        <vt:i4>36</vt:i4>
      </vt:variant>
      <vt:variant>
        <vt:i4>0</vt:i4>
      </vt:variant>
      <vt:variant>
        <vt:i4>5</vt:i4>
      </vt:variant>
      <vt:variant>
        <vt:lpwstr>https://www.consilium.europa.eu/media/54773/20220311-versailles-declaration-en.pdf</vt:lpwstr>
      </vt:variant>
      <vt:variant>
        <vt:lpwstr/>
      </vt:variant>
      <vt:variant>
        <vt:i4>2490420</vt:i4>
      </vt:variant>
      <vt:variant>
        <vt:i4>33</vt:i4>
      </vt:variant>
      <vt:variant>
        <vt:i4>0</vt:i4>
      </vt:variant>
      <vt:variant>
        <vt:i4>5</vt:i4>
      </vt:variant>
      <vt:variant>
        <vt:lpwstr>https://www.consilium.europa.eu/media/m5jlwe0p/euco-conclusions-20240417-18-en.pdf</vt:lpwstr>
      </vt:variant>
      <vt:variant>
        <vt:lpwstr/>
      </vt:variant>
      <vt:variant>
        <vt:i4>4325401</vt:i4>
      </vt:variant>
      <vt:variant>
        <vt:i4>30</vt:i4>
      </vt:variant>
      <vt:variant>
        <vt:i4>0</vt:i4>
      </vt:variant>
      <vt:variant>
        <vt:i4>5</vt:i4>
      </vt:variant>
      <vt:variant>
        <vt:lpwstr>https://commission.europa.eu/document/download/5bb2881f-9e29-42f2-8b77-8739b19d047c_en?filename=2024_Niinisto-report_Book_VF.pdf</vt:lpwstr>
      </vt:variant>
      <vt:variant>
        <vt:lpwstr/>
      </vt:variant>
      <vt:variant>
        <vt:i4>1704063</vt:i4>
      </vt:variant>
      <vt:variant>
        <vt:i4>27</vt:i4>
      </vt:variant>
      <vt:variant>
        <vt:i4>0</vt:i4>
      </vt:variant>
      <vt:variant>
        <vt:i4>5</vt:i4>
      </vt:variant>
      <vt:variant>
        <vt:lpwstr>https://commission.europa.eu/document/download/97e481fd-2dc3-412d-be4c-f152a8232961_en</vt:lpwstr>
      </vt:variant>
      <vt:variant>
        <vt:lpwstr/>
      </vt:variant>
      <vt:variant>
        <vt:i4>6225928</vt:i4>
      </vt:variant>
      <vt:variant>
        <vt:i4>24</vt:i4>
      </vt:variant>
      <vt:variant>
        <vt:i4>0</vt:i4>
      </vt:variant>
      <vt:variant>
        <vt:i4>5</vt:i4>
      </vt:variant>
      <vt:variant>
        <vt:lpwstr>https://www.consilium.europa.eu/media/ny3j24sm/much-more-than-a-market-report-by-enrico-letta.pdf</vt:lpwstr>
      </vt:variant>
      <vt:variant>
        <vt:lpwstr/>
      </vt:variant>
      <vt:variant>
        <vt:i4>6094942</vt:i4>
      </vt:variant>
      <vt:variant>
        <vt:i4>21</vt:i4>
      </vt:variant>
      <vt:variant>
        <vt:i4>0</vt:i4>
      </vt:variant>
      <vt:variant>
        <vt:i4>5</vt:i4>
      </vt:variant>
      <vt:variant>
        <vt:lpwstr>https://eur-lex.europa.eu/legal-content/EN/TXT/?uri=JOIN:2023:20:FIN</vt:lpwstr>
      </vt:variant>
      <vt:variant>
        <vt:lpwstr/>
      </vt:variant>
      <vt:variant>
        <vt:i4>6815807</vt:i4>
      </vt:variant>
      <vt:variant>
        <vt:i4>18</vt:i4>
      </vt:variant>
      <vt:variant>
        <vt:i4>0</vt:i4>
      </vt:variant>
      <vt:variant>
        <vt:i4>5</vt:i4>
      </vt:variant>
      <vt:variant>
        <vt:lpwstr>https://eur-lex.europa.eu/legal-content/EN/TXT/?uri=CELEX:52024DC0137R(01)</vt:lpwstr>
      </vt:variant>
      <vt:variant>
        <vt:lpwstr/>
      </vt:variant>
      <vt:variant>
        <vt:i4>3080232</vt:i4>
      </vt:variant>
      <vt:variant>
        <vt:i4>15</vt:i4>
      </vt:variant>
      <vt:variant>
        <vt:i4>0</vt:i4>
      </vt:variant>
      <vt:variant>
        <vt:i4>5</vt:i4>
      </vt:variant>
      <vt:variant>
        <vt:lpwstr>http://data.europa.eu/eli/reco/2023/2113/oj</vt:lpwstr>
      </vt:variant>
      <vt:variant>
        <vt:lpwstr/>
      </vt:variant>
      <vt:variant>
        <vt:i4>5767272</vt:i4>
      </vt:variant>
      <vt:variant>
        <vt:i4>12</vt:i4>
      </vt:variant>
      <vt:variant>
        <vt:i4>0</vt:i4>
      </vt:variant>
      <vt:variant>
        <vt:i4>5</vt:i4>
      </vt:variant>
      <vt:variant>
        <vt:lpwstr>https://commission.europa.eu/document/download/b1817a1b-e62e-4949-bbb8-ebf29b54c8bd_en?filename=Mission%20letter%20-%20VARHELYI.pdf</vt:lpwstr>
      </vt:variant>
      <vt:variant>
        <vt:lpwstr/>
      </vt:variant>
      <vt:variant>
        <vt:i4>262165</vt:i4>
      </vt:variant>
      <vt:variant>
        <vt:i4>9</vt:i4>
      </vt:variant>
      <vt:variant>
        <vt:i4>0</vt:i4>
      </vt:variant>
      <vt:variant>
        <vt:i4>5</vt:i4>
      </vt:variant>
      <vt:variant>
        <vt:lpwstr>https://data.europa.eu/doi/10.2777/965670</vt:lpwstr>
      </vt:variant>
      <vt:variant>
        <vt:lpwstr/>
      </vt:variant>
      <vt:variant>
        <vt:i4>196625</vt:i4>
      </vt:variant>
      <vt:variant>
        <vt:i4>6</vt:i4>
      </vt:variant>
      <vt:variant>
        <vt:i4>0</vt:i4>
      </vt:variant>
      <vt:variant>
        <vt:i4>5</vt:i4>
      </vt:variant>
      <vt:variant>
        <vt:lpwstr>https://eur-lex.europa.eu/legal-content/EN/TXT/?uri=CELEX:52025DC0030</vt:lpwstr>
      </vt:variant>
      <vt:variant>
        <vt:lpwstr/>
      </vt:variant>
      <vt:variant>
        <vt:i4>1441809</vt:i4>
      </vt:variant>
      <vt:variant>
        <vt:i4>3</vt:i4>
      </vt:variant>
      <vt:variant>
        <vt:i4>0</vt:i4>
      </vt:variant>
      <vt:variant>
        <vt:i4>5</vt:i4>
      </vt:variant>
      <vt:variant>
        <vt:lpwstr>https://eur-lex.europa.eu/legal-content/EN/TXT/?uri=CELEX:52025PC1031</vt:lpwstr>
      </vt:variant>
      <vt:variant>
        <vt:lpwstr/>
      </vt:variant>
      <vt:variant>
        <vt:i4>1507345</vt:i4>
      </vt:variant>
      <vt:variant>
        <vt:i4>0</vt:i4>
      </vt:variant>
      <vt:variant>
        <vt:i4>0</vt:i4>
      </vt:variant>
      <vt:variant>
        <vt:i4>5</vt:i4>
      </vt:variant>
      <vt:variant>
        <vt:lpwstr>https://eur-lex.europa.eu/legal-content/EN/TXT/?uri=CELEX:52025PC1022</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Narozny Michal (SG)</dc:creator>
  <cp:keywords/>
  <dc:description/>
  <cp:lastModifiedBy>PAREDES ECHAURI Cristina (SG)</cp:lastModifiedBy>
  <cp:revision>3</cp:revision>
  <cp:lastPrinted>2023-07-19T22:29:00Z</cp:lastPrinted>
  <dcterms:created xsi:type="dcterms:W3CDTF">2026-05-28T15:27:00Z</dcterms:created>
  <dcterms:modified xsi:type="dcterms:W3CDTF">2026-05-28T15:36:00Z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evel of sensitivity">
    <vt:lpwstr>Standard treatment</vt:lpwstr>
  </property>
  <property fmtid="{D5CDD505-2E9C-101B-9397-08002B2CF9AE}" pid="3" name="Part">
    <vt:lpwstr>1</vt:lpwstr>
  </property>
  <property fmtid="{D5CDD505-2E9C-101B-9397-08002B2CF9AE}" pid="4" name="Total parts">
    <vt:lpwstr>2</vt:lpwstr>
  </property>
  <property fmtid="{D5CDD505-2E9C-101B-9397-08002B2CF9AE}" pid="5" name="CPTemplateID">
    <vt:lpwstr>CP-025</vt:lpwstr>
  </property>
  <property fmtid="{D5CDD505-2E9C-101B-9397-08002B2CF9AE}" pid="6" name="Created using">
    <vt:lpwstr>LW 7.0.1, Build 20190916</vt:lpwstr>
  </property>
  <property fmtid="{D5CDD505-2E9C-101B-9397-08002B2CF9AE}" pid="7" name="MSIP_Label_6bd9ddd1-4d20-43f6-abfa-fc3c07406f94_Enabled">
    <vt:lpwstr>true</vt:lpwstr>
  </property>
  <property fmtid="{D5CDD505-2E9C-101B-9397-08002B2CF9AE}" pid="8" name="MSIP_Label_6bd9ddd1-4d20-43f6-abfa-fc3c07406f94_SetDate">
    <vt:lpwstr>2023-01-13T16:09:08Z</vt:lpwstr>
  </property>
  <property fmtid="{D5CDD505-2E9C-101B-9397-08002B2CF9AE}" pid="9" name="MSIP_Label_6bd9ddd1-4d20-43f6-abfa-fc3c07406f94_Method">
    <vt:lpwstr>Standard</vt:lpwstr>
  </property>
  <property fmtid="{D5CDD505-2E9C-101B-9397-08002B2CF9AE}" pid="10" name="MSIP_Label_6bd9ddd1-4d20-43f6-abfa-fc3c07406f94_Name">
    <vt:lpwstr>Commission Use</vt:lpwstr>
  </property>
  <property fmtid="{D5CDD505-2E9C-101B-9397-08002B2CF9AE}" pid="11" name="MSIP_Label_6bd9ddd1-4d20-43f6-abfa-fc3c07406f94_SiteId">
    <vt:lpwstr>b24c8b06-522c-46fe-9080-70926f8dddb1</vt:lpwstr>
  </property>
  <property fmtid="{D5CDD505-2E9C-101B-9397-08002B2CF9AE}" pid="12" name="MSIP_Label_6bd9ddd1-4d20-43f6-abfa-fc3c07406f94_ActionId">
    <vt:lpwstr>7e673b8e-6dd8-49f6-a98b-2979beb59a23</vt:lpwstr>
  </property>
  <property fmtid="{D5CDD505-2E9C-101B-9397-08002B2CF9AE}" pid="13" name="MSIP_Label_6bd9ddd1-4d20-43f6-abfa-fc3c07406f94_ContentBits">
    <vt:lpwstr>0</vt:lpwstr>
  </property>
  <property fmtid="{D5CDD505-2E9C-101B-9397-08002B2CF9AE}" pid="14" name="ContentTypeId">
    <vt:lpwstr>0x010100F3BE8789F8B926479CD54A9F58D67CFC</vt:lpwstr>
  </property>
  <property fmtid="{D5CDD505-2E9C-101B-9397-08002B2CF9AE}" pid="15" name="TaxKeyword">
    <vt:lpwstr/>
  </property>
  <property fmtid="{D5CDD505-2E9C-101B-9397-08002B2CF9AE}" pid="16" name="MediaServiceImageTags">
    <vt:lpwstr/>
  </property>
  <property fmtid="{D5CDD505-2E9C-101B-9397-08002B2CF9AE}" pid="17" name="Responsible_x0020_unit_x0020_">
    <vt:lpwstr>151;#SG.C.2|c917e1f5-7912-4eb9-962c-e792a6657685</vt:lpwstr>
  </property>
  <property fmtid="{D5CDD505-2E9C-101B-9397-08002B2CF9AE}" pid="18" name="Responsible unit ">
    <vt:lpwstr>151;#SG.C.2|c917e1f5-7912-4eb9-962c-e792a6657685</vt:lpwstr>
  </property>
  <property fmtid="{D5CDD505-2E9C-101B-9397-08002B2CF9AE}" pid="19" name="Responsible unit">
    <vt:lpwstr/>
  </property>
  <property fmtid="{D5CDD505-2E9C-101B-9397-08002B2CF9AE}" pid="20" name="Last edited using">
    <vt:lpwstr>LW 9.2, Build 20250828</vt:lpwstr>
  </property>
  <property fmtid="{D5CDD505-2E9C-101B-9397-08002B2CF9AE}" pid="21" name="DocStatus">
    <vt:lpwstr>Green</vt:lpwstr>
  </property>
</Properties>
</file>